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header13.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DAA00E0" w14:textId="77777777" w:rsidR="00960250" w:rsidRPr="007B6116" w:rsidRDefault="00960250" w:rsidP="00D0375F">
      <w:pPr>
        <w:pStyle w:val="Dateoncover"/>
      </w:pPr>
      <w:bookmarkStart w:id="0" w:name="_GoBack"/>
      <w:bookmarkEnd w:id="0"/>
    </w:p>
    <w:p w14:paraId="7DAA00E1" w14:textId="77777777" w:rsidR="00960250" w:rsidRDefault="00960250" w:rsidP="00D0375F">
      <w:pPr>
        <w:pStyle w:val="Dateoncover"/>
      </w:pPr>
    </w:p>
    <w:p w14:paraId="7DAA00E2" w14:textId="77777777" w:rsidR="00960250" w:rsidRDefault="00960250" w:rsidP="00D0375F">
      <w:pPr>
        <w:pStyle w:val="Dateoncover"/>
      </w:pPr>
    </w:p>
    <w:p w14:paraId="7DAA00E6" w14:textId="0DBBE888" w:rsidR="000C564C" w:rsidRPr="00D0375F" w:rsidRDefault="00960250" w:rsidP="005E3231">
      <w:pPr>
        <w:jc w:val="right"/>
        <w:rPr>
          <w:rFonts w:cs="Arial"/>
          <w:bCs/>
          <w:color w:val="005A97"/>
          <w:kern w:val="32"/>
          <w:sz w:val="52"/>
          <w:szCs w:val="32"/>
        </w:rPr>
      </w:pPr>
      <w:r w:rsidRPr="00D0375F">
        <w:rPr>
          <w:rFonts w:cs="Arial"/>
          <w:bCs/>
          <w:color w:val="005A97"/>
          <w:kern w:val="32"/>
          <w:sz w:val="52"/>
          <w:szCs w:val="32"/>
        </w:rPr>
        <w:t xml:space="preserve">Otway </w:t>
      </w:r>
      <w:r w:rsidR="00D75871" w:rsidRPr="00D0375F">
        <w:rPr>
          <w:rFonts w:cs="Arial"/>
          <w:bCs/>
          <w:color w:val="005A97"/>
          <w:kern w:val="32"/>
          <w:sz w:val="52"/>
          <w:szCs w:val="32"/>
        </w:rPr>
        <w:t>Region</w:t>
      </w:r>
    </w:p>
    <w:p w14:paraId="08E31462" w14:textId="132AA044" w:rsidR="00D0375F" w:rsidRPr="00D0375F" w:rsidRDefault="00960250" w:rsidP="00D0375F">
      <w:pPr>
        <w:jc w:val="right"/>
        <w:rPr>
          <w:rFonts w:cs="Arial"/>
          <w:bCs/>
          <w:color w:val="005A97"/>
          <w:kern w:val="32"/>
          <w:sz w:val="52"/>
          <w:szCs w:val="32"/>
        </w:rPr>
      </w:pPr>
      <w:r w:rsidRPr="00D0375F">
        <w:rPr>
          <w:rFonts w:cs="Arial"/>
          <w:bCs/>
          <w:color w:val="005A97"/>
          <w:kern w:val="32"/>
          <w:sz w:val="52"/>
          <w:szCs w:val="32"/>
        </w:rPr>
        <w:t xml:space="preserve"> </w:t>
      </w:r>
      <w:r w:rsidR="00CC1D48" w:rsidRPr="00D0375F">
        <w:rPr>
          <w:rFonts w:cs="Arial"/>
          <w:bCs/>
          <w:color w:val="005A97"/>
          <w:kern w:val="32"/>
          <w:sz w:val="52"/>
          <w:szCs w:val="32"/>
        </w:rPr>
        <w:t xml:space="preserve">Groundwater </w:t>
      </w:r>
      <w:r w:rsidR="00A44D2A" w:rsidRPr="00D0375F">
        <w:rPr>
          <w:rFonts w:cs="Arial"/>
          <w:bCs/>
          <w:color w:val="005A97"/>
          <w:kern w:val="32"/>
          <w:sz w:val="52"/>
          <w:szCs w:val="32"/>
        </w:rPr>
        <w:t>sampling and characterisation for hydrocarbons</w:t>
      </w:r>
    </w:p>
    <w:p w14:paraId="001592A2" w14:textId="0A91B71E" w:rsidR="00D0375F" w:rsidRPr="00D0375F" w:rsidRDefault="00341CD7" w:rsidP="00D0375F">
      <w:pPr>
        <w:jc w:val="right"/>
        <w:rPr>
          <w:rFonts w:cs="Arial"/>
          <w:b/>
          <w:bCs/>
          <w:color w:val="AEC12D" w:themeColor="text2"/>
          <w:sz w:val="26"/>
          <w:szCs w:val="26"/>
        </w:rPr>
      </w:pPr>
      <w:r>
        <w:br/>
      </w:r>
      <w:r w:rsidR="002B0EEF">
        <w:t xml:space="preserve"> </w:t>
      </w:r>
    </w:p>
    <w:p w14:paraId="56A70706" w14:textId="77777777" w:rsidR="00D0375F" w:rsidRPr="00D0375F" w:rsidRDefault="00D0375F" w:rsidP="00D0375F">
      <w:pPr>
        <w:jc w:val="right"/>
        <w:rPr>
          <w:rFonts w:cs="Arial"/>
          <w:b/>
          <w:bCs/>
          <w:color w:val="AEC12D" w:themeColor="text2"/>
          <w:sz w:val="26"/>
          <w:szCs w:val="26"/>
        </w:rPr>
      </w:pPr>
    </w:p>
    <w:p w14:paraId="60C55788" w14:textId="77777777" w:rsidR="00D0375F" w:rsidRPr="00D0375F" w:rsidRDefault="00D0375F" w:rsidP="00D0375F">
      <w:pPr>
        <w:pStyle w:val="Dateoncover"/>
      </w:pPr>
      <w:r w:rsidRPr="00D0375F">
        <w:t>June 2015</w:t>
      </w:r>
    </w:p>
    <w:p w14:paraId="7DAA00F0" w14:textId="77777777" w:rsidR="00DB78E4" w:rsidRDefault="00DB78E4" w:rsidP="004703D4"/>
    <w:p w14:paraId="7DAA00F1" w14:textId="77777777" w:rsidR="00DB78E4" w:rsidRDefault="00DB78E4" w:rsidP="004703D4"/>
    <w:p w14:paraId="7DAA00F2" w14:textId="77777777" w:rsidR="00DB78E4" w:rsidRDefault="00DB78E4" w:rsidP="004703D4">
      <w:pPr>
        <w:sectPr w:rsidR="00DB78E4" w:rsidSect="0063692F">
          <w:headerReference w:type="default" r:id="rId11"/>
          <w:footerReference w:type="default" r:id="rId12"/>
          <w:headerReference w:type="first" r:id="rId13"/>
          <w:footerReference w:type="first" r:id="rId14"/>
          <w:pgSz w:w="11906" w:h="16838" w:code="9"/>
          <w:pgMar w:top="2268" w:right="1134" w:bottom="1276" w:left="1134" w:header="567" w:footer="567" w:gutter="0"/>
          <w:pgNumType w:start="1"/>
          <w:cols w:space="708"/>
          <w:titlePg/>
          <w:docGrid w:linePitch="360"/>
        </w:sectPr>
      </w:pPr>
    </w:p>
    <w:p w14:paraId="2CC6BBCA" w14:textId="77777777" w:rsidR="00133D57" w:rsidRPr="007A07BC" w:rsidRDefault="00133D57" w:rsidP="00D0375F">
      <w:pPr>
        <w:pStyle w:val="Heading4"/>
      </w:pPr>
      <w:r w:rsidRPr="007A07BC">
        <w:lastRenderedPageBreak/>
        <w:t>Acknowledgements</w:t>
      </w:r>
    </w:p>
    <w:p w14:paraId="5F1F0C7F" w14:textId="5982F800" w:rsidR="00133D57" w:rsidRDefault="00133D57" w:rsidP="00133D57">
      <w:r>
        <w:t xml:space="preserve">This report has been prepared by Jacobs (Australia) Pty Ltd for the Department of Environment, Land, </w:t>
      </w:r>
      <w:r w:rsidR="00D0375F">
        <w:br/>
      </w:r>
      <w:r>
        <w:t xml:space="preserve">Water and Planning in collaboration with the Department of Economic Development, Jobs, Transport </w:t>
      </w:r>
      <w:r w:rsidR="00D0375F">
        <w:br/>
      </w:r>
      <w:r>
        <w:t xml:space="preserve">and Resources.   </w:t>
      </w:r>
    </w:p>
    <w:p w14:paraId="73846E10" w14:textId="77777777" w:rsidR="002760D3" w:rsidRDefault="002760D3" w:rsidP="00957368">
      <w:pPr>
        <w:sectPr w:rsidR="002760D3" w:rsidSect="0063692F">
          <w:headerReference w:type="default" r:id="rId15"/>
          <w:footerReference w:type="default" r:id="rId16"/>
          <w:headerReference w:type="first" r:id="rId17"/>
          <w:footerReference w:type="first" r:id="rId18"/>
          <w:pgSz w:w="11906" w:h="16838" w:code="9"/>
          <w:pgMar w:top="2268" w:right="1134" w:bottom="1276" w:left="1134" w:header="567" w:footer="567" w:gutter="0"/>
          <w:pgNumType w:start="1"/>
          <w:cols w:space="708"/>
          <w:docGrid w:linePitch="360"/>
        </w:sectPr>
      </w:pPr>
    </w:p>
    <w:p w14:paraId="7DAA0121" w14:textId="77777777" w:rsidR="00844650" w:rsidRPr="00D0375F" w:rsidRDefault="00E86EEC" w:rsidP="00D0375F">
      <w:pPr>
        <w:pStyle w:val="H1notinTOC"/>
      </w:pPr>
      <w:r w:rsidRPr="00313834">
        <w:lastRenderedPageBreak/>
        <w:t>Contents</w:t>
      </w:r>
    </w:p>
    <w:p w14:paraId="4C37A082" w14:textId="2DFEDAED" w:rsidR="0061195D" w:rsidRDefault="0061195D" w:rsidP="0061195D">
      <w:pPr>
        <w:pStyle w:val="TOC2"/>
      </w:pPr>
      <w:r w:rsidRPr="0061195D">
        <w:t>Figures</w:t>
      </w:r>
      <w:r>
        <w:tab/>
        <w:t>3</w:t>
      </w:r>
    </w:p>
    <w:p w14:paraId="16394453" w14:textId="1256EA7A" w:rsidR="0061195D" w:rsidRPr="0061195D" w:rsidRDefault="0061195D" w:rsidP="0061195D">
      <w:pPr>
        <w:pStyle w:val="TOC2"/>
      </w:pPr>
      <w:r>
        <w:t>Tables</w:t>
      </w:r>
      <w:r>
        <w:tab/>
        <w:t>4</w:t>
      </w:r>
    </w:p>
    <w:p w14:paraId="72CDF1B4" w14:textId="77777777" w:rsidR="00ED715B" w:rsidRDefault="00EB6F5B">
      <w:pPr>
        <w:pStyle w:val="TOC1"/>
        <w:rPr>
          <w:rFonts w:asciiTheme="minorHAnsi" w:eastAsiaTheme="minorEastAsia" w:hAnsiTheme="minorHAnsi" w:cstheme="minorBidi"/>
          <w:b w:val="0"/>
          <w:color w:val="auto"/>
          <w:lang w:val="en-AU"/>
        </w:rPr>
      </w:pPr>
      <w:r w:rsidRPr="000C564C">
        <w:rPr>
          <w:rFonts w:cs="Arial"/>
          <w:highlight w:val="yellow"/>
        </w:rPr>
        <w:fldChar w:fldCharType="begin"/>
      </w:r>
      <w:r w:rsidRPr="000C564C">
        <w:rPr>
          <w:rFonts w:cs="Arial"/>
          <w:highlight w:val="yellow"/>
        </w:rPr>
        <w:instrText xml:space="preserve"> TOC \h \z \t "Heading 1,1,Heading 2,2,Head 1 x,1,Head 2 x.x,2" </w:instrText>
      </w:r>
      <w:r w:rsidRPr="000C564C">
        <w:rPr>
          <w:rFonts w:cs="Arial"/>
          <w:highlight w:val="yellow"/>
        </w:rPr>
        <w:fldChar w:fldCharType="separate"/>
      </w:r>
      <w:hyperlink w:anchor="_Toc420327712" w:history="1">
        <w:r w:rsidR="00ED715B" w:rsidRPr="00B90F35">
          <w:rPr>
            <w:rStyle w:val="Hyperlink"/>
          </w:rPr>
          <w:t>Executive summary</w:t>
        </w:r>
        <w:r w:rsidR="00ED715B">
          <w:rPr>
            <w:webHidden/>
          </w:rPr>
          <w:tab/>
        </w:r>
        <w:r w:rsidR="00ED715B">
          <w:rPr>
            <w:webHidden/>
          </w:rPr>
          <w:fldChar w:fldCharType="begin"/>
        </w:r>
        <w:r w:rsidR="00ED715B">
          <w:rPr>
            <w:webHidden/>
          </w:rPr>
          <w:instrText xml:space="preserve"> PAGEREF _Toc420327712 \h </w:instrText>
        </w:r>
        <w:r w:rsidR="00ED715B">
          <w:rPr>
            <w:webHidden/>
          </w:rPr>
        </w:r>
        <w:r w:rsidR="00ED715B">
          <w:rPr>
            <w:webHidden/>
          </w:rPr>
          <w:fldChar w:fldCharType="separate"/>
        </w:r>
        <w:r w:rsidR="00BD60CC">
          <w:rPr>
            <w:webHidden/>
          </w:rPr>
          <w:t>5</w:t>
        </w:r>
        <w:r w:rsidR="00ED715B">
          <w:rPr>
            <w:webHidden/>
          </w:rPr>
          <w:fldChar w:fldCharType="end"/>
        </w:r>
      </w:hyperlink>
    </w:p>
    <w:p w14:paraId="61BE7D9A" w14:textId="77777777" w:rsidR="00ED715B" w:rsidRDefault="00B91643">
      <w:pPr>
        <w:pStyle w:val="TOC1"/>
        <w:rPr>
          <w:rFonts w:asciiTheme="minorHAnsi" w:eastAsiaTheme="minorEastAsia" w:hAnsiTheme="minorHAnsi" w:cstheme="minorBidi"/>
          <w:b w:val="0"/>
          <w:color w:val="auto"/>
          <w:lang w:val="en-AU"/>
        </w:rPr>
      </w:pPr>
      <w:hyperlink w:anchor="_Toc420327713" w:history="1">
        <w:r w:rsidR="00ED715B" w:rsidRPr="00B90F35">
          <w:rPr>
            <w:rStyle w:val="Hyperlink"/>
          </w:rPr>
          <w:t>1</w:t>
        </w:r>
        <w:r w:rsidR="00ED715B">
          <w:rPr>
            <w:rFonts w:asciiTheme="minorHAnsi" w:eastAsiaTheme="minorEastAsia" w:hAnsiTheme="minorHAnsi" w:cstheme="minorBidi"/>
            <w:b w:val="0"/>
            <w:color w:val="auto"/>
            <w:lang w:val="en-AU"/>
          </w:rPr>
          <w:tab/>
        </w:r>
        <w:r w:rsidR="00ED715B" w:rsidRPr="00B90F35">
          <w:rPr>
            <w:rStyle w:val="Hyperlink"/>
          </w:rPr>
          <w:t>Introduction</w:t>
        </w:r>
        <w:r w:rsidR="00ED715B">
          <w:rPr>
            <w:webHidden/>
          </w:rPr>
          <w:tab/>
        </w:r>
        <w:r w:rsidR="00ED715B">
          <w:rPr>
            <w:webHidden/>
          </w:rPr>
          <w:fldChar w:fldCharType="begin"/>
        </w:r>
        <w:r w:rsidR="00ED715B">
          <w:rPr>
            <w:webHidden/>
          </w:rPr>
          <w:instrText xml:space="preserve"> PAGEREF _Toc420327713 \h </w:instrText>
        </w:r>
        <w:r w:rsidR="00ED715B">
          <w:rPr>
            <w:webHidden/>
          </w:rPr>
        </w:r>
        <w:r w:rsidR="00ED715B">
          <w:rPr>
            <w:webHidden/>
          </w:rPr>
          <w:fldChar w:fldCharType="separate"/>
        </w:r>
        <w:r w:rsidR="00BD60CC">
          <w:rPr>
            <w:webHidden/>
          </w:rPr>
          <w:t>7</w:t>
        </w:r>
        <w:r w:rsidR="00ED715B">
          <w:rPr>
            <w:webHidden/>
          </w:rPr>
          <w:fldChar w:fldCharType="end"/>
        </w:r>
      </w:hyperlink>
    </w:p>
    <w:p w14:paraId="63E5567C" w14:textId="77777777" w:rsidR="00ED715B" w:rsidRDefault="00B91643">
      <w:pPr>
        <w:pStyle w:val="TOC1"/>
        <w:rPr>
          <w:rFonts w:asciiTheme="minorHAnsi" w:eastAsiaTheme="minorEastAsia" w:hAnsiTheme="minorHAnsi" w:cstheme="minorBidi"/>
          <w:b w:val="0"/>
          <w:color w:val="auto"/>
          <w:lang w:val="en-AU"/>
        </w:rPr>
      </w:pPr>
      <w:hyperlink w:anchor="_Toc420327714" w:history="1">
        <w:r w:rsidR="00ED715B" w:rsidRPr="00B90F35">
          <w:rPr>
            <w:rStyle w:val="Hyperlink"/>
          </w:rPr>
          <w:t>2</w:t>
        </w:r>
        <w:r w:rsidR="00ED715B">
          <w:rPr>
            <w:rFonts w:asciiTheme="minorHAnsi" w:eastAsiaTheme="minorEastAsia" w:hAnsiTheme="minorHAnsi" w:cstheme="minorBidi"/>
            <w:b w:val="0"/>
            <w:color w:val="auto"/>
            <w:lang w:val="en-AU"/>
          </w:rPr>
          <w:tab/>
        </w:r>
        <w:r w:rsidR="00ED715B" w:rsidRPr="00B90F35">
          <w:rPr>
            <w:rStyle w:val="Hyperlink"/>
          </w:rPr>
          <w:t>Literature review of hydrocarbon occurrence in groundwater</w:t>
        </w:r>
        <w:r w:rsidR="00ED715B">
          <w:rPr>
            <w:webHidden/>
          </w:rPr>
          <w:tab/>
        </w:r>
        <w:r w:rsidR="00ED715B">
          <w:rPr>
            <w:webHidden/>
          </w:rPr>
          <w:fldChar w:fldCharType="begin"/>
        </w:r>
        <w:r w:rsidR="00ED715B">
          <w:rPr>
            <w:webHidden/>
          </w:rPr>
          <w:instrText xml:space="preserve"> PAGEREF _Toc420327714 \h </w:instrText>
        </w:r>
        <w:r w:rsidR="00ED715B">
          <w:rPr>
            <w:webHidden/>
          </w:rPr>
        </w:r>
        <w:r w:rsidR="00ED715B">
          <w:rPr>
            <w:webHidden/>
          </w:rPr>
          <w:fldChar w:fldCharType="separate"/>
        </w:r>
        <w:r w:rsidR="00BD60CC">
          <w:rPr>
            <w:webHidden/>
          </w:rPr>
          <w:t>9</w:t>
        </w:r>
        <w:r w:rsidR="00ED715B">
          <w:rPr>
            <w:webHidden/>
          </w:rPr>
          <w:fldChar w:fldCharType="end"/>
        </w:r>
      </w:hyperlink>
    </w:p>
    <w:p w14:paraId="7033AF35" w14:textId="77777777" w:rsidR="00ED715B" w:rsidRDefault="00B91643" w:rsidP="00D0375F">
      <w:pPr>
        <w:pStyle w:val="TOC2"/>
        <w:rPr>
          <w:rFonts w:asciiTheme="minorHAnsi" w:hAnsiTheme="minorHAnsi" w:cstheme="minorBidi"/>
          <w:sz w:val="22"/>
          <w:szCs w:val="22"/>
        </w:rPr>
      </w:pPr>
      <w:hyperlink w:anchor="_Toc420327715" w:history="1">
        <w:r w:rsidR="00ED715B" w:rsidRPr="00B90F35">
          <w:rPr>
            <w:rStyle w:val="Hyperlink"/>
            <w14:scene3d>
              <w14:camera w14:prst="orthographicFront"/>
              <w14:lightRig w14:rig="threePt" w14:dir="t">
                <w14:rot w14:lat="0" w14:lon="0" w14:rev="0"/>
              </w14:lightRig>
            </w14:scene3d>
          </w:rPr>
          <w:t>2.1</w:t>
        </w:r>
        <w:r w:rsidR="00ED715B">
          <w:rPr>
            <w:rFonts w:asciiTheme="minorHAnsi" w:hAnsiTheme="minorHAnsi" w:cstheme="minorBidi"/>
            <w:sz w:val="22"/>
            <w:szCs w:val="22"/>
          </w:rPr>
          <w:tab/>
        </w:r>
        <w:r w:rsidR="00ED715B" w:rsidRPr="00B90F35">
          <w:rPr>
            <w:rStyle w:val="Hyperlink"/>
          </w:rPr>
          <w:t>Otway Basin – aquifer overview</w:t>
        </w:r>
        <w:r w:rsidR="00ED715B">
          <w:rPr>
            <w:webHidden/>
          </w:rPr>
          <w:tab/>
        </w:r>
        <w:r w:rsidR="00ED715B">
          <w:rPr>
            <w:webHidden/>
          </w:rPr>
          <w:fldChar w:fldCharType="begin"/>
        </w:r>
        <w:r w:rsidR="00ED715B">
          <w:rPr>
            <w:webHidden/>
          </w:rPr>
          <w:instrText xml:space="preserve"> PAGEREF _Toc420327715 \h </w:instrText>
        </w:r>
        <w:r w:rsidR="00ED715B">
          <w:rPr>
            <w:webHidden/>
          </w:rPr>
        </w:r>
        <w:r w:rsidR="00ED715B">
          <w:rPr>
            <w:webHidden/>
          </w:rPr>
          <w:fldChar w:fldCharType="separate"/>
        </w:r>
        <w:r w:rsidR="00BD60CC">
          <w:rPr>
            <w:webHidden/>
          </w:rPr>
          <w:t>9</w:t>
        </w:r>
        <w:r w:rsidR="00ED715B">
          <w:rPr>
            <w:webHidden/>
          </w:rPr>
          <w:fldChar w:fldCharType="end"/>
        </w:r>
      </w:hyperlink>
    </w:p>
    <w:p w14:paraId="09D56E22" w14:textId="77777777" w:rsidR="00ED715B" w:rsidRDefault="00B91643" w:rsidP="00D0375F">
      <w:pPr>
        <w:pStyle w:val="TOC2"/>
        <w:rPr>
          <w:rFonts w:asciiTheme="minorHAnsi" w:hAnsiTheme="minorHAnsi" w:cstheme="minorBidi"/>
          <w:sz w:val="22"/>
          <w:szCs w:val="22"/>
        </w:rPr>
      </w:pPr>
      <w:hyperlink w:anchor="_Toc420327716" w:history="1">
        <w:r w:rsidR="00ED715B" w:rsidRPr="00B90F35">
          <w:rPr>
            <w:rStyle w:val="Hyperlink"/>
            <w14:scene3d>
              <w14:camera w14:prst="orthographicFront"/>
              <w14:lightRig w14:rig="threePt" w14:dir="t">
                <w14:rot w14:lat="0" w14:lon="0" w14:rev="0"/>
              </w14:lightRig>
            </w14:scene3d>
          </w:rPr>
          <w:t>2.2</w:t>
        </w:r>
        <w:r w:rsidR="00ED715B">
          <w:rPr>
            <w:rFonts w:asciiTheme="minorHAnsi" w:hAnsiTheme="minorHAnsi" w:cstheme="minorBidi"/>
            <w:sz w:val="22"/>
            <w:szCs w:val="22"/>
          </w:rPr>
          <w:tab/>
        </w:r>
        <w:r w:rsidR="00ED715B" w:rsidRPr="00B90F35">
          <w:rPr>
            <w:rStyle w:val="Hyperlink"/>
          </w:rPr>
          <w:t>Otway reguion - hydrocarbon occurrence</w:t>
        </w:r>
        <w:r w:rsidR="00ED715B">
          <w:rPr>
            <w:webHidden/>
          </w:rPr>
          <w:tab/>
        </w:r>
        <w:r w:rsidR="00ED715B">
          <w:rPr>
            <w:webHidden/>
          </w:rPr>
          <w:fldChar w:fldCharType="begin"/>
        </w:r>
        <w:r w:rsidR="00ED715B">
          <w:rPr>
            <w:webHidden/>
          </w:rPr>
          <w:instrText xml:space="preserve"> PAGEREF _Toc420327716 \h </w:instrText>
        </w:r>
        <w:r w:rsidR="00ED715B">
          <w:rPr>
            <w:webHidden/>
          </w:rPr>
        </w:r>
        <w:r w:rsidR="00ED715B">
          <w:rPr>
            <w:webHidden/>
          </w:rPr>
          <w:fldChar w:fldCharType="separate"/>
        </w:r>
        <w:r w:rsidR="00BD60CC">
          <w:rPr>
            <w:webHidden/>
          </w:rPr>
          <w:t>14</w:t>
        </w:r>
        <w:r w:rsidR="00ED715B">
          <w:rPr>
            <w:webHidden/>
          </w:rPr>
          <w:fldChar w:fldCharType="end"/>
        </w:r>
      </w:hyperlink>
    </w:p>
    <w:p w14:paraId="5BEEB4CA" w14:textId="77777777" w:rsidR="00ED715B" w:rsidRDefault="00B91643" w:rsidP="00D0375F">
      <w:pPr>
        <w:pStyle w:val="TOC2"/>
        <w:rPr>
          <w:rFonts w:asciiTheme="minorHAnsi" w:hAnsiTheme="minorHAnsi" w:cstheme="minorBidi"/>
          <w:sz w:val="22"/>
          <w:szCs w:val="22"/>
        </w:rPr>
      </w:pPr>
      <w:hyperlink w:anchor="_Toc420327717" w:history="1">
        <w:r w:rsidR="00ED715B" w:rsidRPr="00B90F35">
          <w:rPr>
            <w:rStyle w:val="Hyperlink"/>
            <w14:scene3d>
              <w14:camera w14:prst="orthographicFront"/>
              <w14:lightRig w14:rig="threePt" w14:dir="t">
                <w14:rot w14:lat="0" w14:lon="0" w14:rev="0"/>
              </w14:lightRig>
            </w14:scene3d>
          </w:rPr>
          <w:t>2.3</w:t>
        </w:r>
        <w:r w:rsidR="00ED715B">
          <w:rPr>
            <w:rFonts w:asciiTheme="minorHAnsi" w:hAnsiTheme="minorHAnsi" w:cstheme="minorBidi"/>
            <w:sz w:val="22"/>
            <w:szCs w:val="22"/>
          </w:rPr>
          <w:tab/>
        </w:r>
        <w:r w:rsidR="00ED715B" w:rsidRPr="00B90F35">
          <w:rPr>
            <w:rStyle w:val="Hyperlink"/>
          </w:rPr>
          <w:t>Onshore natural gas prospectivity</w:t>
        </w:r>
        <w:r w:rsidR="00ED715B">
          <w:rPr>
            <w:webHidden/>
          </w:rPr>
          <w:tab/>
        </w:r>
        <w:r w:rsidR="00ED715B">
          <w:rPr>
            <w:webHidden/>
          </w:rPr>
          <w:fldChar w:fldCharType="begin"/>
        </w:r>
        <w:r w:rsidR="00ED715B">
          <w:rPr>
            <w:webHidden/>
          </w:rPr>
          <w:instrText xml:space="preserve"> PAGEREF _Toc420327717 \h </w:instrText>
        </w:r>
        <w:r w:rsidR="00ED715B">
          <w:rPr>
            <w:webHidden/>
          </w:rPr>
        </w:r>
        <w:r w:rsidR="00ED715B">
          <w:rPr>
            <w:webHidden/>
          </w:rPr>
          <w:fldChar w:fldCharType="separate"/>
        </w:r>
        <w:r w:rsidR="00BD60CC">
          <w:rPr>
            <w:webHidden/>
          </w:rPr>
          <w:t>19</w:t>
        </w:r>
        <w:r w:rsidR="00ED715B">
          <w:rPr>
            <w:webHidden/>
          </w:rPr>
          <w:fldChar w:fldCharType="end"/>
        </w:r>
      </w:hyperlink>
    </w:p>
    <w:p w14:paraId="6F9A8A30" w14:textId="77777777" w:rsidR="00ED715B" w:rsidRDefault="00B91643" w:rsidP="00D0375F">
      <w:pPr>
        <w:pStyle w:val="TOC2"/>
        <w:rPr>
          <w:rFonts w:asciiTheme="minorHAnsi" w:hAnsiTheme="minorHAnsi" w:cstheme="minorBidi"/>
          <w:sz w:val="22"/>
          <w:szCs w:val="22"/>
        </w:rPr>
      </w:pPr>
      <w:hyperlink w:anchor="_Toc420327718" w:history="1">
        <w:r w:rsidR="00ED715B" w:rsidRPr="00B90F35">
          <w:rPr>
            <w:rStyle w:val="Hyperlink"/>
            <w14:scene3d>
              <w14:camera w14:prst="orthographicFront"/>
              <w14:lightRig w14:rig="threePt" w14:dir="t">
                <w14:rot w14:lat="0" w14:lon="0" w14:rev="0"/>
              </w14:lightRig>
            </w14:scene3d>
          </w:rPr>
          <w:t>2.4</w:t>
        </w:r>
        <w:r w:rsidR="00ED715B">
          <w:rPr>
            <w:rFonts w:asciiTheme="minorHAnsi" w:hAnsiTheme="minorHAnsi" w:cstheme="minorBidi"/>
            <w:sz w:val="22"/>
            <w:szCs w:val="22"/>
          </w:rPr>
          <w:tab/>
        </w:r>
        <w:r w:rsidR="00ED715B" w:rsidRPr="00B90F35">
          <w:rPr>
            <w:rStyle w:val="Hyperlink"/>
          </w:rPr>
          <w:t>Groundwater chemistry sampling suite</w:t>
        </w:r>
        <w:r w:rsidR="00ED715B">
          <w:rPr>
            <w:webHidden/>
          </w:rPr>
          <w:tab/>
        </w:r>
        <w:r w:rsidR="00ED715B">
          <w:rPr>
            <w:webHidden/>
          </w:rPr>
          <w:fldChar w:fldCharType="begin"/>
        </w:r>
        <w:r w:rsidR="00ED715B">
          <w:rPr>
            <w:webHidden/>
          </w:rPr>
          <w:instrText xml:space="preserve"> PAGEREF _Toc420327718 \h </w:instrText>
        </w:r>
        <w:r w:rsidR="00ED715B">
          <w:rPr>
            <w:webHidden/>
          </w:rPr>
        </w:r>
        <w:r w:rsidR="00ED715B">
          <w:rPr>
            <w:webHidden/>
          </w:rPr>
          <w:fldChar w:fldCharType="separate"/>
        </w:r>
        <w:r w:rsidR="00BD60CC">
          <w:rPr>
            <w:webHidden/>
          </w:rPr>
          <w:t>21</w:t>
        </w:r>
        <w:r w:rsidR="00ED715B">
          <w:rPr>
            <w:webHidden/>
          </w:rPr>
          <w:fldChar w:fldCharType="end"/>
        </w:r>
      </w:hyperlink>
    </w:p>
    <w:p w14:paraId="16B4475B" w14:textId="77777777" w:rsidR="00ED715B" w:rsidRDefault="00B91643" w:rsidP="00D0375F">
      <w:pPr>
        <w:pStyle w:val="TOC2"/>
        <w:rPr>
          <w:rFonts w:asciiTheme="minorHAnsi" w:hAnsiTheme="minorHAnsi" w:cstheme="minorBidi"/>
          <w:sz w:val="22"/>
          <w:szCs w:val="22"/>
        </w:rPr>
      </w:pPr>
      <w:hyperlink w:anchor="_Toc420327719" w:history="1">
        <w:r w:rsidR="00ED715B" w:rsidRPr="00B90F35">
          <w:rPr>
            <w:rStyle w:val="Hyperlink"/>
            <w14:scene3d>
              <w14:camera w14:prst="orthographicFront"/>
              <w14:lightRig w14:rig="threePt" w14:dir="t">
                <w14:rot w14:lat="0" w14:lon="0" w14:rev="0"/>
              </w14:lightRig>
            </w14:scene3d>
          </w:rPr>
          <w:t>2.5</w:t>
        </w:r>
        <w:r w:rsidR="00ED715B">
          <w:rPr>
            <w:rFonts w:asciiTheme="minorHAnsi" w:hAnsiTheme="minorHAnsi" w:cstheme="minorBidi"/>
            <w:sz w:val="22"/>
            <w:szCs w:val="22"/>
          </w:rPr>
          <w:tab/>
        </w:r>
        <w:r w:rsidR="00ED715B" w:rsidRPr="00B90F35">
          <w:rPr>
            <w:rStyle w:val="Hyperlink"/>
          </w:rPr>
          <w:t>Summary of literature review</w:t>
        </w:r>
        <w:r w:rsidR="00ED715B">
          <w:rPr>
            <w:webHidden/>
          </w:rPr>
          <w:tab/>
        </w:r>
        <w:r w:rsidR="00ED715B">
          <w:rPr>
            <w:webHidden/>
          </w:rPr>
          <w:fldChar w:fldCharType="begin"/>
        </w:r>
        <w:r w:rsidR="00ED715B">
          <w:rPr>
            <w:webHidden/>
          </w:rPr>
          <w:instrText xml:space="preserve"> PAGEREF _Toc420327719 \h </w:instrText>
        </w:r>
        <w:r w:rsidR="00ED715B">
          <w:rPr>
            <w:webHidden/>
          </w:rPr>
        </w:r>
        <w:r w:rsidR="00ED715B">
          <w:rPr>
            <w:webHidden/>
          </w:rPr>
          <w:fldChar w:fldCharType="separate"/>
        </w:r>
        <w:r w:rsidR="00BD60CC">
          <w:rPr>
            <w:webHidden/>
          </w:rPr>
          <w:t>24</w:t>
        </w:r>
        <w:r w:rsidR="00ED715B">
          <w:rPr>
            <w:webHidden/>
          </w:rPr>
          <w:fldChar w:fldCharType="end"/>
        </w:r>
      </w:hyperlink>
    </w:p>
    <w:p w14:paraId="1D222189" w14:textId="77777777" w:rsidR="00ED715B" w:rsidRDefault="00B91643">
      <w:pPr>
        <w:pStyle w:val="TOC1"/>
        <w:rPr>
          <w:rFonts w:asciiTheme="minorHAnsi" w:eastAsiaTheme="minorEastAsia" w:hAnsiTheme="minorHAnsi" w:cstheme="minorBidi"/>
          <w:b w:val="0"/>
          <w:color w:val="auto"/>
          <w:lang w:val="en-AU"/>
        </w:rPr>
      </w:pPr>
      <w:hyperlink w:anchor="_Toc420327720" w:history="1">
        <w:r w:rsidR="00ED715B" w:rsidRPr="00B90F35">
          <w:rPr>
            <w:rStyle w:val="Hyperlink"/>
          </w:rPr>
          <w:t>3</w:t>
        </w:r>
        <w:r w:rsidR="00ED715B">
          <w:rPr>
            <w:rFonts w:asciiTheme="minorHAnsi" w:eastAsiaTheme="minorEastAsia" w:hAnsiTheme="minorHAnsi" w:cstheme="minorBidi"/>
            <w:b w:val="0"/>
            <w:color w:val="auto"/>
            <w:lang w:val="en-AU"/>
          </w:rPr>
          <w:tab/>
        </w:r>
        <w:r w:rsidR="00ED715B" w:rsidRPr="00B90F35">
          <w:rPr>
            <w:rStyle w:val="Hyperlink"/>
          </w:rPr>
          <w:t>Bore selection</w:t>
        </w:r>
        <w:r w:rsidR="00ED715B">
          <w:rPr>
            <w:webHidden/>
          </w:rPr>
          <w:tab/>
        </w:r>
        <w:r w:rsidR="00ED715B">
          <w:rPr>
            <w:webHidden/>
          </w:rPr>
          <w:fldChar w:fldCharType="begin"/>
        </w:r>
        <w:r w:rsidR="00ED715B">
          <w:rPr>
            <w:webHidden/>
          </w:rPr>
          <w:instrText xml:space="preserve"> PAGEREF _Toc420327720 \h </w:instrText>
        </w:r>
        <w:r w:rsidR="00ED715B">
          <w:rPr>
            <w:webHidden/>
          </w:rPr>
        </w:r>
        <w:r w:rsidR="00ED715B">
          <w:rPr>
            <w:webHidden/>
          </w:rPr>
          <w:fldChar w:fldCharType="separate"/>
        </w:r>
        <w:r w:rsidR="00BD60CC">
          <w:rPr>
            <w:webHidden/>
          </w:rPr>
          <w:t>26</w:t>
        </w:r>
        <w:r w:rsidR="00ED715B">
          <w:rPr>
            <w:webHidden/>
          </w:rPr>
          <w:fldChar w:fldCharType="end"/>
        </w:r>
      </w:hyperlink>
    </w:p>
    <w:p w14:paraId="416D5671" w14:textId="77777777" w:rsidR="00ED715B" w:rsidRDefault="00B91643" w:rsidP="00D0375F">
      <w:pPr>
        <w:pStyle w:val="TOC2"/>
        <w:rPr>
          <w:rFonts w:asciiTheme="minorHAnsi" w:hAnsiTheme="minorHAnsi" w:cstheme="minorBidi"/>
          <w:sz w:val="22"/>
          <w:szCs w:val="22"/>
        </w:rPr>
      </w:pPr>
      <w:hyperlink w:anchor="_Toc420327721" w:history="1">
        <w:r w:rsidR="00ED715B" w:rsidRPr="00B90F35">
          <w:rPr>
            <w:rStyle w:val="Hyperlink"/>
            <w14:scene3d>
              <w14:camera w14:prst="orthographicFront"/>
              <w14:lightRig w14:rig="threePt" w14:dir="t">
                <w14:rot w14:lat="0" w14:lon="0" w14:rev="0"/>
              </w14:lightRig>
            </w14:scene3d>
          </w:rPr>
          <w:t>3.1</w:t>
        </w:r>
        <w:r w:rsidR="00ED715B">
          <w:rPr>
            <w:rFonts w:asciiTheme="minorHAnsi" w:hAnsiTheme="minorHAnsi" w:cstheme="minorBidi"/>
            <w:sz w:val="22"/>
            <w:szCs w:val="22"/>
          </w:rPr>
          <w:tab/>
        </w:r>
        <w:r w:rsidR="00ED715B" w:rsidRPr="00B90F35">
          <w:rPr>
            <w:rStyle w:val="Hyperlink"/>
          </w:rPr>
          <w:t>Selection criteria</w:t>
        </w:r>
        <w:r w:rsidR="00ED715B">
          <w:rPr>
            <w:webHidden/>
          </w:rPr>
          <w:tab/>
        </w:r>
        <w:r w:rsidR="00ED715B">
          <w:rPr>
            <w:webHidden/>
          </w:rPr>
          <w:fldChar w:fldCharType="begin"/>
        </w:r>
        <w:r w:rsidR="00ED715B">
          <w:rPr>
            <w:webHidden/>
          </w:rPr>
          <w:instrText xml:space="preserve"> PAGEREF _Toc420327721 \h </w:instrText>
        </w:r>
        <w:r w:rsidR="00ED715B">
          <w:rPr>
            <w:webHidden/>
          </w:rPr>
        </w:r>
        <w:r w:rsidR="00ED715B">
          <w:rPr>
            <w:webHidden/>
          </w:rPr>
          <w:fldChar w:fldCharType="separate"/>
        </w:r>
        <w:r w:rsidR="00BD60CC">
          <w:rPr>
            <w:webHidden/>
          </w:rPr>
          <w:t>26</w:t>
        </w:r>
        <w:r w:rsidR="00ED715B">
          <w:rPr>
            <w:webHidden/>
          </w:rPr>
          <w:fldChar w:fldCharType="end"/>
        </w:r>
      </w:hyperlink>
    </w:p>
    <w:p w14:paraId="1A9A0671" w14:textId="77777777" w:rsidR="00ED715B" w:rsidRDefault="00B91643" w:rsidP="00D0375F">
      <w:pPr>
        <w:pStyle w:val="TOC2"/>
        <w:rPr>
          <w:rFonts w:asciiTheme="minorHAnsi" w:hAnsiTheme="minorHAnsi" w:cstheme="minorBidi"/>
          <w:sz w:val="22"/>
          <w:szCs w:val="22"/>
        </w:rPr>
      </w:pPr>
      <w:hyperlink w:anchor="_Toc420327722" w:history="1">
        <w:r w:rsidR="00ED715B" w:rsidRPr="00B90F35">
          <w:rPr>
            <w:rStyle w:val="Hyperlink"/>
            <w14:scene3d>
              <w14:camera w14:prst="orthographicFront"/>
              <w14:lightRig w14:rig="threePt" w14:dir="t">
                <w14:rot w14:lat="0" w14:lon="0" w14:rev="0"/>
              </w14:lightRig>
            </w14:scene3d>
          </w:rPr>
          <w:t>3.2</w:t>
        </w:r>
        <w:r w:rsidR="00ED715B">
          <w:rPr>
            <w:rFonts w:asciiTheme="minorHAnsi" w:hAnsiTheme="minorHAnsi" w:cstheme="minorBidi"/>
            <w:sz w:val="22"/>
            <w:szCs w:val="22"/>
          </w:rPr>
          <w:tab/>
        </w:r>
        <w:r w:rsidR="00ED715B" w:rsidRPr="00B90F35">
          <w:rPr>
            <w:rStyle w:val="Hyperlink"/>
          </w:rPr>
          <w:t>Groundwater dependent ecosystems and surface water assets</w:t>
        </w:r>
        <w:r w:rsidR="00ED715B">
          <w:rPr>
            <w:webHidden/>
          </w:rPr>
          <w:tab/>
        </w:r>
        <w:r w:rsidR="00ED715B">
          <w:rPr>
            <w:webHidden/>
          </w:rPr>
          <w:fldChar w:fldCharType="begin"/>
        </w:r>
        <w:r w:rsidR="00ED715B">
          <w:rPr>
            <w:webHidden/>
          </w:rPr>
          <w:instrText xml:space="preserve"> PAGEREF _Toc420327722 \h </w:instrText>
        </w:r>
        <w:r w:rsidR="00ED715B">
          <w:rPr>
            <w:webHidden/>
          </w:rPr>
        </w:r>
        <w:r w:rsidR="00ED715B">
          <w:rPr>
            <w:webHidden/>
          </w:rPr>
          <w:fldChar w:fldCharType="separate"/>
        </w:r>
        <w:r w:rsidR="00BD60CC">
          <w:rPr>
            <w:webHidden/>
          </w:rPr>
          <w:t>27</w:t>
        </w:r>
        <w:r w:rsidR="00ED715B">
          <w:rPr>
            <w:webHidden/>
          </w:rPr>
          <w:fldChar w:fldCharType="end"/>
        </w:r>
      </w:hyperlink>
    </w:p>
    <w:p w14:paraId="21F5EB47" w14:textId="77777777" w:rsidR="00ED715B" w:rsidRDefault="00B91643" w:rsidP="00D0375F">
      <w:pPr>
        <w:pStyle w:val="TOC2"/>
        <w:rPr>
          <w:rFonts w:asciiTheme="minorHAnsi" w:hAnsiTheme="minorHAnsi" w:cstheme="minorBidi"/>
          <w:sz w:val="22"/>
          <w:szCs w:val="22"/>
        </w:rPr>
      </w:pPr>
      <w:hyperlink w:anchor="_Toc420327723" w:history="1">
        <w:r w:rsidR="00ED715B" w:rsidRPr="00B90F35">
          <w:rPr>
            <w:rStyle w:val="Hyperlink"/>
            <w14:scene3d>
              <w14:camera w14:prst="orthographicFront"/>
              <w14:lightRig w14:rig="threePt" w14:dir="t">
                <w14:rot w14:lat="0" w14:lon="0" w14:rev="0"/>
              </w14:lightRig>
            </w14:scene3d>
          </w:rPr>
          <w:t>3.3</w:t>
        </w:r>
        <w:r w:rsidR="00ED715B">
          <w:rPr>
            <w:rFonts w:asciiTheme="minorHAnsi" w:hAnsiTheme="minorHAnsi" w:cstheme="minorBidi"/>
            <w:sz w:val="22"/>
            <w:szCs w:val="22"/>
          </w:rPr>
          <w:tab/>
        </w:r>
        <w:r w:rsidR="00ED715B" w:rsidRPr="00B90F35">
          <w:rPr>
            <w:rStyle w:val="Hyperlink"/>
          </w:rPr>
          <w:t>Aquifers</w:t>
        </w:r>
        <w:r w:rsidR="00ED715B">
          <w:rPr>
            <w:webHidden/>
          </w:rPr>
          <w:tab/>
        </w:r>
        <w:r w:rsidR="00ED715B">
          <w:rPr>
            <w:webHidden/>
          </w:rPr>
          <w:fldChar w:fldCharType="begin"/>
        </w:r>
        <w:r w:rsidR="00ED715B">
          <w:rPr>
            <w:webHidden/>
          </w:rPr>
          <w:instrText xml:space="preserve"> PAGEREF _Toc420327723 \h </w:instrText>
        </w:r>
        <w:r w:rsidR="00ED715B">
          <w:rPr>
            <w:webHidden/>
          </w:rPr>
        </w:r>
        <w:r w:rsidR="00ED715B">
          <w:rPr>
            <w:webHidden/>
          </w:rPr>
          <w:fldChar w:fldCharType="separate"/>
        </w:r>
        <w:r w:rsidR="00BD60CC">
          <w:rPr>
            <w:webHidden/>
          </w:rPr>
          <w:t>31</w:t>
        </w:r>
        <w:r w:rsidR="00ED715B">
          <w:rPr>
            <w:webHidden/>
          </w:rPr>
          <w:fldChar w:fldCharType="end"/>
        </w:r>
      </w:hyperlink>
    </w:p>
    <w:p w14:paraId="724FCE8B" w14:textId="77777777" w:rsidR="00ED715B" w:rsidRDefault="00B91643" w:rsidP="00D0375F">
      <w:pPr>
        <w:pStyle w:val="TOC2"/>
        <w:rPr>
          <w:rFonts w:asciiTheme="minorHAnsi" w:hAnsiTheme="minorHAnsi" w:cstheme="minorBidi"/>
          <w:sz w:val="22"/>
          <w:szCs w:val="22"/>
        </w:rPr>
      </w:pPr>
      <w:hyperlink w:anchor="_Toc420327724" w:history="1">
        <w:r w:rsidR="00ED715B" w:rsidRPr="00B90F35">
          <w:rPr>
            <w:rStyle w:val="Hyperlink"/>
            <w14:scene3d>
              <w14:camera w14:prst="orthographicFront"/>
              <w14:lightRig w14:rig="threePt" w14:dir="t">
                <w14:rot w14:lat="0" w14:lon="0" w14:rev="0"/>
              </w14:lightRig>
            </w14:scene3d>
          </w:rPr>
          <w:t>3.4</w:t>
        </w:r>
        <w:r w:rsidR="00ED715B">
          <w:rPr>
            <w:rFonts w:asciiTheme="minorHAnsi" w:hAnsiTheme="minorHAnsi" w:cstheme="minorBidi"/>
            <w:sz w:val="22"/>
            <w:szCs w:val="22"/>
          </w:rPr>
          <w:tab/>
        </w:r>
        <w:r w:rsidR="00ED715B" w:rsidRPr="00B90F35">
          <w:rPr>
            <w:rStyle w:val="Hyperlink"/>
          </w:rPr>
          <w:t>Naturally occurring hydrocarbon sites and potential vertical migration</w:t>
        </w:r>
        <w:r w:rsidR="00ED715B">
          <w:rPr>
            <w:webHidden/>
          </w:rPr>
          <w:tab/>
        </w:r>
        <w:r w:rsidR="00ED715B">
          <w:rPr>
            <w:webHidden/>
          </w:rPr>
          <w:fldChar w:fldCharType="begin"/>
        </w:r>
        <w:r w:rsidR="00ED715B">
          <w:rPr>
            <w:webHidden/>
          </w:rPr>
          <w:instrText xml:space="preserve"> PAGEREF _Toc420327724 \h </w:instrText>
        </w:r>
        <w:r w:rsidR="00ED715B">
          <w:rPr>
            <w:webHidden/>
          </w:rPr>
        </w:r>
        <w:r w:rsidR="00ED715B">
          <w:rPr>
            <w:webHidden/>
          </w:rPr>
          <w:fldChar w:fldCharType="separate"/>
        </w:r>
        <w:r w:rsidR="00BD60CC">
          <w:rPr>
            <w:webHidden/>
          </w:rPr>
          <w:t>37</w:t>
        </w:r>
        <w:r w:rsidR="00ED715B">
          <w:rPr>
            <w:webHidden/>
          </w:rPr>
          <w:fldChar w:fldCharType="end"/>
        </w:r>
      </w:hyperlink>
    </w:p>
    <w:p w14:paraId="7AB39CD5" w14:textId="77777777" w:rsidR="00ED715B" w:rsidRDefault="00B91643" w:rsidP="00D0375F">
      <w:pPr>
        <w:pStyle w:val="TOC2"/>
        <w:rPr>
          <w:rFonts w:asciiTheme="minorHAnsi" w:hAnsiTheme="minorHAnsi" w:cstheme="minorBidi"/>
          <w:sz w:val="22"/>
          <w:szCs w:val="22"/>
        </w:rPr>
      </w:pPr>
      <w:hyperlink w:anchor="_Toc420327725" w:history="1">
        <w:r w:rsidR="00ED715B" w:rsidRPr="00B90F35">
          <w:rPr>
            <w:rStyle w:val="Hyperlink"/>
            <w14:scene3d>
              <w14:camera w14:prst="orthographicFront"/>
              <w14:lightRig w14:rig="threePt" w14:dir="t">
                <w14:rot w14:lat="0" w14:lon="0" w14:rev="0"/>
              </w14:lightRig>
            </w14:scene3d>
          </w:rPr>
          <w:t>3.5</w:t>
        </w:r>
        <w:r w:rsidR="00ED715B">
          <w:rPr>
            <w:rFonts w:asciiTheme="minorHAnsi" w:hAnsiTheme="minorHAnsi" w:cstheme="minorBidi"/>
            <w:sz w:val="22"/>
            <w:szCs w:val="22"/>
          </w:rPr>
          <w:tab/>
        </w:r>
        <w:r w:rsidR="00ED715B" w:rsidRPr="00B90F35">
          <w:rPr>
            <w:rStyle w:val="Hyperlink"/>
          </w:rPr>
          <w:t>Nested sites</w:t>
        </w:r>
        <w:r w:rsidR="00ED715B">
          <w:rPr>
            <w:webHidden/>
          </w:rPr>
          <w:tab/>
        </w:r>
        <w:r w:rsidR="00ED715B">
          <w:rPr>
            <w:webHidden/>
          </w:rPr>
          <w:fldChar w:fldCharType="begin"/>
        </w:r>
        <w:r w:rsidR="00ED715B">
          <w:rPr>
            <w:webHidden/>
          </w:rPr>
          <w:instrText xml:space="preserve"> PAGEREF _Toc420327725 \h </w:instrText>
        </w:r>
        <w:r w:rsidR="00ED715B">
          <w:rPr>
            <w:webHidden/>
          </w:rPr>
        </w:r>
        <w:r w:rsidR="00ED715B">
          <w:rPr>
            <w:webHidden/>
          </w:rPr>
          <w:fldChar w:fldCharType="separate"/>
        </w:r>
        <w:r w:rsidR="00BD60CC">
          <w:rPr>
            <w:webHidden/>
          </w:rPr>
          <w:t>38</w:t>
        </w:r>
        <w:r w:rsidR="00ED715B">
          <w:rPr>
            <w:webHidden/>
          </w:rPr>
          <w:fldChar w:fldCharType="end"/>
        </w:r>
      </w:hyperlink>
    </w:p>
    <w:p w14:paraId="57949EA0" w14:textId="77777777" w:rsidR="00ED715B" w:rsidRDefault="00B91643" w:rsidP="00D0375F">
      <w:pPr>
        <w:pStyle w:val="TOC2"/>
        <w:rPr>
          <w:rFonts w:asciiTheme="minorHAnsi" w:hAnsiTheme="minorHAnsi" w:cstheme="minorBidi"/>
          <w:sz w:val="22"/>
          <w:szCs w:val="22"/>
        </w:rPr>
      </w:pPr>
      <w:hyperlink w:anchor="_Toc420327726" w:history="1">
        <w:r w:rsidR="00ED715B" w:rsidRPr="00B90F35">
          <w:rPr>
            <w:rStyle w:val="Hyperlink"/>
            <w14:scene3d>
              <w14:camera w14:prst="orthographicFront"/>
              <w14:lightRig w14:rig="threePt" w14:dir="t">
                <w14:rot w14:lat="0" w14:lon="0" w14:rev="0"/>
              </w14:lightRig>
            </w14:scene3d>
          </w:rPr>
          <w:t>3.6</w:t>
        </w:r>
        <w:r w:rsidR="00ED715B">
          <w:rPr>
            <w:rFonts w:asciiTheme="minorHAnsi" w:hAnsiTheme="minorHAnsi" w:cstheme="minorBidi"/>
            <w:sz w:val="22"/>
            <w:szCs w:val="22"/>
          </w:rPr>
          <w:tab/>
        </w:r>
        <w:r w:rsidR="00ED715B" w:rsidRPr="00B90F35">
          <w:rPr>
            <w:rStyle w:val="Hyperlink"/>
          </w:rPr>
          <w:t>Summary of selected monitoring network</w:t>
        </w:r>
        <w:r w:rsidR="00ED715B">
          <w:rPr>
            <w:webHidden/>
          </w:rPr>
          <w:tab/>
        </w:r>
        <w:r w:rsidR="00ED715B">
          <w:rPr>
            <w:webHidden/>
          </w:rPr>
          <w:fldChar w:fldCharType="begin"/>
        </w:r>
        <w:r w:rsidR="00ED715B">
          <w:rPr>
            <w:webHidden/>
          </w:rPr>
          <w:instrText xml:space="preserve"> PAGEREF _Toc420327726 \h </w:instrText>
        </w:r>
        <w:r w:rsidR="00ED715B">
          <w:rPr>
            <w:webHidden/>
          </w:rPr>
        </w:r>
        <w:r w:rsidR="00ED715B">
          <w:rPr>
            <w:webHidden/>
          </w:rPr>
          <w:fldChar w:fldCharType="separate"/>
        </w:r>
        <w:r w:rsidR="00BD60CC">
          <w:rPr>
            <w:webHidden/>
          </w:rPr>
          <w:t>40</w:t>
        </w:r>
        <w:r w:rsidR="00ED715B">
          <w:rPr>
            <w:webHidden/>
          </w:rPr>
          <w:fldChar w:fldCharType="end"/>
        </w:r>
      </w:hyperlink>
    </w:p>
    <w:p w14:paraId="7B9634B7" w14:textId="77777777" w:rsidR="00ED715B" w:rsidRDefault="00B91643">
      <w:pPr>
        <w:pStyle w:val="TOC1"/>
        <w:rPr>
          <w:rFonts w:asciiTheme="minorHAnsi" w:eastAsiaTheme="minorEastAsia" w:hAnsiTheme="minorHAnsi" w:cstheme="minorBidi"/>
          <w:b w:val="0"/>
          <w:color w:val="auto"/>
          <w:lang w:val="en-AU"/>
        </w:rPr>
      </w:pPr>
      <w:hyperlink w:anchor="_Toc420327727" w:history="1">
        <w:r w:rsidR="00ED715B" w:rsidRPr="00B90F35">
          <w:rPr>
            <w:rStyle w:val="Hyperlink"/>
          </w:rPr>
          <w:t>4</w:t>
        </w:r>
        <w:r w:rsidR="00ED715B">
          <w:rPr>
            <w:rFonts w:asciiTheme="minorHAnsi" w:eastAsiaTheme="minorEastAsia" w:hAnsiTheme="minorHAnsi" w:cstheme="minorBidi"/>
            <w:b w:val="0"/>
            <w:color w:val="auto"/>
            <w:lang w:val="en-AU"/>
          </w:rPr>
          <w:tab/>
        </w:r>
        <w:r w:rsidR="00ED715B" w:rsidRPr="00B90F35">
          <w:rPr>
            <w:rStyle w:val="Hyperlink"/>
          </w:rPr>
          <w:t>Sampling method</w:t>
        </w:r>
        <w:r w:rsidR="00ED715B">
          <w:rPr>
            <w:webHidden/>
          </w:rPr>
          <w:tab/>
        </w:r>
        <w:r w:rsidR="00ED715B">
          <w:rPr>
            <w:webHidden/>
          </w:rPr>
          <w:fldChar w:fldCharType="begin"/>
        </w:r>
        <w:r w:rsidR="00ED715B">
          <w:rPr>
            <w:webHidden/>
          </w:rPr>
          <w:instrText xml:space="preserve"> PAGEREF _Toc420327727 \h </w:instrText>
        </w:r>
        <w:r w:rsidR="00ED715B">
          <w:rPr>
            <w:webHidden/>
          </w:rPr>
        </w:r>
        <w:r w:rsidR="00ED715B">
          <w:rPr>
            <w:webHidden/>
          </w:rPr>
          <w:fldChar w:fldCharType="separate"/>
        </w:r>
        <w:r w:rsidR="00BD60CC">
          <w:rPr>
            <w:webHidden/>
          </w:rPr>
          <w:t>45</w:t>
        </w:r>
        <w:r w:rsidR="00ED715B">
          <w:rPr>
            <w:webHidden/>
          </w:rPr>
          <w:fldChar w:fldCharType="end"/>
        </w:r>
      </w:hyperlink>
    </w:p>
    <w:p w14:paraId="4C715374" w14:textId="77777777" w:rsidR="00ED715B" w:rsidRDefault="00B91643" w:rsidP="00D0375F">
      <w:pPr>
        <w:pStyle w:val="TOC2"/>
        <w:rPr>
          <w:rFonts w:asciiTheme="minorHAnsi" w:hAnsiTheme="minorHAnsi" w:cstheme="minorBidi"/>
          <w:sz w:val="22"/>
          <w:szCs w:val="22"/>
        </w:rPr>
      </w:pPr>
      <w:hyperlink w:anchor="_Toc420327728" w:history="1">
        <w:r w:rsidR="00ED715B" w:rsidRPr="00B90F35">
          <w:rPr>
            <w:rStyle w:val="Hyperlink"/>
            <w14:scene3d>
              <w14:camera w14:prst="orthographicFront"/>
              <w14:lightRig w14:rig="threePt" w14:dir="t">
                <w14:rot w14:lat="0" w14:lon="0" w14:rev="0"/>
              </w14:lightRig>
            </w14:scene3d>
          </w:rPr>
          <w:t>4.1</w:t>
        </w:r>
        <w:r w:rsidR="00ED715B">
          <w:rPr>
            <w:rFonts w:asciiTheme="minorHAnsi" w:hAnsiTheme="minorHAnsi" w:cstheme="minorBidi"/>
            <w:sz w:val="22"/>
            <w:szCs w:val="22"/>
          </w:rPr>
          <w:tab/>
        </w:r>
        <w:r w:rsidR="00ED715B" w:rsidRPr="00B90F35">
          <w:rPr>
            <w:rStyle w:val="Hyperlink"/>
          </w:rPr>
          <w:t>Reporting of gas concentrations</w:t>
        </w:r>
        <w:r w:rsidR="00ED715B">
          <w:rPr>
            <w:webHidden/>
          </w:rPr>
          <w:tab/>
        </w:r>
        <w:r w:rsidR="00ED715B">
          <w:rPr>
            <w:webHidden/>
          </w:rPr>
          <w:fldChar w:fldCharType="begin"/>
        </w:r>
        <w:r w:rsidR="00ED715B">
          <w:rPr>
            <w:webHidden/>
          </w:rPr>
          <w:instrText xml:space="preserve"> PAGEREF _Toc420327728 \h </w:instrText>
        </w:r>
        <w:r w:rsidR="00ED715B">
          <w:rPr>
            <w:webHidden/>
          </w:rPr>
        </w:r>
        <w:r w:rsidR="00ED715B">
          <w:rPr>
            <w:webHidden/>
          </w:rPr>
          <w:fldChar w:fldCharType="separate"/>
        </w:r>
        <w:r w:rsidR="00BD60CC">
          <w:rPr>
            <w:webHidden/>
          </w:rPr>
          <w:t>48</w:t>
        </w:r>
        <w:r w:rsidR="00ED715B">
          <w:rPr>
            <w:webHidden/>
          </w:rPr>
          <w:fldChar w:fldCharType="end"/>
        </w:r>
      </w:hyperlink>
    </w:p>
    <w:p w14:paraId="329B7676" w14:textId="77777777" w:rsidR="00ED715B" w:rsidRDefault="00B91643">
      <w:pPr>
        <w:pStyle w:val="TOC1"/>
        <w:rPr>
          <w:rFonts w:asciiTheme="minorHAnsi" w:eastAsiaTheme="minorEastAsia" w:hAnsiTheme="minorHAnsi" w:cstheme="minorBidi"/>
          <w:b w:val="0"/>
          <w:color w:val="auto"/>
          <w:lang w:val="en-AU"/>
        </w:rPr>
      </w:pPr>
      <w:hyperlink w:anchor="_Toc420327729" w:history="1">
        <w:r w:rsidR="00ED715B" w:rsidRPr="00B90F35">
          <w:rPr>
            <w:rStyle w:val="Hyperlink"/>
          </w:rPr>
          <w:t>5</w:t>
        </w:r>
        <w:r w:rsidR="00ED715B">
          <w:rPr>
            <w:rFonts w:asciiTheme="minorHAnsi" w:eastAsiaTheme="minorEastAsia" w:hAnsiTheme="minorHAnsi" w:cstheme="minorBidi"/>
            <w:b w:val="0"/>
            <w:color w:val="auto"/>
            <w:lang w:val="en-AU"/>
          </w:rPr>
          <w:tab/>
        </w:r>
        <w:r w:rsidR="00ED715B" w:rsidRPr="00B90F35">
          <w:rPr>
            <w:rStyle w:val="Hyperlink"/>
          </w:rPr>
          <w:t>Quality control and quality assurance</w:t>
        </w:r>
        <w:r w:rsidR="00ED715B">
          <w:rPr>
            <w:webHidden/>
          </w:rPr>
          <w:tab/>
        </w:r>
        <w:r w:rsidR="00ED715B">
          <w:rPr>
            <w:webHidden/>
          </w:rPr>
          <w:fldChar w:fldCharType="begin"/>
        </w:r>
        <w:r w:rsidR="00ED715B">
          <w:rPr>
            <w:webHidden/>
          </w:rPr>
          <w:instrText xml:space="preserve"> PAGEREF _Toc420327729 \h </w:instrText>
        </w:r>
        <w:r w:rsidR="00ED715B">
          <w:rPr>
            <w:webHidden/>
          </w:rPr>
        </w:r>
        <w:r w:rsidR="00ED715B">
          <w:rPr>
            <w:webHidden/>
          </w:rPr>
          <w:fldChar w:fldCharType="separate"/>
        </w:r>
        <w:r w:rsidR="00BD60CC">
          <w:rPr>
            <w:webHidden/>
          </w:rPr>
          <w:t>49</w:t>
        </w:r>
        <w:r w:rsidR="00ED715B">
          <w:rPr>
            <w:webHidden/>
          </w:rPr>
          <w:fldChar w:fldCharType="end"/>
        </w:r>
      </w:hyperlink>
    </w:p>
    <w:p w14:paraId="111C673C" w14:textId="77777777" w:rsidR="00ED715B" w:rsidRDefault="00B91643" w:rsidP="00D0375F">
      <w:pPr>
        <w:pStyle w:val="TOC2"/>
        <w:rPr>
          <w:rFonts w:asciiTheme="minorHAnsi" w:hAnsiTheme="minorHAnsi" w:cstheme="minorBidi"/>
          <w:sz w:val="22"/>
          <w:szCs w:val="22"/>
        </w:rPr>
      </w:pPr>
      <w:hyperlink w:anchor="_Toc420327730" w:history="1">
        <w:r w:rsidR="00ED715B" w:rsidRPr="00B90F35">
          <w:rPr>
            <w:rStyle w:val="Hyperlink"/>
            <w14:scene3d>
              <w14:camera w14:prst="orthographicFront"/>
              <w14:lightRig w14:rig="threePt" w14:dir="t">
                <w14:rot w14:lat="0" w14:lon="0" w14:rev="0"/>
              </w14:lightRig>
            </w14:scene3d>
          </w:rPr>
          <w:t>5.1</w:t>
        </w:r>
        <w:r w:rsidR="00ED715B">
          <w:rPr>
            <w:rFonts w:asciiTheme="minorHAnsi" w:hAnsiTheme="minorHAnsi" w:cstheme="minorBidi"/>
            <w:sz w:val="22"/>
            <w:szCs w:val="22"/>
          </w:rPr>
          <w:tab/>
        </w:r>
        <w:r w:rsidR="00ED715B" w:rsidRPr="00B90F35">
          <w:rPr>
            <w:rStyle w:val="Hyperlink"/>
          </w:rPr>
          <w:t>Quality control and quality assurance types</w:t>
        </w:r>
        <w:r w:rsidR="00ED715B">
          <w:rPr>
            <w:webHidden/>
          </w:rPr>
          <w:tab/>
        </w:r>
        <w:r w:rsidR="00ED715B">
          <w:rPr>
            <w:webHidden/>
          </w:rPr>
          <w:fldChar w:fldCharType="begin"/>
        </w:r>
        <w:r w:rsidR="00ED715B">
          <w:rPr>
            <w:webHidden/>
          </w:rPr>
          <w:instrText xml:space="preserve"> PAGEREF _Toc420327730 \h </w:instrText>
        </w:r>
        <w:r w:rsidR="00ED715B">
          <w:rPr>
            <w:webHidden/>
          </w:rPr>
        </w:r>
        <w:r w:rsidR="00ED715B">
          <w:rPr>
            <w:webHidden/>
          </w:rPr>
          <w:fldChar w:fldCharType="separate"/>
        </w:r>
        <w:r w:rsidR="00BD60CC">
          <w:rPr>
            <w:webHidden/>
          </w:rPr>
          <w:t>49</w:t>
        </w:r>
        <w:r w:rsidR="00ED715B">
          <w:rPr>
            <w:webHidden/>
          </w:rPr>
          <w:fldChar w:fldCharType="end"/>
        </w:r>
      </w:hyperlink>
    </w:p>
    <w:p w14:paraId="09B11E86" w14:textId="77777777" w:rsidR="00ED715B" w:rsidRDefault="00B91643" w:rsidP="00D0375F">
      <w:pPr>
        <w:pStyle w:val="TOC2"/>
        <w:rPr>
          <w:rFonts w:asciiTheme="minorHAnsi" w:hAnsiTheme="minorHAnsi" w:cstheme="minorBidi"/>
          <w:sz w:val="22"/>
          <w:szCs w:val="22"/>
        </w:rPr>
      </w:pPr>
      <w:hyperlink w:anchor="_Toc420327731" w:history="1">
        <w:r w:rsidR="00ED715B" w:rsidRPr="00B90F35">
          <w:rPr>
            <w:rStyle w:val="Hyperlink"/>
            <w14:scene3d>
              <w14:camera w14:prst="orthographicFront"/>
              <w14:lightRig w14:rig="threePt" w14:dir="t">
                <w14:rot w14:lat="0" w14:lon="0" w14:rev="0"/>
              </w14:lightRig>
            </w14:scene3d>
          </w:rPr>
          <w:t>5.2</w:t>
        </w:r>
        <w:r w:rsidR="00ED715B">
          <w:rPr>
            <w:rFonts w:asciiTheme="minorHAnsi" w:hAnsiTheme="minorHAnsi" w:cstheme="minorBidi"/>
            <w:sz w:val="22"/>
            <w:szCs w:val="22"/>
          </w:rPr>
          <w:tab/>
        </w:r>
        <w:r w:rsidR="00ED715B" w:rsidRPr="00B90F35">
          <w:rPr>
            <w:rStyle w:val="Hyperlink"/>
          </w:rPr>
          <w:t>Acceptance criteria for quality control samples</w:t>
        </w:r>
        <w:r w:rsidR="00ED715B">
          <w:rPr>
            <w:webHidden/>
          </w:rPr>
          <w:tab/>
        </w:r>
        <w:r w:rsidR="00ED715B">
          <w:rPr>
            <w:webHidden/>
          </w:rPr>
          <w:fldChar w:fldCharType="begin"/>
        </w:r>
        <w:r w:rsidR="00ED715B">
          <w:rPr>
            <w:webHidden/>
          </w:rPr>
          <w:instrText xml:space="preserve"> PAGEREF _Toc420327731 \h </w:instrText>
        </w:r>
        <w:r w:rsidR="00ED715B">
          <w:rPr>
            <w:webHidden/>
          </w:rPr>
        </w:r>
        <w:r w:rsidR="00ED715B">
          <w:rPr>
            <w:webHidden/>
          </w:rPr>
          <w:fldChar w:fldCharType="separate"/>
        </w:r>
        <w:r w:rsidR="00BD60CC">
          <w:rPr>
            <w:webHidden/>
          </w:rPr>
          <w:t>50</w:t>
        </w:r>
        <w:r w:rsidR="00ED715B">
          <w:rPr>
            <w:webHidden/>
          </w:rPr>
          <w:fldChar w:fldCharType="end"/>
        </w:r>
      </w:hyperlink>
    </w:p>
    <w:p w14:paraId="6AECB738" w14:textId="77777777" w:rsidR="00ED715B" w:rsidRDefault="00B91643" w:rsidP="00D0375F">
      <w:pPr>
        <w:pStyle w:val="TOC2"/>
        <w:rPr>
          <w:rFonts w:asciiTheme="minorHAnsi" w:hAnsiTheme="minorHAnsi" w:cstheme="minorBidi"/>
          <w:sz w:val="22"/>
          <w:szCs w:val="22"/>
        </w:rPr>
      </w:pPr>
      <w:hyperlink w:anchor="_Toc420327732" w:history="1">
        <w:r w:rsidR="00ED715B" w:rsidRPr="00B90F35">
          <w:rPr>
            <w:rStyle w:val="Hyperlink"/>
            <w14:scene3d>
              <w14:camera w14:prst="orthographicFront"/>
              <w14:lightRig w14:rig="threePt" w14:dir="t">
                <w14:rot w14:lat="0" w14:lon="0" w14:rev="0"/>
              </w14:lightRig>
            </w14:scene3d>
          </w:rPr>
          <w:t>5.3</w:t>
        </w:r>
        <w:r w:rsidR="00ED715B">
          <w:rPr>
            <w:rFonts w:asciiTheme="minorHAnsi" w:hAnsiTheme="minorHAnsi" w:cstheme="minorBidi"/>
            <w:sz w:val="22"/>
            <w:szCs w:val="22"/>
          </w:rPr>
          <w:tab/>
        </w:r>
        <w:r w:rsidR="00ED715B" w:rsidRPr="00B90F35">
          <w:rPr>
            <w:rStyle w:val="Hyperlink"/>
          </w:rPr>
          <w:t>Quality control and quality assurance assessment</w:t>
        </w:r>
        <w:r w:rsidR="00ED715B">
          <w:rPr>
            <w:webHidden/>
          </w:rPr>
          <w:tab/>
        </w:r>
        <w:r w:rsidR="00ED715B">
          <w:rPr>
            <w:webHidden/>
          </w:rPr>
          <w:fldChar w:fldCharType="begin"/>
        </w:r>
        <w:r w:rsidR="00ED715B">
          <w:rPr>
            <w:webHidden/>
          </w:rPr>
          <w:instrText xml:space="preserve"> PAGEREF _Toc420327732 \h </w:instrText>
        </w:r>
        <w:r w:rsidR="00ED715B">
          <w:rPr>
            <w:webHidden/>
          </w:rPr>
        </w:r>
        <w:r w:rsidR="00ED715B">
          <w:rPr>
            <w:webHidden/>
          </w:rPr>
          <w:fldChar w:fldCharType="separate"/>
        </w:r>
        <w:r w:rsidR="00BD60CC">
          <w:rPr>
            <w:webHidden/>
          </w:rPr>
          <w:t>50</w:t>
        </w:r>
        <w:r w:rsidR="00ED715B">
          <w:rPr>
            <w:webHidden/>
          </w:rPr>
          <w:fldChar w:fldCharType="end"/>
        </w:r>
      </w:hyperlink>
    </w:p>
    <w:p w14:paraId="163DD68F" w14:textId="77777777" w:rsidR="00ED715B" w:rsidRDefault="00B91643">
      <w:pPr>
        <w:pStyle w:val="TOC1"/>
        <w:rPr>
          <w:rFonts w:asciiTheme="minorHAnsi" w:eastAsiaTheme="minorEastAsia" w:hAnsiTheme="minorHAnsi" w:cstheme="minorBidi"/>
          <w:b w:val="0"/>
          <w:color w:val="auto"/>
          <w:lang w:val="en-AU"/>
        </w:rPr>
      </w:pPr>
      <w:hyperlink w:anchor="_Toc420327733" w:history="1">
        <w:r w:rsidR="00ED715B" w:rsidRPr="00B90F35">
          <w:rPr>
            <w:rStyle w:val="Hyperlink"/>
          </w:rPr>
          <w:t>6</w:t>
        </w:r>
        <w:r w:rsidR="00ED715B">
          <w:rPr>
            <w:rFonts w:asciiTheme="minorHAnsi" w:eastAsiaTheme="minorEastAsia" w:hAnsiTheme="minorHAnsi" w:cstheme="minorBidi"/>
            <w:b w:val="0"/>
            <w:color w:val="auto"/>
            <w:lang w:val="en-AU"/>
          </w:rPr>
          <w:tab/>
        </w:r>
        <w:r w:rsidR="00ED715B" w:rsidRPr="00B90F35">
          <w:rPr>
            <w:rStyle w:val="Hyperlink"/>
          </w:rPr>
          <w:t>Groundwater sampling – summary  of results</w:t>
        </w:r>
        <w:r w:rsidR="00ED715B">
          <w:rPr>
            <w:webHidden/>
          </w:rPr>
          <w:tab/>
        </w:r>
        <w:r w:rsidR="00ED715B">
          <w:rPr>
            <w:webHidden/>
          </w:rPr>
          <w:fldChar w:fldCharType="begin"/>
        </w:r>
        <w:r w:rsidR="00ED715B">
          <w:rPr>
            <w:webHidden/>
          </w:rPr>
          <w:instrText xml:space="preserve"> PAGEREF _Toc420327733 \h </w:instrText>
        </w:r>
        <w:r w:rsidR="00ED715B">
          <w:rPr>
            <w:webHidden/>
          </w:rPr>
        </w:r>
        <w:r w:rsidR="00ED715B">
          <w:rPr>
            <w:webHidden/>
          </w:rPr>
          <w:fldChar w:fldCharType="separate"/>
        </w:r>
        <w:r w:rsidR="00BD60CC">
          <w:rPr>
            <w:webHidden/>
          </w:rPr>
          <w:t>52</w:t>
        </w:r>
        <w:r w:rsidR="00ED715B">
          <w:rPr>
            <w:webHidden/>
          </w:rPr>
          <w:fldChar w:fldCharType="end"/>
        </w:r>
      </w:hyperlink>
    </w:p>
    <w:p w14:paraId="5D5CDF20" w14:textId="77777777" w:rsidR="00ED715B" w:rsidRDefault="00B91643" w:rsidP="00D0375F">
      <w:pPr>
        <w:pStyle w:val="TOC2"/>
        <w:rPr>
          <w:rFonts w:asciiTheme="minorHAnsi" w:hAnsiTheme="minorHAnsi" w:cstheme="minorBidi"/>
          <w:sz w:val="22"/>
          <w:szCs w:val="22"/>
        </w:rPr>
      </w:pPr>
      <w:hyperlink w:anchor="_Toc420327734" w:history="1">
        <w:r w:rsidR="00ED715B" w:rsidRPr="00B90F35">
          <w:rPr>
            <w:rStyle w:val="Hyperlink"/>
            <w14:scene3d>
              <w14:camera w14:prst="orthographicFront"/>
              <w14:lightRig w14:rig="threePt" w14:dir="t">
                <w14:rot w14:lat="0" w14:lon="0" w14:rev="0"/>
              </w14:lightRig>
            </w14:scene3d>
          </w:rPr>
          <w:t>6.1</w:t>
        </w:r>
        <w:r w:rsidR="00ED715B">
          <w:rPr>
            <w:rFonts w:asciiTheme="minorHAnsi" w:hAnsiTheme="minorHAnsi" w:cstheme="minorBidi"/>
            <w:sz w:val="22"/>
            <w:szCs w:val="22"/>
          </w:rPr>
          <w:tab/>
        </w:r>
        <w:r w:rsidR="00ED715B" w:rsidRPr="00B90F35">
          <w:rPr>
            <w:rStyle w:val="Hyperlink"/>
          </w:rPr>
          <w:t>Semi volatile organic compounds</w:t>
        </w:r>
        <w:r w:rsidR="00ED715B">
          <w:rPr>
            <w:webHidden/>
          </w:rPr>
          <w:tab/>
        </w:r>
        <w:r w:rsidR="00ED715B">
          <w:rPr>
            <w:webHidden/>
          </w:rPr>
          <w:fldChar w:fldCharType="begin"/>
        </w:r>
        <w:r w:rsidR="00ED715B">
          <w:rPr>
            <w:webHidden/>
          </w:rPr>
          <w:instrText xml:space="preserve"> PAGEREF _Toc420327734 \h </w:instrText>
        </w:r>
        <w:r w:rsidR="00ED715B">
          <w:rPr>
            <w:webHidden/>
          </w:rPr>
        </w:r>
        <w:r w:rsidR="00ED715B">
          <w:rPr>
            <w:webHidden/>
          </w:rPr>
          <w:fldChar w:fldCharType="separate"/>
        </w:r>
        <w:r w:rsidR="00BD60CC">
          <w:rPr>
            <w:webHidden/>
          </w:rPr>
          <w:t>52</w:t>
        </w:r>
        <w:r w:rsidR="00ED715B">
          <w:rPr>
            <w:webHidden/>
          </w:rPr>
          <w:fldChar w:fldCharType="end"/>
        </w:r>
      </w:hyperlink>
    </w:p>
    <w:p w14:paraId="4EE8AAC9" w14:textId="77777777" w:rsidR="00ED715B" w:rsidRDefault="00B91643" w:rsidP="00D0375F">
      <w:pPr>
        <w:pStyle w:val="TOC2"/>
        <w:rPr>
          <w:rFonts w:asciiTheme="minorHAnsi" w:hAnsiTheme="minorHAnsi" w:cstheme="minorBidi"/>
          <w:sz w:val="22"/>
          <w:szCs w:val="22"/>
        </w:rPr>
      </w:pPr>
      <w:hyperlink w:anchor="_Toc420327735" w:history="1">
        <w:r w:rsidR="00ED715B" w:rsidRPr="00B90F35">
          <w:rPr>
            <w:rStyle w:val="Hyperlink"/>
            <w14:scene3d>
              <w14:camera w14:prst="orthographicFront"/>
              <w14:lightRig w14:rig="threePt" w14:dir="t">
                <w14:rot w14:lat="0" w14:lon="0" w14:rev="0"/>
              </w14:lightRig>
            </w14:scene3d>
          </w:rPr>
          <w:t>6.2</w:t>
        </w:r>
        <w:r w:rsidR="00ED715B">
          <w:rPr>
            <w:rFonts w:asciiTheme="minorHAnsi" w:hAnsiTheme="minorHAnsi" w:cstheme="minorBidi"/>
            <w:sz w:val="22"/>
            <w:szCs w:val="22"/>
          </w:rPr>
          <w:tab/>
        </w:r>
        <w:r w:rsidR="00ED715B" w:rsidRPr="00B90F35">
          <w:rPr>
            <w:rStyle w:val="Hyperlink"/>
          </w:rPr>
          <w:t>Total petroleum hydrocarbons</w:t>
        </w:r>
        <w:r w:rsidR="00ED715B">
          <w:rPr>
            <w:webHidden/>
          </w:rPr>
          <w:tab/>
        </w:r>
        <w:r w:rsidR="00ED715B">
          <w:rPr>
            <w:webHidden/>
          </w:rPr>
          <w:fldChar w:fldCharType="begin"/>
        </w:r>
        <w:r w:rsidR="00ED715B">
          <w:rPr>
            <w:webHidden/>
          </w:rPr>
          <w:instrText xml:space="preserve"> PAGEREF _Toc420327735 \h </w:instrText>
        </w:r>
        <w:r w:rsidR="00ED715B">
          <w:rPr>
            <w:webHidden/>
          </w:rPr>
        </w:r>
        <w:r w:rsidR="00ED715B">
          <w:rPr>
            <w:webHidden/>
          </w:rPr>
          <w:fldChar w:fldCharType="separate"/>
        </w:r>
        <w:r w:rsidR="00BD60CC">
          <w:rPr>
            <w:webHidden/>
          </w:rPr>
          <w:t>55</w:t>
        </w:r>
        <w:r w:rsidR="00ED715B">
          <w:rPr>
            <w:webHidden/>
          </w:rPr>
          <w:fldChar w:fldCharType="end"/>
        </w:r>
      </w:hyperlink>
    </w:p>
    <w:p w14:paraId="4EECCAE5" w14:textId="77777777" w:rsidR="00ED715B" w:rsidRDefault="00B91643" w:rsidP="00D0375F">
      <w:pPr>
        <w:pStyle w:val="TOC2"/>
        <w:rPr>
          <w:rFonts w:asciiTheme="minorHAnsi" w:hAnsiTheme="minorHAnsi" w:cstheme="minorBidi"/>
          <w:sz w:val="22"/>
          <w:szCs w:val="22"/>
        </w:rPr>
      </w:pPr>
      <w:hyperlink w:anchor="_Toc420327736" w:history="1">
        <w:r w:rsidR="00ED715B" w:rsidRPr="00B90F35">
          <w:rPr>
            <w:rStyle w:val="Hyperlink"/>
            <w14:scene3d>
              <w14:camera w14:prst="orthographicFront"/>
              <w14:lightRig w14:rig="threePt" w14:dir="t">
                <w14:rot w14:lat="0" w14:lon="0" w14:rev="0"/>
              </w14:lightRig>
            </w14:scene3d>
          </w:rPr>
          <w:t>6.3</w:t>
        </w:r>
        <w:r w:rsidR="00ED715B">
          <w:rPr>
            <w:rFonts w:asciiTheme="minorHAnsi" w:hAnsiTheme="minorHAnsi" w:cstheme="minorBidi"/>
            <w:sz w:val="22"/>
            <w:szCs w:val="22"/>
          </w:rPr>
          <w:tab/>
        </w:r>
        <w:r w:rsidR="00ED715B" w:rsidRPr="00B90F35">
          <w:rPr>
            <w:rStyle w:val="Hyperlink"/>
          </w:rPr>
          <w:t>Inorganic analytes and indicators</w:t>
        </w:r>
        <w:r w:rsidR="00ED715B">
          <w:rPr>
            <w:webHidden/>
          </w:rPr>
          <w:tab/>
        </w:r>
        <w:r w:rsidR="00ED715B">
          <w:rPr>
            <w:webHidden/>
          </w:rPr>
          <w:fldChar w:fldCharType="begin"/>
        </w:r>
        <w:r w:rsidR="00ED715B">
          <w:rPr>
            <w:webHidden/>
          </w:rPr>
          <w:instrText xml:space="preserve"> PAGEREF _Toc420327736 \h </w:instrText>
        </w:r>
        <w:r w:rsidR="00ED715B">
          <w:rPr>
            <w:webHidden/>
          </w:rPr>
        </w:r>
        <w:r w:rsidR="00ED715B">
          <w:rPr>
            <w:webHidden/>
          </w:rPr>
          <w:fldChar w:fldCharType="separate"/>
        </w:r>
        <w:r w:rsidR="00BD60CC">
          <w:rPr>
            <w:webHidden/>
          </w:rPr>
          <w:t>56</w:t>
        </w:r>
        <w:r w:rsidR="00ED715B">
          <w:rPr>
            <w:webHidden/>
          </w:rPr>
          <w:fldChar w:fldCharType="end"/>
        </w:r>
      </w:hyperlink>
    </w:p>
    <w:p w14:paraId="6D307FEA" w14:textId="066CF4AB" w:rsidR="00ED715B" w:rsidRDefault="00B91643">
      <w:pPr>
        <w:pStyle w:val="TOC1"/>
        <w:rPr>
          <w:rFonts w:asciiTheme="minorHAnsi" w:eastAsiaTheme="minorEastAsia" w:hAnsiTheme="minorHAnsi" w:cstheme="minorBidi"/>
          <w:b w:val="0"/>
          <w:color w:val="auto"/>
          <w:lang w:val="en-AU"/>
        </w:rPr>
      </w:pPr>
      <w:hyperlink w:anchor="_Toc420327737" w:history="1">
        <w:r w:rsidR="00ED715B" w:rsidRPr="00B90F35">
          <w:rPr>
            <w:rStyle w:val="Hyperlink"/>
          </w:rPr>
          <w:t>7</w:t>
        </w:r>
        <w:r w:rsidR="00ED715B">
          <w:rPr>
            <w:rFonts w:asciiTheme="minorHAnsi" w:eastAsiaTheme="minorEastAsia" w:hAnsiTheme="minorHAnsi" w:cstheme="minorBidi"/>
            <w:b w:val="0"/>
            <w:color w:val="auto"/>
            <w:lang w:val="en-AU"/>
          </w:rPr>
          <w:tab/>
        </w:r>
        <w:r w:rsidR="00ED715B" w:rsidRPr="00B90F35">
          <w:rPr>
            <w:rStyle w:val="Hyperlink"/>
          </w:rPr>
          <w:t>Groundwater sampling –  aquifer characterisation</w:t>
        </w:r>
        <w:r w:rsidR="00ED715B">
          <w:rPr>
            <w:webHidden/>
          </w:rPr>
          <w:tab/>
        </w:r>
        <w:r w:rsidR="00ED715B">
          <w:rPr>
            <w:webHidden/>
          </w:rPr>
          <w:fldChar w:fldCharType="begin"/>
        </w:r>
        <w:r w:rsidR="00ED715B">
          <w:rPr>
            <w:webHidden/>
          </w:rPr>
          <w:instrText xml:space="preserve"> PAGEREF _Toc420327737 \h </w:instrText>
        </w:r>
        <w:r w:rsidR="00ED715B">
          <w:rPr>
            <w:webHidden/>
          </w:rPr>
        </w:r>
        <w:r w:rsidR="00ED715B">
          <w:rPr>
            <w:webHidden/>
          </w:rPr>
          <w:fldChar w:fldCharType="separate"/>
        </w:r>
        <w:r w:rsidR="00BD60CC">
          <w:rPr>
            <w:webHidden/>
          </w:rPr>
          <w:t>61</w:t>
        </w:r>
        <w:r w:rsidR="00ED715B">
          <w:rPr>
            <w:webHidden/>
          </w:rPr>
          <w:fldChar w:fldCharType="end"/>
        </w:r>
      </w:hyperlink>
    </w:p>
    <w:p w14:paraId="78A83435" w14:textId="77777777" w:rsidR="00ED715B" w:rsidRDefault="00B91643" w:rsidP="00D0375F">
      <w:pPr>
        <w:pStyle w:val="TOC2"/>
        <w:rPr>
          <w:rFonts w:asciiTheme="minorHAnsi" w:hAnsiTheme="minorHAnsi" w:cstheme="minorBidi"/>
          <w:sz w:val="22"/>
          <w:szCs w:val="22"/>
        </w:rPr>
      </w:pPr>
      <w:hyperlink w:anchor="_Toc420327738" w:history="1">
        <w:r w:rsidR="00ED715B" w:rsidRPr="00B90F35">
          <w:rPr>
            <w:rStyle w:val="Hyperlink"/>
            <w14:scene3d>
              <w14:camera w14:prst="orthographicFront"/>
              <w14:lightRig w14:rig="threePt" w14:dir="t">
                <w14:rot w14:lat="0" w14:lon="0" w14:rev="0"/>
              </w14:lightRig>
            </w14:scene3d>
          </w:rPr>
          <w:t>7.1</w:t>
        </w:r>
        <w:r w:rsidR="00ED715B">
          <w:rPr>
            <w:rFonts w:asciiTheme="minorHAnsi" w:hAnsiTheme="minorHAnsi" w:cstheme="minorBidi"/>
            <w:sz w:val="22"/>
            <w:szCs w:val="22"/>
          </w:rPr>
          <w:tab/>
        </w:r>
        <w:r w:rsidR="00ED715B" w:rsidRPr="00B90F35">
          <w:rPr>
            <w:rStyle w:val="Hyperlink"/>
          </w:rPr>
          <w:t>Quaternary Aquifer (100)</w:t>
        </w:r>
        <w:r w:rsidR="00ED715B">
          <w:rPr>
            <w:webHidden/>
          </w:rPr>
          <w:tab/>
        </w:r>
        <w:r w:rsidR="00ED715B">
          <w:rPr>
            <w:webHidden/>
          </w:rPr>
          <w:fldChar w:fldCharType="begin"/>
        </w:r>
        <w:r w:rsidR="00ED715B">
          <w:rPr>
            <w:webHidden/>
          </w:rPr>
          <w:instrText xml:space="preserve"> PAGEREF _Toc420327738 \h </w:instrText>
        </w:r>
        <w:r w:rsidR="00ED715B">
          <w:rPr>
            <w:webHidden/>
          </w:rPr>
        </w:r>
        <w:r w:rsidR="00ED715B">
          <w:rPr>
            <w:webHidden/>
          </w:rPr>
          <w:fldChar w:fldCharType="separate"/>
        </w:r>
        <w:r w:rsidR="00BD60CC">
          <w:rPr>
            <w:webHidden/>
          </w:rPr>
          <w:t>61</w:t>
        </w:r>
        <w:r w:rsidR="00ED715B">
          <w:rPr>
            <w:webHidden/>
          </w:rPr>
          <w:fldChar w:fldCharType="end"/>
        </w:r>
      </w:hyperlink>
    </w:p>
    <w:p w14:paraId="67E7CD5D" w14:textId="77777777" w:rsidR="00ED715B" w:rsidRDefault="00B91643" w:rsidP="00D0375F">
      <w:pPr>
        <w:pStyle w:val="TOC2"/>
        <w:rPr>
          <w:rFonts w:asciiTheme="minorHAnsi" w:hAnsiTheme="minorHAnsi" w:cstheme="minorBidi"/>
          <w:sz w:val="22"/>
          <w:szCs w:val="22"/>
        </w:rPr>
      </w:pPr>
      <w:hyperlink w:anchor="_Toc420327739" w:history="1">
        <w:r w:rsidR="00ED715B" w:rsidRPr="00B90F35">
          <w:rPr>
            <w:rStyle w:val="Hyperlink"/>
            <w14:scene3d>
              <w14:camera w14:prst="orthographicFront"/>
              <w14:lightRig w14:rig="threePt" w14:dir="t">
                <w14:rot w14:lat="0" w14:lon="0" w14:rev="0"/>
              </w14:lightRig>
            </w14:scene3d>
          </w:rPr>
          <w:t>7.2</w:t>
        </w:r>
        <w:r w:rsidR="00ED715B">
          <w:rPr>
            <w:rFonts w:asciiTheme="minorHAnsi" w:hAnsiTheme="minorHAnsi" w:cstheme="minorBidi"/>
            <w:sz w:val="22"/>
            <w:szCs w:val="22"/>
          </w:rPr>
          <w:tab/>
        </w:r>
        <w:r w:rsidR="00ED715B" w:rsidRPr="00B90F35">
          <w:rPr>
            <w:rStyle w:val="Hyperlink"/>
          </w:rPr>
          <w:t>Upper Tertiary / Quaternary Basalt Aquifer (101)</w:t>
        </w:r>
        <w:r w:rsidR="00ED715B">
          <w:rPr>
            <w:webHidden/>
          </w:rPr>
          <w:tab/>
        </w:r>
        <w:r w:rsidR="00ED715B">
          <w:rPr>
            <w:webHidden/>
          </w:rPr>
          <w:fldChar w:fldCharType="begin"/>
        </w:r>
        <w:r w:rsidR="00ED715B">
          <w:rPr>
            <w:webHidden/>
          </w:rPr>
          <w:instrText xml:space="preserve"> PAGEREF _Toc420327739 \h </w:instrText>
        </w:r>
        <w:r w:rsidR="00ED715B">
          <w:rPr>
            <w:webHidden/>
          </w:rPr>
        </w:r>
        <w:r w:rsidR="00ED715B">
          <w:rPr>
            <w:webHidden/>
          </w:rPr>
          <w:fldChar w:fldCharType="separate"/>
        </w:r>
        <w:r w:rsidR="00BD60CC">
          <w:rPr>
            <w:webHidden/>
          </w:rPr>
          <w:t>62</w:t>
        </w:r>
        <w:r w:rsidR="00ED715B">
          <w:rPr>
            <w:webHidden/>
          </w:rPr>
          <w:fldChar w:fldCharType="end"/>
        </w:r>
      </w:hyperlink>
    </w:p>
    <w:p w14:paraId="42BE4938" w14:textId="77777777" w:rsidR="00ED715B" w:rsidRDefault="00B91643" w:rsidP="00D0375F">
      <w:pPr>
        <w:pStyle w:val="TOC2"/>
        <w:rPr>
          <w:rFonts w:asciiTheme="minorHAnsi" w:hAnsiTheme="minorHAnsi" w:cstheme="minorBidi"/>
          <w:sz w:val="22"/>
          <w:szCs w:val="22"/>
        </w:rPr>
      </w:pPr>
      <w:hyperlink w:anchor="_Toc420327740" w:history="1">
        <w:r w:rsidR="00ED715B" w:rsidRPr="00B90F35">
          <w:rPr>
            <w:rStyle w:val="Hyperlink"/>
            <w14:scene3d>
              <w14:camera w14:prst="orthographicFront"/>
              <w14:lightRig w14:rig="threePt" w14:dir="t">
                <w14:rot w14:lat="0" w14:lon="0" w14:rev="0"/>
              </w14:lightRig>
            </w14:scene3d>
          </w:rPr>
          <w:t>7.3</w:t>
        </w:r>
        <w:r w:rsidR="00ED715B">
          <w:rPr>
            <w:rFonts w:asciiTheme="minorHAnsi" w:hAnsiTheme="minorHAnsi" w:cstheme="minorBidi"/>
            <w:sz w:val="22"/>
            <w:szCs w:val="22"/>
          </w:rPr>
          <w:tab/>
        </w:r>
        <w:r w:rsidR="00ED715B" w:rsidRPr="00B90F35">
          <w:rPr>
            <w:rStyle w:val="Hyperlink"/>
          </w:rPr>
          <w:t>Upper Tertiary Aquifer (marine) (104)</w:t>
        </w:r>
        <w:r w:rsidR="00ED715B">
          <w:rPr>
            <w:webHidden/>
          </w:rPr>
          <w:tab/>
        </w:r>
        <w:r w:rsidR="00ED715B">
          <w:rPr>
            <w:webHidden/>
          </w:rPr>
          <w:fldChar w:fldCharType="begin"/>
        </w:r>
        <w:r w:rsidR="00ED715B">
          <w:rPr>
            <w:webHidden/>
          </w:rPr>
          <w:instrText xml:space="preserve"> PAGEREF _Toc420327740 \h </w:instrText>
        </w:r>
        <w:r w:rsidR="00ED715B">
          <w:rPr>
            <w:webHidden/>
          </w:rPr>
        </w:r>
        <w:r w:rsidR="00ED715B">
          <w:rPr>
            <w:webHidden/>
          </w:rPr>
          <w:fldChar w:fldCharType="separate"/>
        </w:r>
        <w:r w:rsidR="00BD60CC">
          <w:rPr>
            <w:webHidden/>
          </w:rPr>
          <w:t>63</w:t>
        </w:r>
        <w:r w:rsidR="00ED715B">
          <w:rPr>
            <w:webHidden/>
          </w:rPr>
          <w:fldChar w:fldCharType="end"/>
        </w:r>
      </w:hyperlink>
    </w:p>
    <w:p w14:paraId="190BBA6B" w14:textId="77777777" w:rsidR="00ED715B" w:rsidRDefault="00B91643" w:rsidP="00D0375F">
      <w:pPr>
        <w:pStyle w:val="TOC2"/>
        <w:rPr>
          <w:rFonts w:asciiTheme="minorHAnsi" w:hAnsiTheme="minorHAnsi" w:cstheme="minorBidi"/>
          <w:sz w:val="22"/>
          <w:szCs w:val="22"/>
        </w:rPr>
      </w:pPr>
      <w:hyperlink w:anchor="_Toc420327741" w:history="1">
        <w:r w:rsidR="00ED715B" w:rsidRPr="00B90F35">
          <w:rPr>
            <w:rStyle w:val="Hyperlink"/>
            <w14:scene3d>
              <w14:camera w14:prst="orthographicFront"/>
              <w14:lightRig w14:rig="threePt" w14:dir="t">
                <w14:rot w14:lat="0" w14:lon="0" w14:rev="0"/>
              </w14:lightRig>
            </w14:scene3d>
          </w:rPr>
          <w:t>7.4</w:t>
        </w:r>
        <w:r w:rsidR="00ED715B">
          <w:rPr>
            <w:rFonts w:asciiTheme="minorHAnsi" w:hAnsiTheme="minorHAnsi" w:cstheme="minorBidi"/>
            <w:sz w:val="22"/>
            <w:szCs w:val="22"/>
          </w:rPr>
          <w:tab/>
        </w:r>
        <w:r w:rsidR="00ED715B" w:rsidRPr="00B90F35">
          <w:rPr>
            <w:rStyle w:val="Hyperlink"/>
          </w:rPr>
          <w:t>Upper Mid-Tertiary Aquifer (107)</w:t>
        </w:r>
        <w:r w:rsidR="00ED715B">
          <w:rPr>
            <w:webHidden/>
          </w:rPr>
          <w:tab/>
        </w:r>
        <w:r w:rsidR="00ED715B">
          <w:rPr>
            <w:webHidden/>
          </w:rPr>
          <w:fldChar w:fldCharType="begin"/>
        </w:r>
        <w:r w:rsidR="00ED715B">
          <w:rPr>
            <w:webHidden/>
          </w:rPr>
          <w:instrText xml:space="preserve"> PAGEREF _Toc420327741 \h </w:instrText>
        </w:r>
        <w:r w:rsidR="00ED715B">
          <w:rPr>
            <w:webHidden/>
          </w:rPr>
        </w:r>
        <w:r w:rsidR="00ED715B">
          <w:rPr>
            <w:webHidden/>
          </w:rPr>
          <w:fldChar w:fldCharType="separate"/>
        </w:r>
        <w:r w:rsidR="00BD60CC">
          <w:rPr>
            <w:webHidden/>
          </w:rPr>
          <w:t>64</w:t>
        </w:r>
        <w:r w:rsidR="00ED715B">
          <w:rPr>
            <w:webHidden/>
          </w:rPr>
          <w:fldChar w:fldCharType="end"/>
        </w:r>
      </w:hyperlink>
    </w:p>
    <w:p w14:paraId="71FB62E0" w14:textId="77777777" w:rsidR="00ED715B" w:rsidRDefault="00B91643" w:rsidP="00D0375F">
      <w:pPr>
        <w:pStyle w:val="TOC2"/>
        <w:rPr>
          <w:rFonts w:asciiTheme="minorHAnsi" w:hAnsiTheme="minorHAnsi" w:cstheme="minorBidi"/>
          <w:sz w:val="22"/>
          <w:szCs w:val="22"/>
        </w:rPr>
      </w:pPr>
      <w:hyperlink w:anchor="_Toc420327742" w:history="1">
        <w:r w:rsidR="00ED715B" w:rsidRPr="00B90F35">
          <w:rPr>
            <w:rStyle w:val="Hyperlink"/>
            <w14:scene3d>
              <w14:camera w14:prst="orthographicFront"/>
              <w14:lightRig w14:rig="threePt" w14:dir="t">
                <w14:rot w14:lat="0" w14:lon="0" w14:rev="0"/>
              </w14:lightRig>
            </w14:scene3d>
          </w:rPr>
          <w:t>7.5</w:t>
        </w:r>
        <w:r w:rsidR="00ED715B">
          <w:rPr>
            <w:rFonts w:asciiTheme="minorHAnsi" w:hAnsiTheme="minorHAnsi" w:cstheme="minorBidi"/>
            <w:sz w:val="22"/>
            <w:szCs w:val="22"/>
          </w:rPr>
          <w:tab/>
        </w:r>
        <w:r w:rsidR="00ED715B" w:rsidRPr="00B90F35">
          <w:rPr>
            <w:rStyle w:val="Hyperlink"/>
          </w:rPr>
          <w:t>Lower Mid Tertiary Aquifer (109)</w:t>
        </w:r>
        <w:r w:rsidR="00ED715B">
          <w:rPr>
            <w:webHidden/>
          </w:rPr>
          <w:tab/>
        </w:r>
        <w:r w:rsidR="00ED715B">
          <w:rPr>
            <w:webHidden/>
          </w:rPr>
          <w:fldChar w:fldCharType="begin"/>
        </w:r>
        <w:r w:rsidR="00ED715B">
          <w:rPr>
            <w:webHidden/>
          </w:rPr>
          <w:instrText xml:space="preserve"> PAGEREF _Toc420327742 \h </w:instrText>
        </w:r>
        <w:r w:rsidR="00ED715B">
          <w:rPr>
            <w:webHidden/>
          </w:rPr>
        </w:r>
        <w:r w:rsidR="00ED715B">
          <w:rPr>
            <w:webHidden/>
          </w:rPr>
          <w:fldChar w:fldCharType="separate"/>
        </w:r>
        <w:r w:rsidR="00BD60CC">
          <w:rPr>
            <w:webHidden/>
          </w:rPr>
          <w:t>66</w:t>
        </w:r>
        <w:r w:rsidR="00ED715B">
          <w:rPr>
            <w:webHidden/>
          </w:rPr>
          <w:fldChar w:fldCharType="end"/>
        </w:r>
      </w:hyperlink>
    </w:p>
    <w:p w14:paraId="540D1A91" w14:textId="77777777" w:rsidR="00ED715B" w:rsidRDefault="00B91643" w:rsidP="00D0375F">
      <w:pPr>
        <w:pStyle w:val="TOC2"/>
        <w:rPr>
          <w:rFonts w:asciiTheme="minorHAnsi" w:hAnsiTheme="minorHAnsi" w:cstheme="minorBidi"/>
          <w:sz w:val="22"/>
          <w:szCs w:val="22"/>
        </w:rPr>
      </w:pPr>
      <w:hyperlink w:anchor="_Toc420327743" w:history="1">
        <w:r w:rsidR="00ED715B" w:rsidRPr="00B90F35">
          <w:rPr>
            <w:rStyle w:val="Hyperlink"/>
            <w14:scene3d>
              <w14:camera w14:prst="orthographicFront"/>
              <w14:lightRig w14:rig="threePt" w14:dir="t">
                <w14:rot w14:lat="0" w14:lon="0" w14:rev="0"/>
              </w14:lightRig>
            </w14:scene3d>
          </w:rPr>
          <w:t>7.6</w:t>
        </w:r>
        <w:r w:rsidR="00ED715B">
          <w:rPr>
            <w:rFonts w:asciiTheme="minorHAnsi" w:hAnsiTheme="minorHAnsi" w:cstheme="minorBidi"/>
            <w:sz w:val="22"/>
            <w:szCs w:val="22"/>
          </w:rPr>
          <w:tab/>
        </w:r>
        <w:r w:rsidR="00ED715B" w:rsidRPr="00B90F35">
          <w:rPr>
            <w:rStyle w:val="Hyperlink"/>
          </w:rPr>
          <w:t>Lower Tertiary Aquifer (111)</w:t>
        </w:r>
        <w:r w:rsidR="00ED715B">
          <w:rPr>
            <w:webHidden/>
          </w:rPr>
          <w:tab/>
        </w:r>
        <w:r w:rsidR="00ED715B">
          <w:rPr>
            <w:webHidden/>
          </w:rPr>
          <w:fldChar w:fldCharType="begin"/>
        </w:r>
        <w:r w:rsidR="00ED715B">
          <w:rPr>
            <w:webHidden/>
          </w:rPr>
          <w:instrText xml:space="preserve"> PAGEREF _Toc420327743 \h </w:instrText>
        </w:r>
        <w:r w:rsidR="00ED715B">
          <w:rPr>
            <w:webHidden/>
          </w:rPr>
        </w:r>
        <w:r w:rsidR="00ED715B">
          <w:rPr>
            <w:webHidden/>
          </w:rPr>
          <w:fldChar w:fldCharType="separate"/>
        </w:r>
        <w:r w:rsidR="00BD60CC">
          <w:rPr>
            <w:webHidden/>
          </w:rPr>
          <w:t>66</w:t>
        </w:r>
        <w:r w:rsidR="00ED715B">
          <w:rPr>
            <w:webHidden/>
          </w:rPr>
          <w:fldChar w:fldCharType="end"/>
        </w:r>
      </w:hyperlink>
    </w:p>
    <w:p w14:paraId="15C11BCC" w14:textId="77777777" w:rsidR="00ED715B" w:rsidRDefault="00B91643" w:rsidP="00D0375F">
      <w:pPr>
        <w:pStyle w:val="TOC2"/>
        <w:rPr>
          <w:rFonts w:asciiTheme="minorHAnsi" w:hAnsiTheme="minorHAnsi" w:cstheme="minorBidi"/>
          <w:sz w:val="22"/>
          <w:szCs w:val="22"/>
        </w:rPr>
      </w:pPr>
      <w:hyperlink w:anchor="_Toc420327744" w:history="1">
        <w:r w:rsidR="00ED715B" w:rsidRPr="00B90F35">
          <w:rPr>
            <w:rStyle w:val="Hyperlink"/>
            <w14:scene3d>
              <w14:camera w14:prst="orthographicFront"/>
              <w14:lightRig w14:rig="threePt" w14:dir="t">
                <w14:rot w14:lat="0" w14:lon="0" w14:rev="0"/>
              </w14:lightRig>
            </w14:scene3d>
          </w:rPr>
          <w:t>7.7</w:t>
        </w:r>
        <w:r w:rsidR="00ED715B">
          <w:rPr>
            <w:rFonts w:asciiTheme="minorHAnsi" w:hAnsiTheme="minorHAnsi" w:cstheme="minorBidi"/>
            <w:sz w:val="22"/>
            <w:szCs w:val="22"/>
          </w:rPr>
          <w:tab/>
        </w:r>
        <w:r w:rsidR="00ED715B" w:rsidRPr="00B90F35">
          <w:rPr>
            <w:rStyle w:val="Hyperlink"/>
          </w:rPr>
          <w:t>Mesozoic and Palaeozoic Bedrock (114)</w:t>
        </w:r>
        <w:r w:rsidR="00ED715B">
          <w:rPr>
            <w:webHidden/>
          </w:rPr>
          <w:tab/>
        </w:r>
        <w:r w:rsidR="00ED715B">
          <w:rPr>
            <w:webHidden/>
          </w:rPr>
          <w:fldChar w:fldCharType="begin"/>
        </w:r>
        <w:r w:rsidR="00ED715B">
          <w:rPr>
            <w:webHidden/>
          </w:rPr>
          <w:instrText xml:space="preserve"> PAGEREF _Toc420327744 \h </w:instrText>
        </w:r>
        <w:r w:rsidR="00ED715B">
          <w:rPr>
            <w:webHidden/>
          </w:rPr>
        </w:r>
        <w:r w:rsidR="00ED715B">
          <w:rPr>
            <w:webHidden/>
          </w:rPr>
          <w:fldChar w:fldCharType="separate"/>
        </w:r>
        <w:r w:rsidR="00BD60CC">
          <w:rPr>
            <w:webHidden/>
          </w:rPr>
          <w:t>68</w:t>
        </w:r>
        <w:r w:rsidR="00ED715B">
          <w:rPr>
            <w:webHidden/>
          </w:rPr>
          <w:fldChar w:fldCharType="end"/>
        </w:r>
      </w:hyperlink>
    </w:p>
    <w:p w14:paraId="2C5422E6" w14:textId="77777777" w:rsidR="00ED715B" w:rsidRDefault="00B91643">
      <w:pPr>
        <w:pStyle w:val="TOC1"/>
        <w:rPr>
          <w:rFonts w:asciiTheme="minorHAnsi" w:eastAsiaTheme="minorEastAsia" w:hAnsiTheme="minorHAnsi" w:cstheme="minorBidi"/>
          <w:b w:val="0"/>
          <w:color w:val="auto"/>
          <w:lang w:val="en-AU"/>
        </w:rPr>
      </w:pPr>
      <w:hyperlink w:anchor="_Toc420327745" w:history="1">
        <w:r w:rsidR="00ED715B" w:rsidRPr="00B90F35">
          <w:rPr>
            <w:rStyle w:val="Hyperlink"/>
          </w:rPr>
          <w:t>8</w:t>
        </w:r>
        <w:r w:rsidR="00ED715B">
          <w:rPr>
            <w:rFonts w:asciiTheme="minorHAnsi" w:eastAsiaTheme="minorEastAsia" w:hAnsiTheme="minorHAnsi" w:cstheme="minorBidi"/>
            <w:b w:val="0"/>
            <w:color w:val="auto"/>
            <w:lang w:val="en-AU"/>
          </w:rPr>
          <w:tab/>
        </w:r>
        <w:r w:rsidR="00ED715B" w:rsidRPr="00B90F35">
          <w:rPr>
            <w:rStyle w:val="Hyperlink"/>
          </w:rPr>
          <w:t>Conclusions</w:t>
        </w:r>
        <w:r w:rsidR="00ED715B">
          <w:rPr>
            <w:webHidden/>
          </w:rPr>
          <w:tab/>
        </w:r>
        <w:r w:rsidR="00ED715B">
          <w:rPr>
            <w:webHidden/>
          </w:rPr>
          <w:fldChar w:fldCharType="begin"/>
        </w:r>
        <w:r w:rsidR="00ED715B">
          <w:rPr>
            <w:webHidden/>
          </w:rPr>
          <w:instrText xml:space="preserve"> PAGEREF _Toc420327745 \h </w:instrText>
        </w:r>
        <w:r w:rsidR="00ED715B">
          <w:rPr>
            <w:webHidden/>
          </w:rPr>
        </w:r>
        <w:r w:rsidR="00ED715B">
          <w:rPr>
            <w:webHidden/>
          </w:rPr>
          <w:fldChar w:fldCharType="separate"/>
        </w:r>
        <w:r w:rsidR="00BD60CC">
          <w:rPr>
            <w:webHidden/>
          </w:rPr>
          <w:t>69</w:t>
        </w:r>
        <w:r w:rsidR="00ED715B">
          <w:rPr>
            <w:webHidden/>
          </w:rPr>
          <w:fldChar w:fldCharType="end"/>
        </w:r>
      </w:hyperlink>
    </w:p>
    <w:p w14:paraId="32CB9777" w14:textId="77777777" w:rsidR="00ED715B" w:rsidRDefault="00B91643">
      <w:pPr>
        <w:pStyle w:val="TOC1"/>
        <w:rPr>
          <w:rFonts w:asciiTheme="minorHAnsi" w:eastAsiaTheme="minorEastAsia" w:hAnsiTheme="minorHAnsi" w:cstheme="minorBidi"/>
          <w:b w:val="0"/>
          <w:color w:val="auto"/>
          <w:lang w:val="en-AU"/>
        </w:rPr>
      </w:pPr>
      <w:hyperlink w:anchor="_Toc420327746" w:history="1">
        <w:r w:rsidR="00ED715B" w:rsidRPr="00B90F35">
          <w:rPr>
            <w:rStyle w:val="Hyperlink"/>
          </w:rPr>
          <w:t>References</w:t>
        </w:r>
        <w:r w:rsidR="00ED715B">
          <w:rPr>
            <w:webHidden/>
          </w:rPr>
          <w:tab/>
        </w:r>
        <w:r w:rsidR="00ED715B">
          <w:rPr>
            <w:webHidden/>
          </w:rPr>
          <w:fldChar w:fldCharType="begin"/>
        </w:r>
        <w:r w:rsidR="00ED715B">
          <w:rPr>
            <w:webHidden/>
          </w:rPr>
          <w:instrText xml:space="preserve"> PAGEREF _Toc420327746 \h </w:instrText>
        </w:r>
        <w:r w:rsidR="00ED715B">
          <w:rPr>
            <w:webHidden/>
          </w:rPr>
        </w:r>
        <w:r w:rsidR="00ED715B">
          <w:rPr>
            <w:webHidden/>
          </w:rPr>
          <w:fldChar w:fldCharType="separate"/>
        </w:r>
        <w:r w:rsidR="00BD60CC">
          <w:rPr>
            <w:webHidden/>
          </w:rPr>
          <w:t>70</w:t>
        </w:r>
        <w:r w:rsidR="00ED715B">
          <w:rPr>
            <w:webHidden/>
          </w:rPr>
          <w:fldChar w:fldCharType="end"/>
        </w:r>
      </w:hyperlink>
    </w:p>
    <w:p w14:paraId="477E75C4" w14:textId="77777777" w:rsidR="00ED715B" w:rsidRDefault="00B91643">
      <w:pPr>
        <w:pStyle w:val="TOC1"/>
        <w:rPr>
          <w:rFonts w:asciiTheme="minorHAnsi" w:eastAsiaTheme="minorEastAsia" w:hAnsiTheme="minorHAnsi" w:cstheme="minorBidi"/>
          <w:b w:val="0"/>
          <w:color w:val="auto"/>
          <w:lang w:val="en-AU"/>
        </w:rPr>
      </w:pPr>
      <w:hyperlink w:anchor="_Toc420327747" w:history="1">
        <w:r w:rsidR="00ED715B" w:rsidRPr="00B90F35">
          <w:rPr>
            <w:rStyle w:val="Hyperlink"/>
          </w:rPr>
          <w:t>Appendices</w:t>
        </w:r>
        <w:r w:rsidR="00ED715B">
          <w:rPr>
            <w:webHidden/>
          </w:rPr>
          <w:tab/>
        </w:r>
        <w:r w:rsidR="00ED715B">
          <w:rPr>
            <w:webHidden/>
          </w:rPr>
          <w:fldChar w:fldCharType="begin"/>
        </w:r>
        <w:r w:rsidR="00ED715B">
          <w:rPr>
            <w:webHidden/>
          </w:rPr>
          <w:instrText xml:space="preserve"> PAGEREF _Toc420327747 \h </w:instrText>
        </w:r>
        <w:r w:rsidR="00ED715B">
          <w:rPr>
            <w:webHidden/>
          </w:rPr>
        </w:r>
        <w:r w:rsidR="00ED715B">
          <w:rPr>
            <w:webHidden/>
          </w:rPr>
          <w:fldChar w:fldCharType="separate"/>
        </w:r>
        <w:r w:rsidR="00BD60CC">
          <w:rPr>
            <w:webHidden/>
          </w:rPr>
          <w:t>72</w:t>
        </w:r>
        <w:r w:rsidR="00ED715B">
          <w:rPr>
            <w:webHidden/>
          </w:rPr>
          <w:fldChar w:fldCharType="end"/>
        </w:r>
      </w:hyperlink>
    </w:p>
    <w:p w14:paraId="5978A942" w14:textId="77777777" w:rsidR="00ED715B" w:rsidRDefault="00B91643" w:rsidP="00D0375F">
      <w:pPr>
        <w:pStyle w:val="TOC2"/>
        <w:rPr>
          <w:rFonts w:asciiTheme="minorHAnsi" w:hAnsiTheme="minorHAnsi" w:cstheme="minorBidi"/>
          <w:sz w:val="22"/>
          <w:szCs w:val="22"/>
        </w:rPr>
      </w:pPr>
      <w:hyperlink w:anchor="_Toc420327748" w:history="1">
        <w:r w:rsidR="00ED715B" w:rsidRPr="00B90F35">
          <w:rPr>
            <w:rStyle w:val="Hyperlink"/>
          </w:rPr>
          <w:t>Appendix A. Standard operating procedure for groundwater sampling in the Otway region</w:t>
        </w:r>
        <w:r w:rsidR="00ED715B">
          <w:rPr>
            <w:webHidden/>
          </w:rPr>
          <w:tab/>
        </w:r>
        <w:r w:rsidR="00ED715B">
          <w:rPr>
            <w:webHidden/>
          </w:rPr>
          <w:fldChar w:fldCharType="begin"/>
        </w:r>
        <w:r w:rsidR="00ED715B">
          <w:rPr>
            <w:webHidden/>
          </w:rPr>
          <w:instrText xml:space="preserve"> PAGEREF _Toc420327748 \h </w:instrText>
        </w:r>
        <w:r w:rsidR="00ED715B">
          <w:rPr>
            <w:webHidden/>
          </w:rPr>
        </w:r>
        <w:r w:rsidR="00ED715B">
          <w:rPr>
            <w:webHidden/>
          </w:rPr>
          <w:fldChar w:fldCharType="separate"/>
        </w:r>
        <w:r w:rsidR="00BD60CC">
          <w:rPr>
            <w:webHidden/>
          </w:rPr>
          <w:t>72</w:t>
        </w:r>
        <w:r w:rsidR="00ED715B">
          <w:rPr>
            <w:webHidden/>
          </w:rPr>
          <w:fldChar w:fldCharType="end"/>
        </w:r>
      </w:hyperlink>
    </w:p>
    <w:p w14:paraId="050226A4" w14:textId="6E77A8C9" w:rsidR="00ED715B" w:rsidRDefault="00B91643" w:rsidP="00D0375F">
      <w:pPr>
        <w:pStyle w:val="TOC2"/>
        <w:ind w:left="0" w:firstLine="0"/>
        <w:rPr>
          <w:rFonts w:asciiTheme="minorHAnsi" w:hAnsiTheme="minorHAnsi" w:cstheme="minorBidi"/>
          <w:sz w:val="22"/>
          <w:szCs w:val="22"/>
        </w:rPr>
      </w:pPr>
      <w:hyperlink w:anchor="_Toc420327749" w:history="1">
        <w:r w:rsidR="00ED715B" w:rsidRPr="00B90F35">
          <w:rPr>
            <w:rStyle w:val="Hyperlink"/>
          </w:rPr>
          <w:t xml:space="preserve">Appendix B. Standard operating procedure for collection of dissolved gas and groundwater </w:t>
        </w:r>
        <w:r w:rsidR="00D0375F">
          <w:rPr>
            <w:rStyle w:val="Hyperlink"/>
          </w:rPr>
          <w:br/>
        </w:r>
        <w:r w:rsidR="00ED715B" w:rsidRPr="00B90F35">
          <w:rPr>
            <w:rStyle w:val="Hyperlink"/>
          </w:rPr>
          <w:t>samples from coal seams</w:t>
        </w:r>
        <w:r w:rsidR="00ED715B">
          <w:rPr>
            <w:webHidden/>
          </w:rPr>
          <w:tab/>
        </w:r>
        <w:r w:rsidR="00ED715B">
          <w:rPr>
            <w:webHidden/>
          </w:rPr>
          <w:fldChar w:fldCharType="begin"/>
        </w:r>
        <w:r w:rsidR="00ED715B">
          <w:rPr>
            <w:webHidden/>
          </w:rPr>
          <w:instrText xml:space="preserve"> PAGEREF _Toc420327749 \h </w:instrText>
        </w:r>
        <w:r w:rsidR="00ED715B">
          <w:rPr>
            <w:webHidden/>
          </w:rPr>
        </w:r>
        <w:r w:rsidR="00ED715B">
          <w:rPr>
            <w:webHidden/>
          </w:rPr>
          <w:fldChar w:fldCharType="separate"/>
        </w:r>
        <w:r w:rsidR="00BD60CC">
          <w:rPr>
            <w:webHidden/>
          </w:rPr>
          <w:t>85</w:t>
        </w:r>
        <w:r w:rsidR="00ED715B">
          <w:rPr>
            <w:webHidden/>
          </w:rPr>
          <w:fldChar w:fldCharType="end"/>
        </w:r>
      </w:hyperlink>
    </w:p>
    <w:p w14:paraId="3E911701" w14:textId="77777777" w:rsidR="00ED715B" w:rsidRDefault="00B91643" w:rsidP="00D0375F">
      <w:pPr>
        <w:pStyle w:val="TOC2"/>
        <w:rPr>
          <w:rFonts w:asciiTheme="minorHAnsi" w:hAnsiTheme="minorHAnsi" w:cstheme="minorBidi"/>
          <w:sz w:val="22"/>
          <w:szCs w:val="22"/>
        </w:rPr>
      </w:pPr>
      <w:hyperlink w:anchor="_Toc420327750" w:history="1">
        <w:r w:rsidR="00ED715B" w:rsidRPr="00B90F35">
          <w:rPr>
            <w:rStyle w:val="Hyperlink"/>
          </w:rPr>
          <w:t>Appendix C. Standard operating procedure for the deployment and operation of double valve pumps</w:t>
        </w:r>
        <w:r w:rsidR="00ED715B">
          <w:rPr>
            <w:webHidden/>
          </w:rPr>
          <w:tab/>
        </w:r>
        <w:r w:rsidR="00ED715B">
          <w:rPr>
            <w:webHidden/>
          </w:rPr>
          <w:fldChar w:fldCharType="begin"/>
        </w:r>
        <w:r w:rsidR="00ED715B">
          <w:rPr>
            <w:webHidden/>
          </w:rPr>
          <w:instrText xml:space="preserve"> PAGEREF _Toc420327750 \h </w:instrText>
        </w:r>
        <w:r w:rsidR="00ED715B">
          <w:rPr>
            <w:webHidden/>
          </w:rPr>
        </w:r>
        <w:r w:rsidR="00ED715B">
          <w:rPr>
            <w:webHidden/>
          </w:rPr>
          <w:fldChar w:fldCharType="separate"/>
        </w:r>
        <w:r w:rsidR="00BD60CC">
          <w:rPr>
            <w:webHidden/>
          </w:rPr>
          <w:t>95</w:t>
        </w:r>
        <w:r w:rsidR="00ED715B">
          <w:rPr>
            <w:webHidden/>
          </w:rPr>
          <w:fldChar w:fldCharType="end"/>
        </w:r>
      </w:hyperlink>
    </w:p>
    <w:p w14:paraId="5F2C4865" w14:textId="77777777" w:rsidR="00ED715B" w:rsidRDefault="00B91643" w:rsidP="00D0375F">
      <w:pPr>
        <w:pStyle w:val="TOC2"/>
        <w:rPr>
          <w:rFonts w:asciiTheme="minorHAnsi" w:hAnsiTheme="minorHAnsi" w:cstheme="minorBidi"/>
          <w:sz w:val="22"/>
          <w:szCs w:val="22"/>
        </w:rPr>
      </w:pPr>
      <w:hyperlink w:anchor="_Toc420327751" w:history="1">
        <w:r w:rsidR="00ED715B" w:rsidRPr="00B90F35">
          <w:rPr>
            <w:rStyle w:val="Hyperlink"/>
          </w:rPr>
          <w:t>Appendix D. Laboratory Results</w:t>
        </w:r>
        <w:r w:rsidR="00ED715B">
          <w:rPr>
            <w:webHidden/>
          </w:rPr>
          <w:tab/>
        </w:r>
        <w:r w:rsidR="00ED715B">
          <w:rPr>
            <w:webHidden/>
          </w:rPr>
          <w:fldChar w:fldCharType="begin"/>
        </w:r>
        <w:r w:rsidR="00ED715B">
          <w:rPr>
            <w:webHidden/>
          </w:rPr>
          <w:instrText xml:space="preserve"> PAGEREF _Toc420327751 \h </w:instrText>
        </w:r>
        <w:r w:rsidR="00ED715B">
          <w:rPr>
            <w:webHidden/>
          </w:rPr>
        </w:r>
        <w:r w:rsidR="00ED715B">
          <w:rPr>
            <w:webHidden/>
          </w:rPr>
          <w:fldChar w:fldCharType="separate"/>
        </w:r>
        <w:r w:rsidR="00BD60CC">
          <w:rPr>
            <w:webHidden/>
          </w:rPr>
          <w:t>105</w:t>
        </w:r>
        <w:r w:rsidR="00ED715B">
          <w:rPr>
            <w:webHidden/>
          </w:rPr>
          <w:fldChar w:fldCharType="end"/>
        </w:r>
      </w:hyperlink>
    </w:p>
    <w:p w14:paraId="6FFD12F0" w14:textId="77777777" w:rsidR="002F4A45" w:rsidRDefault="00EB6F5B" w:rsidP="0013709F">
      <w:pPr>
        <w:rPr>
          <w:rFonts w:cs="Arial"/>
          <w:highlight w:val="yellow"/>
        </w:rPr>
      </w:pPr>
      <w:r w:rsidRPr="000C564C">
        <w:rPr>
          <w:rFonts w:cs="Arial"/>
          <w:highlight w:val="yellow"/>
        </w:rPr>
        <w:fldChar w:fldCharType="end"/>
      </w:r>
    </w:p>
    <w:p w14:paraId="78A91EE6" w14:textId="77777777" w:rsidR="009D3377" w:rsidRDefault="009D3377" w:rsidP="00D0375F">
      <w:r>
        <w:br w:type="page"/>
      </w:r>
    </w:p>
    <w:p w14:paraId="6390444B" w14:textId="1976ABCA" w:rsidR="00816E19" w:rsidRDefault="00816E19" w:rsidP="00D0375F">
      <w:pPr>
        <w:pStyle w:val="H2green"/>
      </w:pPr>
      <w:r>
        <w:t>Figures</w:t>
      </w:r>
    </w:p>
    <w:p w14:paraId="631D1391" w14:textId="234D03F3" w:rsidR="00ED715B" w:rsidRPr="00ED715B" w:rsidRDefault="00816E19" w:rsidP="00D0375F">
      <w:pPr>
        <w:pStyle w:val="TableofFigures"/>
        <w:tabs>
          <w:tab w:val="right" w:leader="dot" w:pos="9628"/>
        </w:tabs>
        <w:spacing w:after="40"/>
        <w:rPr>
          <w:rFonts w:asciiTheme="minorHAnsi" w:hAnsiTheme="minorHAnsi"/>
          <w:noProof/>
          <w:sz w:val="22"/>
          <w:szCs w:val="22"/>
          <w:lang w:eastAsia="en-AU"/>
        </w:rPr>
      </w:pPr>
      <w:r w:rsidRPr="00ED715B">
        <w:rPr>
          <w:rFonts w:cs="Arial"/>
          <w:highlight w:val="yellow"/>
        </w:rPr>
        <w:fldChar w:fldCharType="begin"/>
      </w:r>
      <w:r w:rsidRPr="00ED715B">
        <w:rPr>
          <w:rFonts w:cs="Arial"/>
          <w:highlight w:val="yellow"/>
        </w:rPr>
        <w:instrText xml:space="preserve"> TOC \h \z \c "Figure" </w:instrText>
      </w:r>
      <w:r w:rsidRPr="00ED715B">
        <w:rPr>
          <w:rFonts w:cs="Arial"/>
          <w:highlight w:val="yellow"/>
        </w:rPr>
        <w:fldChar w:fldCharType="separate"/>
      </w:r>
      <w:hyperlink w:anchor="_Toc420327752" w:history="1">
        <w:r w:rsidR="00ED715B" w:rsidRPr="00ED715B">
          <w:rPr>
            <w:rStyle w:val="Hyperlink"/>
            <w:noProof/>
          </w:rPr>
          <w:t>Figure 1 Typical geological formations bearing prospective onshore natural gas in the Otway region</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_Toc420327752 \h </w:instrText>
        </w:r>
        <w:r w:rsidR="00ED715B" w:rsidRPr="00ED715B">
          <w:rPr>
            <w:noProof/>
            <w:webHidden/>
          </w:rPr>
        </w:r>
        <w:r w:rsidR="00ED715B" w:rsidRPr="00ED715B">
          <w:rPr>
            <w:noProof/>
            <w:webHidden/>
          </w:rPr>
          <w:fldChar w:fldCharType="separate"/>
        </w:r>
        <w:r w:rsidR="00BD60CC">
          <w:rPr>
            <w:noProof/>
            <w:webHidden/>
          </w:rPr>
          <w:t>7</w:t>
        </w:r>
        <w:r w:rsidR="00ED715B" w:rsidRPr="00ED715B">
          <w:rPr>
            <w:noProof/>
            <w:webHidden/>
          </w:rPr>
          <w:fldChar w:fldCharType="end"/>
        </w:r>
      </w:hyperlink>
    </w:p>
    <w:p w14:paraId="6D847D9C" w14:textId="766A9F72"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53" w:history="1">
        <w:r w:rsidR="00ED715B" w:rsidRPr="00ED715B">
          <w:rPr>
            <w:rStyle w:val="Hyperlink"/>
            <w:noProof/>
          </w:rPr>
          <w:t>Figure 2 Stratigraphy of the Otway basin (from the Petroleum Atlas of Victoria .</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_Toc420327753 \h </w:instrText>
        </w:r>
        <w:r w:rsidR="00ED715B" w:rsidRPr="00ED715B">
          <w:rPr>
            <w:noProof/>
            <w:webHidden/>
          </w:rPr>
        </w:r>
        <w:r w:rsidR="00ED715B" w:rsidRPr="00ED715B">
          <w:rPr>
            <w:noProof/>
            <w:webHidden/>
          </w:rPr>
          <w:fldChar w:fldCharType="separate"/>
        </w:r>
        <w:r w:rsidR="00BD60CC">
          <w:rPr>
            <w:noProof/>
            <w:webHidden/>
          </w:rPr>
          <w:t>11</w:t>
        </w:r>
        <w:r w:rsidR="00ED715B" w:rsidRPr="00ED715B">
          <w:rPr>
            <w:noProof/>
            <w:webHidden/>
          </w:rPr>
          <w:fldChar w:fldCharType="end"/>
        </w:r>
      </w:hyperlink>
    </w:p>
    <w:p w14:paraId="0ED3C502" w14:textId="42E8DE9D"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54" w:history="1">
        <w:r w:rsidR="00ED715B" w:rsidRPr="00ED715B">
          <w:rPr>
            <w:rStyle w:val="Hyperlink"/>
            <w:noProof/>
          </w:rPr>
          <w:t xml:space="preserve">Figure 3: Otway Basin Formations categorised by Victorian Aquifer Framework names, codes </w:t>
        </w:r>
        <w:r w:rsidR="00D0375F">
          <w:rPr>
            <w:rStyle w:val="Hyperlink"/>
            <w:noProof/>
          </w:rPr>
          <w:br/>
        </w:r>
        <w:r w:rsidR="00ED715B" w:rsidRPr="00ED715B">
          <w:rPr>
            <w:rStyle w:val="Hyperlink"/>
            <w:noProof/>
          </w:rPr>
          <w:t>and numbers.</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_Toc420327754 \h </w:instrText>
        </w:r>
        <w:r w:rsidR="00ED715B" w:rsidRPr="00ED715B">
          <w:rPr>
            <w:noProof/>
            <w:webHidden/>
          </w:rPr>
        </w:r>
        <w:r w:rsidR="00ED715B" w:rsidRPr="00ED715B">
          <w:rPr>
            <w:noProof/>
            <w:webHidden/>
          </w:rPr>
          <w:fldChar w:fldCharType="separate"/>
        </w:r>
        <w:r w:rsidR="00BD60CC">
          <w:rPr>
            <w:noProof/>
            <w:webHidden/>
          </w:rPr>
          <w:t>12</w:t>
        </w:r>
        <w:r w:rsidR="00ED715B" w:rsidRPr="00ED715B">
          <w:rPr>
            <w:noProof/>
            <w:webHidden/>
          </w:rPr>
          <w:fldChar w:fldCharType="end"/>
        </w:r>
      </w:hyperlink>
    </w:p>
    <w:p w14:paraId="6D399073" w14:textId="7AB106F2"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55" w:history="1">
        <w:r w:rsidR="00ED715B" w:rsidRPr="00ED715B">
          <w:rPr>
            <w:rStyle w:val="Hyperlink"/>
            <w:noProof/>
          </w:rPr>
          <w:t xml:space="preserve">Figure 4 Location of gas exploration and discovery bores in the Otway Basin (from the Petroleum </w:t>
        </w:r>
        <w:r w:rsidR="00D0375F">
          <w:rPr>
            <w:rStyle w:val="Hyperlink"/>
            <w:noProof/>
          </w:rPr>
          <w:br/>
        </w:r>
        <w:r w:rsidR="00ED715B" w:rsidRPr="00ED715B">
          <w:rPr>
            <w:rStyle w:val="Hyperlink"/>
            <w:noProof/>
          </w:rPr>
          <w:t xml:space="preserve">Atlas of Victoria </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_Toc420327755 \h </w:instrText>
        </w:r>
        <w:r w:rsidR="00ED715B" w:rsidRPr="00ED715B">
          <w:rPr>
            <w:noProof/>
            <w:webHidden/>
          </w:rPr>
        </w:r>
        <w:r w:rsidR="00ED715B" w:rsidRPr="00ED715B">
          <w:rPr>
            <w:noProof/>
            <w:webHidden/>
          </w:rPr>
          <w:fldChar w:fldCharType="separate"/>
        </w:r>
        <w:r w:rsidR="00BD60CC">
          <w:rPr>
            <w:noProof/>
            <w:webHidden/>
          </w:rPr>
          <w:t>16</w:t>
        </w:r>
        <w:r w:rsidR="00ED715B" w:rsidRPr="00ED715B">
          <w:rPr>
            <w:noProof/>
            <w:webHidden/>
          </w:rPr>
          <w:fldChar w:fldCharType="end"/>
        </w:r>
      </w:hyperlink>
    </w:p>
    <w:p w14:paraId="54678ADB"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56" w:history="1">
        <w:r w:rsidR="00ED715B" w:rsidRPr="00ED715B">
          <w:rPr>
            <w:rStyle w:val="Hyperlink"/>
            <w:noProof/>
          </w:rPr>
          <w:t>Figure 5 Review of the thickness of the Narrawaturk Marl Aquitard</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_Toc420327756 \h </w:instrText>
        </w:r>
        <w:r w:rsidR="00ED715B" w:rsidRPr="00ED715B">
          <w:rPr>
            <w:noProof/>
            <w:webHidden/>
          </w:rPr>
        </w:r>
        <w:r w:rsidR="00ED715B" w:rsidRPr="00ED715B">
          <w:rPr>
            <w:noProof/>
            <w:webHidden/>
          </w:rPr>
          <w:fldChar w:fldCharType="separate"/>
        </w:r>
        <w:r w:rsidR="00BD60CC">
          <w:rPr>
            <w:noProof/>
            <w:webHidden/>
          </w:rPr>
          <w:t>17</w:t>
        </w:r>
        <w:r w:rsidR="00ED715B" w:rsidRPr="00ED715B">
          <w:rPr>
            <w:noProof/>
            <w:webHidden/>
          </w:rPr>
          <w:fldChar w:fldCharType="end"/>
        </w:r>
      </w:hyperlink>
    </w:p>
    <w:p w14:paraId="2346CFCC"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57" w:history="1">
        <w:r w:rsidR="00ED715B" w:rsidRPr="00ED715B">
          <w:rPr>
            <w:rStyle w:val="Hyperlink"/>
            <w:noProof/>
          </w:rPr>
          <w:t>Figure 6 Review of the thickness of the Gellibrand Marl Aquitard</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_Toc420327757 \h </w:instrText>
        </w:r>
        <w:r w:rsidR="00ED715B" w:rsidRPr="00ED715B">
          <w:rPr>
            <w:noProof/>
            <w:webHidden/>
          </w:rPr>
        </w:r>
        <w:r w:rsidR="00ED715B" w:rsidRPr="00ED715B">
          <w:rPr>
            <w:noProof/>
            <w:webHidden/>
          </w:rPr>
          <w:fldChar w:fldCharType="separate"/>
        </w:r>
        <w:r w:rsidR="00BD60CC">
          <w:rPr>
            <w:noProof/>
            <w:webHidden/>
          </w:rPr>
          <w:t>18</w:t>
        </w:r>
        <w:r w:rsidR="00ED715B" w:rsidRPr="00ED715B">
          <w:rPr>
            <w:noProof/>
            <w:webHidden/>
          </w:rPr>
          <w:fldChar w:fldCharType="end"/>
        </w:r>
      </w:hyperlink>
    </w:p>
    <w:p w14:paraId="6E9E8F96"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58" w:history="1">
        <w:r w:rsidR="00ED715B" w:rsidRPr="00ED715B">
          <w:rPr>
            <w:rStyle w:val="Hyperlink"/>
            <w:noProof/>
          </w:rPr>
          <w:t>Figure 7 Otway Basin coal seam gas development scenarios</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_Toc420327758 \h </w:instrText>
        </w:r>
        <w:r w:rsidR="00ED715B" w:rsidRPr="00ED715B">
          <w:rPr>
            <w:noProof/>
            <w:webHidden/>
          </w:rPr>
        </w:r>
        <w:r w:rsidR="00ED715B" w:rsidRPr="00ED715B">
          <w:rPr>
            <w:noProof/>
            <w:webHidden/>
          </w:rPr>
          <w:fldChar w:fldCharType="separate"/>
        </w:r>
        <w:r w:rsidR="00BD60CC">
          <w:rPr>
            <w:noProof/>
            <w:webHidden/>
          </w:rPr>
          <w:t>19</w:t>
        </w:r>
        <w:r w:rsidR="00ED715B" w:rsidRPr="00ED715B">
          <w:rPr>
            <w:noProof/>
            <w:webHidden/>
          </w:rPr>
          <w:fldChar w:fldCharType="end"/>
        </w:r>
      </w:hyperlink>
    </w:p>
    <w:p w14:paraId="53F75C76" w14:textId="3868442F"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59" w:history="1">
        <w:r w:rsidR="00ED715B" w:rsidRPr="00ED715B">
          <w:rPr>
            <w:rStyle w:val="Hyperlink"/>
            <w:noProof/>
          </w:rPr>
          <w:t xml:space="preserve">Figure 8 Otway Basin tight gas development scenarios </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_Toc420327759 \h </w:instrText>
        </w:r>
        <w:r w:rsidR="00ED715B" w:rsidRPr="00ED715B">
          <w:rPr>
            <w:noProof/>
            <w:webHidden/>
          </w:rPr>
        </w:r>
        <w:r w:rsidR="00ED715B" w:rsidRPr="00ED715B">
          <w:rPr>
            <w:noProof/>
            <w:webHidden/>
          </w:rPr>
          <w:fldChar w:fldCharType="separate"/>
        </w:r>
        <w:r w:rsidR="00BD60CC">
          <w:rPr>
            <w:noProof/>
            <w:webHidden/>
          </w:rPr>
          <w:t>20</w:t>
        </w:r>
        <w:r w:rsidR="00ED715B" w:rsidRPr="00ED715B">
          <w:rPr>
            <w:noProof/>
            <w:webHidden/>
          </w:rPr>
          <w:fldChar w:fldCharType="end"/>
        </w:r>
      </w:hyperlink>
    </w:p>
    <w:p w14:paraId="53A2F528" w14:textId="1F1BBEFE"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60" w:history="1">
        <w:r w:rsidR="00ED715B" w:rsidRPr="00ED715B">
          <w:rPr>
            <w:rStyle w:val="Hyperlink"/>
            <w:noProof/>
          </w:rPr>
          <w:t xml:space="preserve">Figure 9 Otway Basin shale gas development scenarios </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_Toc420327760 \h </w:instrText>
        </w:r>
        <w:r w:rsidR="00ED715B" w:rsidRPr="00ED715B">
          <w:rPr>
            <w:noProof/>
            <w:webHidden/>
          </w:rPr>
        </w:r>
        <w:r w:rsidR="00ED715B" w:rsidRPr="00ED715B">
          <w:rPr>
            <w:noProof/>
            <w:webHidden/>
          </w:rPr>
          <w:fldChar w:fldCharType="separate"/>
        </w:r>
        <w:r w:rsidR="00BD60CC">
          <w:rPr>
            <w:noProof/>
            <w:webHidden/>
          </w:rPr>
          <w:t>20</w:t>
        </w:r>
        <w:r w:rsidR="00ED715B" w:rsidRPr="00ED715B">
          <w:rPr>
            <w:noProof/>
            <w:webHidden/>
          </w:rPr>
          <w:fldChar w:fldCharType="end"/>
        </w:r>
      </w:hyperlink>
    </w:p>
    <w:p w14:paraId="2DA3D4A7" w14:textId="055424E6"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61" w:history="1">
        <w:r w:rsidR="00ED715B" w:rsidRPr="00ED715B">
          <w:rPr>
            <w:rStyle w:val="Hyperlink"/>
            <w:noProof/>
          </w:rPr>
          <w:t xml:space="preserve">Figure 10 Otway Basin conventional gas development scenarios </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_Toc420327761 \h </w:instrText>
        </w:r>
        <w:r w:rsidR="00ED715B" w:rsidRPr="00ED715B">
          <w:rPr>
            <w:noProof/>
            <w:webHidden/>
          </w:rPr>
        </w:r>
        <w:r w:rsidR="00ED715B" w:rsidRPr="00ED715B">
          <w:rPr>
            <w:noProof/>
            <w:webHidden/>
          </w:rPr>
          <w:fldChar w:fldCharType="separate"/>
        </w:r>
        <w:r w:rsidR="00BD60CC">
          <w:rPr>
            <w:noProof/>
            <w:webHidden/>
          </w:rPr>
          <w:t>21</w:t>
        </w:r>
        <w:r w:rsidR="00ED715B" w:rsidRPr="00ED715B">
          <w:rPr>
            <w:noProof/>
            <w:webHidden/>
          </w:rPr>
          <w:fldChar w:fldCharType="end"/>
        </w:r>
      </w:hyperlink>
    </w:p>
    <w:p w14:paraId="0121CB56" w14:textId="746470EA"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62" w:history="1">
        <w:r w:rsidR="00ED715B" w:rsidRPr="00ED715B">
          <w:rPr>
            <w:rStyle w:val="Hyperlink"/>
            <w:noProof/>
          </w:rPr>
          <w:t xml:space="preserve">Figure 11 Hopkins-Corangamite Groundwater Catchment Unit showing prospective natural gas </w:t>
        </w:r>
        <w:r w:rsidR="00D0375F">
          <w:rPr>
            <w:rStyle w:val="Hyperlink"/>
            <w:noProof/>
          </w:rPr>
          <w:br/>
        </w:r>
        <w:r w:rsidR="00ED715B" w:rsidRPr="00ED715B">
          <w:rPr>
            <w:rStyle w:val="Hyperlink"/>
            <w:noProof/>
          </w:rPr>
          <w:t xml:space="preserve">areas and proposed monitoring bores </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_Toc420327762 \h </w:instrText>
        </w:r>
        <w:r w:rsidR="00ED715B" w:rsidRPr="00ED715B">
          <w:rPr>
            <w:noProof/>
            <w:webHidden/>
          </w:rPr>
        </w:r>
        <w:r w:rsidR="00ED715B" w:rsidRPr="00ED715B">
          <w:rPr>
            <w:noProof/>
            <w:webHidden/>
          </w:rPr>
          <w:fldChar w:fldCharType="separate"/>
        </w:r>
        <w:r w:rsidR="00BD60CC">
          <w:rPr>
            <w:noProof/>
            <w:webHidden/>
          </w:rPr>
          <w:t>28</w:t>
        </w:r>
        <w:r w:rsidR="00ED715B" w:rsidRPr="00ED715B">
          <w:rPr>
            <w:noProof/>
            <w:webHidden/>
          </w:rPr>
          <w:fldChar w:fldCharType="end"/>
        </w:r>
      </w:hyperlink>
    </w:p>
    <w:p w14:paraId="08824C5B" w14:textId="4C4CBCB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63" w:history="1">
        <w:r w:rsidR="00ED715B" w:rsidRPr="00ED715B">
          <w:rPr>
            <w:rStyle w:val="Hyperlink"/>
            <w:noProof/>
          </w:rPr>
          <w:t xml:space="preserve">Figure 12 Portland Groundwater Catchment Unit showing prospective natural gas areas and </w:t>
        </w:r>
        <w:r w:rsidR="00D0375F">
          <w:rPr>
            <w:rStyle w:val="Hyperlink"/>
            <w:noProof/>
          </w:rPr>
          <w:br/>
        </w:r>
        <w:r w:rsidR="00ED715B" w:rsidRPr="00ED715B">
          <w:rPr>
            <w:rStyle w:val="Hyperlink"/>
            <w:noProof/>
          </w:rPr>
          <w:t xml:space="preserve">proposed monitoring bores </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_Toc420327763 \h </w:instrText>
        </w:r>
        <w:r w:rsidR="00ED715B" w:rsidRPr="00ED715B">
          <w:rPr>
            <w:noProof/>
            <w:webHidden/>
          </w:rPr>
        </w:r>
        <w:r w:rsidR="00ED715B" w:rsidRPr="00ED715B">
          <w:rPr>
            <w:noProof/>
            <w:webHidden/>
          </w:rPr>
          <w:fldChar w:fldCharType="separate"/>
        </w:r>
        <w:r w:rsidR="00BD60CC">
          <w:rPr>
            <w:noProof/>
            <w:webHidden/>
          </w:rPr>
          <w:t>29</w:t>
        </w:r>
        <w:r w:rsidR="00ED715B" w:rsidRPr="00ED715B">
          <w:rPr>
            <w:noProof/>
            <w:webHidden/>
          </w:rPr>
          <w:fldChar w:fldCharType="end"/>
        </w:r>
      </w:hyperlink>
    </w:p>
    <w:p w14:paraId="09B7F5B0" w14:textId="36F08E20"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64" w:history="1">
        <w:r w:rsidR="00ED715B" w:rsidRPr="00ED715B">
          <w:rPr>
            <w:rStyle w:val="Hyperlink"/>
            <w:noProof/>
          </w:rPr>
          <w:t xml:space="preserve">Figure 13 Glenelg Groundwater Catchment Unit showing prospective natural gas areas and </w:t>
        </w:r>
        <w:r w:rsidR="00D0375F">
          <w:rPr>
            <w:rStyle w:val="Hyperlink"/>
            <w:noProof/>
          </w:rPr>
          <w:br/>
        </w:r>
        <w:r w:rsidR="00ED715B" w:rsidRPr="00ED715B">
          <w:rPr>
            <w:rStyle w:val="Hyperlink"/>
            <w:noProof/>
          </w:rPr>
          <w:t xml:space="preserve">proposed monitoring bores </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_Toc420327764 \h </w:instrText>
        </w:r>
        <w:r w:rsidR="00ED715B" w:rsidRPr="00ED715B">
          <w:rPr>
            <w:noProof/>
            <w:webHidden/>
          </w:rPr>
        </w:r>
        <w:r w:rsidR="00ED715B" w:rsidRPr="00ED715B">
          <w:rPr>
            <w:noProof/>
            <w:webHidden/>
          </w:rPr>
          <w:fldChar w:fldCharType="separate"/>
        </w:r>
        <w:r w:rsidR="00BD60CC">
          <w:rPr>
            <w:noProof/>
            <w:webHidden/>
          </w:rPr>
          <w:t>31</w:t>
        </w:r>
        <w:r w:rsidR="00ED715B" w:rsidRPr="00ED715B">
          <w:rPr>
            <w:noProof/>
            <w:webHidden/>
          </w:rPr>
          <w:fldChar w:fldCharType="end"/>
        </w:r>
      </w:hyperlink>
    </w:p>
    <w:p w14:paraId="71590982" w14:textId="7EC62F4E"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65" w:history="1">
        <w:r w:rsidR="00ED715B" w:rsidRPr="00ED715B">
          <w:rPr>
            <w:rStyle w:val="Hyperlink"/>
            <w:noProof/>
          </w:rPr>
          <w:t xml:space="preserve">Figure 14 GMAs and WSPAs and targeted monitoring bores </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_Toc420327765 \h </w:instrText>
        </w:r>
        <w:r w:rsidR="00ED715B" w:rsidRPr="00ED715B">
          <w:rPr>
            <w:noProof/>
            <w:webHidden/>
          </w:rPr>
        </w:r>
        <w:r w:rsidR="00ED715B" w:rsidRPr="00ED715B">
          <w:rPr>
            <w:noProof/>
            <w:webHidden/>
          </w:rPr>
          <w:fldChar w:fldCharType="separate"/>
        </w:r>
        <w:r w:rsidR="00BD60CC">
          <w:rPr>
            <w:noProof/>
            <w:webHidden/>
          </w:rPr>
          <w:t>34</w:t>
        </w:r>
        <w:r w:rsidR="00ED715B" w:rsidRPr="00ED715B">
          <w:rPr>
            <w:noProof/>
            <w:webHidden/>
          </w:rPr>
          <w:fldChar w:fldCharType="end"/>
        </w:r>
      </w:hyperlink>
    </w:p>
    <w:p w14:paraId="7FCEBAFE" w14:textId="6D70B45D"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66" w:history="1">
        <w:r w:rsidR="00ED715B" w:rsidRPr="00ED715B">
          <w:rPr>
            <w:rStyle w:val="Hyperlink"/>
            <w:noProof/>
          </w:rPr>
          <w:t xml:space="preserve">Figure 15 GMAs and WSPAs and targeted monitoring bores </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_Toc420327766 \h </w:instrText>
        </w:r>
        <w:r w:rsidR="00ED715B" w:rsidRPr="00ED715B">
          <w:rPr>
            <w:noProof/>
            <w:webHidden/>
          </w:rPr>
        </w:r>
        <w:r w:rsidR="00ED715B" w:rsidRPr="00ED715B">
          <w:rPr>
            <w:noProof/>
            <w:webHidden/>
          </w:rPr>
          <w:fldChar w:fldCharType="separate"/>
        </w:r>
        <w:r w:rsidR="00BD60CC">
          <w:rPr>
            <w:noProof/>
            <w:webHidden/>
          </w:rPr>
          <w:t>35</w:t>
        </w:r>
        <w:r w:rsidR="00ED715B" w:rsidRPr="00ED715B">
          <w:rPr>
            <w:noProof/>
            <w:webHidden/>
          </w:rPr>
          <w:fldChar w:fldCharType="end"/>
        </w:r>
      </w:hyperlink>
    </w:p>
    <w:p w14:paraId="38E8A6F9" w14:textId="747E2FA6"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67" w:history="1">
        <w:r w:rsidR="00ED715B" w:rsidRPr="00ED715B">
          <w:rPr>
            <w:rStyle w:val="Hyperlink"/>
            <w:noProof/>
          </w:rPr>
          <w:t xml:space="preserve">Figure 16 GMAs and WSPAs and targeted monitoring bores </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_Toc420327767 \h </w:instrText>
        </w:r>
        <w:r w:rsidR="00ED715B" w:rsidRPr="00ED715B">
          <w:rPr>
            <w:noProof/>
            <w:webHidden/>
          </w:rPr>
        </w:r>
        <w:r w:rsidR="00ED715B" w:rsidRPr="00ED715B">
          <w:rPr>
            <w:noProof/>
            <w:webHidden/>
          </w:rPr>
          <w:fldChar w:fldCharType="separate"/>
        </w:r>
        <w:r w:rsidR="00BD60CC">
          <w:rPr>
            <w:noProof/>
            <w:webHidden/>
          </w:rPr>
          <w:t>36</w:t>
        </w:r>
        <w:r w:rsidR="00ED715B" w:rsidRPr="00ED715B">
          <w:rPr>
            <w:noProof/>
            <w:webHidden/>
          </w:rPr>
          <w:fldChar w:fldCharType="end"/>
        </w:r>
      </w:hyperlink>
    </w:p>
    <w:p w14:paraId="505A6C4F"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68" w:history="1">
        <w:r w:rsidR="00ED715B" w:rsidRPr="00ED715B">
          <w:rPr>
            <w:rStyle w:val="Hyperlink"/>
            <w:noProof/>
          </w:rPr>
          <w:t>Figure 17 Areas identified in literature review</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_Toc420327768 \h </w:instrText>
        </w:r>
        <w:r w:rsidR="00ED715B" w:rsidRPr="00ED715B">
          <w:rPr>
            <w:noProof/>
            <w:webHidden/>
          </w:rPr>
        </w:r>
        <w:r w:rsidR="00ED715B" w:rsidRPr="00ED715B">
          <w:rPr>
            <w:noProof/>
            <w:webHidden/>
          </w:rPr>
          <w:fldChar w:fldCharType="separate"/>
        </w:r>
        <w:r w:rsidR="00BD60CC">
          <w:rPr>
            <w:noProof/>
            <w:webHidden/>
          </w:rPr>
          <w:t>38</w:t>
        </w:r>
        <w:r w:rsidR="00ED715B" w:rsidRPr="00ED715B">
          <w:rPr>
            <w:noProof/>
            <w:webHidden/>
          </w:rPr>
          <w:fldChar w:fldCharType="end"/>
        </w:r>
      </w:hyperlink>
    </w:p>
    <w:p w14:paraId="37F9E1F9"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69" w:history="1">
        <w:r w:rsidR="00ED715B" w:rsidRPr="00ED715B">
          <w:rPr>
            <w:rStyle w:val="Hyperlink"/>
            <w:noProof/>
          </w:rPr>
          <w:t>Figure 18 Nested SOB sites across the Otway region selected for inclusion in the monitoring program</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_Toc420327769 \h </w:instrText>
        </w:r>
        <w:r w:rsidR="00ED715B" w:rsidRPr="00ED715B">
          <w:rPr>
            <w:noProof/>
            <w:webHidden/>
          </w:rPr>
        </w:r>
        <w:r w:rsidR="00ED715B" w:rsidRPr="00ED715B">
          <w:rPr>
            <w:noProof/>
            <w:webHidden/>
          </w:rPr>
          <w:fldChar w:fldCharType="separate"/>
        </w:r>
        <w:r w:rsidR="00BD60CC">
          <w:rPr>
            <w:noProof/>
            <w:webHidden/>
          </w:rPr>
          <w:t>40</w:t>
        </w:r>
        <w:r w:rsidR="00ED715B" w:rsidRPr="00ED715B">
          <w:rPr>
            <w:noProof/>
            <w:webHidden/>
          </w:rPr>
          <w:fldChar w:fldCharType="end"/>
        </w:r>
      </w:hyperlink>
    </w:p>
    <w:p w14:paraId="085EEE0B"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70" w:history="1">
        <w:r w:rsidR="00ED715B" w:rsidRPr="00ED715B">
          <w:rPr>
            <w:rStyle w:val="Hyperlink"/>
            <w:noProof/>
          </w:rPr>
          <w:t>Figure 19 Selected monitoring network for the Otway region</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_Toc420327770 \h </w:instrText>
        </w:r>
        <w:r w:rsidR="00ED715B" w:rsidRPr="00ED715B">
          <w:rPr>
            <w:noProof/>
            <w:webHidden/>
          </w:rPr>
        </w:r>
        <w:r w:rsidR="00ED715B" w:rsidRPr="00ED715B">
          <w:rPr>
            <w:noProof/>
            <w:webHidden/>
          </w:rPr>
          <w:fldChar w:fldCharType="separate"/>
        </w:r>
        <w:r w:rsidR="00BD60CC">
          <w:rPr>
            <w:noProof/>
            <w:webHidden/>
          </w:rPr>
          <w:t>41</w:t>
        </w:r>
        <w:r w:rsidR="00ED715B" w:rsidRPr="00ED715B">
          <w:rPr>
            <w:noProof/>
            <w:webHidden/>
          </w:rPr>
          <w:fldChar w:fldCharType="end"/>
        </w:r>
      </w:hyperlink>
    </w:p>
    <w:p w14:paraId="3CDED4A4" w14:textId="45892CB4"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71" w:history="1">
        <w:r w:rsidR="00ED715B" w:rsidRPr="00ED715B">
          <w:rPr>
            <w:rStyle w:val="Hyperlink"/>
            <w:noProof/>
          </w:rPr>
          <w:t xml:space="preserve">Figure 20 Flow diagram showing water sample collection, field parameter measurement and </w:t>
        </w:r>
        <w:r w:rsidR="00D0375F">
          <w:rPr>
            <w:rStyle w:val="Hyperlink"/>
            <w:noProof/>
          </w:rPr>
          <w:br/>
        </w:r>
        <w:r w:rsidR="00ED715B" w:rsidRPr="00ED715B">
          <w:rPr>
            <w:rStyle w:val="Hyperlink"/>
            <w:noProof/>
          </w:rPr>
          <w:t>gas sample collection</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_Toc420327771 \h </w:instrText>
        </w:r>
        <w:r w:rsidR="00ED715B" w:rsidRPr="00ED715B">
          <w:rPr>
            <w:noProof/>
            <w:webHidden/>
          </w:rPr>
        </w:r>
        <w:r w:rsidR="00ED715B" w:rsidRPr="00ED715B">
          <w:rPr>
            <w:noProof/>
            <w:webHidden/>
          </w:rPr>
          <w:fldChar w:fldCharType="separate"/>
        </w:r>
        <w:r w:rsidR="00BD60CC">
          <w:rPr>
            <w:noProof/>
            <w:webHidden/>
          </w:rPr>
          <w:t>46</w:t>
        </w:r>
        <w:r w:rsidR="00ED715B" w:rsidRPr="00ED715B">
          <w:rPr>
            <w:noProof/>
            <w:webHidden/>
          </w:rPr>
          <w:fldChar w:fldCharType="end"/>
        </w:r>
      </w:hyperlink>
    </w:p>
    <w:p w14:paraId="4B907DB4"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72" w:history="1">
        <w:r w:rsidR="00ED715B" w:rsidRPr="00ED715B">
          <w:rPr>
            <w:rStyle w:val="Hyperlink"/>
            <w:noProof/>
          </w:rPr>
          <w:t>Figure 21 Example of gas collection and sampling procedure in the field</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_Toc420327772 \h </w:instrText>
        </w:r>
        <w:r w:rsidR="00ED715B" w:rsidRPr="00ED715B">
          <w:rPr>
            <w:noProof/>
            <w:webHidden/>
          </w:rPr>
        </w:r>
        <w:r w:rsidR="00ED715B" w:rsidRPr="00ED715B">
          <w:rPr>
            <w:noProof/>
            <w:webHidden/>
          </w:rPr>
          <w:fldChar w:fldCharType="separate"/>
        </w:r>
        <w:r w:rsidR="00BD60CC">
          <w:rPr>
            <w:noProof/>
            <w:webHidden/>
          </w:rPr>
          <w:t>46</w:t>
        </w:r>
        <w:r w:rsidR="00ED715B" w:rsidRPr="00ED715B">
          <w:rPr>
            <w:noProof/>
            <w:webHidden/>
          </w:rPr>
          <w:fldChar w:fldCharType="end"/>
        </w:r>
      </w:hyperlink>
    </w:p>
    <w:p w14:paraId="01335256"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73" w:history="1">
        <w:r w:rsidR="00ED715B" w:rsidRPr="00ED715B">
          <w:rPr>
            <w:rStyle w:val="Hyperlink"/>
            <w:noProof/>
          </w:rPr>
          <w:t>Figure 22 Example of gas collection and sampling procedure in the field</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_Toc420327773 \h </w:instrText>
        </w:r>
        <w:r w:rsidR="00ED715B" w:rsidRPr="00ED715B">
          <w:rPr>
            <w:noProof/>
            <w:webHidden/>
          </w:rPr>
        </w:r>
        <w:r w:rsidR="00ED715B" w:rsidRPr="00ED715B">
          <w:rPr>
            <w:noProof/>
            <w:webHidden/>
          </w:rPr>
          <w:fldChar w:fldCharType="separate"/>
        </w:r>
        <w:r w:rsidR="00BD60CC">
          <w:rPr>
            <w:noProof/>
            <w:webHidden/>
          </w:rPr>
          <w:t>47</w:t>
        </w:r>
        <w:r w:rsidR="00ED715B" w:rsidRPr="00ED715B">
          <w:rPr>
            <w:noProof/>
            <w:webHidden/>
          </w:rPr>
          <w:fldChar w:fldCharType="end"/>
        </w:r>
      </w:hyperlink>
    </w:p>
    <w:p w14:paraId="28EA6EF5"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74" w:history="1">
        <w:r w:rsidR="00ED715B" w:rsidRPr="00ED715B">
          <w:rPr>
            <w:rStyle w:val="Hyperlink"/>
            <w:noProof/>
          </w:rPr>
          <w:t>Figure 23 Spatial distribution of dissolved methane in groundwater</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_Toc420327774 \h </w:instrText>
        </w:r>
        <w:r w:rsidR="00ED715B" w:rsidRPr="00ED715B">
          <w:rPr>
            <w:noProof/>
            <w:webHidden/>
          </w:rPr>
        </w:r>
        <w:r w:rsidR="00ED715B" w:rsidRPr="00ED715B">
          <w:rPr>
            <w:noProof/>
            <w:webHidden/>
          </w:rPr>
          <w:fldChar w:fldCharType="separate"/>
        </w:r>
        <w:r w:rsidR="00BD60CC">
          <w:rPr>
            <w:noProof/>
            <w:webHidden/>
          </w:rPr>
          <w:t>54</w:t>
        </w:r>
        <w:r w:rsidR="00ED715B" w:rsidRPr="00ED715B">
          <w:rPr>
            <w:noProof/>
            <w:webHidden/>
          </w:rPr>
          <w:fldChar w:fldCharType="end"/>
        </w:r>
      </w:hyperlink>
    </w:p>
    <w:p w14:paraId="44AF6BF2"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75" w:history="1">
        <w:r w:rsidR="00ED715B" w:rsidRPr="00ED715B">
          <w:rPr>
            <w:rStyle w:val="Hyperlink"/>
            <w:noProof/>
          </w:rPr>
          <w:t>Figure 24 Piper diagram showing major ion concentrations</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_Toc420327775 \h </w:instrText>
        </w:r>
        <w:r w:rsidR="00ED715B" w:rsidRPr="00ED715B">
          <w:rPr>
            <w:noProof/>
            <w:webHidden/>
          </w:rPr>
        </w:r>
        <w:r w:rsidR="00ED715B" w:rsidRPr="00ED715B">
          <w:rPr>
            <w:noProof/>
            <w:webHidden/>
          </w:rPr>
          <w:fldChar w:fldCharType="separate"/>
        </w:r>
        <w:r w:rsidR="00BD60CC">
          <w:rPr>
            <w:noProof/>
            <w:webHidden/>
          </w:rPr>
          <w:t>56</w:t>
        </w:r>
        <w:r w:rsidR="00ED715B" w:rsidRPr="00ED715B">
          <w:rPr>
            <w:noProof/>
            <w:webHidden/>
          </w:rPr>
          <w:fldChar w:fldCharType="end"/>
        </w:r>
      </w:hyperlink>
    </w:p>
    <w:p w14:paraId="18CCF813"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76" w:history="1">
        <w:r w:rsidR="00ED715B" w:rsidRPr="00ED715B">
          <w:rPr>
            <w:rStyle w:val="Hyperlink"/>
            <w:noProof/>
          </w:rPr>
          <w:t>Figure 25a  Schoeller plots showing major ion chemistry by aquifer</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_Toc420327776 \h </w:instrText>
        </w:r>
        <w:r w:rsidR="00ED715B" w:rsidRPr="00ED715B">
          <w:rPr>
            <w:noProof/>
            <w:webHidden/>
          </w:rPr>
        </w:r>
        <w:r w:rsidR="00ED715B" w:rsidRPr="00ED715B">
          <w:rPr>
            <w:noProof/>
            <w:webHidden/>
          </w:rPr>
          <w:fldChar w:fldCharType="separate"/>
        </w:r>
        <w:r w:rsidR="00BD60CC">
          <w:rPr>
            <w:noProof/>
            <w:webHidden/>
          </w:rPr>
          <w:t>57</w:t>
        </w:r>
        <w:r w:rsidR="00ED715B" w:rsidRPr="00ED715B">
          <w:rPr>
            <w:noProof/>
            <w:webHidden/>
          </w:rPr>
          <w:fldChar w:fldCharType="end"/>
        </w:r>
      </w:hyperlink>
    </w:p>
    <w:p w14:paraId="0A55A1E9" w14:textId="77777777" w:rsidR="00ED715B" w:rsidRPr="00ED715B"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7777" w:history="1">
        <w:r w:rsidR="00ED715B" w:rsidRPr="00ED715B">
          <w:rPr>
            <w:rStyle w:val="Hyperlink"/>
            <w:noProof/>
          </w:rPr>
          <w:t>Figure 26b  Schoeller plots showing major ion chemistry by aquifer</w:t>
        </w:r>
        <w:r w:rsidR="00ED715B" w:rsidRPr="00ED715B">
          <w:rPr>
            <w:noProof/>
            <w:webHidden/>
          </w:rPr>
          <w:tab/>
        </w:r>
        <w:r w:rsidR="00ED715B" w:rsidRPr="00ED715B">
          <w:rPr>
            <w:noProof/>
            <w:webHidden/>
          </w:rPr>
          <w:fldChar w:fldCharType="begin"/>
        </w:r>
        <w:r w:rsidR="00ED715B" w:rsidRPr="00ED715B">
          <w:rPr>
            <w:noProof/>
            <w:webHidden/>
          </w:rPr>
          <w:instrText xml:space="preserve"> PAGEREF _Toc420327777 \h </w:instrText>
        </w:r>
        <w:r w:rsidR="00ED715B" w:rsidRPr="00ED715B">
          <w:rPr>
            <w:noProof/>
            <w:webHidden/>
          </w:rPr>
        </w:r>
        <w:r w:rsidR="00ED715B" w:rsidRPr="00ED715B">
          <w:rPr>
            <w:noProof/>
            <w:webHidden/>
          </w:rPr>
          <w:fldChar w:fldCharType="separate"/>
        </w:r>
        <w:r w:rsidR="00BD60CC">
          <w:rPr>
            <w:noProof/>
            <w:webHidden/>
          </w:rPr>
          <w:t>58</w:t>
        </w:r>
        <w:r w:rsidR="00ED715B" w:rsidRPr="00ED715B">
          <w:rPr>
            <w:noProof/>
            <w:webHidden/>
          </w:rPr>
          <w:fldChar w:fldCharType="end"/>
        </w:r>
      </w:hyperlink>
    </w:p>
    <w:p w14:paraId="176655FC" w14:textId="76D6CBD1" w:rsidR="00816E19" w:rsidRPr="00ED715B" w:rsidRDefault="00816E19" w:rsidP="00D0375F">
      <w:pPr>
        <w:spacing w:after="40"/>
        <w:rPr>
          <w:rFonts w:cs="Arial"/>
          <w:highlight w:val="yellow"/>
        </w:rPr>
      </w:pPr>
      <w:r w:rsidRPr="00ED715B">
        <w:rPr>
          <w:rFonts w:cs="Arial"/>
          <w:highlight w:val="yellow"/>
        </w:rPr>
        <w:fldChar w:fldCharType="end"/>
      </w:r>
    </w:p>
    <w:p w14:paraId="00349656" w14:textId="77777777" w:rsidR="009D3377" w:rsidRDefault="009D3377" w:rsidP="00D0375F">
      <w:r>
        <w:br w:type="page"/>
      </w:r>
    </w:p>
    <w:p w14:paraId="352FF4F3" w14:textId="0B135871" w:rsidR="00816E19" w:rsidRPr="00313834" w:rsidRDefault="00816E19" w:rsidP="00D0375F">
      <w:pPr>
        <w:pStyle w:val="H2green"/>
      </w:pPr>
      <w:r>
        <w:t>Tables</w:t>
      </w:r>
    </w:p>
    <w:p w14:paraId="39023976" w14:textId="77777777" w:rsidR="00206FC6" w:rsidRDefault="00816E19" w:rsidP="00D0375F">
      <w:pPr>
        <w:pStyle w:val="TableofFigures"/>
        <w:tabs>
          <w:tab w:val="right" w:leader="dot" w:pos="9628"/>
        </w:tabs>
        <w:spacing w:after="40"/>
        <w:rPr>
          <w:rFonts w:asciiTheme="minorHAnsi" w:hAnsiTheme="minorHAnsi"/>
          <w:noProof/>
          <w:sz w:val="22"/>
          <w:szCs w:val="22"/>
          <w:lang w:eastAsia="en-AU"/>
        </w:rPr>
      </w:pPr>
      <w:r>
        <w:rPr>
          <w:rFonts w:cs="Arial"/>
          <w:highlight w:val="yellow"/>
        </w:rPr>
        <w:fldChar w:fldCharType="begin"/>
      </w:r>
      <w:r>
        <w:rPr>
          <w:rFonts w:cs="Arial"/>
          <w:highlight w:val="yellow"/>
        </w:rPr>
        <w:instrText xml:space="preserve"> TOC \h \z \c "Table" </w:instrText>
      </w:r>
      <w:r>
        <w:rPr>
          <w:rFonts w:cs="Arial"/>
          <w:highlight w:val="yellow"/>
        </w:rPr>
        <w:fldChar w:fldCharType="separate"/>
      </w:r>
      <w:hyperlink w:anchor="_Toc420320551" w:history="1">
        <w:r w:rsidR="00206FC6" w:rsidRPr="003A2398">
          <w:rPr>
            <w:rStyle w:val="Hyperlink"/>
            <w:noProof/>
          </w:rPr>
          <w:t>Table 1 Proposed monitoring bores in areas of prospectivity and potential groundwater dependent environmental assets</w:t>
        </w:r>
        <w:r w:rsidR="00206FC6">
          <w:rPr>
            <w:noProof/>
            <w:webHidden/>
          </w:rPr>
          <w:tab/>
        </w:r>
        <w:r w:rsidR="00206FC6">
          <w:rPr>
            <w:noProof/>
            <w:webHidden/>
          </w:rPr>
          <w:fldChar w:fldCharType="begin"/>
        </w:r>
        <w:r w:rsidR="00206FC6">
          <w:rPr>
            <w:noProof/>
            <w:webHidden/>
          </w:rPr>
          <w:instrText xml:space="preserve"> PAGEREF _Toc420320551 \h </w:instrText>
        </w:r>
        <w:r w:rsidR="00206FC6">
          <w:rPr>
            <w:noProof/>
            <w:webHidden/>
          </w:rPr>
        </w:r>
        <w:r w:rsidR="00206FC6">
          <w:rPr>
            <w:noProof/>
            <w:webHidden/>
          </w:rPr>
          <w:fldChar w:fldCharType="separate"/>
        </w:r>
        <w:r w:rsidR="00BD60CC">
          <w:rPr>
            <w:noProof/>
            <w:webHidden/>
          </w:rPr>
          <w:t>28</w:t>
        </w:r>
        <w:r w:rsidR="00206FC6">
          <w:rPr>
            <w:noProof/>
            <w:webHidden/>
          </w:rPr>
          <w:fldChar w:fldCharType="end"/>
        </w:r>
      </w:hyperlink>
    </w:p>
    <w:p w14:paraId="25632355"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52" w:history="1">
        <w:r w:rsidR="00206FC6" w:rsidRPr="003A2398">
          <w:rPr>
            <w:rStyle w:val="Hyperlink"/>
            <w:noProof/>
          </w:rPr>
          <w:t>Table 2 Proposed monitoring bores in areas of prospectivity and high value Groundwater Dependent Environmental Assets</w:t>
        </w:r>
        <w:r w:rsidR="00206FC6">
          <w:rPr>
            <w:noProof/>
            <w:webHidden/>
          </w:rPr>
          <w:tab/>
        </w:r>
        <w:r w:rsidR="00206FC6">
          <w:rPr>
            <w:noProof/>
            <w:webHidden/>
          </w:rPr>
          <w:fldChar w:fldCharType="begin"/>
        </w:r>
        <w:r w:rsidR="00206FC6">
          <w:rPr>
            <w:noProof/>
            <w:webHidden/>
          </w:rPr>
          <w:instrText xml:space="preserve"> PAGEREF _Toc420320552 \h </w:instrText>
        </w:r>
        <w:r w:rsidR="00206FC6">
          <w:rPr>
            <w:noProof/>
            <w:webHidden/>
          </w:rPr>
        </w:r>
        <w:r w:rsidR="00206FC6">
          <w:rPr>
            <w:noProof/>
            <w:webHidden/>
          </w:rPr>
          <w:fldChar w:fldCharType="separate"/>
        </w:r>
        <w:r w:rsidR="00BD60CC">
          <w:rPr>
            <w:noProof/>
            <w:webHidden/>
          </w:rPr>
          <w:t>29</w:t>
        </w:r>
        <w:r w:rsidR="00206FC6">
          <w:rPr>
            <w:noProof/>
            <w:webHidden/>
          </w:rPr>
          <w:fldChar w:fldCharType="end"/>
        </w:r>
      </w:hyperlink>
    </w:p>
    <w:p w14:paraId="674F47F2"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53" w:history="1">
        <w:r w:rsidR="00206FC6" w:rsidRPr="003A2398">
          <w:rPr>
            <w:rStyle w:val="Hyperlink"/>
            <w:noProof/>
          </w:rPr>
          <w:t>Table 3 Proposed monitoring bores in areas of prospectivity and high value Groundwater Dependent Environmental Assets</w:t>
        </w:r>
        <w:r w:rsidR="00206FC6">
          <w:rPr>
            <w:noProof/>
            <w:webHidden/>
          </w:rPr>
          <w:tab/>
        </w:r>
        <w:r w:rsidR="00206FC6">
          <w:rPr>
            <w:noProof/>
            <w:webHidden/>
          </w:rPr>
          <w:fldChar w:fldCharType="begin"/>
        </w:r>
        <w:r w:rsidR="00206FC6">
          <w:rPr>
            <w:noProof/>
            <w:webHidden/>
          </w:rPr>
          <w:instrText xml:space="preserve"> PAGEREF _Toc420320553 \h </w:instrText>
        </w:r>
        <w:r w:rsidR="00206FC6">
          <w:rPr>
            <w:noProof/>
            <w:webHidden/>
          </w:rPr>
        </w:r>
        <w:r w:rsidR="00206FC6">
          <w:rPr>
            <w:noProof/>
            <w:webHidden/>
          </w:rPr>
          <w:fldChar w:fldCharType="separate"/>
        </w:r>
        <w:r w:rsidR="00BD60CC">
          <w:rPr>
            <w:noProof/>
            <w:webHidden/>
          </w:rPr>
          <w:t>30</w:t>
        </w:r>
        <w:r w:rsidR="00206FC6">
          <w:rPr>
            <w:noProof/>
            <w:webHidden/>
          </w:rPr>
          <w:fldChar w:fldCharType="end"/>
        </w:r>
      </w:hyperlink>
    </w:p>
    <w:p w14:paraId="67880779"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54" w:history="1">
        <w:r w:rsidR="00206FC6" w:rsidRPr="003A2398">
          <w:rPr>
            <w:rStyle w:val="Hyperlink"/>
            <w:noProof/>
          </w:rPr>
          <w:t>Table 4 Summary of GMAs and WSPAs in the Otway region</w:t>
        </w:r>
        <w:r w:rsidR="00206FC6">
          <w:rPr>
            <w:noProof/>
            <w:webHidden/>
          </w:rPr>
          <w:tab/>
        </w:r>
        <w:r w:rsidR="00206FC6">
          <w:rPr>
            <w:noProof/>
            <w:webHidden/>
          </w:rPr>
          <w:fldChar w:fldCharType="begin"/>
        </w:r>
        <w:r w:rsidR="00206FC6">
          <w:rPr>
            <w:noProof/>
            <w:webHidden/>
          </w:rPr>
          <w:instrText xml:space="preserve"> PAGEREF _Toc420320554 \h </w:instrText>
        </w:r>
        <w:r w:rsidR="00206FC6">
          <w:rPr>
            <w:noProof/>
            <w:webHidden/>
          </w:rPr>
        </w:r>
        <w:r w:rsidR="00206FC6">
          <w:rPr>
            <w:noProof/>
            <w:webHidden/>
          </w:rPr>
          <w:fldChar w:fldCharType="separate"/>
        </w:r>
        <w:r w:rsidR="00BD60CC">
          <w:rPr>
            <w:noProof/>
            <w:webHidden/>
          </w:rPr>
          <w:t>31</w:t>
        </w:r>
        <w:r w:rsidR="00206FC6">
          <w:rPr>
            <w:noProof/>
            <w:webHidden/>
          </w:rPr>
          <w:fldChar w:fldCharType="end"/>
        </w:r>
      </w:hyperlink>
    </w:p>
    <w:p w14:paraId="689390C2" w14:textId="3A84CF61"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55" w:history="1">
        <w:r w:rsidR="00206FC6" w:rsidRPr="003A2398">
          <w:rPr>
            <w:rStyle w:val="Hyperlink"/>
            <w:noProof/>
          </w:rPr>
          <w:t xml:space="preserve">Table 5 Selected monitoring bores in areas of high value groundwater asset (as indicated by GMAs </w:t>
        </w:r>
        <w:r w:rsidR="00D0375F">
          <w:rPr>
            <w:rStyle w:val="Hyperlink"/>
            <w:noProof/>
          </w:rPr>
          <w:br/>
        </w:r>
        <w:r w:rsidR="00206FC6" w:rsidRPr="003A2398">
          <w:rPr>
            <w:rStyle w:val="Hyperlink"/>
            <w:noProof/>
          </w:rPr>
          <w:t>and WSPAs)</w:t>
        </w:r>
        <w:r w:rsidR="00206FC6">
          <w:rPr>
            <w:noProof/>
            <w:webHidden/>
          </w:rPr>
          <w:tab/>
        </w:r>
        <w:r w:rsidR="00206FC6">
          <w:rPr>
            <w:noProof/>
            <w:webHidden/>
          </w:rPr>
          <w:fldChar w:fldCharType="begin"/>
        </w:r>
        <w:r w:rsidR="00206FC6">
          <w:rPr>
            <w:noProof/>
            <w:webHidden/>
          </w:rPr>
          <w:instrText xml:space="preserve"> PAGEREF _Toc420320555 \h </w:instrText>
        </w:r>
        <w:r w:rsidR="00206FC6">
          <w:rPr>
            <w:noProof/>
            <w:webHidden/>
          </w:rPr>
        </w:r>
        <w:r w:rsidR="00206FC6">
          <w:rPr>
            <w:noProof/>
            <w:webHidden/>
          </w:rPr>
          <w:fldChar w:fldCharType="separate"/>
        </w:r>
        <w:r w:rsidR="00BD60CC">
          <w:rPr>
            <w:noProof/>
            <w:webHidden/>
          </w:rPr>
          <w:t>33</w:t>
        </w:r>
        <w:r w:rsidR="00206FC6">
          <w:rPr>
            <w:noProof/>
            <w:webHidden/>
          </w:rPr>
          <w:fldChar w:fldCharType="end"/>
        </w:r>
      </w:hyperlink>
    </w:p>
    <w:p w14:paraId="00256096" w14:textId="14149BDA"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56" w:history="1">
        <w:r w:rsidR="00206FC6" w:rsidRPr="003A2398">
          <w:rPr>
            <w:rStyle w:val="Hyperlink"/>
            <w:noProof/>
          </w:rPr>
          <w:t xml:space="preserve">Table 6 Selected monitoringbores in areas of high value groundwater asset (as indicated by GMAs </w:t>
        </w:r>
        <w:r w:rsidR="00D0375F">
          <w:rPr>
            <w:rStyle w:val="Hyperlink"/>
            <w:noProof/>
          </w:rPr>
          <w:br/>
        </w:r>
        <w:r w:rsidR="00206FC6" w:rsidRPr="003A2398">
          <w:rPr>
            <w:rStyle w:val="Hyperlink"/>
            <w:noProof/>
          </w:rPr>
          <w:t>and WSPAs)</w:t>
        </w:r>
        <w:r w:rsidR="00206FC6">
          <w:rPr>
            <w:noProof/>
            <w:webHidden/>
          </w:rPr>
          <w:tab/>
        </w:r>
        <w:r w:rsidR="00206FC6">
          <w:rPr>
            <w:noProof/>
            <w:webHidden/>
          </w:rPr>
          <w:fldChar w:fldCharType="begin"/>
        </w:r>
        <w:r w:rsidR="00206FC6">
          <w:rPr>
            <w:noProof/>
            <w:webHidden/>
          </w:rPr>
          <w:instrText xml:space="preserve"> PAGEREF _Toc420320556 \h </w:instrText>
        </w:r>
        <w:r w:rsidR="00206FC6">
          <w:rPr>
            <w:noProof/>
            <w:webHidden/>
          </w:rPr>
        </w:r>
        <w:r w:rsidR="00206FC6">
          <w:rPr>
            <w:noProof/>
            <w:webHidden/>
          </w:rPr>
          <w:fldChar w:fldCharType="separate"/>
        </w:r>
        <w:r w:rsidR="00BD60CC">
          <w:rPr>
            <w:noProof/>
            <w:webHidden/>
          </w:rPr>
          <w:t>35</w:t>
        </w:r>
        <w:r w:rsidR="00206FC6">
          <w:rPr>
            <w:noProof/>
            <w:webHidden/>
          </w:rPr>
          <w:fldChar w:fldCharType="end"/>
        </w:r>
      </w:hyperlink>
    </w:p>
    <w:p w14:paraId="34F70281" w14:textId="75ABA4FA"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57" w:history="1">
        <w:r w:rsidR="00206FC6" w:rsidRPr="003A2398">
          <w:rPr>
            <w:rStyle w:val="Hyperlink"/>
            <w:noProof/>
          </w:rPr>
          <w:t xml:space="preserve">Table 7 Selected monitoring bores in areas of high value groundwater asset (as indicated by GMAs </w:t>
        </w:r>
        <w:r w:rsidR="00D0375F">
          <w:rPr>
            <w:rStyle w:val="Hyperlink"/>
            <w:noProof/>
          </w:rPr>
          <w:br/>
        </w:r>
        <w:r w:rsidR="00206FC6" w:rsidRPr="003A2398">
          <w:rPr>
            <w:rStyle w:val="Hyperlink"/>
            <w:noProof/>
          </w:rPr>
          <w:t>and WSPAs)</w:t>
        </w:r>
        <w:r w:rsidR="00206FC6">
          <w:rPr>
            <w:noProof/>
            <w:webHidden/>
          </w:rPr>
          <w:tab/>
        </w:r>
        <w:r w:rsidR="00206FC6">
          <w:rPr>
            <w:noProof/>
            <w:webHidden/>
          </w:rPr>
          <w:fldChar w:fldCharType="begin"/>
        </w:r>
        <w:r w:rsidR="00206FC6">
          <w:rPr>
            <w:noProof/>
            <w:webHidden/>
          </w:rPr>
          <w:instrText xml:space="preserve"> PAGEREF _Toc420320557 \h </w:instrText>
        </w:r>
        <w:r w:rsidR="00206FC6">
          <w:rPr>
            <w:noProof/>
            <w:webHidden/>
          </w:rPr>
        </w:r>
        <w:r w:rsidR="00206FC6">
          <w:rPr>
            <w:noProof/>
            <w:webHidden/>
          </w:rPr>
          <w:fldChar w:fldCharType="separate"/>
        </w:r>
        <w:r w:rsidR="00BD60CC">
          <w:rPr>
            <w:noProof/>
            <w:webHidden/>
          </w:rPr>
          <w:t>36</w:t>
        </w:r>
        <w:r w:rsidR="00206FC6">
          <w:rPr>
            <w:noProof/>
            <w:webHidden/>
          </w:rPr>
          <w:fldChar w:fldCharType="end"/>
        </w:r>
      </w:hyperlink>
    </w:p>
    <w:p w14:paraId="0327E88F" w14:textId="54E50028"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58" w:history="1">
        <w:r w:rsidR="00206FC6" w:rsidRPr="003A2398">
          <w:rPr>
            <w:rStyle w:val="Hyperlink"/>
            <w:noProof/>
          </w:rPr>
          <w:t xml:space="preserve">Table 8 Summary of intersection between areas identified as potential hydrocarbon occurrence and </w:t>
        </w:r>
        <w:r w:rsidR="00D0375F">
          <w:rPr>
            <w:rStyle w:val="Hyperlink"/>
            <w:noProof/>
          </w:rPr>
          <w:br/>
        </w:r>
        <w:r w:rsidR="00206FC6" w:rsidRPr="003A2398">
          <w:rPr>
            <w:rStyle w:val="Hyperlink"/>
            <w:noProof/>
          </w:rPr>
          <w:t>selected monitoring bores</w:t>
        </w:r>
        <w:r w:rsidR="00206FC6">
          <w:rPr>
            <w:noProof/>
            <w:webHidden/>
          </w:rPr>
          <w:tab/>
        </w:r>
        <w:r w:rsidR="00206FC6">
          <w:rPr>
            <w:noProof/>
            <w:webHidden/>
          </w:rPr>
          <w:fldChar w:fldCharType="begin"/>
        </w:r>
        <w:r w:rsidR="00206FC6">
          <w:rPr>
            <w:noProof/>
            <w:webHidden/>
          </w:rPr>
          <w:instrText xml:space="preserve"> PAGEREF _Toc420320558 \h </w:instrText>
        </w:r>
        <w:r w:rsidR="00206FC6">
          <w:rPr>
            <w:noProof/>
            <w:webHidden/>
          </w:rPr>
        </w:r>
        <w:r w:rsidR="00206FC6">
          <w:rPr>
            <w:noProof/>
            <w:webHidden/>
          </w:rPr>
          <w:fldChar w:fldCharType="separate"/>
        </w:r>
        <w:r w:rsidR="00BD60CC">
          <w:rPr>
            <w:noProof/>
            <w:webHidden/>
          </w:rPr>
          <w:t>37</w:t>
        </w:r>
        <w:r w:rsidR="00206FC6">
          <w:rPr>
            <w:noProof/>
            <w:webHidden/>
          </w:rPr>
          <w:fldChar w:fldCharType="end"/>
        </w:r>
      </w:hyperlink>
    </w:p>
    <w:p w14:paraId="2D1161B5"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59" w:history="1">
        <w:r w:rsidR="00206FC6" w:rsidRPr="003A2398">
          <w:rPr>
            <w:rStyle w:val="Hyperlink"/>
            <w:noProof/>
          </w:rPr>
          <w:t>Table 9 Summary of nested sites targeting well recognised assets in the Otway region</w:t>
        </w:r>
        <w:r w:rsidR="00206FC6">
          <w:rPr>
            <w:noProof/>
            <w:webHidden/>
          </w:rPr>
          <w:tab/>
        </w:r>
        <w:r w:rsidR="00206FC6">
          <w:rPr>
            <w:noProof/>
            <w:webHidden/>
          </w:rPr>
          <w:fldChar w:fldCharType="begin"/>
        </w:r>
        <w:r w:rsidR="00206FC6">
          <w:rPr>
            <w:noProof/>
            <w:webHidden/>
          </w:rPr>
          <w:instrText xml:space="preserve"> PAGEREF _Toc420320559 \h </w:instrText>
        </w:r>
        <w:r w:rsidR="00206FC6">
          <w:rPr>
            <w:noProof/>
            <w:webHidden/>
          </w:rPr>
        </w:r>
        <w:r w:rsidR="00206FC6">
          <w:rPr>
            <w:noProof/>
            <w:webHidden/>
          </w:rPr>
          <w:fldChar w:fldCharType="separate"/>
        </w:r>
        <w:r w:rsidR="00BD60CC">
          <w:rPr>
            <w:noProof/>
            <w:webHidden/>
          </w:rPr>
          <w:t>39</w:t>
        </w:r>
        <w:r w:rsidR="00206FC6">
          <w:rPr>
            <w:noProof/>
            <w:webHidden/>
          </w:rPr>
          <w:fldChar w:fldCharType="end"/>
        </w:r>
      </w:hyperlink>
    </w:p>
    <w:p w14:paraId="0EDE3999"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60" w:history="1">
        <w:r w:rsidR="00206FC6" w:rsidRPr="003A2398">
          <w:rPr>
            <w:rStyle w:val="Hyperlink"/>
            <w:noProof/>
          </w:rPr>
          <w:t>Table 10 Summary of selected bores for the Otway monitoring network</w:t>
        </w:r>
        <w:r w:rsidR="00206FC6">
          <w:rPr>
            <w:noProof/>
            <w:webHidden/>
          </w:rPr>
          <w:tab/>
        </w:r>
        <w:r w:rsidR="00206FC6">
          <w:rPr>
            <w:noProof/>
            <w:webHidden/>
          </w:rPr>
          <w:fldChar w:fldCharType="begin"/>
        </w:r>
        <w:r w:rsidR="00206FC6">
          <w:rPr>
            <w:noProof/>
            <w:webHidden/>
          </w:rPr>
          <w:instrText xml:space="preserve"> PAGEREF _Toc420320560 \h </w:instrText>
        </w:r>
        <w:r w:rsidR="00206FC6">
          <w:rPr>
            <w:noProof/>
            <w:webHidden/>
          </w:rPr>
        </w:r>
        <w:r w:rsidR="00206FC6">
          <w:rPr>
            <w:noProof/>
            <w:webHidden/>
          </w:rPr>
          <w:fldChar w:fldCharType="separate"/>
        </w:r>
        <w:r w:rsidR="00BD60CC">
          <w:rPr>
            <w:noProof/>
            <w:webHidden/>
          </w:rPr>
          <w:t>42</w:t>
        </w:r>
        <w:r w:rsidR="00206FC6">
          <w:rPr>
            <w:noProof/>
            <w:webHidden/>
          </w:rPr>
          <w:fldChar w:fldCharType="end"/>
        </w:r>
      </w:hyperlink>
    </w:p>
    <w:p w14:paraId="7E5448B8"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61" w:history="1">
        <w:r w:rsidR="00206FC6" w:rsidRPr="003A2398">
          <w:rPr>
            <w:rStyle w:val="Hyperlink"/>
            <w:noProof/>
          </w:rPr>
          <w:t>Table 11 Acceptance criteria for QA/QC samples</w:t>
        </w:r>
        <w:r w:rsidR="00206FC6">
          <w:rPr>
            <w:noProof/>
            <w:webHidden/>
          </w:rPr>
          <w:tab/>
        </w:r>
        <w:r w:rsidR="00206FC6">
          <w:rPr>
            <w:noProof/>
            <w:webHidden/>
          </w:rPr>
          <w:fldChar w:fldCharType="begin"/>
        </w:r>
        <w:r w:rsidR="00206FC6">
          <w:rPr>
            <w:noProof/>
            <w:webHidden/>
          </w:rPr>
          <w:instrText xml:space="preserve"> PAGEREF _Toc420320561 \h </w:instrText>
        </w:r>
        <w:r w:rsidR="00206FC6">
          <w:rPr>
            <w:noProof/>
            <w:webHidden/>
          </w:rPr>
        </w:r>
        <w:r w:rsidR="00206FC6">
          <w:rPr>
            <w:noProof/>
            <w:webHidden/>
          </w:rPr>
          <w:fldChar w:fldCharType="separate"/>
        </w:r>
        <w:r w:rsidR="00BD60CC">
          <w:rPr>
            <w:noProof/>
            <w:webHidden/>
          </w:rPr>
          <w:t>50</w:t>
        </w:r>
        <w:r w:rsidR="00206FC6">
          <w:rPr>
            <w:noProof/>
            <w:webHidden/>
          </w:rPr>
          <w:fldChar w:fldCharType="end"/>
        </w:r>
      </w:hyperlink>
    </w:p>
    <w:p w14:paraId="0276A625"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62" w:history="1">
        <w:r w:rsidR="00206FC6" w:rsidRPr="003A2398">
          <w:rPr>
            <w:rStyle w:val="Hyperlink"/>
            <w:noProof/>
          </w:rPr>
          <w:t>Table 12 QA/QC samples</w:t>
        </w:r>
        <w:r w:rsidR="00206FC6">
          <w:rPr>
            <w:noProof/>
            <w:webHidden/>
          </w:rPr>
          <w:tab/>
        </w:r>
        <w:r w:rsidR="00206FC6">
          <w:rPr>
            <w:noProof/>
            <w:webHidden/>
          </w:rPr>
          <w:fldChar w:fldCharType="begin"/>
        </w:r>
        <w:r w:rsidR="00206FC6">
          <w:rPr>
            <w:noProof/>
            <w:webHidden/>
          </w:rPr>
          <w:instrText xml:space="preserve"> PAGEREF _Toc420320562 \h </w:instrText>
        </w:r>
        <w:r w:rsidR="00206FC6">
          <w:rPr>
            <w:noProof/>
            <w:webHidden/>
          </w:rPr>
        </w:r>
        <w:r w:rsidR="00206FC6">
          <w:rPr>
            <w:noProof/>
            <w:webHidden/>
          </w:rPr>
          <w:fldChar w:fldCharType="separate"/>
        </w:r>
        <w:r w:rsidR="00BD60CC">
          <w:rPr>
            <w:noProof/>
            <w:webHidden/>
          </w:rPr>
          <w:t>50</w:t>
        </w:r>
        <w:r w:rsidR="00206FC6">
          <w:rPr>
            <w:noProof/>
            <w:webHidden/>
          </w:rPr>
          <w:fldChar w:fldCharType="end"/>
        </w:r>
      </w:hyperlink>
    </w:p>
    <w:p w14:paraId="1CD0911E"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63" w:history="1">
        <w:r w:rsidR="00206FC6" w:rsidRPr="003A2398">
          <w:rPr>
            <w:rStyle w:val="Hyperlink"/>
            <w:noProof/>
          </w:rPr>
          <w:t>Table 13: Anomalies determined through QA/QC assessment</w:t>
        </w:r>
        <w:r w:rsidR="00206FC6">
          <w:rPr>
            <w:noProof/>
            <w:webHidden/>
          </w:rPr>
          <w:tab/>
        </w:r>
        <w:r w:rsidR="00206FC6">
          <w:rPr>
            <w:noProof/>
            <w:webHidden/>
          </w:rPr>
          <w:fldChar w:fldCharType="begin"/>
        </w:r>
        <w:r w:rsidR="00206FC6">
          <w:rPr>
            <w:noProof/>
            <w:webHidden/>
          </w:rPr>
          <w:instrText xml:space="preserve"> PAGEREF _Toc420320563 \h </w:instrText>
        </w:r>
        <w:r w:rsidR="00206FC6">
          <w:rPr>
            <w:noProof/>
            <w:webHidden/>
          </w:rPr>
        </w:r>
        <w:r w:rsidR="00206FC6">
          <w:rPr>
            <w:noProof/>
            <w:webHidden/>
          </w:rPr>
          <w:fldChar w:fldCharType="separate"/>
        </w:r>
        <w:r w:rsidR="00BD60CC">
          <w:rPr>
            <w:noProof/>
            <w:webHidden/>
          </w:rPr>
          <w:t>51</w:t>
        </w:r>
        <w:r w:rsidR="00206FC6">
          <w:rPr>
            <w:noProof/>
            <w:webHidden/>
          </w:rPr>
          <w:fldChar w:fldCharType="end"/>
        </w:r>
      </w:hyperlink>
    </w:p>
    <w:p w14:paraId="085BDDCF"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64" w:history="1">
        <w:r w:rsidR="00206FC6" w:rsidRPr="003A2398">
          <w:rPr>
            <w:rStyle w:val="Hyperlink"/>
            <w:noProof/>
          </w:rPr>
          <w:t>Table 14 Methane concentration by aquifer (water samples)</w:t>
        </w:r>
        <w:r w:rsidR="00206FC6">
          <w:rPr>
            <w:noProof/>
            <w:webHidden/>
          </w:rPr>
          <w:tab/>
        </w:r>
        <w:r w:rsidR="00206FC6">
          <w:rPr>
            <w:noProof/>
            <w:webHidden/>
          </w:rPr>
          <w:fldChar w:fldCharType="begin"/>
        </w:r>
        <w:r w:rsidR="00206FC6">
          <w:rPr>
            <w:noProof/>
            <w:webHidden/>
          </w:rPr>
          <w:instrText xml:space="preserve"> PAGEREF _Toc420320564 \h </w:instrText>
        </w:r>
        <w:r w:rsidR="00206FC6">
          <w:rPr>
            <w:noProof/>
            <w:webHidden/>
          </w:rPr>
        </w:r>
        <w:r w:rsidR="00206FC6">
          <w:rPr>
            <w:noProof/>
            <w:webHidden/>
          </w:rPr>
          <w:fldChar w:fldCharType="separate"/>
        </w:r>
        <w:r w:rsidR="00BD60CC">
          <w:rPr>
            <w:noProof/>
            <w:webHidden/>
          </w:rPr>
          <w:t>53</w:t>
        </w:r>
        <w:r w:rsidR="00206FC6">
          <w:rPr>
            <w:noProof/>
            <w:webHidden/>
          </w:rPr>
          <w:fldChar w:fldCharType="end"/>
        </w:r>
      </w:hyperlink>
    </w:p>
    <w:p w14:paraId="4758F144"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65" w:history="1">
        <w:r w:rsidR="00206FC6" w:rsidRPr="003A2398">
          <w:rPr>
            <w:rStyle w:val="Hyperlink"/>
            <w:noProof/>
          </w:rPr>
          <w:t>Table 15 Concentrations of Total Recoverable Hydrocarbons for bores where detection occurred (µg/L)</w:t>
        </w:r>
        <w:r w:rsidR="00206FC6">
          <w:rPr>
            <w:noProof/>
            <w:webHidden/>
          </w:rPr>
          <w:tab/>
        </w:r>
        <w:r w:rsidR="00206FC6">
          <w:rPr>
            <w:noProof/>
            <w:webHidden/>
          </w:rPr>
          <w:fldChar w:fldCharType="begin"/>
        </w:r>
        <w:r w:rsidR="00206FC6">
          <w:rPr>
            <w:noProof/>
            <w:webHidden/>
          </w:rPr>
          <w:instrText xml:space="preserve"> PAGEREF _Toc420320565 \h </w:instrText>
        </w:r>
        <w:r w:rsidR="00206FC6">
          <w:rPr>
            <w:noProof/>
            <w:webHidden/>
          </w:rPr>
        </w:r>
        <w:r w:rsidR="00206FC6">
          <w:rPr>
            <w:noProof/>
            <w:webHidden/>
          </w:rPr>
          <w:fldChar w:fldCharType="separate"/>
        </w:r>
        <w:r w:rsidR="00BD60CC">
          <w:rPr>
            <w:noProof/>
            <w:webHidden/>
          </w:rPr>
          <w:t>55</w:t>
        </w:r>
        <w:r w:rsidR="00206FC6">
          <w:rPr>
            <w:noProof/>
            <w:webHidden/>
          </w:rPr>
          <w:fldChar w:fldCharType="end"/>
        </w:r>
      </w:hyperlink>
    </w:p>
    <w:p w14:paraId="3A2C97D8"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66" w:history="1">
        <w:r w:rsidR="00206FC6" w:rsidRPr="003A2398">
          <w:rPr>
            <w:rStyle w:val="Hyperlink"/>
            <w:noProof/>
          </w:rPr>
          <w:t>Table 16 Groundwater salinity</w:t>
        </w:r>
        <w:r w:rsidR="00206FC6">
          <w:rPr>
            <w:noProof/>
            <w:webHidden/>
          </w:rPr>
          <w:tab/>
        </w:r>
        <w:r w:rsidR="00206FC6">
          <w:rPr>
            <w:noProof/>
            <w:webHidden/>
          </w:rPr>
          <w:fldChar w:fldCharType="begin"/>
        </w:r>
        <w:r w:rsidR="00206FC6">
          <w:rPr>
            <w:noProof/>
            <w:webHidden/>
          </w:rPr>
          <w:instrText xml:space="preserve"> PAGEREF _Toc420320566 \h </w:instrText>
        </w:r>
        <w:r w:rsidR="00206FC6">
          <w:rPr>
            <w:noProof/>
            <w:webHidden/>
          </w:rPr>
        </w:r>
        <w:r w:rsidR="00206FC6">
          <w:rPr>
            <w:noProof/>
            <w:webHidden/>
          </w:rPr>
          <w:fldChar w:fldCharType="separate"/>
        </w:r>
        <w:r w:rsidR="00BD60CC">
          <w:rPr>
            <w:noProof/>
            <w:webHidden/>
          </w:rPr>
          <w:t>59</w:t>
        </w:r>
        <w:r w:rsidR="00206FC6">
          <w:rPr>
            <w:noProof/>
            <w:webHidden/>
          </w:rPr>
          <w:fldChar w:fldCharType="end"/>
        </w:r>
      </w:hyperlink>
    </w:p>
    <w:p w14:paraId="5BCA00A6"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67" w:history="1">
        <w:r w:rsidR="00206FC6" w:rsidRPr="003A2398">
          <w:rPr>
            <w:rStyle w:val="Hyperlink"/>
            <w:noProof/>
          </w:rPr>
          <w:t>Table 17 Total Nitrogen Concentrations</w:t>
        </w:r>
        <w:r w:rsidR="00206FC6">
          <w:rPr>
            <w:noProof/>
            <w:webHidden/>
          </w:rPr>
          <w:tab/>
        </w:r>
        <w:r w:rsidR="00206FC6">
          <w:rPr>
            <w:noProof/>
            <w:webHidden/>
          </w:rPr>
          <w:fldChar w:fldCharType="begin"/>
        </w:r>
        <w:r w:rsidR="00206FC6">
          <w:rPr>
            <w:noProof/>
            <w:webHidden/>
          </w:rPr>
          <w:instrText xml:space="preserve"> PAGEREF _Toc420320567 \h </w:instrText>
        </w:r>
        <w:r w:rsidR="00206FC6">
          <w:rPr>
            <w:noProof/>
            <w:webHidden/>
          </w:rPr>
        </w:r>
        <w:r w:rsidR="00206FC6">
          <w:rPr>
            <w:noProof/>
            <w:webHidden/>
          </w:rPr>
          <w:fldChar w:fldCharType="separate"/>
        </w:r>
        <w:r w:rsidR="00BD60CC">
          <w:rPr>
            <w:noProof/>
            <w:webHidden/>
          </w:rPr>
          <w:t>59</w:t>
        </w:r>
        <w:r w:rsidR="00206FC6">
          <w:rPr>
            <w:noProof/>
            <w:webHidden/>
          </w:rPr>
          <w:fldChar w:fldCharType="end"/>
        </w:r>
      </w:hyperlink>
    </w:p>
    <w:p w14:paraId="6F87CF92"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68" w:history="1">
        <w:r w:rsidR="00206FC6" w:rsidRPr="003A2398">
          <w:rPr>
            <w:rStyle w:val="Hyperlink"/>
            <w:noProof/>
          </w:rPr>
          <w:t>Table 18 Summary of indicator parameters measured in the field</w:t>
        </w:r>
        <w:r w:rsidR="00206FC6">
          <w:rPr>
            <w:noProof/>
            <w:webHidden/>
          </w:rPr>
          <w:tab/>
        </w:r>
        <w:r w:rsidR="00206FC6">
          <w:rPr>
            <w:noProof/>
            <w:webHidden/>
          </w:rPr>
          <w:fldChar w:fldCharType="begin"/>
        </w:r>
        <w:r w:rsidR="00206FC6">
          <w:rPr>
            <w:noProof/>
            <w:webHidden/>
          </w:rPr>
          <w:instrText xml:space="preserve"> PAGEREF _Toc420320568 \h </w:instrText>
        </w:r>
        <w:r w:rsidR="00206FC6">
          <w:rPr>
            <w:noProof/>
            <w:webHidden/>
          </w:rPr>
        </w:r>
        <w:r w:rsidR="00206FC6">
          <w:rPr>
            <w:noProof/>
            <w:webHidden/>
          </w:rPr>
          <w:fldChar w:fldCharType="separate"/>
        </w:r>
        <w:r w:rsidR="00BD60CC">
          <w:rPr>
            <w:noProof/>
            <w:webHidden/>
          </w:rPr>
          <w:t>60</w:t>
        </w:r>
        <w:r w:rsidR="00206FC6">
          <w:rPr>
            <w:noProof/>
            <w:webHidden/>
          </w:rPr>
          <w:fldChar w:fldCharType="end"/>
        </w:r>
      </w:hyperlink>
    </w:p>
    <w:p w14:paraId="48330A20" w14:textId="5AEAB085"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69" w:history="1">
        <w:r w:rsidR="00206FC6" w:rsidRPr="003A2398">
          <w:rPr>
            <w:rStyle w:val="Hyperlink"/>
            <w:noProof/>
          </w:rPr>
          <w:t xml:space="preserve">Table 19 Quaternary Aquifer </w:t>
        </w:r>
        <w:r w:rsidR="00EC356C">
          <w:rPr>
            <w:rStyle w:val="Hyperlink"/>
            <w:noProof/>
          </w:rPr>
          <w:t>monitoring</w:t>
        </w:r>
        <w:r w:rsidR="00206FC6" w:rsidRPr="003A2398">
          <w:rPr>
            <w:rStyle w:val="Hyperlink"/>
            <w:noProof/>
          </w:rPr>
          <w:t xml:space="preserve"> Bores</w:t>
        </w:r>
        <w:r w:rsidR="00206FC6">
          <w:rPr>
            <w:noProof/>
            <w:webHidden/>
          </w:rPr>
          <w:tab/>
        </w:r>
        <w:r w:rsidR="00206FC6">
          <w:rPr>
            <w:noProof/>
            <w:webHidden/>
          </w:rPr>
          <w:fldChar w:fldCharType="begin"/>
        </w:r>
        <w:r w:rsidR="00206FC6">
          <w:rPr>
            <w:noProof/>
            <w:webHidden/>
          </w:rPr>
          <w:instrText xml:space="preserve"> PAGEREF _Toc420320569 \h </w:instrText>
        </w:r>
        <w:r w:rsidR="00206FC6">
          <w:rPr>
            <w:noProof/>
            <w:webHidden/>
          </w:rPr>
        </w:r>
        <w:r w:rsidR="00206FC6">
          <w:rPr>
            <w:noProof/>
            <w:webHidden/>
          </w:rPr>
          <w:fldChar w:fldCharType="separate"/>
        </w:r>
        <w:r w:rsidR="00BD60CC">
          <w:rPr>
            <w:noProof/>
            <w:webHidden/>
          </w:rPr>
          <w:t>62</w:t>
        </w:r>
        <w:r w:rsidR="00206FC6">
          <w:rPr>
            <w:noProof/>
            <w:webHidden/>
          </w:rPr>
          <w:fldChar w:fldCharType="end"/>
        </w:r>
      </w:hyperlink>
    </w:p>
    <w:p w14:paraId="691851A7"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70" w:history="1">
        <w:r w:rsidR="00206FC6" w:rsidRPr="003A2398">
          <w:rPr>
            <w:rStyle w:val="Hyperlink"/>
            <w:noProof/>
          </w:rPr>
          <w:t>Table 20 Upper Tertiary / Quaternary Basalt Aquifer</w:t>
        </w:r>
        <w:r w:rsidR="00206FC6">
          <w:rPr>
            <w:noProof/>
            <w:webHidden/>
          </w:rPr>
          <w:tab/>
        </w:r>
        <w:r w:rsidR="00206FC6">
          <w:rPr>
            <w:noProof/>
            <w:webHidden/>
          </w:rPr>
          <w:fldChar w:fldCharType="begin"/>
        </w:r>
        <w:r w:rsidR="00206FC6">
          <w:rPr>
            <w:noProof/>
            <w:webHidden/>
          </w:rPr>
          <w:instrText xml:space="preserve"> PAGEREF _Toc420320570 \h </w:instrText>
        </w:r>
        <w:r w:rsidR="00206FC6">
          <w:rPr>
            <w:noProof/>
            <w:webHidden/>
          </w:rPr>
        </w:r>
        <w:r w:rsidR="00206FC6">
          <w:rPr>
            <w:noProof/>
            <w:webHidden/>
          </w:rPr>
          <w:fldChar w:fldCharType="separate"/>
        </w:r>
        <w:r w:rsidR="00BD60CC">
          <w:rPr>
            <w:noProof/>
            <w:webHidden/>
          </w:rPr>
          <w:t>63</w:t>
        </w:r>
        <w:r w:rsidR="00206FC6">
          <w:rPr>
            <w:noProof/>
            <w:webHidden/>
          </w:rPr>
          <w:fldChar w:fldCharType="end"/>
        </w:r>
      </w:hyperlink>
    </w:p>
    <w:p w14:paraId="65016050"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71" w:history="1">
        <w:r w:rsidR="00206FC6" w:rsidRPr="003A2398">
          <w:rPr>
            <w:rStyle w:val="Hyperlink"/>
            <w:noProof/>
          </w:rPr>
          <w:t>Table 21 Upper Tertiary Aquifer (marine)</w:t>
        </w:r>
        <w:r w:rsidR="00206FC6">
          <w:rPr>
            <w:noProof/>
            <w:webHidden/>
          </w:rPr>
          <w:tab/>
        </w:r>
        <w:r w:rsidR="00206FC6">
          <w:rPr>
            <w:noProof/>
            <w:webHidden/>
          </w:rPr>
          <w:fldChar w:fldCharType="begin"/>
        </w:r>
        <w:r w:rsidR="00206FC6">
          <w:rPr>
            <w:noProof/>
            <w:webHidden/>
          </w:rPr>
          <w:instrText xml:space="preserve"> PAGEREF _Toc420320571 \h </w:instrText>
        </w:r>
        <w:r w:rsidR="00206FC6">
          <w:rPr>
            <w:noProof/>
            <w:webHidden/>
          </w:rPr>
        </w:r>
        <w:r w:rsidR="00206FC6">
          <w:rPr>
            <w:noProof/>
            <w:webHidden/>
          </w:rPr>
          <w:fldChar w:fldCharType="separate"/>
        </w:r>
        <w:r w:rsidR="00BD60CC">
          <w:rPr>
            <w:noProof/>
            <w:webHidden/>
          </w:rPr>
          <w:t>64</w:t>
        </w:r>
        <w:r w:rsidR="00206FC6">
          <w:rPr>
            <w:noProof/>
            <w:webHidden/>
          </w:rPr>
          <w:fldChar w:fldCharType="end"/>
        </w:r>
      </w:hyperlink>
    </w:p>
    <w:p w14:paraId="00D8C571"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72" w:history="1">
        <w:r w:rsidR="00206FC6" w:rsidRPr="003A2398">
          <w:rPr>
            <w:rStyle w:val="Hyperlink"/>
            <w:noProof/>
          </w:rPr>
          <w:t>Table 22 Upper Mid-Tertiary Aquifer</w:t>
        </w:r>
        <w:r w:rsidR="00206FC6">
          <w:rPr>
            <w:noProof/>
            <w:webHidden/>
          </w:rPr>
          <w:tab/>
        </w:r>
        <w:r w:rsidR="00206FC6">
          <w:rPr>
            <w:noProof/>
            <w:webHidden/>
          </w:rPr>
          <w:fldChar w:fldCharType="begin"/>
        </w:r>
        <w:r w:rsidR="00206FC6">
          <w:rPr>
            <w:noProof/>
            <w:webHidden/>
          </w:rPr>
          <w:instrText xml:space="preserve"> PAGEREF _Toc420320572 \h </w:instrText>
        </w:r>
        <w:r w:rsidR="00206FC6">
          <w:rPr>
            <w:noProof/>
            <w:webHidden/>
          </w:rPr>
        </w:r>
        <w:r w:rsidR="00206FC6">
          <w:rPr>
            <w:noProof/>
            <w:webHidden/>
          </w:rPr>
          <w:fldChar w:fldCharType="separate"/>
        </w:r>
        <w:r w:rsidR="00BD60CC">
          <w:rPr>
            <w:noProof/>
            <w:webHidden/>
          </w:rPr>
          <w:t>65</w:t>
        </w:r>
        <w:r w:rsidR="00206FC6">
          <w:rPr>
            <w:noProof/>
            <w:webHidden/>
          </w:rPr>
          <w:fldChar w:fldCharType="end"/>
        </w:r>
      </w:hyperlink>
    </w:p>
    <w:p w14:paraId="171B3481"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73" w:history="1">
        <w:r w:rsidR="00206FC6" w:rsidRPr="003A2398">
          <w:rPr>
            <w:rStyle w:val="Hyperlink"/>
            <w:noProof/>
          </w:rPr>
          <w:t>Table 23 Lower Mid-Tertiary Aquifer</w:t>
        </w:r>
        <w:r w:rsidR="00206FC6">
          <w:rPr>
            <w:noProof/>
            <w:webHidden/>
          </w:rPr>
          <w:tab/>
        </w:r>
        <w:r w:rsidR="00206FC6">
          <w:rPr>
            <w:noProof/>
            <w:webHidden/>
          </w:rPr>
          <w:fldChar w:fldCharType="begin"/>
        </w:r>
        <w:r w:rsidR="00206FC6">
          <w:rPr>
            <w:noProof/>
            <w:webHidden/>
          </w:rPr>
          <w:instrText xml:space="preserve"> PAGEREF _Toc420320573 \h </w:instrText>
        </w:r>
        <w:r w:rsidR="00206FC6">
          <w:rPr>
            <w:noProof/>
            <w:webHidden/>
          </w:rPr>
        </w:r>
        <w:r w:rsidR="00206FC6">
          <w:rPr>
            <w:noProof/>
            <w:webHidden/>
          </w:rPr>
          <w:fldChar w:fldCharType="separate"/>
        </w:r>
        <w:r w:rsidR="00BD60CC">
          <w:rPr>
            <w:noProof/>
            <w:webHidden/>
          </w:rPr>
          <w:t>66</w:t>
        </w:r>
        <w:r w:rsidR="00206FC6">
          <w:rPr>
            <w:noProof/>
            <w:webHidden/>
          </w:rPr>
          <w:fldChar w:fldCharType="end"/>
        </w:r>
      </w:hyperlink>
    </w:p>
    <w:p w14:paraId="09B9F20A"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74" w:history="1">
        <w:r w:rsidR="00206FC6" w:rsidRPr="003A2398">
          <w:rPr>
            <w:rStyle w:val="Hyperlink"/>
            <w:noProof/>
          </w:rPr>
          <w:t>Table 24 Lower Tertiary Aquifer</w:t>
        </w:r>
        <w:r w:rsidR="00206FC6">
          <w:rPr>
            <w:noProof/>
            <w:webHidden/>
          </w:rPr>
          <w:tab/>
        </w:r>
        <w:r w:rsidR="00206FC6">
          <w:rPr>
            <w:noProof/>
            <w:webHidden/>
          </w:rPr>
          <w:fldChar w:fldCharType="begin"/>
        </w:r>
        <w:r w:rsidR="00206FC6">
          <w:rPr>
            <w:noProof/>
            <w:webHidden/>
          </w:rPr>
          <w:instrText xml:space="preserve"> PAGEREF _Toc420320574 \h </w:instrText>
        </w:r>
        <w:r w:rsidR="00206FC6">
          <w:rPr>
            <w:noProof/>
            <w:webHidden/>
          </w:rPr>
        </w:r>
        <w:r w:rsidR="00206FC6">
          <w:rPr>
            <w:noProof/>
            <w:webHidden/>
          </w:rPr>
          <w:fldChar w:fldCharType="separate"/>
        </w:r>
        <w:r w:rsidR="00BD60CC">
          <w:rPr>
            <w:noProof/>
            <w:webHidden/>
          </w:rPr>
          <w:t>67</w:t>
        </w:r>
        <w:r w:rsidR="00206FC6">
          <w:rPr>
            <w:noProof/>
            <w:webHidden/>
          </w:rPr>
          <w:fldChar w:fldCharType="end"/>
        </w:r>
      </w:hyperlink>
    </w:p>
    <w:p w14:paraId="3D8718F3" w14:textId="77777777" w:rsidR="00206FC6" w:rsidRDefault="00B91643" w:rsidP="00D0375F">
      <w:pPr>
        <w:pStyle w:val="TableofFigures"/>
        <w:tabs>
          <w:tab w:val="right" w:leader="dot" w:pos="9628"/>
        </w:tabs>
        <w:spacing w:after="40"/>
        <w:rPr>
          <w:rFonts w:asciiTheme="minorHAnsi" w:hAnsiTheme="minorHAnsi"/>
          <w:noProof/>
          <w:sz w:val="22"/>
          <w:szCs w:val="22"/>
          <w:lang w:eastAsia="en-AU"/>
        </w:rPr>
      </w:pPr>
      <w:hyperlink w:anchor="_Toc420320575" w:history="1">
        <w:r w:rsidR="00206FC6" w:rsidRPr="003A2398">
          <w:rPr>
            <w:rStyle w:val="Hyperlink"/>
            <w:noProof/>
          </w:rPr>
          <w:t>Table 25 Mesozoic and Palaeozoic Bedrock</w:t>
        </w:r>
        <w:r w:rsidR="00206FC6">
          <w:rPr>
            <w:noProof/>
            <w:webHidden/>
          </w:rPr>
          <w:tab/>
        </w:r>
        <w:r w:rsidR="00206FC6">
          <w:rPr>
            <w:noProof/>
            <w:webHidden/>
          </w:rPr>
          <w:fldChar w:fldCharType="begin"/>
        </w:r>
        <w:r w:rsidR="00206FC6">
          <w:rPr>
            <w:noProof/>
            <w:webHidden/>
          </w:rPr>
          <w:instrText xml:space="preserve"> PAGEREF _Toc420320575 \h </w:instrText>
        </w:r>
        <w:r w:rsidR="00206FC6">
          <w:rPr>
            <w:noProof/>
            <w:webHidden/>
          </w:rPr>
        </w:r>
        <w:r w:rsidR="00206FC6">
          <w:rPr>
            <w:noProof/>
            <w:webHidden/>
          </w:rPr>
          <w:fldChar w:fldCharType="separate"/>
        </w:r>
        <w:r w:rsidR="00BD60CC">
          <w:rPr>
            <w:noProof/>
            <w:webHidden/>
          </w:rPr>
          <w:t>68</w:t>
        </w:r>
        <w:r w:rsidR="00206FC6">
          <w:rPr>
            <w:noProof/>
            <w:webHidden/>
          </w:rPr>
          <w:fldChar w:fldCharType="end"/>
        </w:r>
      </w:hyperlink>
    </w:p>
    <w:p w14:paraId="0B69CB7F" w14:textId="77777777" w:rsidR="00816E19" w:rsidRDefault="00816E19" w:rsidP="00D0375F">
      <w:pPr>
        <w:spacing w:after="40"/>
        <w:rPr>
          <w:rFonts w:cs="Arial"/>
          <w:highlight w:val="yellow"/>
        </w:rPr>
        <w:sectPr w:rsidR="00816E19" w:rsidSect="0063692F">
          <w:footerReference w:type="default" r:id="rId19"/>
          <w:pgSz w:w="11906" w:h="16838" w:code="9"/>
          <w:pgMar w:top="2268" w:right="1134" w:bottom="1276" w:left="1134" w:header="567" w:footer="567" w:gutter="0"/>
          <w:pgNumType w:start="1"/>
          <w:cols w:space="708"/>
          <w:docGrid w:linePitch="360"/>
        </w:sectPr>
      </w:pPr>
      <w:r>
        <w:rPr>
          <w:rFonts w:cs="Arial"/>
          <w:highlight w:val="yellow"/>
        </w:rPr>
        <w:fldChar w:fldCharType="end"/>
      </w:r>
    </w:p>
    <w:p w14:paraId="7DAA014B" w14:textId="77777777" w:rsidR="004703D4" w:rsidRPr="000C564C" w:rsidRDefault="00E86EEC" w:rsidP="00D0375F">
      <w:pPr>
        <w:pStyle w:val="Heading1"/>
        <w:numPr>
          <w:ilvl w:val="0"/>
          <w:numId w:val="0"/>
        </w:numPr>
        <w:spacing w:after="600"/>
      </w:pPr>
      <w:bookmarkStart w:id="1" w:name="_Toc420327712"/>
      <w:r w:rsidRPr="000C564C">
        <w:t>Executive summary</w:t>
      </w:r>
      <w:bookmarkEnd w:id="1"/>
    </w:p>
    <w:p w14:paraId="001067B8" w14:textId="5C8FDD1E" w:rsidR="00EC28FD" w:rsidRPr="00B12D8A" w:rsidRDefault="00320573" w:rsidP="00320573">
      <w:pPr>
        <w:pStyle w:val="NormalWeb"/>
        <w:rPr>
          <w:rFonts w:ascii="Arial" w:hAnsi="Arial"/>
          <w:sz w:val="20"/>
          <w:szCs w:val="20"/>
          <w:lang w:val="en-GB"/>
        </w:rPr>
      </w:pPr>
      <w:r w:rsidRPr="007F1541">
        <w:rPr>
          <w:rFonts w:ascii="Arial" w:hAnsi="Arial"/>
          <w:sz w:val="20"/>
          <w:szCs w:val="20"/>
          <w:lang w:val="en-GB"/>
        </w:rPr>
        <w:t>This study is part of the onshore natural gas water science studies being undertaken jointly by the Department of Environment, Land, Water and Planning (DELWP) and the Department of Economic Development, Jobs, Transport and Resources (DEDJTR</w:t>
      </w:r>
      <w:r w:rsidR="00942EC8">
        <w:rPr>
          <w:rFonts w:ascii="Arial" w:hAnsi="Arial"/>
          <w:sz w:val="20"/>
          <w:szCs w:val="20"/>
          <w:lang w:val="en-GB"/>
        </w:rPr>
        <w:t>).</w:t>
      </w:r>
      <w:r w:rsidRPr="00B12D8A">
        <w:rPr>
          <w:rFonts w:ascii="Arial" w:hAnsi="Arial"/>
          <w:sz w:val="20"/>
          <w:szCs w:val="20"/>
          <w:lang w:val="en-GB"/>
        </w:rPr>
        <w:t xml:space="preserve"> </w:t>
      </w:r>
    </w:p>
    <w:p w14:paraId="45731F12" w14:textId="1A16084A" w:rsidR="00320573" w:rsidRPr="00B12D8A" w:rsidRDefault="00320573" w:rsidP="00B12D8A">
      <w:pPr>
        <w:pStyle w:val="NormalWeb"/>
        <w:rPr>
          <w:rFonts w:ascii="Arial" w:hAnsi="Arial"/>
          <w:sz w:val="20"/>
          <w:szCs w:val="20"/>
          <w:lang w:val="en-GB"/>
        </w:rPr>
      </w:pPr>
      <w:r w:rsidRPr="00B12D8A">
        <w:rPr>
          <w:rFonts w:ascii="Arial" w:hAnsi="Arial"/>
          <w:sz w:val="20"/>
          <w:szCs w:val="20"/>
          <w:lang w:val="en-GB"/>
        </w:rPr>
        <w:t xml:space="preserve">The purpose of </w:t>
      </w:r>
      <w:r w:rsidR="00EC28FD" w:rsidRPr="00B12D8A">
        <w:rPr>
          <w:rFonts w:ascii="Arial" w:hAnsi="Arial"/>
          <w:sz w:val="20"/>
          <w:szCs w:val="20"/>
          <w:lang w:val="en-GB"/>
        </w:rPr>
        <w:t>groundwate</w:t>
      </w:r>
      <w:r w:rsidR="00B12D8A" w:rsidRPr="00B12D8A">
        <w:rPr>
          <w:rFonts w:ascii="Arial" w:hAnsi="Arial"/>
          <w:sz w:val="20"/>
          <w:szCs w:val="20"/>
          <w:lang w:val="en-GB"/>
        </w:rPr>
        <w:t xml:space="preserve">r </w:t>
      </w:r>
      <w:r w:rsidR="00942EC8">
        <w:rPr>
          <w:rFonts w:ascii="Arial" w:hAnsi="Arial"/>
          <w:sz w:val="20"/>
          <w:szCs w:val="20"/>
          <w:lang w:val="en-GB"/>
        </w:rPr>
        <w:t xml:space="preserve">sampling </w:t>
      </w:r>
      <w:r w:rsidR="00B12D8A" w:rsidRPr="00B12D8A">
        <w:rPr>
          <w:rFonts w:ascii="Arial" w:hAnsi="Arial"/>
          <w:sz w:val="20"/>
          <w:szCs w:val="20"/>
          <w:lang w:val="en-GB"/>
        </w:rPr>
        <w:t xml:space="preserve">project was </w:t>
      </w:r>
      <w:r w:rsidRPr="00B12D8A">
        <w:rPr>
          <w:rFonts w:ascii="Arial" w:hAnsi="Arial"/>
          <w:sz w:val="20"/>
          <w:szCs w:val="20"/>
          <w:lang w:val="en-GB"/>
        </w:rPr>
        <w:t xml:space="preserve">to </w:t>
      </w:r>
      <w:r w:rsidR="00B12D8A">
        <w:rPr>
          <w:rFonts w:ascii="Arial" w:hAnsi="Arial"/>
          <w:sz w:val="20"/>
          <w:szCs w:val="20"/>
          <w:lang w:val="en-GB"/>
        </w:rPr>
        <w:t>characterise the g</w:t>
      </w:r>
      <w:r w:rsidRPr="00B12D8A">
        <w:rPr>
          <w:rFonts w:ascii="Arial" w:hAnsi="Arial"/>
          <w:sz w:val="20"/>
          <w:szCs w:val="20"/>
          <w:lang w:val="en-GB"/>
        </w:rPr>
        <w:t>roundwater chemistry</w:t>
      </w:r>
      <w:r w:rsidR="00B12D8A">
        <w:rPr>
          <w:rFonts w:ascii="Arial" w:hAnsi="Arial"/>
          <w:sz w:val="20"/>
          <w:szCs w:val="20"/>
          <w:lang w:val="en-GB"/>
        </w:rPr>
        <w:t xml:space="preserve">, particularly with </w:t>
      </w:r>
      <w:r w:rsidR="00942EC8">
        <w:rPr>
          <w:rFonts w:ascii="Arial" w:hAnsi="Arial"/>
          <w:sz w:val="20"/>
          <w:szCs w:val="20"/>
          <w:lang w:val="en-GB"/>
        </w:rPr>
        <w:t xml:space="preserve">presence or not or not of </w:t>
      </w:r>
      <w:r w:rsidR="00B12D8A">
        <w:rPr>
          <w:rFonts w:ascii="Arial" w:hAnsi="Arial"/>
          <w:sz w:val="20"/>
          <w:szCs w:val="20"/>
          <w:lang w:val="en-GB"/>
        </w:rPr>
        <w:t>hydrocarbons,</w:t>
      </w:r>
      <w:r w:rsidRPr="00B12D8A">
        <w:rPr>
          <w:rFonts w:ascii="Arial" w:hAnsi="Arial"/>
          <w:sz w:val="20"/>
          <w:szCs w:val="20"/>
          <w:lang w:val="en-GB"/>
        </w:rPr>
        <w:t xml:space="preserve"> </w:t>
      </w:r>
      <w:r w:rsidR="00942EC8">
        <w:rPr>
          <w:rFonts w:ascii="Arial" w:hAnsi="Arial"/>
          <w:sz w:val="20"/>
          <w:szCs w:val="20"/>
          <w:lang w:val="en-GB"/>
        </w:rPr>
        <w:t>and to provide an indication of baseline, that is the concentration of hydrocarbons in groundwater.</w:t>
      </w:r>
    </w:p>
    <w:p w14:paraId="7DAA0150" w14:textId="68F6D71D" w:rsidR="002B3BDA" w:rsidRDefault="00320573" w:rsidP="00EC28FD">
      <w:pPr>
        <w:pStyle w:val="Bullet1"/>
      </w:pPr>
      <w:r w:rsidRPr="00B12D8A">
        <w:t>This report focusses on the Otway region</w:t>
      </w:r>
      <w:r w:rsidR="00B12D8A">
        <w:t xml:space="preserve">. A parallel study of </w:t>
      </w:r>
      <w:r w:rsidRPr="00B12D8A">
        <w:t xml:space="preserve">the Gippsland region </w:t>
      </w:r>
      <w:r w:rsidR="00B12D8A">
        <w:t xml:space="preserve">is </w:t>
      </w:r>
      <w:r w:rsidRPr="00B12D8A">
        <w:t xml:space="preserve">covered in </w:t>
      </w:r>
      <w:r w:rsidR="00EC28FD" w:rsidRPr="00B12D8A">
        <w:t>a companion report (</w:t>
      </w:r>
      <w:r w:rsidRPr="00B12D8A">
        <w:t>DELWP (2015)</w:t>
      </w:r>
      <w:r w:rsidR="00EC28FD" w:rsidRPr="00B12D8A">
        <w:t>)</w:t>
      </w:r>
      <w:r w:rsidRPr="00B12D8A">
        <w:t>.</w:t>
      </w:r>
      <w:r w:rsidR="00EC28FD" w:rsidRPr="00B12D8A">
        <w:t xml:space="preserve"> </w:t>
      </w:r>
      <w:r w:rsidR="00EC28FD">
        <w:t>It</w:t>
      </w:r>
      <w:r w:rsidR="002B3BDA">
        <w:t xml:space="preserve"> includes a review of the literature on previous groundwater chemistry studies in the </w:t>
      </w:r>
      <w:r w:rsidR="00C77878">
        <w:t>Otway</w:t>
      </w:r>
      <w:r w:rsidR="002B3BDA">
        <w:t xml:space="preserve"> Basin and conclusions on likely hydrocarbon movements through the profile.  The literature review provides input to the selection of sampling bores and analytes and also provides the context for interpretation of results. </w:t>
      </w:r>
      <w:r w:rsidR="002B3BDA" w:rsidRPr="00351DC0">
        <w:t xml:space="preserve"> </w:t>
      </w:r>
      <w:r w:rsidR="002B3BDA">
        <w:t>Key observations from the literature review include:</w:t>
      </w:r>
    </w:p>
    <w:p w14:paraId="7DAA0151" w14:textId="42A6FE30" w:rsidR="00482CD3" w:rsidRDefault="00B53DA9" w:rsidP="00320573">
      <w:pPr>
        <w:pStyle w:val="Bullet1"/>
        <w:numPr>
          <w:ilvl w:val="0"/>
          <w:numId w:val="2"/>
        </w:numPr>
        <w:tabs>
          <w:tab w:val="clear" w:pos="1260"/>
          <w:tab w:val="num" w:pos="426"/>
        </w:tabs>
        <w:ind w:left="426" w:hanging="426"/>
      </w:pPr>
      <w:r>
        <w:t>A</w:t>
      </w:r>
      <w:r w:rsidR="00482CD3" w:rsidRPr="000C564C">
        <w:t xml:space="preserve"> </w:t>
      </w:r>
      <w:r w:rsidR="00966DF9">
        <w:t>potentially</w:t>
      </w:r>
      <w:r>
        <w:t xml:space="preserve"> prospective</w:t>
      </w:r>
      <w:r w:rsidR="00482CD3" w:rsidRPr="000C564C">
        <w:t xml:space="preserve"> formation for coal seam gas in </w:t>
      </w:r>
      <w:r w:rsidR="003724C9">
        <w:t xml:space="preserve">the </w:t>
      </w:r>
      <w:r w:rsidR="00482CD3" w:rsidRPr="000C564C">
        <w:t>Otway Basin is the Killara Coal Measures</w:t>
      </w:r>
      <w:r w:rsidR="00482CD3">
        <w:t xml:space="preserve"> in the Cretaceous </w:t>
      </w:r>
      <w:r w:rsidR="00121B40">
        <w:t>geology</w:t>
      </w:r>
      <w:r w:rsidR="00482CD3">
        <w:t xml:space="preserve"> located north of Warnambool and west of Hamilton</w:t>
      </w:r>
      <w:r w:rsidR="003724C9">
        <w:t>.</w:t>
      </w:r>
    </w:p>
    <w:p w14:paraId="7DAA0152" w14:textId="0CB03671" w:rsidR="00482CD3" w:rsidRDefault="00B53DA9" w:rsidP="00320573">
      <w:pPr>
        <w:pStyle w:val="Bullet1"/>
        <w:numPr>
          <w:ilvl w:val="0"/>
          <w:numId w:val="2"/>
        </w:numPr>
        <w:tabs>
          <w:tab w:val="clear" w:pos="1260"/>
          <w:tab w:val="num" w:pos="426"/>
        </w:tabs>
        <w:ind w:left="426" w:hanging="426"/>
      </w:pPr>
      <w:r>
        <w:t xml:space="preserve">A </w:t>
      </w:r>
      <w:r w:rsidR="00966DF9">
        <w:t>potentially</w:t>
      </w:r>
      <w:r>
        <w:t xml:space="preserve"> prospective</w:t>
      </w:r>
      <w:r w:rsidR="00492534" w:rsidRPr="000C564C">
        <w:t xml:space="preserve"> formation for tight gas in</w:t>
      </w:r>
      <w:r w:rsidR="003724C9">
        <w:t xml:space="preserve"> the</w:t>
      </w:r>
      <w:r w:rsidR="00492534" w:rsidRPr="000C564C">
        <w:t xml:space="preserve"> Otway Basin is the</w:t>
      </w:r>
      <w:r w:rsidR="00E6074D">
        <w:t xml:space="preserve"> Cre</w:t>
      </w:r>
      <w:r w:rsidR="00492534">
        <w:t>taceous aged</w:t>
      </w:r>
      <w:r w:rsidR="00492534" w:rsidRPr="000C564C">
        <w:t xml:space="preserve"> Eumeralla Formation underlying the Waaree Formation</w:t>
      </w:r>
      <w:r w:rsidR="00492534">
        <w:t xml:space="preserve"> south-east of Warnambool and the Cretaceous aged Pretty Hill Formation, north-west of Portland</w:t>
      </w:r>
      <w:r w:rsidR="003724C9">
        <w:t>.</w:t>
      </w:r>
    </w:p>
    <w:p w14:paraId="7DAA0153" w14:textId="33266CD8" w:rsidR="00492534" w:rsidRDefault="00B53DA9" w:rsidP="00320573">
      <w:pPr>
        <w:pStyle w:val="Bullet1"/>
        <w:numPr>
          <w:ilvl w:val="0"/>
          <w:numId w:val="2"/>
        </w:numPr>
        <w:tabs>
          <w:tab w:val="clear" w:pos="1260"/>
          <w:tab w:val="num" w:pos="426"/>
        </w:tabs>
        <w:ind w:left="426" w:hanging="426"/>
      </w:pPr>
      <w:r>
        <w:t xml:space="preserve">A </w:t>
      </w:r>
      <w:r w:rsidR="00966DF9">
        <w:t>potentially</w:t>
      </w:r>
      <w:r>
        <w:t xml:space="preserve"> prospective</w:t>
      </w:r>
      <w:r w:rsidR="00492534" w:rsidRPr="000C564C">
        <w:t xml:space="preserve"> formation for shale gas in the Otway </w:t>
      </w:r>
      <w:r w:rsidR="00E87D28">
        <w:t>region</w:t>
      </w:r>
      <w:r w:rsidR="00492534" w:rsidRPr="000C564C">
        <w:t xml:space="preserve"> is the Casterton Formation to the far west of the state.</w:t>
      </w:r>
    </w:p>
    <w:p w14:paraId="7DAA0154" w14:textId="77777777" w:rsidR="00C968EA" w:rsidRPr="000C564C" w:rsidRDefault="00C968EA" w:rsidP="00320573">
      <w:pPr>
        <w:pStyle w:val="Bullet1"/>
        <w:numPr>
          <w:ilvl w:val="0"/>
          <w:numId w:val="2"/>
        </w:numPr>
        <w:tabs>
          <w:tab w:val="clear" w:pos="1260"/>
          <w:tab w:val="num" w:pos="426"/>
        </w:tabs>
        <w:ind w:left="426" w:hanging="426"/>
      </w:pPr>
      <w:r>
        <w:t>Naturally occurring hydrocarbons have been found in the following units:</w:t>
      </w:r>
    </w:p>
    <w:p w14:paraId="7DAA0155" w14:textId="3D04083F" w:rsidR="00C968EA" w:rsidRPr="004325A9" w:rsidRDefault="003724C9" w:rsidP="00A659A8">
      <w:pPr>
        <w:pStyle w:val="Bullet2"/>
        <w:rPr>
          <w:lang w:val="en-AU"/>
        </w:rPr>
      </w:pPr>
      <w:r>
        <w:rPr>
          <w:lang w:val="en-AU"/>
        </w:rPr>
        <w:t>t</w:t>
      </w:r>
      <w:r w:rsidRPr="004325A9">
        <w:rPr>
          <w:lang w:val="en-AU"/>
        </w:rPr>
        <w:t xml:space="preserve">he </w:t>
      </w:r>
      <w:r w:rsidR="00C968EA" w:rsidRPr="004325A9">
        <w:rPr>
          <w:lang w:val="en-AU"/>
        </w:rPr>
        <w:t>Cretaceous aged sediments of the Sherbrook Group in the Port Campbell Embayment</w:t>
      </w:r>
    </w:p>
    <w:p w14:paraId="7DAA0156" w14:textId="536023E1" w:rsidR="00C968EA" w:rsidRPr="004325A9" w:rsidRDefault="003724C9" w:rsidP="00A659A8">
      <w:pPr>
        <w:pStyle w:val="Bullet2"/>
        <w:rPr>
          <w:lang w:val="en-AU"/>
        </w:rPr>
      </w:pPr>
      <w:r>
        <w:rPr>
          <w:lang w:val="en-AU"/>
        </w:rPr>
        <w:t>t</w:t>
      </w:r>
      <w:r w:rsidRPr="004325A9">
        <w:rPr>
          <w:lang w:val="en-AU"/>
        </w:rPr>
        <w:t xml:space="preserve">he </w:t>
      </w:r>
      <w:r w:rsidR="00C968EA" w:rsidRPr="004325A9">
        <w:rPr>
          <w:lang w:val="en-AU"/>
        </w:rPr>
        <w:t xml:space="preserve">Lower Tertiary aged Wangerrip Group in the Port Campbell Embayment with particular </w:t>
      </w:r>
      <w:r w:rsidR="00101438">
        <w:rPr>
          <w:lang w:val="en-AU"/>
        </w:rPr>
        <w:t>localities</w:t>
      </w:r>
      <w:r w:rsidR="00C968EA" w:rsidRPr="004325A9">
        <w:rPr>
          <w:lang w:val="en-AU"/>
        </w:rPr>
        <w:t xml:space="preserve"> in the Port Campbell area and the Barwon Downs region west of Geelong</w:t>
      </w:r>
    </w:p>
    <w:p w14:paraId="7DAA0157" w14:textId="77777777" w:rsidR="00C968EA" w:rsidRPr="004325A9" w:rsidRDefault="00C968EA" w:rsidP="00A659A8">
      <w:pPr>
        <w:pStyle w:val="Bullet2"/>
        <w:rPr>
          <w:lang w:val="en-AU"/>
        </w:rPr>
      </w:pPr>
      <w:r w:rsidRPr="004325A9">
        <w:rPr>
          <w:lang w:val="en-AU"/>
        </w:rPr>
        <w:t>Cretaceous aged sediments of the Sherbrook Group and the Lower Tertiary aged sediments of the Wangerrip Group in the Portland Trough.</w:t>
      </w:r>
    </w:p>
    <w:p w14:paraId="7DAA0158" w14:textId="511DF187" w:rsidR="00C968EA" w:rsidRPr="000C564C" w:rsidRDefault="00C968EA" w:rsidP="00320573">
      <w:pPr>
        <w:pStyle w:val="Bullet1"/>
        <w:numPr>
          <w:ilvl w:val="0"/>
          <w:numId w:val="2"/>
        </w:numPr>
        <w:tabs>
          <w:tab w:val="clear" w:pos="1260"/>
          <w:tab w:val="num" w:pos="426"/>
          <w:tab w:val="num" w:pos="2094"/>
        </w:tabs>
        <w:ind w:left="426" w:hanging="426"/>
      </w:pPr>
      <w:r w:rsidRPr="000C564C">
        <w:t xml:space="preserve">The presence or absence of major aquitards is likely to have a significant impact on the vertical movement of hydrocarbons through the vertical profile and the potential impact on </w:t>
      </w:r>
      <w:r w:rsidR="00206FC6" w:rsidRPr="000C564C">
        <w:t>overlying groundwater</w:t>
      </w:r>
      <w:r w:rsidRPr="000C564C">
        <w:t xml:space="preserve"> and surface water assets.  The two major aquitards across the region include:</w:t>
      </w:r>
    </w:p>
    <w:p w14:paraId="7DAA0159" w14:textId="565077A3" w:rsidR="00C968EA" w:rsidRPr="005E2C90" w:rsidRDefault="003724C9" w:rsidP="00A659A8">
      <w:pPr>
        <w:pStyle w:val="Bullet2"/>
        <w:rPr>
          <w:lang w:val="en-AU"/>
        </w:rPr>
      </w:pPr>
      <w:r>
        <w:rPr>
          <w:lang w:val="en-AU"/>
        </w:rPr>
        <w:t>t</w:t>
      </w:r>
      <w:r w:rsidRPr="005E2C90">
        <w:rPr>
          <w:lang w:val="en-AU"/>
        </w:rPr>
        <w:t xml:space="preserve">he </w:t>
      </w:r>
      <w:r w:rsidR="00C968EA" w:rsidRPr="005E2C90">
        <w:rPr>
          <w:lang w:val="en-AU"/>
        </w:rPr>
        <w:t>Narrawaturk Marl and Upper Mepunga Formation of the Nirranda Group</w:t>
      </w:r>
    </w:p>
    <w:p w14:paraId="7DAA015A" w14:textId="680A8041" w:rsidR="00492534" w:rsidRPr="00320573" w:rsidRDefault="003724C9" w:rsidP="00A659A8">
      <w:pPr>
        <w:pStyle w:val="Bullet2"/>
        <w:spacing w:after="200"/>
        <w:rPr>
          <w:lang w:val="en-AU"/>
        </w:rPr>
      </w:pPr>
      <w:r>
        <w:rPr>
          <w:lang w:val="en-AU"/>
        </w:rPr>
        <w:t>t</w:t>
      </w:r>
      <w:r w:rsidRPr="005E2C90">
        <w:rPr>
          <w:lang w:val="en-AU"/>
        </w:rPr>
        <w:t xml:space="preserve">he </w:t>
      </w:r>
      <w:r w:rsidR="00C968EA" w:rsidRPr="005E2C90">
        <w:rPr>
          <w:lang w:val="en-AU"/>
        </w:rPr>
        <w:t>Gellibrand Marl of the Heytesbury Group</w:t>
      </w:r>
      <w:r>
        <w:rPr>
          <w:lang w:val="en-AU"/>
        </w:rPr>
        <w:t>.</w:t>
      </w:r>
    </w:p>
    <w:p w14:paraId="7DAA015C" w14:textId="75E727DC" w:rsidR="00827246" w:rsidRDefault="00492534" w:rsidP="00320573">
      <w:pPr>
        <w:pStyle w:val="Bullet1"/>
        <w:rPr>
          <w:lang w:val="en-AU"/>
        </w:rPr>
      </w:pPr>
      <w:r>
        <w:t xml:space="preserve">A </w:t>
      </w:r>
      <w:r w:rsidRPr="00345CDF">
        <w:t xml:space="preserve">representative number of bores </w:t>
      </w:r>
      <w:r>
        <w:t xml:space="preserve">for sampling were selected from </w:t>
      </w:r>
      <w:r w:rsidRPr="00345CDF">
        <w:t>aquifers known</w:t>
      </w:r>
      <w:r w:rsidR="003724C9">
        <w:t xml:space="preserve"> to have,</w:t>
      </w:r>
      <w:r w:rsidRPr="00345CDF">
        <w:t xml:space="preserve"> or suspected of having</w:t>
      </w:r>
      <w:r w:rsidR="003724C9">
        <w:t>,</w:t>
      </w:r>
      <w:r w:rsidRPr="00345CDF">
        <w:t xml:space="preserve"> hydrocarbon concentrations</w:t>
      </w:r>
      <w:r>
        <w:t xml:space="preserve"> (from the literature review)</w:t>
      </w:r>
      <w:r w:rsidRPr="00345CDF">
        <w:t xml:space="preserve"> and/or within or near groundwater or surface water assets</w:t>
      </w:r>
      <w:r>
        <w:t xml:space="preserve">.  Priority was given to nested sites which provide vertical information on variations in groundwater chemistry and sites with known construction details.  </w:t>
      </w:r>
    </w:p>
    <w:p w14:paraId="50061C50" w14:textId="77777777" w:rsidR="00D0375F" w:rsidRDefault="00D0375F" w:rsidP="00827246">
      <w:pPr>
        <w:pStyle w:val="Bullet1"/>
        <w:rPr>
          <w:lang w:val="en-AU"/>
        </w:rPr>
      </w:pPr>
      <w:r>
        <w:rPr>
          <w:lang w:val="en-AU"/>
        </w:rPr>
        <w:br w:type="page"/>
      </w:r>
    </w:p>
    <w:p w14:paraId="7DAA015D" w14:textId="4B88893F" w:rsidR="00D17CCC" w:rsidRDefault="003B428E" w:rsidP="00827246">
      <w:pPr>
        <w:pStyle w:val="Bullet1"/>
      </w:pPr>
      <w:r>
        <w:rPr>
          <w:lang w:val="en-AU"/>
        </w:rPr>
        <w:t>This report presents the results from</w:t>
      </w:r>
      <w:r w:rsidR="00492534" w:rsidRPr="000C564C">
        <w:rPr>
          <w:lang w:val="en-AU"/>
        </w:rPr>
        <w:t xml:space="preserve"> 30 bores sampled in the Otway </w:t>
      </w:r>
      <w:r w:rsidR="00E87D28">
        <w:rPr>
          <w:lang w:val="en-AU"/>
        </w:rPr>
        <w:t>region</w:t>
      </w:r>
      <w:r w:rsidR="00492534">
        <w:rPr>
          <w:lang w:val="en-AU"/>
        </w:rPr>
        <w:t xml:space="preserve"> </w:t>
      </w:r>
      <w:r w:rsidR="00492534" w:rsidRPr="000C564C">
        <w:rPr>
          <w:lang w:val="en-AU"/>
        </w:rPr>
        <w:t>between 19</w:t>
      </w:r>
      <w:r w:rsidR="00492534" w:rsidRPr="00F63938">
        <w:rPr>
          <w:vertAlign w:val="superscript"/>
          <w:lang w:val="en-AU"/>
        </w:rPr>
        <w:t>th</w:t>
      </w:r>
      <w:r w:rsidR="00492534">
        <w:rPr>
          <w:lang w:val="en-AU"/>
        </w:rPr>
        <w:t xml:space="preserve"> </w:t>
      </w:r>
      <w:r w:rsidR="00492534" w:rsidRPr="000C564C">
        <w:rPr>
          <w:lang w:val="en-AU"/>
        </w:rPr>
        <w:t>January 2015 and 29</w:t>
      </w:r>
      <w:r w:rsidR="00492534" w:rsidRPr="00F63938">
        <w:rPr>
          <w:vertAlign w:val="superscript"/>
          <w:lang w:val="en-AU"/>
        </w:rPr>
        <w:t>th</w:t>
      </w:r>
      <w:r w:rsidR="00492534" w:rsidRPr="000C564C">
        <w:rPr>
          <w:lang w:val="en-AU"/>
        </w:rPr>
        <w:t xml:space="preserve"> Jan</w:t>
      </w:r>
      <w:r w:rsidR="00492534">
        <w:rPr>
          <w:lang w:val="en-AU"/>
        </w:rPr>
        <w:t>uary 2015</w:t>
      </w:r>
      <w:r>
        <w:rPr>
          <w:lang w:val="en-AU"/>
        </w:rPr>
        <w:t xml:space="preserve"> using low flow sampling techniques</w:t>
      </w:r>
      <w:r w:rsidR="00492534">
        <w:rPr>
          <w:lang w:val="en-AU"/>
        </w:rPr>
        <w:t>.</w:t>
      </w:r>
      <w:r w:rsidR="00D17CCC">
        <w:rPr>
          <w:lang w:val="en-AU"/>
        </w:rPr>
        <w:t xml:space="preserve">  </w:t>
      </w:r>
    </w:p>
    <w:p w14:paraId="7DAA015E" w14:textId="28405E21" w:rsidR="00D17CCC" w:rsidRPr="00BA6593" w:rsidRDefault="00D17CCC" w:rsidP="00D17CCC">
      <w:pPr>
        <w:rPr>
          <w:spacing w:val="-2"/>
          <w:lang w:val="en-AU"/>
        </w:rPr>
      </w:pPr>
      <w:r w:rsidRPr="00BA6593">
        <w:rPr>
          <w:spacing w:val="-2"/>
          <w:lang w:val="en-AU"/>
        </w:rPr>
        <w:t xml:space="preserve">The results indicate that dissolved methane in groundwater occurs naturally at low concentrations across the Otway </w:t>
      </w:r>
      <w:r w:rsidR="00E87D28" w:rsidRPr="00BA6593">
        <w:rPr>
          <w:spacing w:val="-2"/>
          <w:lang w:val="en-AU"/>
        </w:rPr>
        <w:t>region</w:t>
      </w:r>
      <w:r w:rsidRPr="00BA6593">
        <w:rPr>
          <w:spacing w:val="-2"/>
          <w:lang w:val="en-AU"/>
        </w:rPr>
        <w:t>. The median concentration from the 30 samples collected was 0.01 mg/L. A single outlier was observed for bore 111786, which indicated dissolved methane in the Lower Tertiary Aquifer of 5.8 mg/L.</w:t>
      </w:r>
      <w:r w:rsidR="00320573" w:rsidRPr="00BA6593">
        <w:rPr>
          <w:spacing w:val="-2"/>
          <w:lang w:val="en-AU"/>
        </w:rPr>
        <w:t xml:space="preserve">  </w:t>
      </w:r>
    </w:p>
    <w:p w14:paraId="7DAA015F" w14:textId="40F33E28" w:rsidR="00D17CCC" w:rsidRPr="000C564C" w:rsidRDefault="00D17CCC" w:rsidP="00D17CCC">
      <w:pPr>
        <w:rPr>
          <w:lang w:val="en-AU"/>
        </w:rPr>
      </w:pPr>
      <w:r w:rsidRPr="000C564C">
        <w:rPr>
          <w:lang w:val="en-AU"/>
        </w:rPr>
        <w:t xml:space="preserve">Total Recoverable Hydrocarbons were also detected in 5 of the 30 samples, although most detections were low (equal to the detection limit) and the detections were not in the fraction range for </w:t>
      </w:r>
      <w:r w:rsidR="00616AB8">
        <w:t xml:space="preserve">Benzene, </w:t>
      </w:r>
      <w:r w:rsidR="00BA623C">
        <w:t>Toluene</w:t>
      </w:r>
      <w:r w:rsidR="00616AB8">
        <w:t>, Ethylbenzene</w:t>
      </w:r>
      <w:r w:rsidR="00616AB8" w:rsidRPr="00345CDF">
        <w:t xml:space="preserve"> and Xylene </w:t>
      </w:r>
      <w:r w:rsidR="00616AB8">
        <w:t>(</w:t>
      </w:r>
      <w:r w:rsidRPr="000C564C">
        <w:rPr>
          <w:lang w:val="en-AU"/>
        </w:rPr>
        <w:t>BTEX</w:t>
      </w:r>
      <w:r w:rsidR="00616AB8">
        <w:rPr>
          <w:lang w:val="en-AU"/>
        </w:rPr>
        <w:t>)</w:t>
      </w:r>
      <w:r w:rsidRPr="000C564C">
        <w:rPr>
          <w:lang w:val="en-AU"/>
        </w:rPr>
        <w:t xml:space="preserve">. The lack of BTEX detection suggests that </w:t>
      </w:r>
      <w:r w:rsidR="003D0148">
        <w:rPr>
          <w:lang w:val="en-AU"/>
        </w:rPr>
        <w:t>BTEX</w:t>
      </w:r>
      <w:r w:rsidRPr="000C564C">
        <w:rPr>
          <w:lang w:val="en-AU"/>
        </w:rPr>
        <w:t xml:space="preserve"> compounds are not a natural occurrence in any of the sampled aquifers and any future detection is likely to reflect an anthropogenic origin. </w:t>
      </w:r>
    </w:p>
    <w:p w14:paraId="7DAA0160" w14:textId="355489FE" w:rsidR="00D17CCC" w:rsidRPr="000C564C" w:rsidRDefault="00D17CCC" w:rsidP="00D17CCC">
      <w:pPr>
        <w:rPr>
          <w:lang w:val="en-AU"/>
        </w:rPr>
      </w:pPr>
      <w:r w:rsidRPr="000C564C">
        <w:rPr>
          <w:lang w:val="en-AU"/>
        </w:rPr>
        <w:t xml:space="preserve">The role of aquitards in limiting the vertical movement of hydrocarbons through the vertical profile is currently difficult to ascertain in the Otway </w:t>
      </w:r>
      <w:r w:rsidR="00E87D28">
        <w:rPr>
          <w:lang w:val="en-AU"/>
        </w:rPr>
        <w:t>region</w:t>
      </w:r>
      <w:r w:rsidRPr="000C564C">
        <w:rPr>
          <w:lang w:val="en-AU"/>
        </w:rPr>
        <w:t xml:space="preserve">, given the inherent low concentrations of methane in groundwater across all aquifers. The only elevated methane concentration was recorded for the Lower Tertiary Aquifer (5.8 mg/L) and this bore is located north-east of Colac and is nested with bore 111787 which screens the Newer Volcanic Basalt and did not record any methane in its groundwater. In this area the combined thickness of the Upper and Lower Mid Tertiary Aquitard is approximately 450 m. In this area it can be tentatively concluded that vertical hydrocarbon migration is reduced where a significant aquitard thickness exists. This is consistent with the conceptual hydrogeological model for the Otway </w:t>
      </w:r>
      <w:r w:rsidR="00E87D28">
        <w:rPr>
          <w:lang w:val="en-AU"/>
        </w:rPr>
        <w:t>region</w:t>
      </w:r>
      <w:r w:rsidRPr="000C564C">
        <w:rPr>
          <w:lang w:val="en-AU"/>
        </w:rPr>
        <w:t xml:space="preserve">. </w:t>
      </w:r>
    </w:p>
    <w:p w14:paraId="7DAA0161" w14:textId="0ADC3CB1" w:rsidR="00D17CCC" w:rsidRDefault="00D17CCC" w:rsidP="00D17CCC">
      <w:pPr>
        <w:rPr>
          <w:lang w:val="en-AU"/>
        </w:rPr>
      </w:pPr>
      <w:r w:rsidRPr="000C564C">
        <w:rPr>
          <w:lang w:val="en-AU"/>
        </w:rPr>
        <w:t xml:space="preserve">It should be noted that whilst the primary </w:t>
      </w:r>
      <w:r w:rsidR="00A83284">
        <w:rPr>
          <w:lang w:val="en-AU"/>
        </w:rPr>
        <w:t>prospective formations</w:t>
      </w:r>
      <w:r w:rsidRPr="000C564C">
        <w:rPr>
          <w:lang w:val="en-AU"/>
        </w:rPr>
        <w:t xml:space="preserve"> for potential oil and gas deposits reside in the deep Eumeralla Formation, Waarre Formation and Casterton Formation, only one groundwater bore was available for sampling these units and it was located away from likely prospective areas and was quite shallow. Although the groundwater chemistry information associated with the units that contain the </w:t>
      </w:r>
      <w:r w:rsidR="00B53DA9">
        <w:rPr>
          <w:lang w:val="en-AU"/>
        </w:rPr>
        <w:t>n</w:t>
      </w:r>
      <w:r w:rsidRPr="000C564C">
        <w:rPr>
          <w:lang w:val="en-AU"/>
        </w:rPr>
        <w:t xml:space="preserve">atural </w:t>
      </w:r>
      <w:r w:rsidR="00B53DA9">
        <w:rPr>
          <w:lang w:val="en-AU"/>
        </w:rPr>
        <w:t>g</w:t>
      </w:r>
      <w:r w:rsidRPr="000C564C">
        <w:rPr>
          <w:lang w:val="en-AU"/>
        </w:rPr>
        <w:t xml:space="preserve">as prospectivity is limited, the negligible methane concentration observed in the overlying units implies that the vertical hydraulic conductivity of the </w:t>
      </w:r>
      <w:r w:rsidR="00F265C8">
        <w:rPr>
          <w:lang w:val="en-AU"/>
        </w:rPr>
        <w:t>Cretaceous</w:t>
      </w:r>
      <w:r w:rsidRPr="000C564C">
        <w:rPr>
          <w:lang w:val="en-AU"/>
        </w:rPr>
        <w:t xml:space="preserve"> fractured rock is low and there is little opportunity for gas migratio</w:t>
      </w:r>
      <w:r>
        <w:rPr>
          <w:lang w:val="en-AU"/>
        </w:rPr>
        <w:t>n to shallower overlying units.</w:t>
      </w:r>
    </w:p>
    <w:p w14:paraId="7DAA0162" w14:textId="77777777" w:rsidR="004546D6" w:rsidRDefault="004546D6" w:rsidP="00827246">
      <w:pPr>
        <w:pStyle w:val="Bullet1"/>
      </w:pPr>
      <w:r>
        <w:br w:type="page"/>
      </w:r>
    </w:p>
    <w:p w14:paraId="7DAA0163" w14:textId="77777777" w:rsidR="00E86EEC" w:rsidRDefault="00E86EEC" w:rsidP="00E86EEC">
      <w:pPr>
        <w:sectPr w:rsidR="00E86EEC" w:rsidSect="0063692F">
          <w:pgSz w:w="11906" w:h="16838" w:code="9"/>
          <w:pgMar w:top="2268" w:right="1134" w:bottom="1276" w:left="1134" w:header="567" w:footer="567" w:gutter="0"/>
          <w:cols w:space="708"/>
          <w:titlePg/>
          <w:docGrid w:linePitch="360"/>
        </w:sectPr>
      </w:pPr>
    </w:p>
    <w:p w14:paraId="7DAA0164" w14:textId="77777777" w:rsidR="00E86EEC" w:rsidRDefault="000C564C" w:rsidP="00D90A45">
      <w:pPr>
        <w:pStyle w:val="Head1x"/>
      </w:pPr>
      <w:bookmarkStart w:id="2" w:name="_Toc420327713"/>
      <w:r>
        <w:t>Introduction</w:t>
      </w:r>
      <w:bookmarkEnd w:id="2"/>
    </w:p>
    <w:p w14:paraId="19948FF5" w14:textId="5F5C7C6E" w:rsidR="00EC28FD" w:rsidRDefault="0078434D" w:rsidP="0078434D">
      <w:pPr>
        <w:pStyle w:val="NormalWeb"/>
      </w:pPr>
      <w:r w:rsidRPr="007F1541">
        <w:rPr>
          <w:rFonts w:ascii="Arial" w:hAnsi="Arial"/>
          <w:sz w:val="20"/>
          <w:szCs w:val="20"/>
          <w:lang w:val="en-GB"/>
        </w:rPr>
        <w:t>This study is part of the onshore natural gas water science studies being undertaken jointly by the Department of Environment, Land, Water and Planning (DELWP) and the Department of Economic Development, Jobs, Transport and Resources (DEDJTR).</w:t>
      </w:r>
      <w:r>
        <w:rPr>
          <w:rFonts w:ascii="Arial" w:hAnsi="Arial"/>
          <w:sz w:val="20"/>
          <w:szCs w:val="20"/>
          <w:lang w:val="en-GB"/>
        </w:rPr>
        <w:t xml:space="preserve">  </w:t>
      </w:r>
    </w:p>
    <w:p w14:paraId="5A48B581" w14:textId="77FC3F65" w:rsidR="00942EC8" w:rsidRPr="00B12D8A" w:rsidRDefault="00942EC8" w:rsidP="00942EC8">
      <w:pPr>
        <w:pStyle w:val="NormalWeb"/>
        <w:rPr>
          <w:rFonts w:ascii="Arial" w:hAnsi="Arial"/>
          <w:sz w:val="20"/>
          <w:szCs w:val="20"/>
          <w:lang w:val="en-GB"/>
        </w:rPr>
      </w:pPr>
      <w:r w:rsidRPr="00B12D8A">
        <w:rPr>
          <w:rFonts w:ascii="Arial" w:hAnsi="Arial"/>
          <w:sz w:val="20"/>
          <w:szCs w:val="20"/>
          <w:lang w:val="en-GB"/>
        </w:rPr>
        <w:t xml:space="preserve">The purpose of groundwater </w:t>
      </w:r>
      <w:r>
        <w:rPr>
          <w:rFonts w:ascii="Arial" w:hAnsi="Arial"/>
          <w:sz w:val="20"/>
          <w:szCs w:val="20"/>
          <w:lang w:val="en-GB"/>
        </w:rPr>
        <w:t xml:space="preserve">sampling </w:t>
      </w:r>
      <w:r w:rsidRPr="00B12D8A">
        <w:rPr>
          <w:rFonts w:ascii="Arial" w:hAnsi="Arial"/>
          <w:sz w:val="20"/>
          <w:szCs w:val="20"/>
          <w:lang w:val="en-GB"/>
        </w:rPr>
        <w:t xml:space="preserve">project was to </w:t>
      </w:r>
      <w:r>
        <w:rPr>
          <w:rFonts w:ascii="Arial" w:hAnsi="Arial"/>
          <w:sz w:val="20"/>
          <w:szCs w:val="20"/>
          <w:lang w:val="en-GB"/>
        </w:rPr>
        <w:t>characterise the g</w:t>
      </w:r>
      <w:r w:rsidRPr="00B12D8A">
        <w:rPr>
          <w:rFonts w:ascii="Arial" w:hAnsi="Arial"/>
          <w:sz w:val="20"/>
          <w:szCs w:val="20"/>
          <w:lang w:val="en-GB"/>
        </w:rPr>
        <w:t>roundwater chemistry</w:t>
      </w:r>
      <w:r>
        <w:rPr>
          <w:rFonts w:ascii="Arial" w:hAnsi="Arial"/>
          <w:sz w:val="20"/>
          <w:szCs w:val="20"/>
          <w:lang w:val="en-GB"/>
        </w:rPr>
        <w:t>, particularly with presence or not or not of hydrocarbons,</w:t>
      </w:r>
      <w:r w:rsidRPr="00B12D8A">
        <w:rPr>
          <w:rFonts w:ascii="Arial" w:hAnsi="Arial"/>
          <w:sz w:val="20"/>
          <w:szCs w:val="20"/>
          <w:lang w:val="en-GB"/>
        </w:rPr>
        <w:t xml:space="preserve"> </w:t>
      </w:r>
      <w:r>
        <w:rPr>
          <w:rFonts w:ascii="Arial" w:hAnsi="Arial"/>
          <w:sz w:val="20"/>
          <w:szCs w:val="20"/>
          <w:lang w:val="en-GB"/>
        </w:rPr>
        <w:t>and to provide an indication of baseline, that is the concentration of hydrocarbons in groundwater</w:t>
      </w:r>
      <w:r w:rsidR="00206FC6">
        <w:rPr>
          <w:rFonts w:ascii="Arial" w:hAnsi="Arial"/>
          <w:sz w:val="20"/>
          <w:szCs w:val="20"/>
          <w:lang w:val="en-GB"/>
        </w:rPr>
        <w:t>.</w:t>
      </w:r>
      <w:r w:rsidRPr="00B12D8A">
        <w:rPr>
          <w:rFonts w:ascii="Arial" w:hAnsi="Arial"/>
          <w:sz w:val="20"/>
          <w:szCs w:val="20"/>
          <w:lang w:val="en-GB"/>
        </w:rPr>
        <w:t xml:space="preserve"> </w:t>
      </w:r>
    </w:p>
    <w:p w14:paraId="4CAA4336" w14:textId="31B074EC" w:rsidR="0078434D" w:rsidRDefault="0078434D" w:rsidP="0078434D">
      <w:r>
        <w:rPr>
          <w:rFonts w:cs="Arial"/>
        </w:rPr>
        <w:t>This report focuses on the Otway region with the results in the Gippsland region covered in DELWP (2015)</w:t>
      </w:r>
      <w:r w:rsidR="00320573">
        <w:rPr>
          <w:rFonts w:cs="Arial"/>
        </w:rPr>
        <w:t>.</w:t>
      </w:r>
    </w:p>
    <w:p w14:paraId="03700C8F" w14:textId="4AC31862" w:rsidR="003B428E" w:rsidRDefault="003B428E" w:rsidP="003B428E">
      <w:r>
        <w:t xml:space="preserve">Natural gas includes conventional gas, coal seam gas, tight gas and shale gas. Figure 1 </w:t>
      </w:r>
      <w:r w:rsidR="00900B06">
        <w:t xml:space="preserve">shows </w:t>
      </w:r>
      <w:r>
        <w:t xml:space="preserve">a representation of the typical geological formations </w:t>
      </w:r>
      <w:r w:rsidR="00B53DA9">
        <w:t xml:space="preserve">potentially </w:t>
      </w:r>
      <w:r>
        <w:t xml:space="preserve">bearing natural gas resources </w:t>
      </w:r>
      <w:r w:rsidR="00EC28FD">
        <w:t xml:space="preserve">in the Otway region </w:t>
      </w:r>
      <w:r>
        <w:t xml:space="preserve">and the relative depth of the different potential gas sources.  </w:t>
      </w:r>
    </w:p>
    <w:p w14:paraId="4C021D8D" w14:textId="4529082E" w:rsidR="00C77878" w:rsidRPr="00D91BFE" w:rsidRDefault="00942EC8" w:rsidP="00C77878">
      <w:pPr>
        <w:pStyle w:val="figurereturn"/>
        <w:rPr>
          <w:lang w:val="en-GB"/>
        </w:rPr>
      </w:pPr>
      <w:r w:rsidRPr="004D49F2">
        <w:drawing>
          <wp:inline distT="0" distB="0" distL="0" distR="0" wp14:anchorId="522BB5D6" wp14:editId="71EBA682">
            <wp:extent cx="5943600" cy="394716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3947160"/>
                    </a:xfrm>
                    <a:prstGeom prst="rect">
                      <a:avLst/>
                    </a:prstGeom>
                  </pic:spPr>
                </pic:pic>
              </a:graphicData>
            </a:graphic>
          </wp:inline>
        </w:drawing>
      </w:r>
    </w:p>
    <w:p w14:paraId="7DAA016C" w14:textId="28A9155A" w:rsidR="006B530C" w:rsidRPr="00D0375F" w:rsidRDefault="003B428E" w:rsidP="00D0375F">
      <w:pPr>
        <w:pStyle w:val="Figuretitle"/>
      </w:pPr>
      <w:bookmarkStart w:id="3" w:name="_Ref418759123"/>
      <w:bookmarkStart w:id="4" w:name="_Toc420327752"/>
      <w:r w:rsidRPr="00D0375F">
        <w:t xml:space="preserve">Figure </w:t>
      </w:r>
      <w:r w:rsidR="00B91643">
        <w:fldChar w:fldCharType="begin"/>
      </w:r>
      <w:r w:rsidR="00B91643">
        <w:instrText xml:space="preserve"> SEQ Figure \* ARABIC </w:instrText>
      </w:r>
      <w:r w:rsidR="00B91643">
        <w:fldChar w:fldCharType="separate"/>
      </w:r>
      <w:r w:rsidR="00BD60CC">
        <w:rPr>
          <w:noProof/>
        </w:rPr>
        <w:t>1</w:t>
      </w:r>
      <w:r w:rsidR="00B91643">
        <w:rPr>
          <w:noProof/>
        </w:rPr>
        <w:fldChar w:fldCharType="end"/>
      </w:r>
      <w:bookmarkEnd w:id="3"/>
      <w:r w:rsidRPr="00D0375F">
        <w:t xml:space="preserve"> Typical geological formations</w:t>
      </w:r>
      <w:r w:rsidR="00B53DA9" w:rsidRPr="00D0375F">
        <w:t xml:space="preserve"> potentially</w:t>
      </w:r>
      <w:r w:rsidRPr="00D0375F">
        <w:t xml:space="preserve"> bearing onshore natural gas in the </w:t>
      </w:r>
      <w:r w:rsidR="00C77878" w:rsidRPr="00D0375F">
        <w:t>Otway</w:t>
      </w:r>
      <w:r w:rsidRPr="00D0375F">
        <w:t xml:space="preserve"> region (depth shown in</w:t>
      </w:r>
      <w:r w:rsidR="00C77878" w:rsidRPr="00D0375F">
        <w:t xml:space="preserve"> metres)</w:t>
      </w:r>
      <w:bookmarkEnd w:id="4"/>
    </w:p>
    <w:p w14:paraId="1F79D3CB" w14:textId="62DFEDA7" w:rsidR="003B428E" w:rsidRDefault="003B428E" w:rsidP="003B428E">
      <w:r>
        <w:t>This report presents the sam</w:t>
      </w:r>
      <w:r w:rsidR="00857ACF">
        <w:t xml:space="preserve">pling results from the </w:t>
      </w:r>
      <w:r>
        <w:t>groundwater monitoring program in the Otway</w:t>
      </w:r>
      <w:r w:rsidR="00E57486">
        <w:t xml:space="preserve"> region</w:t>
      </w:r>
      <w:r>
        <w:t xml:space="preserve">.  </w:t>
      </w:r>
    </w:p>
    <w:p w14:paraId="79A4F223" w14:textId="77777777" w:rsidR="00B53DA9" w:rsidRDefault="00B53DA9" w:rsidP="00B06114"/>
    <w:p w14:paraId="47EA1DC1" w14:textId="77777777" w:rsidR="00B53DA9" w:rsidRDefault="00B53DA9" w:rsidP="00B06114"/>
    <w:p w14:paraId="4ECA8480" w14:textId="77777777" w:rsidR="00A605FE" w:rsidRDefault="00A605FE" w:rsidP="00B06114">
      <w:r>
        <w:br w:type="page"/>
      </w:r>
    </w:p>
    <w:p w14:paraId="7DAA016E" w14:textId="3736DD09" w:rsidR="00D90A45" w:rsidRDefault="00445BFC" w:rsidP="00B06114">
      <w:r>
        <w:t>The work undertaken for this study has been documented as follows</w:t>
      </w:r>
      <w:bookmarkStart w:id="5" w:name="_Ref403031539"/>
      <w:r w:rsidR="00900B06">
        <w:t>:</w:t>
      </w:r>
    </w:p>
    <w:p w14:paraId="7DAA016F" w14:textId="1115311D" w:rsidR="00D90A45" w:rsidRDefault="000C564C" w:rsidP="00EC28FD">
      <w:pPr>
        <w:pStyle w:val="Bullet1"/>
      </w:pPr>
      <w:r>
        <w:t xml:space="preserve">Chapter 2 Literature </w:t>
      </w:r>
      <w:bookmarkEnd w:id="5"/>
      <w:r w:rsidR="002F4A45">
        <w:t>review</w:t>
      </w:r>
    </w:p>
    <w:p w14:paraId="7DAA0170" w14:textId="7509E48C" w:rsidR="000C564C" w:rsidRDefault="000C564C" w:rsidP="00EC28FD">
      <w:pPr>
        <w:pStyle w:val="Bullet1"/>
      </w:pPr>
      <w:r>
        <w:t xml:space="preserve">Chapter 3 Bore </w:t>
      </w:r>
      <w:r w:rsidR="002F4A45">
        <w:t>selection</w:t>
      </w:r>
    </w:p>
    <w:p w14:paraId="7DAA0171" w14:textId="77777777" w:rsidR="000C564C" w:rsidRDefault="000C564C" w:rsidP="00EC28FD">
      <w:pPr>
        <w:pStyle w:val="Bullet1"/>
      </w:pPr>
      <w:r>
        <w:t xml:space="preserve">Chapter 4 </w:t>
      </w:r>
      <w:r w:rsidR="00A11B3F">
        <w:t>Sampling method</w:t>
      </w:r>
    </w:p>
    <w:p w14:paraId="7DAA0172" w14:textId="1791C5D9" w:rsidR="006B1F2D" w:rsidRDefault="006B1F2D" w:rsidP="00EC28FD">
      <w:pPr>
        <w:pStyle w:val="Bullet1"/>
      </w:pPr>
      <w:bookmarkStart w:id="6" w:name="_Ref414003301"/>
      <w:r>
        <w:t xml:space="preserve">Chapter 5 Quality </w:t>
      </w:r>
      <w:r w:rsidR="002F4A45">
        <w:t xml:space="preserve">assurance </w:t>
      </w:r>
      <w:r>
        <w:t>procedures</w:t>
      </w:r>
      <w:bookmarkEnd w:id="6"/>
      <w:r>
        <w:t xml:space="preserve"> and results</w:t>
      </w:r>
    </w:p>
    <w:p w14:paraId="7DAA0173" w14:textId="0A503DFA" w:rsidR="006B1F2D" w:rsidRDefault="006B1F2D" w:rsidP="00EC28FD">
      <w:pPr>
        <w:pStyle w:val="Bullet1"/>
      </w:pPr>
      <w:r>
        <w:t xml:space="preserve">Chapter 6 Groundwater </w:t>
      </w:r>
      <w:r w:rsidR="002F4A45">
        <w:t xml:space="preserve">sampling </w:t>
      </w:r>
      <w:r>
        <w:t xml:space="preserve">– </w:t>
      </w:r>
      <w:r w:rsidR="002F4A45">
        <w:t xml:space="preserve">summary </w:t>
      </w:r>
      <w:r>
        <w:t xml:space="preserve">of results by analyte </w:t>
      </w:r>
    </w:p>
    <w:p w14:paraId="7DAA0174" w14:textId="21A4EDD0" w:rsidR="006B1F2D" w:rsidRDefault="006B1F2D" w:rsidP="00EC28FD">
      <w:pPr>
        <w:pStyle w:val="Bullet1"/>
      </w:pPr>
      <w:r>
        <w:t xml:space="preserve">Chapter 7 Groundwater </w:t>
      </w:r>
      <w:r w:rsidR="002F4A45">
        <w:t xml:space="preserve">sampling </w:t>
      </w:r>
      <w:r>
        <w:t xml:space="preserve">– </w:t>
      </w:r>
      <w:r w:rsidR="002F4A45">
        <w:t>aquifer characterisation</w:t>
      </w:r>
    </w:p>
    <w:p w14:paraId="7DAA0175" w14:textId="10F24DEB" w:rsidR="006B1F2D" w:rsidRDefault="006B1F2D" w:rsidP="00EC28FD">
      <w:pPr>
        <w:pStyle w:val="Bullet1"/>
      </w:pPr>
      <w:r>
        <w:t>Chapter 8 Conclusions and implications for conceptual model</w:t>
      </w:r>
      <w:r w:rsidR="00900B06">
        <w:t>.</w:t>
      </w:r>
      <w:r>
        <w:t xml:space="preserve"> </w:t>
      </w:r>
    </w:p>
    <w:p w14:paraId="7DAA0176" w14:textId="77777777" w:rsidR="006B1F2D" w:rsidRDefault="006B1F2D" w:rsidP="00827246">
      <w:pPr>
        <w:pStyle w:val="Bullet1"/>
      </w:pPr>
    </w:p>
    <w:p w14:paraId="7DAA0177" w14:textId="77777777" w:rsidR="00E31155" w:rsidRDefault="00E31155">
      <w:r>
        <w:br w:type="page"/>
      </w:r>
    </w:p>
    <w:p w14:paraId="7DAA0178" w14:textId="77777777" w:rsidR="000C564C" w:rsidRPr="002258FF" w:rsidRDefault="002258FF" w:rsidP="00994879">
      <w:pPr>
        <w:pStyle w:val="Head1x"/>
      </w:pPr>
      <w:bookmarkStart w:id="7" w:name="_Toc414551130"/>
      <w:bookmarkStart w:id="8" w:name="_Toc414551131"/>
      <w:bookmarkStart w:id="9" w:name="_Toc414551132"/>
      <w:bookmarkStart w:id="10" w:name="_Toc414551133"/>
      <w:bookmarkStart w:id="11" w:name="_Toc414551134"/>
      <w:bookmarkStart w:id="12" w:name="_Toc414551135"/>
      <w:bookmarkStart w:id="13" w:name="_Toc414551136"/>
      <w:bookmarkStart w:id="14" w:name="_Toc414551137"/>
      <w:bookmarkStart w:id="15" w:name="_Toc414551138"/>
      <w:bookmarkStart w:id="16" w:name="_Toc414551139"/>
      <w:bookmarkStart w:id="17" w:name="_Toc414551140"/>
      <w:bookmarkStart w:id="18" w:name="_Toc414551141"/>
      <w:bookmarkStart w:id="19" w:name="_Toc414551142"/>
      <w:bookmarkStart w:id="20" w:name="_Toc414551143"/>
      <w:bookmarkStart w:id="21" w:name="_Toc420327714"/>
      <w:bookmarkEnd w:id="7"/>
      <w:bookmarkEnd w:id="8"/>
      <w:bookmarkEnd w:id="9"/>
      <w:bookmarkEnd w:id="10"/>
      <w:bookmarkEnd w:id="11"/>
      <w:bookmarkEnd w:id="12"/>
      <w:bookmarkEnd w:id="13"/>
      <w:bookmarkEnd w:id="14"/>
      <w:bookmarkEnd w:id="15"/>
      <w:bookmarkEnd w:id="16"/>
      <w:bookmarkEnd w:id="17"/>
      <w:bookmarkEnd w:id="18"/>
      <w:bookmarkEnd w:id="19"/>
      <w:bookmarkEnd w:id="20"/>
      <w:r w:rsidRPr="002258FF">
        <w:t xml:space="preserve">Literature </w:t>
      </w:r>
      <w:r w:rsidR="00824D5F">
        <w:t>r</w:t>
      </w:r>
      <w:r w:rsidRPr="002258FF">
        <w:t>eview</w:t>
      </w:r>
      <w:r w:rsidR="00824D5F">
        <w:t xml:space="preserve"> of hydrocarbon occurrence in groundwater</w:t>
      </w:r>
      <w:bookmarkEnd w:id="21"/>
    </w:p>
    <w:p w14:paraId="7DAA0179" w14:textId="1114F546" w:rsidR="00295BB4" w:rsidRDefault="00445BFC" w:rsidP="00295BB4">
      <w:r>
        <w:t>A</w:t>
      </w:r>
      <w:r w:rsidRPr="00351DC0">
        <w:t xml:space="preserve"> </w:t>
      </w:r>
      <w:r w:rsidR="00295BB4" w:rsidRPr="00351DC0">
        <w:t xml:space="preserve">literature review </w:t>
      </w:r>
      <w:r>
        <w:t>has been undertaken</w:t>
      </w:r>
      <w:r w:rsidR="00295BB4" w:rsidRPr="00351DC0">
        <w:t xml:space="preserve"> to determine whether</w:t>
      </w:r>
      <w:r w:rsidR="00295BB4">
        <w:t xml:space="preserve"> any previous studies have detected occurrences of</w:t>
      </w:r>
      <w:r w:rsidR="00295BB4" w:rsidRPr="00351DC0">
        <w:t xml:space="preserve"> methane, BTEX or other hydrocarbons in the ground</w:t>
      </w:r>
      <w:r w:rsidR="00295BB4">
        <w:t xml:space="preserve">water resources of </w:t>
      </w:r>
      <w:r w:rsidR="00295BB4" w:rsidRPr="00C40BA4">
        <w:t xml:space="preserve">the Otway </w:t>
      </w:r>
      <w:r w:rsidR="00C40BA4" w:rsidRPr="00C40BA4">
        <w:t>Basin</w:t>
      </w:r>
      <w:r w:rsidR="00295BB4">
        <w:t xml:space="preserve"> and how these results have been interpreted in the context of the conceptual model of the basin.  The literature review provide</w:t>
      </w:r>
      <w:r w:rsidR="006742B6">
        <w:t>d</w:t>
      </w:r>
      <w:r w:rsidR="00295BB4">
        <w:t xml:space="preserve"> input </w:t>
      </w:r>
      <w:r w:rsidR="00496B73">
        <w:t xml:space="preserve">to </w:t>
      </w:r>
      <w:r w:rsidR="00295BB4">
        <w:t xml:space="preserve">the selection of sampling bores and analytes and also provides the context for interpretation of results. </w:t>
      </w:r>
      <w:r w:rsidR="00295BB4" w:rsidRPr="00351DC0">
        <w:t xml:space="preserve"> </w:t>
      </w:r>
    </w:p>
    <w:p w14:paraId="7DAA017A" w14:textId="3E86A05A" w:rsidR="00295BB4" w:rsidRDefault="00295BB4" w:rsidP="00295BB4">
      <w:r>
        <w:t xml:space="preserve">This </w:t>
      </w:r>
      <w:r w:rsidR="006742B6">
        <w:t>chapter</w:t>
      </w:r>
      <w:r>
        <w:t xml:space="preserve"> begins with a summary of</w:t>
      </w:r>
      <w:r w:rsidR="00C33169">
        <w:t xml:space="preserve"> the hydrogeology of the Otway region</w:t>
      </w:r>
      <w:r w:rsidR="00900B06">
        <w:t>,</w:t>
      </w:r>
      <w:r>
        <w:t xml:space="preserve"> including the main aquifers and structural features (Section 2.</w:t>
      </w:r>
      <w:r w:rsidR="006742B6">
        <w:t>1).  Section 2.2</w:t>
      </w:r>
      <w:r>
        <w:t xml:space="preserve"> reviews the literature on hydrocarbon occurrence and movement in the </w:t>
      </w:r>
      <w:r w:rsidR="00C33169">
        <w:t>Otway region</w:t>
      </w:r>
      <w:r w:rsidRPr="00C40BA4">
        <w:t>.</w:t>
      </w:r>
      <w:r>
        <w:t xml:space="preserve"> Potential areas for </w:t>
      </w:r>
      <w:r w:rsidR="00EC28FD">
        <w:t>onshore</w:t>
      </w:r>
      <w:r>
        <w:t xml:space="preserve"> natural gas prospectiv</w:t>
      </w:r>
      <w:r w:rsidR="006742B6">
        <w:t>ity are discussed in Section 2.3</w:t>
      </w:r>
      <w:r>
        <w:t xml:space="preserve"> and the implications of the literature review for the selection of groundwater chemistry parameters for this study is discussed in Section 2.</w:t>
      </w:r>
      <w:r w:rsidR="00101438">
        <w:t>4</w:t>
      </w:r>
      <w:r>
        <w:t xml:space="preserve">. </w:t>
      </w:r>
    </w:p>
    <w:p w14:paraId="7DAA017B" w14:textId="77777777" w:rsidR="000C564C" w:rsidRPr="000C564C" w:rsidRDefault="000C564C" w:rsidP="00B06114">
      <w:pPr>
        <w:rPr>
          <w:lang w:val="en-AU"/>
        </w:rPr>
      </w:pPr>
      <w:r w:rsidRPr="000C564C">
        <w:rPr>
          <w:lang w:val="en-AU"/>
        </w:rPr>
        <w:t>The approach to the literature review included the following components:</w:t>
      </w:r>
    </w:p>
    <w:p w14:paraId="7DAA017C" w14:textId="4DE2FE93" w:rsidR="000C564C" w:rsidRPr="00D5530F" w:rsidRDefault="000C564C" w:rsidP="00D5530F">
      <w:pPr>
        <w:pStyle w:val="Bullet1"/>
        <w:numPr>
          <w:ilvl w:val="0"/>
          <w:numId w:val="2"/>
        </w:numPr>
        <w:tabs>
          <w:tab w:val="clear" w:pos="1260"/>
          <w:tab w:val="num" w:pos="426"/>
          <w:tab w:val="num" w:pos="851"/>
        </w:tabs>
        <w:ind w:left="426" w:hanging="426"/>
      </w:pPr>
      <w:r w:rsidRPr="00D5530F">
        <w:t>Review literature that identifies the occurrence of methane, BTEX or other hydrocarbons in the groundwater resources of the Otway Basin, where coal and oil and gas are potentially present including</w:t>
      </w:r>
      <w:r w:rsidR="00295BB4" w:rsidRPr="00D5530F">
        <w:t xml:space="preserve">:  DSE (2010), Geological Society of Victoria (1995), GHD (2009), Hawkins and Dellenbach (1971), Hyder Consulting (2009), Laing </w:t>
      </w:r>
      <w:r w:rsidR="00295BB4" w:rsidRPr="00BA6593">
        <w:rPr>
          <w:i/>
        </w:rPr>
        <w:t>et. al</w:t>
      </w:r>
      <w:r w:rsidR="00295BB4" w:rsidRPr="00D5530F">
        <w:t>. (1989), Leeder Consult</w:t>
      </w:r>
      <w:r w:rsidR="006742B6">
        <w:t>ing (2009), Woollands and  Wong</w:t>
      </w:r>
      <w:r w:rsidR="00295BB4" w:rsidRPr="00D5530F">
        <w:t xml:space="preserve"> (2001).  </w:t>
      </w:r>
    </w:p>
    <w:p w14:paraId="7DAA017D" w14:textId="129C80FE" w:rsidR="000C564C" w:rsidRPr="000C564C" w:rsidRDefault="006742B6" w:rsidP="00D5530F">
      <w:pPr>
        <w:pStyle w:val="Bullet1"/>
        <w:numPr>
          <w:ilvl w:val="0"/>
          <w:numId w:val="2"/>
        </w:numPr>
        <w:tabs>
          <w:tab w:val="clear" w:pos="1260"/>
          <w:tab w:val="num" w:pos="426"/>
          <w:tab w:val="num" w:pos="851"/>
        </w:tabs>
        <w:ind w:left="426" w:hanging="426"/>
      </w:pPr>
      <w:r>
        <w:t>The q</w:t>
      </w:r>
      <w:r w:rsidR="000C564C" w:rsidRPr="000C564C">
        <w:t>uery</w:t>
      </w:r>
      <w:r>
        <w:t>ing of</w:t>
      </w:r>
      <w:r w:rsidR="000C564C" w:rsidRPr="000C564C">
        <w:t xml:space="preserve"> readily available databases for additional groundwater data that might help to identify the location of hyd</w:t>
      </w:r>
      <w:r w:rsidR="00555395">
        <w:t>rocarbon occurrence in the region</w:t>
      </w:r>
      <w:r w:rsidR="000C564C" w:rsidRPr="000C564C">
        <w:t>:</w:t>
      </w:r>
    </w:p>
    <w:p w14:paraId="7DAA017E" w14:textId="77777777" w:rsidR="000C564C" w:rsidRPr="00A659A8" w:rsidRDefault="000C564C" w:rsidP="00A659A8">
      <w:pPr>
        <w:pStyle w:val="Bullet2"/>
      </w:pPr>
      <w:r w:rsidRPr="00A659A8">
        <w:t>Geoscience Australia Petroleum Wells Database (</w:t>
      </w:r>
      <w:hyperlink r:id="rId21" w:history="1">
        <w:r w:rsidRPr="00A659A8">
          <w:t>http://dbforms.ga.gov.au/www/npm.well.search</w:t>
        </w:r>
      </w:hyperlink>
      <w:r w:rsidRPr="00A659A8">
        <w:t xml:space="preserve">) viewed October 2014. </w:t>
      </w:r>
    </w:p>
    <w:p w14:paraId="7DAA017F" w14:textId="77777777" w:rsidR="000C564C" w:rsidRPr="00D5530F" w:rsidRDefault="000C564C" w:rsidP="00A659A8">
      <w:pPr>
        <w:pStyle w:val="Bullet2"/>
      </w:pPr>
      <w:r w:rsidRPr="00A659A8">
        <w:t>Victorian Water Management Information System (queried the laboratory chemistry information, however no relevant groundwat</w:t>
      </w:r>
      <w:r w:rsidRPr="00D5530F">
        <w:t>er hydrocarbon informati</w:t>
      </w:r>
      <w:r w:rsidR="00EC2609" w:rsidRPr="00D5530F">
        <w:t>on was stored in this database).</w:t>
      </w:r>
    </w:p>
    <w:p w14:paraId="7DAA0180" w14:textId="4A4A015C" w:rsidR="00E31155" w:rsidRDefault="00295BB4" w:rsidP="00D5530F">
      <w:pPr>
        <w:pStyle w:val="Bullet1"/>
        <w:numPr>
          <w:ilvl w:val="0"/>
          <w:numId w:val="2"/>
        </w:numPr>
        <w:tabs>
          <w:tab w:val="clear" w:pos="1260"/>
          <w:tab w:val="num" w:pos="426"/>
          <w:tab w:val="num" w:pos="851"/>
        </w:tabs>
        <w:ind w:left="426" w:hanging="426"/>
      </w:pPr>
      <w:r w:rsidRPr="00345CDF">
        <w:t xml:space="preserve">Review national and international literature regarding </w:t>
      </w:r>
      <w:r w:rsidR="006742B6">
        <w:t>coal seam gas</w:t>
      </w:r>
      <w:r w:rsidRPr="00345CDF">
        <w:t xml:space="preserve"> </w:t>
      </w:r>
      <w:r w:rsidR="00857ACF">
        <w:t xml:space="preserve">monitoring </w:t>
      </w:r>
      <w:r w:rsidRPr="00345CDF">
        <w:t>programs to understand industry standards</w:t>
      </w:r>
      <w:r>
        <w:t xml:space="preserve"> including CSIRO (2011), Claytor and Shaw (2008), Alberta Environment (2006) and QGC (2012).</w:t>
      </w:r>
      <w:r w:rsidR="00A605FE">
        <w:br/>
      </w:r>
    </w:p>
    <w:p w14:paraId="7DAA0181" w14:textId="2AFFC105" w:rsidR="00D90A45" w:rsidRDefault="00D90A45" w:rsidP="00994879">
      <w:pPr>
        <w:pStyle w:val="Head2xx"/>
      </w:pPr>
      <w:bookmarkStart w:id="22" w:name="_Toc414551145"/>
      <w:bookmarkStart w:id="23" w:name="_Toc414551146"/>
      <w:bookmarkStart w:id="24" w:name="_Toc414551147"/>
      <w:bookmarkStart w:id="25" w:name="_Toc414551148"/>
      <w:bookmarkStart w:id="26" w:name="_Toc414551149"/>
      <w:bookmarkStart w:id="27" w:name="_Toc414551150"/>
      <w:bookmarkStart w:id="28" w:name="_Toc414551151"/>
      <w:bookmarkStart w:id="29" w:name="_Toc412538243"/>
      <w:bookmarkStart w:id="30" w:name="_Toc420327715"/>
      <w:bookmarkEnd w:id="22"/>
      <w:bookmarkEnd w:id="23"/>
      <w:bookmarkEnd w:id="24"/>
      <w:bookmarkEnd w:id="25"/>
      <w:bookmarkEnd w:id="26"/>
      <w:bookmarkEnd w:id="27"/>
      <w:bookmarkEnd w:id="28"/>
      <w:r>
        <w:t xml:space="preserve">Otway Basin – </w:t>
      </w:r>
      <w:r w:rsidR="002F4A45">
        <w:t>aquifer overview</w:t>
      </w:r>
      <w:bookmarkEnd w:id="29"/>
      <w:bookmarkEnd w:id="30"/>
    </w:p>
    <w:p w14:paraId="7DAA0182" w14:textId="4A56B103" w:rsidR="00D90A45" w:rsidRDefault="00D90A45" w:rsidP="00B06114">
      <w:r w:rsidRPr="00420A42">
        <w:t>The Otway Basin is a NE-SW striking passive margin rift basin</w:t>
      </w:r>
      <w:r>
        <w:t xml:space="preserve"> approximately 500 km long located in eastern South Australia (25% of the basin), southern Victoria (50% of the basin) and northern Tasmania (25% of the basin). The basin covers an area of roughly 155,000 km</w:t>
      </w:r>
      <w:r>
        <w:rPr>
          <w:vertAlign w:val="superscript"/>
        </w:rPr>
        <w:t>2</w:t>
      </w:r>
      <w:r>
        <w:t xml:space="preserve">, 80% of which is located offshore. Petroleum exploration in the basin began in 1892 but the basin failed to yield any hydrocarbons until 1959 when an onshore sub-commercial quantity of gas was discovered at Port Campbell. </w:t>
      </w:r>
      <w:r w:rsidR="00785FAC">
        <w:t>N</w:t>
      </w:r>
      <w:r>
        <w:t>o commercial quantities were discovered until 1978 with larger commercial quantities discovered in 1993 and 2001 both on and offshore (</w:t>
      </w:r>
      <w:r w:rsidRPr="005127BD">
        <w:rPr>
          <w:noProof/>
        </w:rPr>
        <w:t>Woo</w:t>
      </w:r>
      <w:r>
        <w:rPr>
          <w:noProof/>
        </w:rPr>
        <w:t xml:space="preserve">llands &amp; Wong, </w:t>
      </w:r>
      <w:r w:rsidRPr="005127BD">
        <w:rPr>
          <w:noProof/>
        </w:rPr>
        <w:t>2001</w:t>
      </w:r>
      <w:r>
        <w:t>).</w:t>
      </w:r>
    </w:p>
    <w:p w14:paraId="7DAA0183" w14:textId="77777777" w:rsidR="00827246" w:rsidRDefault="00827246">
      <w:pPr>
        <w:rPr>
          <w:lang w:val="en-AU"/>
        </w:rPr>
      </w:pPr>
      <w:r>
        <w:rPr>
          <w:lang w:val="en-AU"/>
        </w:rPr>
        <w:br w:type="page"/>
      </w:r>
    </w:p>
    <w:p w14:paraId="7DAA0184" w14:textId="77777777" w:rsidR="000C564C" w:rsidRPr="00C40BA4" w:rsidRDefault="000C564C" w:rsidP="00C40BA4">
      <w:pPr>
        <w:pStyle w:val="Bullet1"/>
        <w:tabs>
          <w:tab w:val="num" w:pos="1260"/>
        </w:tabs>
      </w:pPr>
      <w:r w:rsidRPr="00C40BA4">
        <w:t>The Otway Basin consists of a 10 km thick sequence of Mesozoic and Cenozoic sedimentary and volcanic rocks including a number of significant aquifers. The primary units in the Otway Basin that have been associated with hydrocarbon exploration include:</w:t>
      </w:r>
    </w:p>
    <w:p w14:paraId="7DAA0185" w14:textId="42843F92" w:rsidR="000C564C" w:rsidRPr="00D5530F" w:rsidRDefault="00785FAC" w:rsidP="00D5530F">
      <w:pPr>
        <w:pStyle w:val="Bullet1"/>
        <w:numPr>
          <w:ilvl w:val="0"/>
          <w:numId w:val="2"/>
        </w:numPr>
        <w:tabs>
          <w:tab w:val="clear" w:pos="1260"/>
          <w:tab w:val="num" w:pos="426"/>
          <w:tab w:val="num" w:pos="851"/>
        </w:tabs>
        <w:ind w:left="426" w:hanging="426"/>
      </w:pPr>
      <w:r>
        <w:t>t</w:t>
      </w:r>
      <w:r w:rsidRPr="00D5530F">
        <w:t>he</w:t>
      </w:r>
      <w:r w:rsidR="000C564C" w:rsidRPr="00D5530F">
        <w:t xml:space="preserve"> Otway Group (Mesozoic and Palaeozoic Bedrock Aquifer 114 ) – oil and gas was encountered at </w:t>
      </w:r>
      <w:r w:rsidR="003D0148">
        <w:t>multiple</w:t>
      </w:r>
      <w:r w:rsidR="000C564C" w:rsidRPr="00D5530F">
        <w:t xml:space="preserve"> levels within the sequence </w:t>
      </w:r>
    </w:p>
    <w:p w14:paraId="7DAA0186" w14:textId="57A8FE82" w:rsidR="000C564C" w:rsidRPr="00D5530F" w:rsidRDefault="00785FAC" w:rsidP="00D5530F">
      <w:pPr>
        <w:pStyle w:val="Bullet1"/>
        <w:numPr>
          <w:ilvl w:val="0"/>
          <w:numId w:val="2"/>
        </w:numPr>
        <w:tabs>
          <w:tab w:val="clear" w:pos="1260"/>
          <w:tab w:val="num" w:pos="426"/>
          <w:tab w:val="num" w:pos="851"/>
        </w:tabs>
        <w:ind w:left="426" w:hanging="426"/>
      </w:pPr>
      <w:r>
        <w:t>t</w:t>
      </w:r>
      <w:r w:rsidRPr="00D5530F">
        <w:t xml:space="preserve">he </w:t>
      </w:r>
      <w:r w:rsidR="000C564C" w:rsidRPr="00D5530F">
        <w:t>Sherbrook Group (Cretaceous and Permian Sediments 113) – gas and weak oil was encountered in the lower half of sequence</w:t>
      </w:r>
    </w:p>
    <w:p w14:paraId="7DAA0187" w14:textId="0938AF00" w:rsidR="000C564C" w:rsidRPr="00D5530F" w:rsidRDefault="00785FAC" w:rsidP="00D5530F">
      <w:pPr>
        <w:pStyle w:val="Bullet1"/>
        <w:numPr>
          <w:ilvl w:val="0"/>
          <w:numId w:val="2"/>
        </w:numPr>
        <w:tabs>
          <w:tab w:val="clear" w:pos="1260"/>
          <w:tab w:val="num" w:pos="426"/>
          <w:tab w:val="num" w:pos="851"/>
        </w:tabs>
        <w:ind w:left="426" w:hanging="426"/>
      </w:pPr>
      <w:r>
        <w:t>t</w:t>
      </w:r>
      <w:r w:rsidRPr="00D5530F">
        <w:t xml:space="preserve">he </w:t>
      </w:r>
      <w:r w:rsidR="000C564C" w:rsidRPr="00D5530F">
        <w:t>Wangerrip Group (Lower Tertiary Aquifer 111) – oil and gas at different levels within the sequence</w:t>
      </w:r>
    </w:p>
    <w:p w14:paraId="7DAA0188" w14:textId="5E9E4A72" w:rsidR="000C564C" w:rsidRPr="00D5530F" w:rsidRDefault="00785FAC" w:rsidP="00A659A8">
      <w:pPr>
        <w:pStyle w:val="Bullet1"/>
        <w:numPr>
          <w:ilvl w:val="0"/>
          <w:numId w:val="2"/>
        </w:numPr>
        <w:tabs>
          <w:tab w:val="clear" w:pos="1260"/>
          <w:tab w:val="num" w:pos="426"/>
          <w:tab w:val="num" w:pos="851"/>
        </w:tabs>
        <w:spacing w:after="200"/>
        <w:ind w:left="426" w:hanging="426"/>
      </w:pPr>
      <w:r>
        <w:t>t</w:t>
      </w:r>
      <w:r w:rsidRPr="00D5530F">
        <w:t xml:space="preserve">he </w:t>
      </w:r>
      <w:r w:rsidR="000C564C" w:rsidRPr="00D5530F">
        <w:t>Eastern View Group (Lower Tertiary Aquifer 111) – weak gas encountered in some wells but nothing commercial discovered</w:t>
      </w:r>
      <w:r w:rsidR="00EC2609" w:rsidRPr="00D5530F">
        <w:t>.</w:t>
      </w:r>
    </w:p>
    <w:p w14:paraId="7DAA0189" w14:textId="0EE4D7E5" w:rsidR="00EC2609" w:rsidRDefault="000C564C" w:rsidP="00B06114">
      <w:pPr>
        <w:rPr>
          <w:lang w:val="en-AU"/>
        </w:rPr>
      </w:pPr>
      <w:r w:rsidRPr="000C564C">
        <w:rPr>
          <w:lang w:val="en-AU"/>
        </w:rPr>
        <w:t xml:space="preserve">No hydrocarbon accumulations have been reported in the overlying units. A generalised stratigraphic section is shown in </w:t>
      </w:r>
      <w:r w:rsidR="00B06114">
        <w:rPr>
          <w:lang w:val="en-AU"/>
        </w:rPr>
        <w:fldChar w:fldCharType="begin"/>
      </w:r>
      <w:r w:rsidR="00B06114">
        <w:rPr>
          <w:lang w:val="en-AU"/>
        </w:rPr>
        <w:instrText xml:space="preserve"> REF _Ref414004651 \h </w:instrText>
      </w:r>
      <w:r w:rsidR="00B06114">
        <w:rPr>
          <w:lang w:val="en-AU"/>
        </w:rPr>
      </w:r>
      <w:r w:rsidR="00B06114">
        <w:rPr>
          <w:lang w:val="en-AU"/>
        </w:rPr>
        <w:fldChar w:fldCharType="separate"/>
      </w:r>
      <w:r w:rsidR="00BD60CC">
        <w:t xml:space="preserve">Figure </w:t>
      </w:r>
      <w:r w:rsidR="00BD60CC">
        <w:rPr>
          <w:noProof/>
        </w:rPr>
        <w:t>2</w:t>
      </w:r>
      <w:r w:rsidR="00B06114">
        <w:rPr>
          <w:lang w:val="en-AU"/>
        </w:rPr>
        <w:fldChar w:fldCharType="end"/>
      </w:r>
      <w:r w:rsidR="00AA57E4">
        <w:rPr>
          <w:lang w:val="en-AU"/>
        </w:rPr>
        <w:t xml:space="preserve">.  </w:t>
      </w:r>
      <w:r w:rsidR="00AA57E4" w:rsidRPr="00345CDF">
        <w:t>The Victorian Aquifer Framework (VAF) (SKM, 2011) simplified the aquifer and aquitard units of Victoria for the purposes of water resource management. The VAF aquifer nomenclature is used throughout this report to describe</w:t>
      </w:r>
      <w:r w:rsidR="00AA57E4">
        <w:t xml:space="preserve"> the aquifers across the Otway</w:t>
      </w:r>
      <w:r w:rsidR="00AA57E4" w:rsidRPr="00345CDF">
        <w:t xml:space="preserve"> Basin</w:t>
      </w:r>
      <w:r w:rsidR="00AA57E4">
        <w:t xml:space="preserve">.  The </w:t>
      </w:r>
      <w:r w:rsidR="00206FC6">
        <w:t>relationship</w:t>
      </w:r>
      <w:r w:rsidR="00AA57E4">
        <w:t xml:space="preserve"> between the Otway Formation names shown in </w:t>
      </w:r>
      <w:r w:rsidR="00AA57E4">
        <w:fldChar w:fldCharType="begin"/>
      </w:r>
      <w:r w:rsidR="00AA57E4">
        <w:instrText xml:space="preserve"> REF _Ref414004651 \h </w:instrText>
      </w:r>
      <w:r w:rsidR="00AA57E4">
        <w:fldChar w:fldCharType="separate"/>
      </w:r>
      <w:r w:rsidR="00BD60CC">
        <w:t xml:space="preserve">Figure </w:t>
      </w:r>
      <w:r w:rsidR="00BD60CC">
        <w:rPr>
          <w:noProof/>
        </w:rPr>
        <w:t>2</w:t>
      </w:r>
      <w:r w:rsidR="00AA57E4">
        <w:fldChar w:fldCharType="end"/>
      </w:r>
      <w:r w:rsidR="00AA57E4">
        <w:t xml:space="preserve"> and the VAF nomenclature is shown in </w:t>
      </w:r>
      <w:r w:rsidR="00AA57E4">
        <w:fldChar w:fldCharType="begin"/>
      </w:r>
      <w:r w:rsidR="00AA57E4">
        <w:instrText xml:space="preserve"> REF _Ref414367623 \h </w:instrText>
      </w:r>
      <w:r w:rsidR="00AA57E4">
        <w:fldChar w:fldCharType="separate"/>
      </w:r>
      <w:r w:rsidR="00BD60CC">
        <w:t xml:space="preserve">Figure </w:t>
      </w:r>
      <w:r w:rsidR="00BD60CC">
        <w:rPr>
          <w:noProof/>
        </w:rPr>
        <w:t>3</w:t>
      </w:r>
      <w:r w:rsidR="00AA57E4">
        <w:fldChar w:fldCharType="end"/>
      </w:r>
      <w:r w:rsidR="00AA57E4">
        <w:t xml:space="preserve">.  </w:t>
      </w:r>
      <w:r w:rsidR="00AA57E4">
        <w:rPr>
          <w:lang w:val="en-AU"/>
        </w:rPr>
        <w:t>A</w:t>
      </w:r>
      <w:r w:rsidRPr="000C564C">
        <w:rPr>
          <w:lang w:val="en-AU"/>
        </w:rPr>
        <w:t xml:space="preserve"> brief description of each of the units </w:t>
      </w:r>
      <w:r w:rsidR="00313834">
        <w:rPr>
          <w:lang w:val="en-AU"/>
        </w:rPr>
        <w:t>listed above is provided below.</w:t>
      </w:r>
    </w:p>
    <w:p w14:paraId="7DAA018A" w14:textId="77777777" w:rsidR="00827246" w:rsidRPr="005E2C90" w:rsidRDefault="00827246" w:rsidP="00B06114">
      <w:pPr>
        <w:sectPr w:rsidR="00827246" w:rsidRPr="005E2C90" w:rsidSect="0063692F">
          <w:type w:val="continuous"/>
          <w:pgSz w:w="11906" w:h="16838" w:code="9"/>
          <w:pgMar w:top="2268" w:right="1134" w:bottom="1276" w:left="1134" w:header="567" w:footer="567" w:gutter="0"/>
          <w:cols w:space="708"/>
          <w:titlePg/>
          <w:docGrid w:linePitch="360"/>
        </w:sectPr>
      </w:pPr>
    </w:p>
    <w:p w14:paraId="7DAA018B" w14:textId="77777777" w:rsidR="00EC2609" w:rsidRDefault="00EC2609" w:rsidP="00A659A8">
      <w:pPr>
        <w:pStyle w:val="figurereturn"/>
      </w:pPr>
      <w:r>
        <w:drawing>
          <wp:inline distT="0" distB="0" distL="0" distR="0" wp14:anchorId="7DAA0C31" wp14:editId="7DAA0C32">
            <wp:extent cx="4722891" cy="8581055"/>
            <wp:effectExtent l="0" t="508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rot="5400000">
                      <a:off x="0" y="0"/>
                      <a:ext cx="4719170" cy="8574293"/>
                    </a:xfrm>
                    <a:prstGeom prst="rect">
                      <a:avLst/>
                    </a:prstGeom>
                  </pic:spPr>
                </pic:pic>
              </a:graphicData>
            </a:graphic>
          </wp:inline>
        </w:drawing>
      </w:r>
    </w:p>
    <w:p w14:paraId="7DAA018C" w14:textId="1DCB44F2" w:rsidR="00EC2609" w:rsidRPr="00EC2609" w:rsidRDefault="00B06114" w:rsidP="00D0375F">
      <w:pPr>
        <w:pStyle w:val="Figuretitle"/>
        <w:sectPr w:rsidR="00EC2609" w:rsidRPr="00EC2609" w:rsidSect="002760D3">
          <w:headerReference w:type="first" r:id="rId23"/>
          <w:pgSz w:w="16838" w:h="11906" w:orient="landscape" w:code="9"/>
          <w:pgMar w:top="1701" w:right="1134" w:bottom="1276" w:left="1134" w:header="567" w:footer="567" w:gutter="0"/>
          <w:cols w:space="708"/>
          <w:titlePg/>
          <w:docGrid w:linePitch="360"/>
        </w:sectPr>
      </w:pPr>
      <w:bookmarkStart w:id="31" w:name="_Ref414004651"/>
      <w:bookmarkStart w:id="32" w:name="_Toc420327753"/>
      <w:r>
        <w:t xml:space="preserve">Figure </w:t>
      </w:r>
      <w:r w:rsidR="00B91643">
        <w:fldChar w:fldCharType="begin"/>
      </w:r>
      <w:r w:rsidR="00B91643">
        <w:instrText xml:space="preserve"> SEQ</w:instrText>
      </w:r>
      <w:r w:rsidR="00B91643">
        <w:instrText xml:space="preserve"> Figure \* ARABIC </w:instrText>
      </w:r>
      <w:r w:rsidR="00B91643">
        <w:fldChar w:fldCharType="separate"/>
      </w:r>
      <w:r w:rsidR="00BD60CC">
        <w:rPr>
          <w:noProof/>
        </w:rPr>
        <w:t>2</w:t>
      </w:r>
      <w:r w:rsidR="00B91643">
        <w:rPr>
          <w:noProof/>
        </w:rPr>
        <w:fldChar w:fldCharType="end"/>
      </w:r>
      <w:bookmarkEnd w:id="31"/>
      <w:r>
        <w:t xml:space="preserve"> </w:t>
      </w:r>
      <w:r w:rsidR="000C564C" w:rsidRPr="00EC2609">
        <w:t>Stratigraphy of the Otway basin (from the Petroleum Atlas of Victor</w:t>
      </w:r>
      <w:r w:rsidR="00EC2609" w:rsidRPr="00EC2609">
        <w:t>ia (</w:t>
      </w:r>
      <w:r w:rsidR="00555395">
        <w:t xml:space="preserve">source: </w:t>
      </w:r>
      <w:r w:rsidR="00EC2609" w:rsidRPr="00EC2609">
        <w:t>Woollands &amp; Wong, 2001)).</w:t>
      </w:r>
      <w:bookmarkEnd w:id="32"/>
    </w:p>
    <w:p w14:paraId="7DAA018D" w14:textId="77777777" w:rsidR="002017E3" w:rsidRDefault="002017E3" w:rsidP="00A659A8">
      <w:pPr>
        <w:pStyle w:val="figurereturn"/>
      </w:pPr>
      <w:bookmarkStart w:id="33" w:name="_Ref414005140"/>
      <w:r>
        <w:drawing>
          <wp:inline distT="0" distB="0" distL="0" distR="0" wp14:anchorId="7DAA0C33" wp14:editId="7DAA0C34">
            <wp:extent cx="5943600" cy="522160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5221605"/>
                    </a:xfrm>
                    <a:prstGeom prst="rect">
                      <a:avLst/>
                    </a:prstGeom>
                  </pic:spPr>
                </pic:pic>
              </a:graphicData>
            </a:graphic>
          </wp:inline>
        </w:drawing>
      </w:r>
    </w:p>
    <w:p w14:paraId="7DAA018F" w14:textId="394E74DB" w:rsidR="00E31155" w:rsidRDefault="00AA57E4" w:rsidP="00D0375F">
      <w:pPr>
        <w:pStyle w:val="Figuretitle"/>
      </w:pPr>
      <w:bookmarkStart w:id="34" w:name="_Ref414367623"/>
      <w:bookmarkStart w:id="35" w:name="_Toc420327754"/>
      <w:r>
        <w:t xml:space="preserve">Figure </w:t>
      </w:r>
      <w:r w:rsidR="00B91643">
        <w:fldChar w:fldCharType="begin"/>
      </w:r>
      <w:r w:rsidR="00B91643">
        <w:instrText xml:space="preserve"> SEQ Figure \* ARABIC </w:instrText>
      </w:r>
      <w:r w:rsidR="00B91643">
        <w:fldChar w:fldCharType="separate"/>
      </w:r>
      <w:r w:rsidR="00BD60CC">
        <w:rPr>
          <w:noProof/>
        </w:rPr>
        <w:t>3</w:t>
      </w:r>
      <w:r w:rsidR="00B91643">
        <w:rPr>
          <w:noProof/>
        </w:rPr>
        <w:fldChar w:fldCharType="end"/>
      </w:r>
      <w:bookmarkEnd w:id="34"/>
      <w:r>
        <w:t xml:space="preserve">: Otway Basin </w:t>
      </w:r>
      <w:r w:rsidRPr="005E2C90">
        <w:t>Formations categorised by Victorian Aquifer Framework names, codes and numbers</w:t>
      </w:r>
      <w:r w:rsidR="003005F5">
        <w:t xml:space="preserve"> (</w:t>
      </w:r>
      <w:r w:rsidR="00555395">
        <w:t xml:space="preserve">source: </w:t>
      </w:r>
      <w:r w:rsidR="003005F5">
        <w:t>modified from GHD, 2012).</w:t>
      </w:r>
      <w:bookmarkEnd w:id="35"/>
    </w:p>
    <w:p w14:paraId="7DAA0190" w14:textId="77777777" w:rsidR="000C564C" w:rsidRPr="000C564C" w:rsidRDefault="000C564C" w:rsidP="00C0769F">
      <w:pPr>
        <w:pStyle w:val="Head3xxx"/>
        <w:ind w:left="851"/>
        <w:rPr>
          <w:lang w:val="en-AU"/>
        </w:rPr>
      </w:pPr>
      <w:r w:rsidRPr="000C564C">
        <w:rPr>
          <w:lang w:val="en-AU"/>
        </w:rPr>
        <w:t>The Otway Group (Mesozoic and Palaeozoic Bedrock Aquifer 114)</w:t>
      </w:r>
      <w:bookmarkEnd w:id="33"/>
    </w:p>
    <w:p w14:paraId="7DAA0191" w14:textId="41528CC4" w:rsidR="000C564C" w:rsidRPr="000C564C" w:rsidRDefault="000C564C" w:rsidP="000C564C">
      <w:pPr>
        <w:rPr>
          <w:lang w:val="en-AU"/>
        </w:rPr>
      </w:pPr>
      <w:r w:rsidRPr="000C564C">
        <w:rPr>
          <w:lang w:val="en-AU"/>
        </w:rPr>
        <w:t xml:space="preserve">The Otway Group consists of a thick sequence (up to 8 km thick) of sandstone and shale with minor </w:t>
      </w:r>
      <w:r w:rsidR="006742B6">
        <w:rPr>
          <w:lang w:val="en-AU"/>
        </w:rPr>
        <w:t>i</w:t>
      </w:r>
      <w:r w:rsidRPr="000C564C">
        <w:rPr>
          <w:lang w:val="en-AU"/>
        </w:rPr>
        <w:t xml:space="preserve">nterbedded coal and volcanics. The youngest formation in the Otway Group is the Eumeralla Formation which consists of fluvial sandstone </w:t>
      </w:r>
      <w:r w:rsidR="006742B6">
        <w:rPr>
          <w:lang w:val="en-AU"/>
        </w:rPr>
        <w:t>i</w:t>
      </w:r>
      <w:r w:rsidRPr="000C564C">
        <w:rPr>
          <w:lang w:val="en-AU"/>
        </w:rPr>
        <w:t>nterbedded with mudstone, fine sandstone and shale. The Eumeralla Formation is not considered to be a viable fractured rock aquifer and is generally considered to form the impermeable basement of the younger Otway Basin sediments (SKM &amp; GHD, 2009). The Eumeralla Formation is unconformably underlain by the Pretty Hill Formation from which commercial quantities of gas are extracted in South Australia (Woollands &amp; Wong, 2001).</w:t>
      </w:r>
    </w:p>
    <w:p w14:paraId="7DAA0192" w14:textId="77777777" w:rsidR="000C564C" w:rsidRPr="000C564C" w:rsidRDefault="000C564C" w:rsidP="00C0769F">
      <w:pPr>
        <w:pStyle w:val="Head3xxx"/>
        <w:ind w:left="851"/>
        <w:rPr>
          <w:lang w:val="en-AU"/>
        </w:rPr>
      </w:pPr>
      <w:r w:rsidRPr="000C564C">
        <w:rPr>
          <w:lang w:val="en-AU"/>
        </w:rPr>
        <w:t>The Sherbrook Group (Cretaceous and Permian Sediments 113)</w:t>
      </w:r>
    </w:p>
    <w:p w14:paraId="7DAA0193" w14:textId="799A29D5" w:rsidR="000C564C" w:rsidRPr="000C564C" w:rsidRDefault="000C564C" w:rsidP="000C564C">
      <w:pPr>
        <w:rPr>
          <w:lang w:val="en-AU"/>
        </w:rPr>
      </w:pPr>
      <w:r w:rsidRPr="000C564C">
        <w:rPr>
          <w:lang w:val="en-AU"/>
        </w:rPr>
        <w:t xml:space="preserve">The Sherbrook Group unconformably overlies the Eumeralla Formation of the Otway Group and consists of sandstone, shale, mudstone and minor coal up to 5 km thick. This sequence is restricted to the western portion of the Otway Basin and is not present in </w:t>
      </w:r>
      <w:r w:rsidRPr="00C40BA4">
        <w:rPr>
          <w:lang w:val="en-AU"/>
        </w:rPr>
        <w:t xml:space="preserve">the Torquay </w:t>
      </w:r>
      <w:r w:rsidR="006742B6">
        <w:rPr>
          <w:lang w:val="en-AU"/>
        </w:rPr>
        <w:t>s</w:t>
      </w:r>
      <w:r w:rsidRPr="00C40BA4">
        <w:rPr>
          <w:lang w:val="en-AU"/>
        </w:rPr>
        <w:t>ub-</w:t>
      </w:r>
      <w:r w:rsidR="006742B6">
        <w:rPr>
          <w:lang w:val="en-AU"/>
        </w:rPr>
        <w:t>b</w:t>
      </w:r>
      <w:r w:rsidRPr="00C40BA4">
        <w:rPr>
          <w:lang w:val="en-AU"/>
        </w:rPr>
        <w:t>asin. The</w:t>
      </w:r>
      <w:r w:rsidRPr="000C564C">
        <w:rPr>
          <w:lang w:val="en-AU"/>
        </w:rPr>
        <w:t xml:space="preserve"> upper Cretaceous sediments present in the Torquay </w:t>
      </w:r>
      <w:r w:rsidR="006742B6">
        <w:rPr>
          <w:lang w:val="en-AU"/>
        </w:rPr>
        <w:t>s</w:t>
      </w:r>
      <w:r w:rsidRPr="000C564C">
        <w:rPr>
          <w:lang w:val="en-AU"/>
        </w:rPr>
        <w:t>ub-</w:t>
      </w:r>
      <w:r w:rsidR="006742B6">
        <w:rPr>
          <w:lang w:val="en-AU"/>
        </w:rPr>
        <w:t>b</w:t>
      </w:r>
      <w:r w:rsidRPr="000C564C">
        <w:rPr>
          <w:lang w:val="en-AU"/>
        </w:rPr>
        <w:t xml:space="preserve">asin are assigned to the Eastern View Group. The result of a long period of variable depositional environments, the hydrostratigraphy of the Sherbrook Group is complex. The stratigraphic formations from oldest to youngest are: the Waarre Formation, the Flaxman Formation, the Belfast Mudstone, the Paaratte Formation and the Timboon Sandstone. </w:t>
      </w:r>
    </w:p>
    <w:p w14:paraId="7DAA0194" w14:textId="77777777" w:rsidR="000C564C" w:rsidRPr="000C564C" w:rsidRDefault="000C564C" w:rsidP="000C564C">
      <w:pPr>
        <w:rPr>
          <w:lang w:val="en-AU"/>
        </w:rPr>
      </w:pPr>
      <w:r w:rsidRPr="000C564C">
        <w:rPr>
          <w:lang w:val="en-AU"/>
        </w:rPr>
        <w:t>The Waarre and Flaxman Formations consist of sandstone, mudstone and minor coal and have relatively good porosity. However, their potential as aquifers is low due to the high salinity formation waters associated with the hydrocarbon reserves. Most of the known hydrocarbon occurrences in the Sherbrook Group are located within these two formations, with the commercial onshore gas extraction at Port Campbell extracting from the Waarre Formation. Weak oil accumulations have also been reported in this formation (Woollands &amp; Wong, 2001).</w:t>
      </w:r>
    </w:p>
    <w:p w14:paraId="7DAA0195" w14:textId="7AF6BA1E" w:rsidR="000C564C" w:rsidRPr="000C564C" w:rsidRDefault="000C564C" w:rsidP="000C564C">
      <w:pPr>
        <w:rPr>
          <w:lang w:val="en-AU"/>
        </w:rPr>
      </w:pPr>
      <w:r w:rsidRPr="000C564C">
        <w:rPr>
          <w:lang w:val="en-AU"/>
        </w:rPr>
        <w:t xml:space="preserve">The Belfast Mudstone is a low hydraulic conductivity aquitard and the overlying Paaratte Formation and Timboon Sandstone are confined aquifers consisting of weakly-cemented sandstone with some pebble and gravel beds and minor siltstone that host good quality water (SKM &amp; GHD, 2009). No hydrocarbons occurrences have been reported in these units. </w:t>
      </w:r>
    </w:p>
    <w:p w14:paraId="7DAA0196" w14:textId="107DFEDC" w:rsidR="000C564C" w:rsidRPr="000C564C" w:rsidRDefault="000C564C" w:rsidP="000C564C">
      <w:pPr>
        <w:rPr>
          <w:lang w:val="en-AU"/>
        </w:rPr>
      </w:pPr>
      <w:r w:rsidRPr="000C564C">
        <w:rPr>
          <w:lang w:val="en-AU"/>
        </w:rPr>
        <w:t>In the Port Campbell Embayment there</w:t>
      </w:r>
      <w:r w:rsidR="008B41DE">
        <w:rPr>
          <w:lang w:val="en-AU"/>
        </w:rPr>
        <w:t xml:space="preserve"> are</w:t>
      </w:r>
      <w:r w:rsidRPr="000C564C">
        <w:rPr>
          <w:lang w:val="en-AU"/>
        </w:rPr>
        <w:t xml:space="preserve"> two additional formations: the Nullawarre Greensand and the Skull Creek Mudstone. The Nullawarre Greensand is up to 388 m thick and consists of fine to coarse grained glauconitic sandstone (Hawkins and Dellenbach, 1971 and Geological Society of Victoria, 1995). This formation passes into equivalents of the Paaratte Formation and the Belfast Mudstone. The Skull Creek Mudstone (Laing </w:t>
      </w:r>
      <w:r w:rsidRPr="00BA6593">
        <w:rPr>
          <w:i/>
          <w:lang w:val="en-AU"/>
        </w:rPr>
        <w:t>et al</w:t>
      </w:r>
      <w:r w:rsidRPr="000C564C">
        <w:rPr>
          <w:lang w:val="en-AU"/>
        </w:rPr>
        <w:t>., 1989) is up to 208 m thick and consists of pale grey to black silty mudstone that unconformably overlies the Nullawarre Greensand.</w:t>
      </w:r>
    </w:p>
    <w:p w14:paraId="7DAA0197" w14:textId="77777777" w:rsidR="000C564C" w:rsidRPr="000C564C" w:rsidRDefault="000C564C" w:rsidP="00C0769F">
      <w:pPr>
        <w:pStyle w:val="Head3xxx"/>
        <w:ind w:left="851"/>
        <w:rPr>
          <w:lang w:val="en-AU"/>
        </w:rPr>
      </w:pPr>
      <w:r w:rsidRPr="000C564C">
        <w:rPr>
          <w:lang w:val="en-AU"/>
        </w:rPr>
        <w:t>The Wangerrip Group (Lower Tertiary Aquifer 111)</w:t>
      </w:r>
    </w:p>
    <w:p w14:paraId="7DAA0198" w14:textId="77777777" w:rsidR="000C564C" w:rsidRPr="000C564C" w:rsidRDefault="000C564C" w:rsidP="000C564C">
      <w:pPr>
        <w:rPr>
          <w:lang w:val="en-AU"/>
        </w:rPr>
      </w:pPr>
      <w:r w:rsidRPr="000C564C">
        <w:rPr>
          <w:lang w:val="en-AU"/>
        </w:rPr>
        <w:t>The Wangerrip Group consists of a sequence of gravel, sand, silt and mudstone up to 350 m thick (Woollands &amp; Wong, 2001). This sequence is restricted to the western portion of the Otway Basin and is not present in the Torquay Sub-basin. The Lower Tertiary sediments present in the Torquay Sub-basin are assigned to the Eastern View Group. The Wangerrip Group consists of three formations from oldest to youngest: the Pebble Point Formation, the Pember Mudstone and the Dilwyn Formation. The Pebble Point and Dilwyn Formations are aquifers that have both unconfined and confined portions and the Pember Mudstone is an aquitard consisting of siltstone, mudstone and shale.</w:t>
      </w:r>
    </w:p>
    <w:p w14:paraId="7DAA0199" w14:textId="77777777" w:rsidR="000C564C" w:rsidRPr="000C564C" w:rsidRDefault="000C564C" w:rsidP="000C564C">
      <w:pPr>
        <w:rPr>
          <w:lang w:val="en-AU"/>
        </w:rPr>
      </w:pPr>
      <w:r w:rsidRPr="000C564C">
        <w:rPr>
          <w:lang w:val="en-AU"/>
        </w:rPr>
        <w:t xml:space="preserve">The Pebble Point Formation consists of ferruginous sandstone and gravel with some conglomerate and is where the majority of gas and oil has been reported in the Wangerrip Group. Weak gas accumulations have also been reported in the Dilwyn Formation which is characterised by marine sandstone and minor shale and siltstone. </w:t>
      </w:r>
    </w:p>
    <w:p w14:paraId="7DAA019A" w14:textId="77777777" w:rsidR="000C564C" w:rsidRPr="000C564C" w:rsidRDefault="000C564C" w:rsidP="00C0769F">
      <w:pPr>
        <w:pStyle w:val="Head3xxx"/>
        <w:ind w:left="851"/>
        <w:rPr>
          <w:lang w:val="en-AU"/>
        </w:rPr>
      </w:pPr>
      <w:r w:rsidRPr="000C564C">
        <w:rPr>
          <w:lang w:val="en-AU"/>
        </w:rPr>
        <w:t>The Eastern View Group (Lower Tertiary Aquifer 111)</w:t>
      </w:r>
    </w:p>
    <w:p w14:paraId="7DAA019B" w14:textId="131E00C7" w:rsidR="000C564C" w:rsidRPr="000C564C" w:rsidRDefault="000C564C" w:rsidP="000C564C">
      <w:pPr>
        <w:rPr>
          <w:lang w:val="en-AU"/>
        </w:rPr>
      </w:pPr>
      <w:r w:rsidRPr="000C564C">
        <w:rPr>
          <w:lang w:val="en-AU"/>
        </w:rPr>
        <w:t xml:space="preserve">The Eastern View Formation consists of mostly unconsolidated sand with minor carbonaceous silt and brown coal up to 450 m thick. The Eastern View Group overlaps in time of deposition with the upper Sherbrook Group and Wangerrip Group and is restricted to the Colac and </w:t>
      </w:r>
      <w:r w:rsidRPr="00C40BA4">
        <w:rPr>
          <w:lang w:val="en-AU"/>
        </w:rPr>
        <w:t xml:space="preserve">Torquay </w:t>
      </w:r>
      <w:r w:rsidR="00C40BA4" w:rsidRPr="00C40BA4">
        <w:rPr>
          <w:lang w:val="en-AU"/>
        </w:rPr>
        <w:t>S</w:t>
      </w:r>
      <w:r w:rsidRPr="00C40BA4">
        <w:rPr>
          <w:lang w:val="en-AU"/>
        </w:rPr>
        <w:t xml:space="preserve">ub </w:t>
      </w:r>
      <w:r w:rsidR="00C40BA4" w:rsidRPr="00C40BA4">
        <w:rPr>
          <w:lang w:val="en-AU"/>
        </w:rPr>
        <w:t>B</w:t>
      </w:r>
      <w:r w:rsidRPr="00C40BA4">
        <w:rPr>
          <w:lang w:val="en-AU"/>
        </w:rPr>
        <w:t>asins</w:t>
      </w:r>
      <w:r w:rsidRPr="000C564C">
        <w:rPr>
          <w:lang w:val="en-AU"/>
        </w:rPr>
        <w:t xml:space="preserve"> in the eastern end of the Otway Basin (Woollands &amp; Wong, 2001). Small amounts of gas have been reported in this group but no commercial quantities of gas have been discovered.</w:t>
      </w:r>
    </w:p>
    <w:p w14:paraId="7AE1CA91" w14:textId="77777777" w:rsidR="00C0769F" w:rsidRDefault="00C0769F">
      <w:pPr>
        <w:rPr>
          <w:rFonts w:cs="Arial"/>
          <w:color w:val="AEC12D" w:themeColor="text2"/>
          <w:sz w:val="32"/>
          <w:szCs w:val="32"/>
          <w:lang w:val="en-AU" w:eastAsia="en-US"/>
        </w:rPr>
      </w:pPr>
      <w:r>
        <w:br w:type="page"/>
      </w:r>
    </w:p>
    <w:p w14:paraId="7DAA019C" w14:textId="6687AF1C" w:rsidR="000C564C" w:rsidRPr="000C564C" w:rsidRDefault="00F73033" w:rsidP="00AC71DA">
      <w:pPr>
        <w:pStyle w:val="Head2xx"/>
      </w:pPr>
      <w:bookmarkStart w:id="36" w:name="_Toc420327716"/>
      <w:r>
        <w:t>Otway region</w:t>
      </w:r>
      <w:r w:rsidR="000C564C" w:rsidRPr="000C564C">
        <w:t xml:space="preserve"> - </w:t>
      </w:r>
      <w:r w:rsidR="002F4A45" w:rsidRPr="000C564C">
        <w:t>hydrocarbon occurrence</w:t>
      </w:r>
      <w:bookmarkEnd w:id="36"/>
    </w:p>
    <w:p w14:paraId="7DAA019D" w14:textId="12C4C397" w:rsidR="000C564C" w:rsidRPr="000C564C" w:rsidRDefault="00724FC4" w:rsidP="000C564C">
      <w:pPr>
        <w:rPr>
          <w:lang w:val="en-AU"/>
        </w:rPr>
      </w:pPr>
      <w:r>
        <w:rPr>
          <w:lang w:val="en-AU"/>
        </w:rPr>
        <w:fldChar w:fldCharType="begin"/>
      </w:r>
      <w:r>
        <w:rPr>
          <w:lang w:val="en-AU"/>
        </w:rPr>
        <w:instrText xml:space="preserve"> REF _Ref414004712 \h </w:instrText>
      </w:r>
      <w:r>
        <w:rPr>
          <w:lang w:val="en-AU"/>
        </w:rPr>
      </w:r>
      <w:r>
        <w:rPr>
          <w:lang w:val="en-AU"/>
        </w:rPr>
        <w:fldChar w:fldCharType="separate"/>
      </w:r>
      <w:r w:rsidR="00BD60CC">
        <w:t xml:space="preserve">Figure </w:t>
      </w:r>
      <w:r w:rsidR="00BD60CC">
        <w:rPr>
          <w:noProof/>
        </w:rPr>
        <w:t>4</w:t>
      </w:r>
      <w:r>
        <w:rPr>
          <w:lang w:val="en-AU"/>
        </w:rPr>
        <w:fldChar w:fldCharType="end"/>
      </w:r>
      <w:r w:rsidR="000C564C" w:rsidRPr="000C564C">
        <w:rPr>
          <w:lang w:val="en-AU"/>
        </w:rPr>
        <w:t xml:space="preserve"> (Woollands &amp; Wong, 2001) shows where gas and oil </w:t>
      </w:r>
      <w:r w:rsidR="008B41DE">
        <w:rPr>
          <w:lang w:val="en-AU"/>
        </w:rPr>
        <w:t>have</w:t>
      </w:r>
      <w:r w:rsidR="008B41DE" w:rsidRPr="000C564C">
        <w:rPr>
          <w:lang w:val="en-AU"/>
        </w:rPr>
        <w:t xml:space="preserve"> </w:t>
      </w:r>
      <w:r w:rsidR="000C564C" w:rsidRPr="000C564C">
        <w:rPr>
          <w:lang w:val="en-AU"/>
        </w:rPr>
        <w:t xml:space="preserve">been reported in each formation and </w:t>
      </w:r>
      <w:r>
        <w:rPr>
          <w:lang w:val="en-AU"/>
        </w:rPr>
        <w:fldChar w:fldCharType="begin"/>
      </w:r>
      <w:r>
        <w:rPr>
          <w:lang w:val="en-AU"/>
        </w:rPr>
        <w:instrText xml:space="preserve"> REF _Ref414004651 \h </w:instrText>
      </w:r>
      <w:r>
        <w:rPr>
          <w:lang w:val="en-AU"/>
        </w:rPr>
      </w:r>
      <w:r>
        <w:rPr>
          <w:lang w:val="en-AU"/>
        </w:rPr>
        <w:fldChar w:fldCharType="separate"/>
      </w:r>
      <w:r w:rsidR="00BD60CC">
        <w:t xml:space="preserve">Figure </w:t>
      </w:r>
      <w:r w:rsidR="00BD60CC">
        <w:rPr>
          <w:noProof/>
        </w:rPr>
        <w:t>2</w:t>
      </w:r>
      <w:r>
        <w:rPr>
          <w:lang w:val="en-AU"/>
        </w:rPr>
        <w:fldChar w:fldCharType="end"/>
      </w:r>
      <w:r w:rsidR="000C564C" w:rsidRPr="000C564C">
        <w:rPr>
          <w:lang w:val="en-AU"/>
        </w:rPr>
        <w:t xml:space="preserve"> shows the location of oil and gas occurrences. The commercial hydrocarbon discoveries in the Otway Basin to date have largely been found in just two units: The Pretty Hill Formation and the Waarre Formation. The commercial onshore gas fields in Victoria are restricted to the Port Campbell area where Waarre Formation is the reservoir rock. The Port Campbell gas fields are located on the Port Campbell Embayment, a stratigraphic structural feature approximately 50 km wide and 15 – 20 km deep. This </w:t>
      </w:r>
      <w:r w:rsidR="00A659A8">
        <w:rPr>
          <w:lang w:val="en-AU"/>
        </w:rPr>
        <w:br/>
      </w:r>
      <w:r w:rsidR="000C564C" w:rsidRPr="000C564C">
        <w:rPr>
          <w:lang w:val="en-AU"/>
        </w:rPr>
        <w:t xml:space="preserve">structure is defined by the northern extent of the Waarre Formation onshore at Port Campbell (Woollands </w:t>
      </w:r>
      <w:r w:rsidR="00A659A8">
        <w:rPr>
          <w:lang w:val="en-AU"/>
        </w:rPr>
        <w:br/>
      </w:r>
      <w:r w:rsidR="000C564C" w:rsidRPr="000C564C">
        <w:rPr>
          <w:lang w:val="en-AU"/>
        </w:rPr>
        <w:t>&amp; Wong, 2001).</w:t>
      </w:r>
    </w:p>
    <w:p w14:paraId="7DAA019E" w14:textId="3DC2709D" w:rsidR="000C564C" w:rsidRPr="000C564C" w:rsidRDefault="000C564C" w:rsidP="000C564C">
      <w:pPr>
        <w:rPr>
          <w:lang w:val="en-AU"/>
        </w:rPr>
      </w:pPr>
      <w:r w:rsidRPr="000C564C">
        <w:rPr>
          <w:lang w:val="en-AU"/>
        </w:rPr>
        <w:t>To the west of the Port Campbell Embayment there are weak and strong oil and gas reserves in the Portland Trough in both the Wangerrip Group (</w:t>
      </w:r>
      <w:r w:rsidRPr="00C40BA4">
        <w:rPr>
          <w:lang w:val="en-AU"/>
        </w:rPr>
        <w:t>gas in</w:t>
      </w:r>
      <w:r w:rsidRPr="000C564C">
        <w:rPr>
          <w:lang w:val="en-AU"/>
        </w:rPr>
        <w:t xml:space="preserve"> the Dilwyn Formation and oil and gas </w:t>
      </w:r>
      <w:r w:rsidR="00C40BA4">
        <w:rPr>
          <w:lang w:val="en-AU"/>
        </w:rPr>
        <w:t xml:space="preserve">in </w:t>
      </w:r>
      <w:r w:rsidRPr="000C564C">
        <w:rPr>
          <w:lang w:val="en-AU"/>
        </w:rPr>
        <w:t>the Pebble Point Formation) and the Sherbrook Group (gas in the Waarre and Flaxman Formations) as well and oil in the Sherbrook Sandstone, a member of the Eumeralla Formation. There are no commercial gas fields between the South Australian border and the Port Campbell gas fields.</w:t>
      </w:r>
    </w:p>
    <w:p w14:paraId="7DAA019F" w14:textId="18C0EC2D" w:rsidR="000C564C" w:rsidRPr="000C564C" w:rsidRDefault="000C564C" w:rsidP="000C564C">
      <w:pPr>
        <w:rPr>
          <w:lang w:val="en-AU"/>
        </w:rPr>
      </w:pPr>
      <w:r w:rsidRPr="000C564C">
        <w:rPr>
          <w:lang w:val="en-AU"/>
        </w:rPr>
        <w:t>Routine monitoring of observation bores near the Barwon Water bore field</w:t>
      </w:r>
      <w:r w:rsidR="008B41DE">
        <w:rPr>
          <w:lang w:val="en-AU"/>
        </w:rPr>
        <w:t>,</w:t>
      </w:r>
      <w:r w:rsidRPr="000C564C">
        <w:rPr>
          <w:lang w:val="en-AU"/>
        </w:rPr>
        <w:t xml:space="preserve"> located approximately 10 km southeast of Colac</w:t>
      </w:r>
      <w:r w:rsidR="008B41DE">
        <w:rPr>
          <w:lang w:val="en-AU"/>
        </w:rPr>
        <w:t>,</w:t>
      </w:r>
      <w:r w:rsidRPr="000C564C">
        <w:rPr>
          <w:lang w:val="en-AU"/>
        </w:rPr>
        <w:t xml:space="preserve"> identified a strong smell of hydrocarbons. The groundwater was sampled and analysed from five groundwater observation bores in 2009 by Hyder Consulting (2009) who concluded</w:t>
      </w:r>
      <w:r w:rsidR="008B41DE">
        <w:rPr>
          <w:lang w:val="en-AU"/>
        </w:rPr>
        <w:t xml:space="preserve"> that</w:t>
      </w:r>
      <w:r w:rsidRPr="000C564C">
        <w:rPr>
          <w:lang w:val="en-AU"/>
        </w:rPr>
        <w:t xml:space="preserve"> the source was likely to be anthropogenic (i.e. an act of waste disposal or vandalism). The groundwater was found to contain TPH, BTEX and some PAHs in four of the five bores. TPH was detected at </w:t>
      </w:r>
      <w:r w:rsidRPr="006A0D1B">
        <w:rPr>
          <w:lang w:val="en-AU"/>
        </w:rPr>
        <w:t>13,390</w:t>
      </w:r>
      <w:r w:rsidR="006A0D1B" w:rsidRPr="006A0D1B">
        <w:rPr>
          <w:lang w:val="en-AU"/>
        </w:rPr>
        <w:t xml:space="preserve"> µg</w:t>
      </w:r>
      <w:r w:rsidR="006A0D1B" w:rsidRPr="000C564C">
        <w:rPr>
          <w:lang w:val="en-AU"/>
        </w:rPr>
        <w:t>/L</w:t>
      </w:r>
      <w:r w:rsidRPr="000C564C">
        <w:rPr>
          <w:lang w:val="en-AU"/>
        </w:rPr>
        <w:t xml:space="preserve"> in bore 64233 (standing water column) with the representative aquifer sample recording TPH at 2,940 µg/L at this bore. One bore had no discernible hydrocarbons and TPH concentrations were between 200 and 500 µg/L in the remaining three</w:t>
      </w:r>
      <w:r w:rsidR="00AA292E">
        <w:rPr>
          <w:lang w:val="en-AU"/>
        </w:rPr>
        <w:t xml:space="preserve"> </w:t>
      </w:r>
      <w:r w:rsidRPr="000C564C">
        <w:rPr>
          <w:lang w:val="en-AU"/>
        </w:rPr>
        <w:t>bores.</w:t>
      </w:r>
    </w:p>
    <w:p w14:paraId="7DAA01A0" w14:textId="664F0376" w:rsidR="000C564C" w:rsidRPr="000C564C" w:rsidRDefault="000C564C" w:rsidP="000C564C">
      <w:pPr>
        <w:rPr>
          <w:lang w:val="en-AU"/>
        </w:rPr>
      </w:pPr>
      <w:r w:rsidRPr="000C564C">
        <w:rPr>
          <w:lang w:val="en-AU"/>
        </w:rPr>
        <w:t>Subsequent assessment by GHD (2009), Leeder Consulting (2009) and Department of Sustainability (2010) gave varying opinions on the source of the hydrocarbons present in the groundwater. The overall conclusions appears to be that although the TPH concentrations in bore 64233 are likely to be due to an act of waste disposal, the hydrocarbon concentrations in the other three bores may be natural. There is insufficient information to fully determine the source of these hydrocarbons</w:t>
      </w:r>
      <w:r w:rsidR="008B41DE">
        <w:rPr>
          <w:lang w:val="en-AU"/>
        </w:rPr>
        <w:t>,</w:t>
      </w:r>
      <w:r w:rsidRPr="000C564C">
        <w:rPr>
          <w:lang w:val="en-AU"/>
        </w:rPr>
        <w:t xml:space="preserve"> but based on the carbonaceous materials in the bores, the absence of free product and the low concentrations, natural sources could be the source of these TPHs. </w:t>
      </w:r>
    </w:p>
    <w:p w14:paraId="7DAA01A1" w14:textId="77777777" w:rsidR="000C564C" w:rsidRPr="000C564C" w:rsidRDefault="000C564C" w:rsidP="000C564C">
      <w:pPr>
        <w:rPr>
          <w:lang w:val="en-AU"/>
        </w:rPr>
      </w:pPr>
      <w:r w:rsidRPr="000C564C">
        <w:rPr>
          <w:lang w:val="en-AU"/>
        </w:rPr>
        <w:t>The bores that recorded low level (potentially naturally occurring) hydrocarbons during the low flow groundwater sampling included:</w:t>
      </w:r>
    </w:p>
    <w:p w14:paraId="7DAA01A2" w14:textId="53AE86BB" w:rsidR="000C564C" w:rsidRPr="004325A9" w:rsidRDefault="000C564C" w:rsidP="00D5530F">
      <w:pPr>
        <w:pStyle w:val="Bullet1"/>
        <w:numPr>
          <w:ilvl w:val="0"/>
          <w:numId w:val="2"/>
        </w:numPr>
        <w:tabs>
          <w:tab w:val="clear" w:pos="1260"/>
          <w:tab w:val="num" w:pos="426"/>
          <w:tab w:val="num" w:pos="851"/>
        </w:tabs>
        <w:ind w:left="426" w:hanging="426"/>
        <w:rPr>
          <w:lang w:val="en-AU"/>
        </w:rPr>
      </w:pPr>
      <w:r w:rsidRPr="004325A9">
        <w:rPr>
          <w:lang w:val="en-AU"/>
        </w:rPr>
        <w:t>Bore 109113</w:t>
      </w:r>
      <w:r w:rsidR="008B41DE">
        <w:rPr>
          <w:lang w:val="en-AU"/>
        </w:rPr>
        <w:t>:</w:t>
      </w:r>
      <w:r w:rsidRPr="004325A9">
        <w:rPr>
          <w:lang w:val="en-AU"/>
        </w:rPr>
        <w:t xml:space="preserve"> screened in the Pebble Point Formation and recorded a TPH below detection and a toluene concentration of 25 µg/L </w:t>
      </w:r>
    </w:p>
    <w:p w14:paraId="7DAA01A3" w14:textId="697384DB" w:rsidR="000C564C" w:rsidRPr="004325A9" w:rsidRDefault="000C564C" w:rsidP="00D5530F">
      <w:pPr>
        <w:pStyle w:val="Bullet1"/>
        <w:numPr>
          <w:ilvl w:val="0"/>
          <w:numId w:val="2"/>
        </w:numPr>
        <w:tabs>
          <w:tab w:val="clear" w:pos="1260"/>
          <w:tab w:val="num" w:pos="426"/>
          <w:tab w:val="num" w:pos="851"/>
        </w:tabs>
        <w:ind w:left="426" w:hanging="426"/>
        <w:rPr>
          <w:lang w:val="en-AU"/>
        </w:rPr>
      </w:pPr>
      <w:r w:rsidRPr="004325A9">
        <w:rPr>
          <w:lang w:val="en-AU"/>
        </w:rPr>
        <w:t>Bore 82840</w:t>
      </w:r>
      <w:r w:rsidR="008B41DE">
        <w:rPr>
          <w:lang w:val="en-AU"/>
        </w:rPr>
        <w:t>:</w:t>
      </w:r>
      <w:r w:rsidRPr="004325A9">
        <w:rPr>
          <w:lang w:val="en-AU"/>
        </w:rPr>
        <w:t xml:space="preserve">; screened in the Pebble Point Formation and recorded a TPH concentration of 200 µg/L and a toluene concentration of 18 µg/L </w:t>
      </w:r>
    </w:p>
    <w:p w14:paraId="7DAA01A4" w14:textId="036B9299" w:rsidR="000C564C" w:rsidRPr="004325A9" w:rsidRDefault="000C564C" w:rsidP="00A659A8">
      <w:pPr>
        <w:pStyle w:val="Bullet1"/>
        <w:numPr>
          <w:ilvl w:val="0"/>
          <w:numId w:val="2"/>
        </w:numPr>
        <w:tabs>
          <w:tab w:val="clear" w:pos="1260"/>
          <w:tab w:val="num" w:pos="426"/>
          <w:tab w:val="num" w:pos="851"/>
        </w:tabs>
        <w:spacing w:after="200"/>
        <w:ind w:left="426" w:hanging="426"/>
        <w:rPr>
          <w:lang w:val="en-AU"/>
        </w:rPr>
      </w:pPr>
      <w:r w:rsidRPr="004325A9">
        <w:rPr>
          <w:lang w:val="en-AU"/>
        </w:rPr>
        <w:t>Bore 48249</w:t>
      </w:r>
      <w:r w:rsidR="00206FC6">
        <w:rPr>
          <w:lang w:val="en-AU"/>
        </w:rPr>
        <w:t>;</w:t>
      </w:r>
      <w:r w:rsidRPr="004325A9">
        <w:rPr>
          <w:lang w:val="en-AU"/>
        </w:rPr>
        <w:t xml:space="preserve"> screened in the Dilwyn Formation and recorded a</w:t>
      </w:r>
      <w:r w:rsidR="004325A9">
        <w:rPr>
          <w:lang w:val="en-AU"/>
        </w:rPr>
        <w:t xml:space="preserve"> TPH concentration of 500 µg/L.</w:t>
      </w:r>
    </w:p>
    <w:p w14:paraId="7DAA01A5" w14:textId="0FBCA5FF" w:rsidR="00313834" w:rsidRDefault="000C564C" w:rsidP="000C564C">
      <w:pPr>
        <w:rPr>
          <w:lang w:val="en-AU"/>
        </w:rPr>
      </w:pPr>
      <w:r w:rsidRPr="000C564C">
        <w:rPr>
          <w:lang w:val="en-AU"/>
        </w:rPr>
        <w:t xml:space="preserve">There </w:t>
      </w:r>
      <w:r w:rsidR="008B41DE" w:rsidRPr="000C564C">
        <w:rPr>
          <w:lang w:val="en-AU"/>
        </w:rPr>
        <w:t>ha</w:t>
      </w:r>
      <w:r w:rsidR="008B41DE">
        <w:rPr>
          <w:lang w:val="en-AU"/>
        </w:rPr>
        <w:t>ve</w:t>
      </w:r>
      <w:r w:rsidR="008B41DE" w:rsidRPr="000C564C">
        <w:rPr>
          <w:lang w:val="en-AU"/>
        </w:rPr>
        <w:t xml:space="preserve"> </w:t>
      </w:r>
      <w:r w:rsidRPr="000C564C">
        <w:rPr>
          <w:lang w:val="en-AU"/>
        </w:rPr>
        <w:t>been no identified hydrocarbons through exploration drilling in this area (</w:t>
      </w:r>
      <w:r w:rsidR="00B06114">
        <w:rPr>
          <w:lang w:val="en-AU"/>
        </w:rPr>
        <w:fldChar w:fldCharType="begin"/>
      </w:r>
      <w:r w:rsidR="00B06114">
        <w:rPr>
          <w:lang w:val="en-AU"/>
        </w:rPr>
        <w:instrText xml:space="preserve"> REF _Ref414004712 \h </w:instrText>
      </w:r>
      <w:r w:rsidR="00B06114">
        <w:rPr>
          <w:lang w:val="en-AU"/>
        </w:rPr>
      </w:r>
      <w:r w:rsidR="00B06114">
        <w:rPr>
          <w:lang w:val="en-AU"/>
        </w:rPr>
        <w:fldChar w:fldCharType="separate"/>
      </w:r>
      <w:r w:rsidR="00BD60CC">
        <w:t xml:space="preserve">Figure </w:t>
      </w:r>
      <w:r w:rsidR="00BD60CC">
        <w:rPr>
          <w:noProof/>
        </w:rPr>
        <w:t>4</w:t>
      </w:r>
      <w:r w:rsidR="00B06114">
        <w:rPr>
          <w:lang w:val="en-AU"/>
        </w:rPr>
        <w:fldChar w:fldCharType="end"/>
      </w:r>
      <w:r w:rsidRPr="000C564C">
        <w:rPr>
          <w:lang w:val="en-AU"/>
        </w:rPr>
        <w:t>). The Petroleum Atlas of Victoria states that the top of the Wangerrip Group (i.e. the Group containing the aquifers sampled in the Barwon Water bore field) has so far only been mapped seismically offshore in the Otway Basin as it is not considered by exploration companies to b</w:t>
      </w:r>
      <w:r w:rsidR="00313834">
        <w:rPr>
          <w:lang w:val="en-AU"/>
        </w:rPr>
        <w:t>e an exploration target onshore.</w:t>
      </w:r>
    </w:p>
    <w:p w14:paraId="003F4798" w14:textId="77777777" w:rsidR="00C0769F" w:rsidRDefault="00C0769F">
      <w:pPr>
        <w:rPr>
          <w:rFonts w:cs="Arial"/>
          <w:b/>
          <w:bCs/>
          <w:sz w:val="26"/>
          <w:szCs w:val="26"/>
        </w:rPr>
      </w:pPr>
      <w:r>
        <w:br w:type="page"/>
      </w:r>
    </w:p>
    <w:p w14:paraId="7DAA01A6" w14:textId="43251263" w:rsidR="00F673E7" w:rsidRPr="00E31155" w:rsidRDefault="00F673E7" w:rsidP="00C0769F">
      <w:pPr>
        <w:pStyle w:val="Head3xxx"/>
        <w:numPr>
          <w:ilvl w:val="2"/>
          <w:numId w:val="51"/>
        </w:numPr>
        <w:ind w:left="851"/>
      </w:pPr>
      <w:r w:rsidRPr="00E31155">
        <w:t>Potential for vertical migration of hydrocarbons</w:t>
      </w:r>
    </w:p>
    <w:p w14:paraId="7DAA01A7" w14:textId="77777777" w:rsidR="00F673E7" w:rsidRPr="000C564C" w:rsidRDefault="00F673E7" w:rsidP="00F673E7">
      <w:pPr>
        <w:rPr>
          <w:lang w:val="en-AU"/>
        </w:rPr>
      </w:pPr>
      <w:r w:rsidRPr="000C564C">
        <w:rPr>
          <w:lang w:val="en-AU"/>
        </w:rPr>
        <w:t>The literature review identified a number of areas of naturally occurring hydrocarbons with particular focus areas being:</w:t>
      </w:r>
    </w:p>
    <w:p w14:paraId="7DAA01A8" w14:textId="45EA6857" w:rsidR="00F673E7" w:rsidRPr="004325A9" w:rsidRDefault="008B41DE" w:rsidP="00D5530F">
      <w:pPr>
        <w:pStyle w:val="Bullet1"/>
        <w:numPr>
          <w:ilvl w:val="0"/>
          <w:numId w:val="2"/>
        </w:numPr>
        <w:tabs>
          <w:tab w:val="clear" w:pos="1260"/>
          <w:tab w:val="num" w:pos="426"/>
          <w:tab w:val="num" w:pos="851"/>
        </w:tabs>
        <w:ind w:left="426" w:hanging="426"/>
        <w:rPr>
          <w:lang w:val="en-AU"/>
        </w:rPr>
      </w:pPr>
      <w:r>
        <w:rPr>
          <w:lang w:val="en-AU"/>
        </w:rPr>
        <w:t>t</w:t>
      </w:r>
      <w:r w:rsidR="00F673E7" w:rsidRPr="004325A9">
        <w:rPr>
          <w:lang w:val="en-AU"/>
        </w:rPr>
        <w:t>he Cretaceous aged sediments of the Sherbrook Group in the Port Campbell Embayment</w:t>
      </w:r>
    </w:p>
    <w:p w14:paraId="7DAA01A9" w14:textId="5DE186CC" w:rsidR="00F673E7" w:rsidRPr="004325A9" w:rsidRDefault="008B41DE" w:rsidP="00D5530F">
      <w:pPr>
        <w:pStyle w:val="Bullet1"/>
        <w:numPr>
          <w:ilvl w:val="0"/>
          <w:numId w:val="2"/>
        </w:numPr>
        <w:tabs>
          <w:tab w:val="clear" w:pos="1260"/>
          <w:tab w:val="num" w:pos="426"/>
          <w:tab w:val="num" w:pos="851"/>
        </w:tabs>
        <w:ind w:left="426" w:hanging="426"/>
        <w:rPr>
          <w:lang w:val="en-AU"/>
        </w:rPr>
      </w:pPr>
      <w:r>
        <w:rPr>
          <w:lang w:val="en-AU"/>
        </w:rPr>
        <w:t>t</w:t>
      </w:r>
      <w:r w:rsidRPr="004325A9">
        <w:rPr>
          <w:lang w:val="en-AU"/>
        </w:rPr>
        <w:t xml:space="preserve">he </w:t>
      </w:r>
      <w:r w:rsidR="00F673E7" w:rsidRPr="004325A9">
        <w:rPr>
          <w:lang w:val="en-AU"/>
        </w:rPr>
        <w:t>Lower Tertiary aged Wangerrip Group in the Port Campbell Embayment with particular hot spots in the Port Campbell area and the Barwon Downs region west of Geelong</w:t>
      </w:r>
    </w:p>
    <w:p w14:paraId="7DAA01AA" w14:textId="77777777" w:rsidR="00F673E7" w:rsidRPr="004325A9" w:rsidRDefault="00F673E7" w:rsidP="00A659A8">
      <w:pPr>
        <w:pStyle w:val="B110after"/>
      </w:pPr>
      <w:r w:rsidRPr="004325A9">
        <w:t>Cretaceous aged sediments of the Sherbrook Group and the Lower Tertiary aged sediments of the Wangerrip Group in the Portland Trough.</w:t>
      </w:r>
    </w:p>
    <w:p w14:paraId="7DAA01AB" w14:textId="1E8E11C9" w:rsidR="00F673E7" w:rsidRPr="000C564C" w:rsidRDefault="00F673E7" w:rsidP="00F673E7">
      <w:pPr>
        <w:rPr>
          <w:lang w:val="en-AU"/>
        </w:rPr>
      </w:pPr>
      <w:r w:rsidRPr="000C564C">
        <w:rPr>
          <w:lang w:val="en-AU"/>
        </w:rPr>
        <w:t xml:space="preserve">In addition to </w:t>
      </w:r>
      <w:r w:rsidR="00E62E98" w:rsidRPr="000C564C">
        <w:rPr>
          <w:lang w:val="en-AU"/>
        </w:rPr>
        <w:t>th</w:t>
      </w:r>
      <w:r w:rsidR="00E62E98">
        <w:rPr>
          <w:lang w:val="en-AU"/>
        </w:rPr>
        <w:t>o</w:t>
      </w:r>
      <w:r w:rsidR="00E62E98" w:rsidRPr="000C564C">
        <w:rPr>
          <w:lang w:val="en-AU"/>
        </w:rPr>
        <w:t xml:space="preserve">se </w:t>
      </w:r>
      <w:r w:rsidRPr="000C564C">
        <w:rPr>
          <w:lang w:val="en-AU"/>
        </w:rPr>
        <w:t>units and areas which are known to host hydrocarbon deposits, there is the potential for vertical migration of hydrocarbons into overlying or underlying aquifers.  The presence or absence of major aquitards is likely to have a significant impact on the vertical movement of hydrocarbons through the vertical profile and the potential impact on overlying groundwater and surface water assets.  The two major aquitards across the region include:</w:t>
      </w:r>
    </w:p>
    <w:p w14:paraId="7DAA01AC" w14:textId="64851636" w:rsidR="00F673E7" w:rsidRPr="00D5530F" w:rsidRDefault="00E62E98" w:rsidP="00D5530F">
      <w:pPr>
        <w:pStyle w:val="Bullet1"/>
        <w:numPr>
          <w:ilvl w:val="0"/>
          <w:numId w:val="2"/>
        </w:numPr>
        <w:tabs>
          <w:tab w:val="clear" w:pos="1260"/>
          <w:tab w:val="num" w:pos="426"/>
          <w:tab w:val="num" w:pos="851"/>
        </w:tabs>
        <w:ind w:left="426" w:hanging="426"/>
        <w:rPr>
          <w:lang w:val="en-AU"/>
        </w:rPr>
      </w:pPr>
      <w:r>
        <w:rPr>
          <w:lang w:val="en-AU"/>
        </w:rPr>
        <w:t>t</w:t>
      </w:r>
      <w:r w:rsidRPr="00D5530F">
        <w:rPr>
          <w:lang w:val="en-AU"/>
        </w:rPr>
        <w:t xml:space="preserve">he </w:t>
      </w:r>
      <w:r w:rsidR="00F673E7" w:rsidRPr="00D5530F">
        <w:rPr>
          <w:lang w:val="en-AU"/>
        </w:rPr>
        <w:t>Narrawaturk Marl and Upper Mepunga Formation of the Nirranda Group</w:t>
      </w:r>
    </w:p>
    <w:p w14:paraId="7DAA01AD" w14:textId="60B20303" w:rsidR="00F673E7" w:rsidRPr="00D5530F" w:rsidRDefault="00E62E98" w:rsidP="00A659A8">
      <w:pPr>
        <w:pStyle w:val="B110after"/>
      </w:pPr>
      <w:r>
        <w:t>t</w:t>
      </w:r>
      <w:r w:rsidRPr="00D5530F">
        <w:t xml:space="preserve">he </w:t>
      </w:r>
      <w:r w:rsidR="00F673E7" w:rsidRPr="00D5530F">
        <w:t>Gellibrand Marl of the Heytesbury Group</w:t>
      </w:r>
      <w:r>
        <w:t>.</w:t>
      </w:r>
    </w:p>
    <w:p w14:paraId="7DAA01AE" w14:textId="291283C3" w:rsidR="00F673E7" w:rsidRPr="000C564C" w:rsidRDefault="00F673E7" w:rsidP="00F673E7">
      <w:pPr>
        <w:rPr>
          <w:lang w:val="en-AU"/>
        </w:rPr>
      </w:pPr>
      <w:r w:rsidRPr="000C564C">
        <w:rPr>
          <w:lang w:val="en-AU"/>
        </w:rPr>
        <w:t>Vertical hydrocarbon migration is most likely where these aquitards are thinnest or absent</w:t>
      </w:r>
      <w:r w:rsidR="00D971D4">
        <w:rPr>
          <w:lang w:val="en-AU"/>
        </w:rPr>
        <w:t>,</w:t>
      </w:r>
      <w:r w:rsidRPr="000C564C">
        <w:rPr>
          <w:lang w:val="en-AU"/>
        </w:rPr>
        <w:t xml:space="preserve"> or where structural features such as faulting or cinder cones can cause vertical conduits.  The thickness of these units has been mapped by SKM and GHD (2009).  The risk of impact to important overlying aquifers is a combination of this likelihood of vertical migration</w:t>
      </w:r>
      <w:r w:rsidR="00D971D4">
        <w:rPr>
          <w:lang w:val="en-AU"/>
        </w:rPr>
        <w:t>,</w:t>
      </w:r>
      <w:r w:rsidRPr="000C564C">
        <w:rPr>
          <w:lang w:val="en-AU"/>
        </w:rPr>
        <w:t xml:space="preserve"> combined with the consequence of impact (as defined by the usability of the groundwater resource or the value of the groundwater dependent ecosystems).  </w:t>
      </w:r>
    </w:p>
    <w:p w14:paraId="7DAA01AF" w14:textId="19720F3C" w:rsidR="00F673E7" w:rsidRPr="000C564C" w:rsidRDefault="00F673E7" w:rsidP="00F673E7">
      <w:pPr>
        <w:rPr>
          <w:lang w:val="en-AU"/>
        </w:rPr>
      </w:pPr>
      <w:r>
        <w:rPr>
          <w:lang w:val="en-AU"/>
        </w:rPr>
        <w:fldChar w:fldCharType="begin"/>
      </w:r>
      <w:r>
        <w:rPr>
          <w:lang w:val="en-AU"/>
        </w:rPr>
        <w:instrText xml:space="preserve"> REF _Ref414004871 \h </w:instrText>
      </w:r>
      <w:r>
        <w:rPr>
          <w:lang w:val="en-AU"/>
        </w:rPr>
      </w:r>
      <w:r>
        <w:rPr>
          <w:lang w:val="en-AU"/>
        </w:rPr>
        <w:fldChar w:fldCharType="separate"/>
      </w:r>
      <w:r w:rsidR="00BD60CC">
        <w:t xml:space="preserve">Figure </w:t>
      </w:r>
      <w:r w:rsidR="00BD60CC">
        <w:rPr>
          <w:noProof/>
        </w:rPr>
        <w:t>5</w:t>
      </w:r>
      <w:r>
        <w:rPr>
          <w:lang w:val="en-AU"/>
        </w:rPr>
        <w:fldChar w:fldCharType="end"/>
      </w:r>
      <w:r w:rsidRPr="000C564C">
        <w:rPr>
          <w:lang w:val="en-AU"/>
        </w:rPr>
        <w:t xml:space="preserve"> shows the mapped thickness of the Narrawaturk Marl aquitard unit (SKM</w:t>
      </w:r>
      <w:r w:rsidR="006742B6">
        <w:rPr>
          <w:lang w:val="en-AU"/>
        </w:rPr>
        <w:t xml:space="preserve"> and</w:t>
      </w:r>
      <w:r w:rsidRPr="000C564C">
        <w:rPr>
          <w:lang w:val="en-AU"/>
        </w:rPr>
        <w:t xml:space="preserve"> GHD, 2009). This confining unit directly overlies the shallowest unit of known hydrocarbon occurrence, the Wangerrip Group (111 aquifer). </w:t>
      </w:r>
      <w:r>
        <w:rPr>
          <w:lang w:val="en-AU"/>
        </w:rPr>
        <w:fldChar w:fldCharType="begin"/>
      </w:r>
      <w:r>
        <w:rPr>
          <w:lang w:val="en-AU"/>
        </w:rPr>
        <w:instrText xml:space="preserve"> REF _Ref414004871 \h </w:instrText>
      </w:r>
      <w:r>
        <w:rPr>
          <w:lang w:val="en-AU"/>
        </w:rPr>
      </w:r>
      <w:r>
        <w:rPr>
          <w:lang w:val="en-AU"/>
        </w:rPr>
        <w:fldChar w:fldCharType="separate"/>
      </w:r>
      <w:r w:rsidR="00BD60CC">
        <w:t xml:space="preserve">Figure </w:t>
      </w:r>
      <w:r w:rsidR="00BD60CC">
        <w:rPr>
          <w:noProof/>
        </w:rPr>
        <w:t>5</w:t>
      </w:r>
      <w:r>
        <w:rPr>
          <w:lang w:val="en-AU"/>
        </w:rPr>
        <w:fldChar w:fldCharType="end"/>
      </w:r>
      <w:r w:rsidRPr="000C564C">
        <w:rPr>
          <w:lang w:val="en-AU"/>
        </w:rPr>
        <w:t xml:space="preserve"> indicates</w:t>
      </w:r>
      <w:r w:rsidR="00D971D4">
        <w:rPr>
          <w:lang w:val="en-AU"/>
        </w:rPr>
        <w:t xml:space="preserve"> that</w:t>
      </w:r>
      <w:r w:rsidRPr="000C564C">
        <w:rPr>
          <w:lang w:val="en-AU"/>
        </w:rPr>
        <w:t xml:space="preserve"> the aquitard is relatively thin across the Otway Basin, only reaching </w:t>
      </w:r>
      <w:r w:rsidR="00D971D4">
        <w:rPr>
          <w:lang w:val="en-AU"/>
        </w:rPr>
        <w:t xml:space="preserve">a </w:t>
      </w:r>
      <w:r w:rsidRPr="000C564C">
        <w:rPr>
          <w:lang w:val="en-AU"/>
        </w:rPr>
        <w:t>thickness of greater than 200 m in isolated areas around the Portland and Colac Troughs.</w:t>
      </w:r>
    </w:p>
    <w:p w14:paraId="7DAA01B0" w14:textId="29ABCB5A" w:rsidR="00F673E7" w:rsidRDefault="00F673E7" w:rsidP="00F673E7">
      <w:pPr>
        <w:rPr>
          <w:lang w:val="en-AU"/>
        </w:rPr>
      </w:pPr>
      <w:r>
        <w:rPr>
          <w:lang w:val="en-AU"/>
        </w:rPr>
        <w:fldChar w:fldCharType="begin"/>
      </w:r>
      <w:r>
        <w:rPr>
          <w:lang w:val="en-AU"/>
        </w:rPr>
        <w:instrText xml:space="preserve"> REF _Ref414004863 \h </w:instrText>
      </w:r>
      <w:r>
        <w:rPr>
          <w:lang w:val="en-AU"/>
        </w:rPr>
      </w:r>
      <w:r>
        <w:rPr>
          <w:lang w:val="en-AU"/>
        </w:rPr>
        <w:fldChar w:fldCharType="separate"/>
      </w:r>
      <w:r w:rsidR="00BD60CC">
        <w:t xml:space="preserve">Figure </w:t>
      </w:r>
      <w:r w:rsidR="00BD60CC">
        <w:rPr>
          <w:noProof/>
        </w:rPr>
        <w:t>6</w:t>
      </w:r>
      <w:r>
        <w:rPr>
          <w:lang w:val="en-AU"/>
        </w:rPr>
        <w:fldChar w:fldCharType="end"/>
      </w:r>
      <w:r w:rsidRPr="000C564C">
        <w:rPr>
          <w:lang w:val="en-AU"/>
        </w:rPr>
        <w:t xml:space="preserve"> shows the mapped thickness of the Gellibrand Marl aquitard unit (SKM </w:t>
      </w:r>
      <w:r w:rsidR="006742B6">
        <w:rPr>
          <w:lang w:val="en-AU"/>
        </w:rPr>
        <w:t>and</w:t>
      </w:r>
      <w:r w:rsidRPr="000C564C">
        <w:rPr>
          <w:lang w:val="en-AU"/>
        </w:rPr>
        <w:t xml:space="preserve"> GHD, 2009). This is </w:t>
      </w:r>
      <w:r w:rsidR="00A659A8">
        <w:rPr>
          <w:lang w:val="en-AU"/>
        </w:rPr>
        <w:br/>
      </w:r>
      <w:r w:rsidRPr="000C564C">
        <w:rPr>
          <w:lang w:val="en-AU"/>
        </w:rPr>
        <w:t xml:space="preserve">a shallower confining unit comprised of marine shelf deposits and is more significant in terms of thickness, relative to the deeper Narrawaturk </w:t>
      </w:r>
      <w:r>
        <w:rPr>
          <w:lang w:val="en-AU"/>
        </w:rPr>
        <w:t>M</w:t>
      </w:r>
      <w:r w:rsidRPr="000C564C">
        <w:rPr>
          <w:lang w:val="en-AU"/>
        </w:rPr>
        <w:t>arl. A thickness of between 200</w:t>
      </w:r>
      <w:r>
        <w:rPr>
          <w:lang w:val="en-AU"/>
        </w:rPr>
        <w:t xml:space="preserve"> to </w:t>
      </w:r>
      <w:r w:rsidRPr="000C564C">
        <w:rPr>
          <w:lang w:val="en-AU"/>
        </w:rPr>
        <w:t>500 m is mor</w:t>
      </w:r>
      <w:r>
        <w:rPr>
          <w:lang w:val="en-AU"/>
        </w:rPr>
        <w:t xml:space="preserve">e widespread across </w:t>
      </w:r>
      <w:r w:rsidR="00A659A8">
        <w:rPr>
          <w:lang w:val="en-AU"/>
        </w:rPr>
        <w:br/>
      </w:r>
      <w:r>
        <w:rPr>
          <w:lang w:val="en-AU"/>
        </w:rPr>
        <w:t>the basin.</w:t>
      </w:r>
    </w:p>
    <w:p w14:paraId="1E742180" w14:textId="77777777" w:rsidR="00C0769F" w:rsidRDefault="00C0769F" w:rsidP="00F673E7">
      <w:pPr>
        <w:rPr>
          <w:lang w:val="en-AU"/>
        </w:rPr>
      </w:pPr>
    </w:p>
    <w:p w14:paraId="2BE1D736" w14:textId="77777777" w:rsidR="00C0769F" w:rsidRDefault="00C0769F" w:rsidP="00F673E7">
      <w:pPr>
        <w:rPr>
          <w:lang w:val="en-AU"/>
        </w:rPr>
        <w:sectPr w:rsidR="00C0769F" w:rsidSect="0063692F">
          <w:headerReference w:type="first" r:id="rId25"/>
          <w:pgSz w:w="11906" w:h="16838" w:code="9"/>
          <w:pgMar w:top="2268" w:right="1134" w:bottom="1276" w:left="1134" w:header="567" w:footer="567" w:gutter="0"/>
          <w:cols w:space="708"/>
          <w:titlePg/>
          <w:docGrid w:linePitch="360"/>
        </w:sectPr>
      </w:pPr>
    </w:p>
    <w:p w14:paraId="7DAA01B1" w14:textId="77777777" w:rsidR="00CF64C3" w:rsidRPr="00A659A8" w:rsidRDefault="004325A9" w:rsidP="00A659A8">
      <w:pPr>
        <w:pStyle w:val="figurereturn"/>
      </w:pPr>
      <w:r>
        <w:drawing>
          <wp:inline distT="0" distB="0" distL="0" distR="0" wp14:anchorId="7DAA0C35" wp14:editId="7DAA0C36">
            <wp:extent cx="5387972" cy="8527061"/>
            <wp:effectExtent l="0" t="762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rot="5400000">
                      <a:off x="0" y="0"/>
                      <a:ext cx="5385040" cy="8522420"/>
                    </a:xfrm>
                    <a:prstGeom prst="rect">
                      <a:avLst/>
                    </a:prstGeom>
                  </pic:spPr>
                </pic:pic>
              </a:graphicData>
            </a:graphic>
          </wp:inline>
        </w:drawing>
      </w:r>
    </w:p>
    <w:p w14:paraId="7DAA01B2" w14:textId="190D5CE4" w:rsidR="00A61A54" w:rsidRPr="00130E1C" w:rsidRDefault="00B06114" w:rsidP="00D0375F">
      <w:pPr>
        <w:pStyle w:val="Figuretitle"/>
      </w:pPr>
      <w:bookmarkStart w:id="37" w:name="_Ref414004712"/>
      <w:bookmarkStart w:id="38" w:name="_Toc420327755"/>
      <w:r>
        <w:t xml:space="preserve">Figure </w:t>
      </w:r>
      <w:r w:rsidR="00B91643">
        <w:fldChar w:fldCharType="begin"/>
      </w:r>
      <w:r w:rsidR="00B91643">
        <w:instrText xml:space="preserve"> SEQ Figure \* ARABIC </w:instrText>
      </w:r>
      <w:r w:rsidR="00B91643">
        <w:fldChar w:fldCharType="separate"/>
      </w:r>
      <w:r w:rsidR="00BD60CC">
        <w:rPr>
          <w:noProof/>
        </w:rPr>
        <w:t>4</w:t>
      </w:r>
      <w:r w:rsidR="00B91643">
        <w:rPr>
          <w:noProof/>
        </w:rPr>
        <w:fldChar w:fldCharType="end"/>
      </w:r>
      <w:bookmarkEnd w:id="37"/>
      <w:r>
        <w:t xml:space="preserve"> </w:t>
      </w:r>
      <w:r w:rsidR="000C564C" w:rsidRPr="004325A9">
        <w:t>Location of gas exploration and discovery bores in the Otway Basin (from the Petroleum Atlas of Vi</w:t>
      </w:r>
      <w:r w:rsidR="00313834">
        <w:t>ctoria (</w:t>
      </w:r>
      <w:r w:rsidR="00555395">
        <w:t xml:space="preserve">source: </w:t>
      </w:r>
      <w:r w:rsidR="00313834">
        <w:t>Woollands &amp; Wong, 2001)</w:t>
      </w:r>
      <w:bookmarkEnd w:id="38"/>
      <w:r w:rsidR="00A61A54">
        <w:rPr>
          <w:b/>
        </w:rPr>
        <w:br w:type="page"/>
      </w:r>
    </w:p>
    <w:p w14:paraId="7DAA01B3" w14:textId="477710AE" w:rsidR="000C564C" w:rsidRPr="00A659A8" w:rsidRDefault="002C4338" w:rsidP="00A659A8">
      <w:pPr>
        <w:pStyle w:val="figurereturn"/>
      </w:pPr>
      <w:r>
        <w:drawing>
          <wp:inline distT="0" distB="0" distL="0" distR="0" wp14:anchorId="2CF38F72" wp14:editId="73B8190E">
            <wp:extent cx="7772400" cy="5375651"/>
            <wp:effectExtent l="19050" t="19050" r="19050" b="158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777521" cy="5379193"/>
                    </a:xfrm>
                    <a:prstGeom prst="rect">
                      <a:avLst/>
                    </a:prstGeom>
                    <a:noFill/>
                    <a:ln>
                      <a:solidFill>
                        <a:schemeClr val="accent1"/>
                      </a:solidFill>
                    </a:ln>
                  </pic:spPr>
                </pic:pic>
              </a:graphicData>
            </a:graphic>
          </wp:inline>
        </w:drawing>
      </w:r>
    </w:p>
    <w:p w14:paraId="7DAA01B4" w14:textId="77777777" w:rsidR="000C564C" w:rsidRPr="004325A9" w:rsidRDefault="00B06114" w:rsidP="00D0375F">
      <w:pPr>
        <w:pStyle w:val="Figuretitle"/>
      </w:pPr>
      <w:bookmarkStart w:id="39" w:name="_Ref414004871"/>
      <w:bookmarkStart w:id="40" w:name="_Toc420327756"/>
      <w:r>
        <w:t xml:space="preserve">Figure </w:t>
      </w:r>
      <w:r w:rsidR="00B91643">
        <w:fldChar w:fldCharType="begin"/>
      </w:r>
      <w:r w:rsidR="00B91643">
        <w:instrText xml:space="preserve"> SEQ Figure \* ARABIC </w:instrText>
      </w:r>
      <w:r w:rsidR="00B91643">
        <w:fldChar w:fldCharType="separate"/>
      </w:r>
      <w:r w:rsidR="00BD60CC">
        <w:rPr>
          <w:noProof/>
        </w:rPr>
        <w:t>5</w:t>
      </w:r>
      <w:r w:rsidR="00B91643">
        <w:rPr>
          <w:noProof/>
        </w:rPr>
        <w:fldChar w:fldCharType="end"/>
      </w:r>
      <w:bookmarkEnd w:id="39"/>
      <w:r>
        <w:t xml:space="preserve"> </w:t>
      </w:r>
      <w:r w:rsidR="000C564C" w:rsidRPr="004325A9">
        <w:t>Review of the thickness of</w:t>
      </w:r>
      <w:r w:rsidR="004325A9" w:rsidRPr="004325A9">
        <w:t xml:space="preserve"> the Narrawaturk Marl Aquitard</w:t>
      </w:r>
      <w:bookmarkEnd w:id="40"/>
    </w:p>
    <w:p w14:paraId="7DAA01B5" w14:textId="5726AD3F" w:rsidR="000C564C" w:rsidRPr="00A659A8" w:rsidRDefault="0084308A" w:rsidP="00A659A8">
      <w:pPr>
        <w:pStyle w:val="figurereturn"/>
      </w:pPr>
      <w:r>
        <w:drawing>
          <wp:inline distT="0" distB="0" distL="0" distR="0" wp14:anchorId="741F60B5" wp14:editId="6CE21BB9">
            <wp:extent cx="7918266" cy="5381897"/>
            <wp:effectExtent l="19050" t="19050" r="26035" b="9525"/>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923960" cy="5385767"/>
                    </a:xfrm>
                    <a:prstGeom prst="rect">
                      <a:avLst/>
                    </a:prstGeom>
                    <a:noFill/>
                    <a:ln>
                      <a:solidFill>
                        <a:schemeClr val="accent1"/>
                      </a:solidFill>
                    </a:ln>
                  </pic:spPr>
                </pic:pic>
              </a:graphicData>
            </a:graphic>
          </wp:inline>
        </w:drawing>
      </w:r>
    </w:p>
    <w:p w14:paraId="7DAA01B6" w14:textId="77777777" w:rsidR="000C564C" w:rsidRDefault="00B06114" w:rsidP="00D0375F">
      <w:pPr>
        <w:pStyle w:val="Figuretitle"/>
      </w:pPr>
      <w:bookmarkStart w:id="41" w:name="_Ref414004863"/>
      <w:bookmarkStart w:id="42" w:name="_Toc420327757"/>
      <w:r>
        <w:t xml:space="preserve">Figure </w:t>
      </w:r>
      <w:r w:rsidR="00B91643">
        <w:fldChar w:fldCharType="begin"/>
      </w:r>
      <w:r w:rsidR="00B91643">
        <w:instrText xml:space="preserve"> SEQ Figure \* ARABIC </w:instrText>
      </w:r>
      <w:r w:rsidR="00B91643">
        <w:fldChar w:fldCharType="separate"/>
      </w:r>
      <w:r w:rsidR="00BD60CC">
        <w:rPr>
          <w:noProof/>
        </w:rPr>
        <w:t>6</w:t>
      </w:r>
      <w:r w:rsidR="00B91643">
        <w:rPr>
          <w:noProof/>
        </w:rPr>
        <w:fldChar w:fldCharType="end"/>
      </w:r>
      <w:bookmarkEnd w:id="41"/>
      <w:r w:rsidR="000C564C" w:rsidRPr="004325A9">
        <w:t xml:space="preserve"> Review of the thickness o</w:t>
      </w:r>
      <w:r w:rsidR="00E31155">
        <w:t>f the Gellibrand Marl Aquitard</w:t>
      </w:r>
      <w:bookmarkEnd w:id="42"/>
    </w:p>
    <w:p w14:paraId="7DAA01B7" w14:textId="77777777" w:rsidR="00A61A54" w:rsidRDefault="00A61A54" w:rsidP="00D0375F">
      <w:pPr>
        <w:pStyle w:val="Figuretitle"/>
        <w:sectPr w:rsidR="00A61A54" w:rsidSect="0078722D">
          <w:headerReference w:type="default" r:id="rId29"/>
          <w:headerReference w:type="first" r:id="rId30"/>
          <w:pgSz w:w="16838" w:h="11906" w:orient="landscape" w:code="9"/>
          <w:pgMar w:top="1701" w:right="1134" w:bottom="1276" w:left="1134" w:header="567" w:footer="567" w:gutter="0"/>
          <w:cols w:space="708"/>
          <w:titlePg/>
          <w:docGrid w:linePitch="360"/>
        </w:sectPr>
      </w:pPr>
    </w:p>
    <w:p w14:paraId="7DAA01B9" w14:textId="039C236C" w:rsidR="000C564C" w:rsidRPr="000C564C" w:rsidRDefault="000C564C" w:rsidP="00994879">
      <w:pPr>
        <w:pStyle w:val="Head2xx"/>
      </w:pPr>
      <w:bookmarkStart w:id="43" w:name="_Ref414005264"/>
      <w:bookmarkStart w:id="44" w:name="_Toc420327717"/>
      <w:r w:rsidRPr="000C564C">
        <w:t>Onshore natural gas prospectivity</w:t>
      </w:r>
      <w:bookmarkEnd w:id="43"/>
      <w:bookmarkEnd w:id="44"/>
    </w:p>
    <w:p w14:paraId="7DAA01BA" w14:textId="77777777" w:rsidR="000C564C" w:rsidRPr="000D482F" w:rsidRDefault="000C564C" w:rsidP="002F4A45">
      <w:pPr>
        <w:pStyle w:val="Head3xxx"/>
        <w:numPr>
          <w:ilvl w:val="2"/>
          <w:numId w:val="52"/>
        </w:numPr>
        <w:ind w:left="851"/>
      </w:pPr>
      <w:r w:rsidRPr="000D482F">
        <w:t>Coal seam gas prospectivity</w:t>
      </w:r>
    </w:p>
    <w:p w14:paraId="7DAA01BB" w14:textId="1BB5956D" w:rsidR="000C564C" w:rsidRPr="000C564C" w:rsidRDefault="000C564C" w:rsidP="000C564C">
      <w:pPr>
        <w:rPr>
          <w:lang w:val="en-AU"/>
        </w:rPr>
      </w:pPr>
      <w:r w:rsidRPr="000C564C">
        <w:rPr>
          <w:lang w:val="en-AU"/>
        </w:rPr>
        <w:t xml:space="preserve">Coal seam gas extraction is governed by </w:t>
      </w:r>
      <w:r w:rsidR="008202A7">
        <w:rPr>
          <w:lang w:val="en-AU"/>
        </w:rPr>
        <w:t xml:space="preserve">the </w:t>
      </w:r>
      <w:r w:rsidRPr="000C564C">
        <w:rPr>
          <w:lang w:val="en-AU"/>
        </w:rPr>
        <w:t>Langmuir isotherm</w:t>
      </w:r>
      <w:r w:rsidR="008202A7">
        <w:rPr>
          <w:lang w:val="en-AU"/>
        </w:rPr>
        <w:t>,</w:t>
      </w:r>
      <w:r w:rsidRPr="000C564C">
        <w:rPr>
          <w:lang w:val="en-AU"/>
        </w:rPr>
        <w:t xml:space="preserve"> relating gas content to reservoir pressure.  Once the reservoir hydrostatic pressure is reduced to a critical point, the gas is liberated from the coal seams.  Unlike conventional oil and gas reserves, it is not necessary to have a ‘seal’ above the coal seams but rather the gas is held in the coal beds </w:t>
      </w:r>
      <w:r w:rsidR="00E31C9D">
        <w:rPr>
          <w:lang w:val="en-AU"/>
        </w:rPr>
        <w:t xml:space="preserve">by </w:t>
      </w:r>
      <w:r w:rsidR="00E31C9D">
        <w:t>adsorption on to the coal surfaces and by</w:t>
      </w:r>
      <w:r w:rsidRPr="000C564C">
        <w:rPr>
          <w:lang w:val="en-AU"/>
        </w:rPr>
        <w:t xml:space="preserve"> hydrostatic pressure.  However, the presence of low permeability material above the coal seam can be beneficial in reducing the groundwater pumping required to liberate the coal seam gas.      </w:t>
      </w:r>
    </w:p>
    <w:p w14:paraId="7DAA01BC" w14:textId="6D2E27B4" w:rsidR="000C564C" w:rsidRPr="000C564C" w:rsidRDefault="00E31C9D" w:rsidP="000C564C">
      <w:pPr>
        <w:rPr>
          <w:lang w:val="en-AU"/>
        </w:rPr>
      </w:pPr>
      <w:r>
        <w:rPr>
          <w:lang w:val="en-AU"/>
        </w:rPr>
        <w:t>A</w:t>
      </w:r>
      <w:r w:rsidR="000C564C" w:rsidRPr="000C564C">
        <w:rPr>
          <w:lang w:val="en-AU"/>
        </w:rPr>
        <w:t xml:space="preserve"> </w:t>
      </w:r>
      <w:r w:rsidR="003D0148">
        <w:rPr>
          <w:lang w:val="en-AU"/>
        </w:rPr>
        <w:t>prospective</w:t>
      </w:r>
      <w:r w:rsidR="000C564C" w:rsidRPr="000C564C">
        <w:rPr>
          <w:lang w:val="en-AU"/>
        </w:rPr>
        <w:t xml:space="preserve"> formation for coal seam gas in </w:t>
      </w:r>
      <w:r w:rsidR="008202A7">
        <w:rPr>
          <w:lang w:val="en-AU"/>
        </w:rPr>
        <w:t xml:space="preserve">the </w:t>
      </w:r>
      <w:r w:rsidR="000C564C" w:rsidRPr="000C564C">
        <w:rPr>
          <w:lang w:val="en-AU"/>
        </w:rPr>
        <w:t xml:space="preserve">Otway </w:t>
      </w:r>
      <w:r w:rsidR="00555395">
        <w:rPr>
          <w:lang w:val="en-AU"/>
        </w:rPr>
        <w:t xml:space="preserve">region </w:t>
      </w:r>
      <w:r w:rsidR="000C564C" w:rsidRPr="000C564C">
        <w:rPr>
          <w:lang w:val="en-AU"/>
        </w:rPr>
        <w:t>is the Killara Coal Measures</w:t>
      </w:r>
      <w:r w:rsidR="00482CD3">
        <w:rPr>
          <w:lang w:val="en-AU"/>
        </w:rPr>
        <w:t xml:space="preserve"> in the Cretaceous </w:t>
      </w:r>
      <w:r>
        <w:rPr>
          <w:lang w:val="en-AU"/>
        </w:rPr>
        <w:t>hydrogeological basement</w:t>
      </w:r>
      <w:r w:rsidR="008202A7">
        <w:rPr>
          <w:lang w:val="en-AU"/>
        </w:rPr>
        <w:t>,</w:t>
      </w:r>
      <w:r w:rsidR="00482CD3">
        <w:rPr>
          <w:lang w:val="en-AU"/>
        </w:rPr>
        <w:t xml:space="preserve"> located north of War</w:t>
      </w:r>
      <w:r w:rsidR="003005F5">
        <w:rPr>
          <w:lang w:val="en-AU"/>
        </w:rPr>
        <w:t>r</w:t>
      </w:r>
      <w:r w:rsidR="00482CD3">
        <w:rPr>
          <w:lang w:val="en-AU"/>
        </w:rPr>
        <w:t>nambool and west of Hamilton (</w:t>
      </w:r>
      <w:r w:rsidR="00482CD3">
        <w:rPr>
          <w:lang w:val="en-AU"/>
        </w:rPr>
        <w:fldChar w:fldCharType="begin"/>
      </w:r>
      <w:r w:rsidR="00482CD3">
        <w:rPr>
          <w:lang w:val="en-AU"/>
        </w:rPr>
        <w:instrText xml:space="preserve"> REF _Ref414004890 \h </w:instrText>
      </w:r>
      <w:r w:rsidR="00482CD3">
        <w:rPr>
          <w:lang w:val="en-AU"/>
        </w:rPr>
      </w:r>
      <w:r w:rsidR="00482CD3">
        <w:rPr>
          <w:lang w:val="en-AU"/>
        </w:rPr>
        <w:fldChar w:fldCharType="separate"/>
      </w:r>
      <w:r w:rsidR="00BD60CC">
        <w:t xml:space="preserve">Figure </w:t>
      </w:r>
      <w:r w:rsidR="00BD60CC">
        <w:rPr>
          <w:noProof/>
        </w:rPr>
        <w:t>7</w:t>
      </w:r>
      <w:r w:rsidR="00482CD3">
        <w:rPr>
          <w:lang w:val="en-AU"/>
        </w:rPr>
        <w:fldChar w:fldCharType="end"/>
      </w:r>
      <w:r w:rsidR="00482CD3">
        <w:rPr>
          <w:lang w:val="en-AU"/>
        </w:rPr>
        <w:t>)</w:t>
      </w:r>
      <w:r w:rsidR="008202A7">
        <w:rPr>
          <w:lang w:val="en-AU"/>
        </w:rPr>
        <w:t xml:space="preserve">. </w:t>
      </w:r>
    </w:p>
    <w:p w14:paraId="7DAA01BD" w14:textId="77777777" w:rsidR="000C564C" w:rsidRPr="00A659A8" w:rsidRDefault="00994879" w:rsidP="00A659A8">
      <w:pPr>
        <w:pStyle w:val="figurereturn"/>
      </w:pPr>
      <w:r>
        <w:drawing>
          <wp:inline distT="0" distB="0" distL="0" distR="0" wp14:anchorId="7DAA0C3B" wp14:editId="7DAA0C3C">
            <wp:extent cx="3968750" cy="270065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68750" cy="2700655"/>
                    </a:xfrm>
                    <a:prstGeom prst="rect">
                      <a:avLst/>
                    </a:prstGeom>
                    <a:noFill/>
                  </pic:spPr>
                </pic:pic>
              </a:graphicData>
            </a:graphic>
          </wp:inline>
        </w:drawing>
      </w:r>
    </w:p>
    <w:p w14:paraId="7DAA01BE" w14:textId="5234401B" w:rsidR="000C564C" w:rsidRDefault="00B06114" w:rsidP="00D0375F">
      <w:pPr>
        <w:pStyle w:val="Figuretitle"/>
      </w:pPr>
      <w:bookmarkStart w:id="45" w:name="_Ref414004890"/>
      <w:bookmarkStart w:id="46" w:name="_Toc420327758"/>
      <w:r>
        <w:t xml:space="preserve">Figure </w:t>
      </w:r>
      <w:r w:rsidR="00B91643">
        <w:fldChar w:fldCharType="begin"/>
      </w:r>
      <w:r w:rsidR="00B91643">
        <w:instrText xml:space="preserve"> SEQ Figure \* ARABIC </w:instrText>
      </w:r>
      <w:r w:rsidR="00B91643">
        <w:fldChar w:fldCharType="separate"/>
      </w:r>
      <w:r w:rsidR="00BD60CC">
        <w:rPr>
          <w:noProof/>
        </w:rPr>
        <w:t>7</w:t>
      </w:r>
      <w:r w:rsidR="00B91643">
        <w:rPr>
          <w:noProof/>
        </w:rPr>
        <w:fldChar w:fldCharType="end"/>
      </w:r>
      <w:bookmarkEnd w:id="45"/>
      <w:r w:rsidR="006742B6">
        <w:t xml:space="preserve"> </w:t>
      </w:r>
      <w:r w:rsidR="000C564C" w:rsidRPr="00994879">
        <w:t xml:space="preserve">Otway Basin </w:t>
      </w:r>
      <w:r w:rsidR="00E31C9D">
        <w:t>c</w:t>
      </w:r>
      <w:r w:rsidR="00E31C9D" w:rsidRPr="00E31C9D">
        <w:t>oal seam gas</w:t>
      </w:r>
      <w:r w:rsidR="00E31C9D">
        <w:t xml:space="preserve"> development scenarios</w:t>
      </w:r>
      <w:bookmarkEnd w:id="46"/>
      <w:r w:rsidR="003D0148">
        <w:t xml:space="preserve"> (source: </w:t>
      </w:r>
      <w:r w:rsidR="00414715">
        <w:t>Goldie Divko</w:t>
      </w:r>
      <w:r w:rsidR="003D0148">
        <w:t>,</w:t>
      </w:r>
      <w:r w:rsidR="003D0148" w:rsidRPr="00994879">
        <w:t xml:space="preserve"> 201</w:t>
      </w:r>
      <w:r w:rsidR="00414715">
        <w:t>4</w:t>
      </w:r>
      <w:r w:rsidR="003D0148" w:rsidRPr="00994879">
        <w:t>)</w:t>
      </w:r>
    </w:p>
    <w:p w14:paraId="7DAA01C0" w14:textId="77777777" w:rsidR="000C564C" w:rsidRPr="000C564C" w:rsidRDefault="000C564C" w:rsidP="002F4A45">
      <w:pPr>
        <w:pStyle w:val="Head3xxx"/>
        <w:ind w:left="851"/>
      </w:pPr>
      <w:r w:rsidRPr="000C564C">
        <w:t>Tight gas prospectivity</w:t>
      </w:r>
    </w:p>
    <w:p w14:paraId="7DAA01C1" w14:textId="1550AB51" w:rsidR="000C564C" w:rsidRPr="000C564C" w:rsidRDefault="000C564C" w:rsidP="000C564C">
      <w:pPr>
        <w:rPr>
          <w:lang w:val="en-AU"/>
        </w:rPr>
      </w:pPr>
      <w:r w:rsidRPr="000C564C">
        <w:rPr>
          <w:lang w:val="en-AU"/>
        </w:rPr>
        <w:t xml:space="preserve">Tight gas is held in low permeability and low porosity rocks. The lack of permeability does not allow the gas to migrate out of the rock. Unlike coal seam gas where depressurisation of the coal seams is essential for gas migration, much smaller volumes of groundwater are required to be extracted in the development of tight gas deposits.  </w:t>
      </w:r>
    </w:p>
    <w:p w14:paraId="7DAA01C2" w14:textId="5056856F" w:rsidR="00CF64C3" w:rsidRDefault="00E31C9D" w:rsidP="00CF64C3">
      <w:pPr>
        <w:rPr>
          <w:lang w:val="en-AU"/>
        </w:rPr>
      </w:pPr>
      <w:r>
        <w:rPr>
          <w:lang w:val="en-AU"/>
        </w:rPr>
        <w:t>A</w:t>
      </w:r>
      <w:r w:rsidR="000C564C" w:rsidRPr="000C564C">
        <w:rPr>
          <w:lang w:val="en-AU"/>
        </w:rPr>
        <w:t xml:space="preserve"> </w:t>
      </w:r>
      <w:r w:rsidR="003D0148">
        <w:rPr>
          <w:lang w:val="en-AU"/>
        </w:rPr>
        <w:t>prospective</w:t>
      </w:r>
      <w:r w:rsidR="000C564C" w:rsidRPr="000C564C">
        <w:rPr>
          <w:lang w:val="en-AU"/>
        </w:rPr>
        <w:t xml:space="preserve"> format</w:t>
      </w:r>
      <w:r w:rsidR="00555395">
        <w:rPr>
          <w:lang w:val="en-AU"/>
        </w:rPr>
        <w:t>ion for tight gas in Otway region</w:t>
      </w:r>
      <w:r w:rsidR="000C564C" w:rsidRPr="000C564C">
        <w:rPr>
          <w:lang w:val="en-AU"/>
        </w:rPr>
        <w:t xml:space="preserve"> is the</w:t>
      </w:r>
      <w:r w:rsidR="00A4283A">
        <w:rPr>
          <w:lang w:val="en-AU"/>
        </w:rPr>
        <w:t xml:space="preserve"> Cre</w:t>
      </w:r>
      <w:r w:rsidR="00492534">
        <w:rPr>
          <w:lang w:val="en-AU"/>
        </w:rPr>
        <w:t>taceous aged</w:t>
      </w:r>
      <w:r w:rsidR="000C564C" w:rsidRPr="000C564C">
        <w:rPr>
          <w:lang w:val="en-AU"/>
        </w:rPr>
        <w:t xml:space="preserve"> Eumeralla Formation underlying the Waaree Formation</w:t>
      </w:r>
      <w:r w:rsidR="00492534">
        <w:rPr>
          <w:lang w:val="en-AU"/>
        </w:rPr>
        <w:t xml:space="preserve"> and the Cretaceous aged Pretty Hill Formation</w:t>
      </w:r>
      <w:r w:rsidR="000C564C" w:rsidRPr="000C564C">
        <w:rPr>
          <w:lang w:val="en-AU"/>
        </w:rPr>
        <w:t xml:space="preserve">. </w:t>
      </w:r>
      <w:r>
        <w:rPr>
          <w:lang w:val="en-AU"/>
        </w:rPr>
        <w:t xml:space="preserve"> T</w:t>
      </w:r>
      <w:r w:rsidRPr="00E31C9D">
        <w:rPr>
          <w:lang w:val="en-AU"/>
        </w:rPr>
        <w:t xml:space="preserve">ight gas development scenarios </w:t>
      </w:r>
      <w:r>
        <w:rPr>
          <w:lang w:val="en-AU"/>
        </w:rPr>
        <w:t xml:space="preserve">from </w:t>
      </w:r>
      <w:r w:rsidR="00414715">
        <w:rPr>
          <w:lang w:val="en-AU"/>
        </w:rPr>
        <w:t>Goldie Divko</w:t>
      </w:r>
      <w:r w:rsidRPr="00E31C9D">
        <w:rPr>
          <w:lang w:val="en-AU"/>
        </w:rPr>
        <w:t xml:space="preserve"> </w:t>
      </w:r>
      <w:r>
        <w:rPr>
          <w:lang w:val="en-AU"/>
        </w:rPr>
        <w:t>(</w:t>
      </w:r>
      <w:r w:rsidRPr="00E31C9D">
        <w:rPr>
          <w:lang w:val="en-AU"/>
        </w:rPr>
        <w:t>201</w:t>
      </w:r>
      <w:r w:rsidR="00414715">
        <w:rPr>
          <w:lang w:val="en-AU"/>
        </w:rPr>
        <w:t>4</w:t>
      </w:r>
      <w:r w:rsidRPr="00E31C9D">
        <w:rPr>
          <w:lang w:val="en-AU"/>
        </w:rPr>
        <w:t>)</w:t>
      </w:r>
      <w:r w:rsidR="000C564C" w:rsidRPr="000C564C">
        <w:rPr>
          <w:lang w:val="en-AU"/>
        </w:rPr>
        <w:t xml:space="preserve"> </w:t>
      </w:r>
      <w:r>
        <w:rPr>
          <w:lang w:val="en-AU"/>
        </w:rPr>
        <w:t xml:space="preserve">are shown in </w:t>
      </w:r>
      <w:r w:rsidR="00B06114" w:rsidRPr="006A0D1B">
        <w:rPr>
          <w:lang w:val="en-AU"/>
        </w:rPr>
        <w:fldChar w:fldCharType="begin"/>
      </w:r>
      <w:r w:rsidR="00B06114" w:rsidRPr="006A0D1B">
        <w:rPr>
          <w:lang w:val="en-AU"/>
        </w:rPr>
        <w:instrText xml:space="preserve"> REF _Ref414004928 \h </w:instrText>
      </w:r>
      <w:r w:rsidR="006A0D1B">
        <w:rPr>
          <w:lang w:val="en-AU"/>
        </w:rPr>
        <w:instrText xml:space="preserve"> \* MERGEFORMAT </w:instrText>
      </w:r>
      <w:r w:rsidR="00B06114" w:rsidRPr="006A0D1B">
        <w:rPr>
          <w:lang w:val="en-AU"/>
        </w:rPr>
      </w:r>
      <w:r w:rsidR="00B06114" w:rsidRPr="006A0D1B">
        <w:rPr>
          <w:lang w:val="en-AU"/>
        </w:rPr>
        <w:fldChar w:fldCharType="separate"/>
      </w:r>
      <w:r w:rsidR="00BD60CC">
        <w:t xml:space="preserve">Figure </w:t>
      </w:r>
      <w:r w:rsidR="00BD60CC">
        <w:rPr>
          <w:noProof/>
        </w:rPr>
        <w:t>8</w:t>
      </w:r>
      <w:r w:rsidR="00B06114" w:rsidRPr="006A0D1B">
        <w:rPr>
          <w:lang w:val="en-AU"/>
        </w:rPr>
        <w:fldChar w:fldCharType="end"/>
      </w:r>
      <w:r w:rsidR="000C564C" w:rsidRPr="006A0D1B">
        <w:rPr>
          <w:lang w:val="en-AU"/>
        </w:rPr>
        <w:t>.</w:t>
      </w:r>
    </w:p>
    <w:p w14:paraId="7DAA01C3" w14:textId="77777777" w:rsidR="000C564C" w:rsidRPr="00A659A8" w:rsidRDefault="00994879" w:rsidP="00A659A8">
      <w:pPr>
        <w:pStyle w:val="figurereturn"/>
      </w:pPr>
      <w:r>
        <w:drawing>
          <wp:inline distT="0" distB="0" distL="0" distR="0" wp14:anchorId="7DAA0C3D" wp14:editId="7DAA0C3E">
            <wp:extent cx="3968750" cy="2700655"/>
            <wp:effectExtent l="0" t="0" r="0" b="444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8750" cy="2700655"/>
                    </a:xfrm>
                    <a:prstGeom prst="rect">
                      <a:avLst/>
                    </a:prstGeom>
                    <a:noFill/>
                  </pic:spPr>
                </pic:pic>
              </a:graphicData>
            </a:graphic>
          </wp:inline>
        </w:drawing>
      </w:r>
    </w:p>
    <w:p w14:paraId="7DAA01C4" w14:textId="047BB3FE" w:rsidR="000C564C" w:rsidRDefault="00B06114" w:rsidP="00D0375F">
      <w:pPr>
        <w:pStyle w:val="Figuretitle"/>
      </w:pPr>
      <w:bookmarkStart w:id="47" w:name="_Ref414004928"/>
      <w:bookmarkStart w:id="48" w:name="_Toc420327759"/>
      <w:r>
        <w:t xml:space="preserve">Figure </w:t>
      </w:r>
      <w:r w:rsidR="00B91643">
        <w:fldChar w:fldCharType="begin"/>
      </w:r>
      <w:r w:rsidR="00B91643">
        <w:instrText xml:space="preserve"> SEQ Figure \* ARABIC </w:instrText>
      </w:r>
      <w:r w:rsidR="00B91643">
        <w:fldChar w:fldCharType="separate"/>
      </w:r>
      <w:r w:rsidR="00BD60CC">
        <w:rPr>
          <w:noProof/>
        </w:rPr>
        <w:t>8</w:t>
      </w:r>
      <w:r w:rsidR="00B91643">
        <w:rPr>
          <w:noProof/>
        </w:rPr>
        <w:fldChar w:fldCharType="end"/>
      </w:r>
      <w:bookmarkEnd w:id="47"/>
      <w:r w:rsidR="000C564C" w:rsidRPr="00994879">
        <w:t xml:space="preserve"> Otway Basin </w:t>
      </w:r>
      <w:r w:rsidR="00E31C9D">
        <w:t>t</w:t>
      </w:r>
      <w:r w:rsidR="000C564C" w:rsidRPr="00994879">
        <w:t xml:space="preserve">ight </w:t>
      </w:r>
      <w:r w:rsidR="00E31C9D">
        <w:t>g</w:t>
      </w:r>
      <w:r w:rsidR="000C564C" w:rsidRPr="00994879">
        <w:t xml:space="preserve">as </w:t>
      </w:r>
      <w:r w:rsidR="00E31C9D">
        <w:t>development scenarios</w:t>
      </w:r>
      <w:r w:rsidR="00555395">
        <w:t xml:space="preserve"> (source: </w:t>
      </w:r>
      <w:r w:rsidR="00414715">
        <w:t>Goldie Divko</w:t>
      </w:r>
      <w:r w:rsidR="00206FC6">
        <w:t>,</w:t>
      </w:r>
      <w:r w:rsidR="00206FC6" w:rsidRPr="00994879">
        <w:t xml:space="preserve"> 201</w:t>
      </w:r>
      <w:r w:rsidR="00414715">
        <w:t>4</w:t>
      </w:r>
      <w:r w:rsidR="000C564C" w:rsidRPr="00994879">
        <w:t>)</w:t>
      </w:r>
      <w:bookmarkEnd w:id="48"/>
    </w:p>
    <w:p w14:paraId="7DAA01C6" w14:textId="77777777" w:rsidR="000C564C" w:rsidRPr="000C564C" w:rsidRDefault="000C564C" w:rsidP="002F4A45">
      <w:pPr>
        <w:pStyle w:val="Head3xxx"/>
        <w:ind w:left="851"/>
        <w:rPr>
          <w:lang w:val="en-AU"/>
        </w:rPr>
      </w:pPr>
      <w:r w:rsidRPr="000C564C">
        <w:rPr>
          <w:lang w:val="en-AU"/>
        </w:rPr>
        <w:t>Shale gas prospectivity</w:t>
      </w:r>
    </w:p>
    <w:p w14:paraId="7DAA01C7" w14:textId="32B2A314" w:rsidR="000C564C" w:rsidRPr="000C564C" w:rsidRDefault="000C564C" w:rsidP="000C564C">
      <w:pPr>
        <w:rPr>
          <w:lang w:val="en-AU"/>
        </w:rPr>
      </w:pPr>
      <w:r w:rsidRPr="000C564C">
        <w:rPr>
          <w:lang w:val="en-AU"/>
        </w:rPr>
        <w:t xml:space="preserve">Shale gas is natural gas found trapped in shale formations. </w:t>
      </w:r>
      <w:r w:rsidR="00A67814">
        <w:rPr>
          <w:lang w:val="en-AU"/>
        </w:rPr>
        <w:t>A</w:t>
      </w:r>
      <w:r w:rsidRPr="000C564C">
        <w:rPr>
          <w:lang w:val="en-AU"/>
        </w:rPr>
        <w:t xml:space="preserve"> </w:t>
      </w:r>
      <w:r w:rsidR="00A83284">
        <w:rPr>
          <w:lang w:val="en-AU"/>
        </w:rPr>
        <w:t>prospective</w:t>
      </w:r>
      <w:r w:rsidRPr="000C564C">
        <w:rPr>
          <w:lang w:val="en-AU"/>
        </w:rPr>
        <w:t xml:space="preserve"> formation </w:t>
      </w:r>
      <w:r w:rsidR="00555395">
        <w:rPr>
          <w:lang w:val="en-AU"/>
        </w:rPr>
        <w:t>for shale gas in the Otway region</w:t>
      </w:r>
      <w:r w:rsidRPr="000C564C">
        <w:rPr>
          <w:lang w:val="en-AU"/>
        </w:rPr>
        <w:t xml:space="preserve"> is the Casterton Formation </w:t>
      </w:r>
      <w:r w:rsidR="00A67814">
        <w:rPr>
          <w:lang w:val="en-AU"/>
        </w:rPr>
        <w:t>in</w:t>
      </w:r>
      <w:r w:rsidRPr="000C564C">
        <w:rPr>
          <w:lang w:val="en-AU"/>
        </w:rPr>
        <w:t xml:space="preserve"> the far west of the state. </w:t>
      </w:r>
      <w:r w:rsidR="00A67814" w:rsidRPr="00A67814">
        <w:rPr>
          <w:lang w:val="en-AU"/>
        </w:rPr>
        <w:t>Tight gas development scenarios from Goldie Divko (201</w:t>
      </w:r>
      <w:r w:rsidR="00414715">
        <w:rPr>
          <w:lang w:val="en-AU"/>
        </w:rPr>
        <w:t>4</w:t>
      </w:r>
      <w:r w:rsidR="00A67814" w:rsidRPr="00A67814">
        <w:rPr>
          <w:lang w:val="en-AU"/>
        </w:rPr>
        <w:t xml:space="preserve">) are shown in </w:t>
      </w:r>
      <w:r w:rsidR="00B06114">
        <w:rPr>
          <w:lang w:val="en-AU"/>
        </w:rPr>
        <w:fldChar w:fldCharType="begin"/>
      </w:r>
      <w:r w:rsidR="00B06114">
        <w:rPr>
          <w:lang w:val="en-AU"/>
        </w:rPr>
        <w:instrText xml:space="preserve"> REF _Ref414004951 \h </w:instrText>
      </w:r>
      <w:r w:rsidR="00B06114">
        <w:rPr>
          <w:lang w:val="en-AU"/>
        </w:rPr>
      </w:r>
      <w:r w:rsidR="00B06114">
        <w:rPr>
          <w:lang w:val="en-AU"/>
        </w:rPr>
        <w:fldChar w:fldCharType="separate"/>
      </w:r>
      <w:r w:rsidR="00BD60CC">
        <w:t xml:space="preserve">Figure </w:t>
      </w:r>
      <w:r w:rsidR="00BD60CC">
        <w:rPr>
          <w:noProof/>
        </w:rPr>
        <w:t>9</w:t>
      </w:r>
      <w:r w:rsidR="00B06114">
        <w:rPr>
          <w:lang w:val="en-AU"/>
        </w:rPr>
        <w:fldChar w:fldCharType="end"/>
      </w:r>
      <w:r w:rsidRPr="000C564C">
        <w:rPr>
          <w:lang w:val="en-AU"/>
        </w:rPr>
        <w:t>.</w:t>
      </w:r>
    </w:p>
    <w:p w14:paraId="7DAA01C8" w14:textId="77777777" w:rsidR="000C564C" w:rsidRPr="00A659A8" w:rsidRDefault="00994879" w:rsidP="00A659A8">
      <w:pPr>
        <w:pStyle w:val="figurereturn"/>
      </w:pPr>
      <w:r>
        <w:drawing>
          <wp:inline distT="0" distB="0" distL="0" distR="0" wp14:anchorId="7DAA0C3F" wp14:editId="7DAA0C40">
            <wp:extent cx="3980815" cy="2700655"/>
            <wp:effectExtent l="0" t="0" r="635"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80815" cy="2700655"/>
                    </a:xfrm>
                    <a:prstGeom prst="rect">
                      <a:avLst/>
                    </a:prstGeom>
                    <a:noFill/>
                  </pic:spPr>
                </pic:pic>
              </a:graphicData>
            </a:graphic>
          </wp:inline>
        </w:drawing>
      </w:r>
    </w:p>
    <w:p w14:paraId="7DAA01C9" w14:textId="6CFDC076" w:rsidR="000C564C" w:rsidRPr="00994879" w:rsidRDefault="00B06114" w:rsidP="00D0375F">
      <w:pPr>
        <w:pStyle w:val="Figuretitle"/>
      </w:pPr>
      <w:bookmarkStart w:id="49" w:name="_Ref414004951"/>
      <w:bookmarkStart w:id="50" w:name="_Toc420327760"/>
      <w:r>
        <w:t xml:space="preserve">Figure </w:t>
      </w:r>
      <w:r w:rsidR="00B91643">
        <w:fldChar w:fldCharType="begin"/>
      </w:r>
      <w:r w:rsidR="00B91643">
        <w:instrText xml:space="preserve"> SEQ Figure \* ARABIC </w:instrText>
      </w:r>
      <w:r w:rsidR="00B91643">
        <w:fldChar w:fldCharType="separate"/>
      </w:r>
      <w:r w:rsidR="00BD60CC">
        <w:rPr>
          <w:noProof/>
        </w:rPr>
        <w:t>9</w:t>
      </w:r>
      <w:r w:rsidR="00B91643">
        <w:rPr>
          <w:noProof/>
        </w:rPr>
        <w:fldChar w:fldCharType="end"/>
      </w:r>
      <w:bookmarkEnd w:id="49"/>
      <w:r>
        <w:t xml:space="preserve"> </w:t>
      </w:r>
      <w:r w:rsidR="000C564C" w:rsidRPr="00994879">
        <w:t xml:space="preserve">Otway Basin shale gas </w:t>
      </w:r>
      <w:r w:rsidR="00E31C9D">
        <w:t>development scenarios</w:t>
      </w:r>
      <w:r w:rsidR="000C564C" w:rsidRPr="00994879">
        <w:t xml:space="preserve"> (</w:t>
      </w:r>
      <w:r w:rsidR="00555395">
        <w:t>source:</w:t>
      </w:r>
      <w:r w:rsidR="000C564C" w:rsidRPr="00994879">
        <w:t xml:space="preserve"> </w:t>
      </w:r>
      <w:r w:rsidR="00414715">
        <w:t>Goldie Divko</w:t>
      </w:r>
      <w:r w:rsidR="00206FC6">
        <w:t>, 201</w:t>
      </w:r>
      <w:r w:rsidR="00414715">
        <w:t>4</w:t>
      </w:r>
      <w:r w:rsidR="000C564C" w:rsidRPr="00994879">
        <w:t>)</w:t>
      </w:r>
      <w:bookmarkEnd w:id="50"/>
    </w:p>
    <w:p w14:paraId="68813B57" w14:textId="77777777" w:rsidR="009D3377" w:rsidRDefault="009D3377">
      <w:pPr>
        <w:rPr>
          <w:rFonts w:cs="Arial"/>
          <w:b/>
          <w:bCs/>
          <w:sz w:val="26"/>
          <w:szCs w:val="26"/>
          <w:lang w:val="en-AU"/>
        </w:rPr>
      </w:pPr>
      <w:r>
        <w:rPr>
          <w:lang w:val="en-AU"/>
        </w:rPr>
        <w:br w:type="page"/>
      </w:r>
    </w:p>
    <w:p w14:paraId="7DAA01CA" w14:textId="238961FF" w:rsidR="000C564C" w:rsidRPr="000C564C" w:rsidRDefault="000C564C" w:rsidP="002F4A45">
      <w:pPr>
        <w:pStyle w:val="Head3xxx"/>
        <w:ind w:left="851"/>
        <w:rPr>
          <w:lang w:val="en-AU"/>
        </w:rPr>
      </w:pPr>
      <w:r w:rsidRPr="000C564C">
        <w:rPr>
          <w:lang w:val="en-AU"/>
        </w:rPr>
        <w:t>Conventional gas prospectivity</w:t>
      </w:r>
    </w:p>
    <w:p w14:paraId="7DAA01CB" w14:textId="47AE64F8" w:rsidR="000C564C" w:rsidRPr="000C564C" w:rsidRDefault="000C564C" w:rsidP="000C564C">
      <w:pPr>
        <w:rPr>
          <w:lang w:val="en-AU"/>
        </w:rPr>
      </w:pPr>
      <w:r w:rsidRPr="000C564C">
        <w:rPr>
          <w:lang w:val="en-AU"/>
        </w:rPr>
        <w:t xml:space="preserve">Conventional gas fields have been </w:t>
      </w:r>
      <w:r w:rsidR="00A67814" w:rsidRPr="001E696A">
        <w:rPr>
          <w:lang w:val="en-AU"/>
        </w:rPr>
        <w:t>developed and depleted</w:t>
      </w:r>
      <w:r w:rsidR="00A67814" w:rsidRPr="000C564C">
        <w:rPr>
          <w:lang w:val="en-AU"/>
        </w:rPr>
        <w:t xml:space="preserve"> </w:t>
      </w:r>
      <w:r w:rsidRPr="000C564C">
        <w:rPr>
          <w:lang w:val="en-AU"/>
        </w:rPr>
        <w:t xml:space="preserve">in a number of locations in the Port Campbell </w:t>
      </w:r>
      <w:r w:rsidRPr="006A0D1B">
        <w:rPr>
          <w:lang w:val="en-AU"/>
        </w:rPr>
        <w:t>Embayment.</w:t>
      </w:r>
      <w:r w:rsidRPr="000C564C">
        <w:rPr>
          <w:lang w:val="en-AU"/>
        </w:rPr>
        <w:t xml:space="preserve"> </w:t>
      </w:r>
      <w:r w:rsidR="00A67814" w:rsidRPr="000C564C">
        <w:rPr>
          <w:lang w:val="en-AU"/>
        </w:rPr>
        <w:t>Conventional</w:t>
      </w:r>
      <w:r w:rsidR="00A67814" w:rsidRPr="00A67814">
        <w:rPr>
          <w:lang w:val="en-AU"/>
        </w:rPr>
        <w:t xml:space="preserve"> gas development scenarios from Goldie Divko (2014) are shown </w:t>
      </w:r>
      <w:r w:rsidR="00E3598E">
        <w:rPr>
          <w:lang w:val="en-AU"/>
        </w:rPr>
        <w:t>in Figure 10.</w:t>
      </w:r>
    </w:p>
    <w:p w14:paraId="785A9B75" w14:textId="77777777" w:rsidR="00A659A8" w:rsidRPr="00A659A8" w:rsidRDefault="00994879" w:rsidP="00A659A8">
      <w:pPr>
        <w:pStyle w:val="figurereturn"/>
      </w:pPr>
      <w:r>
        <w:drawing>
          <wp:inline distT="0" distB="0" distL="0" distR="0" wp14:anchorId="7DAA0C41" wp14:editId="7DAA0C42">
            <wp:extent cx="4060190" cy="27006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60190" cy="2700655"/>
                    </a:xfrm>
                    <a:prstGeom prst="rect">
                      <a:avLst/>
                    </a:prstGeom>
                    <a:noFill/>
                  </pic:spPr>
                </pic:pic>
              </a:graphicData>
            </a:graphic>
          </wp:inline>
        </w:drawing>
      </w:r>
      <w:bookmarkStart w:id="51" w:name="_Ref414005005"/>
      <w:bookmarkStart w:id="52" w:name="_Toc420327761"/>
    </w:p>
    <w:p w14:paraId="099BAA96" w14:textId="7E925E93" w:rsidR="00555395" w:rsidRPr="00994879" w:rsidRDefault="00B06114" w:rsidP="00A659A8">
      <w:pPr>
        <w:pStyle w:val="Figuretitle"/>
      </w:pPr>
      <w:r w:rsidRPr="00B06114">
        <w:t xml:space="preserve">Figure </w:t>
      </w:r>
      <w:r w:rsidR="00B91643">
        <w:fldChar w:fldCharType="begin"/>
      </w:r>
      <w:r w:rsidR="00B91643">
        <w:instrText xml:space="preserve"> SEQ Figure \* ARABIC </w:instrText>
      </w:r>
      <w:r w:rsidR="00B91643">
        <w:fldChar w:fldCharType="separate"/>
      </w:r>
      <w:r w:rsidR="00BD60CC">
        <w:rPr>
          <w:noProof/>
        </w:rPr>
        <w:t>10</w:t>
      </w:r>
      <w:r w:rsidR="00B91643">
        <w:rPr>
          <w:noProof/>
        </w:rPr>
        <w:fldChar w:fldCharType="end"/>
      </w:r>
      <w:bookmarkEnd w:id="51"/>
      <w:r w:rsidRPr="00B06114">
        <w:t xml:space="preserve"> </w:t>
      </w:r>
      <w:r w:rsidR="00E31C9D" w:rsidRPr="00B06114">
        <w:t xml:space="preserve">Otway Basin </w:t>
      </w:r>
      <w:r w:rsidR="00E31C9D">
        <w:t>c</w:t>
      </w:r>
      <w:r w:rsidR="000C564C" w:rsidRPr="00B06114">
        <w:t xml:space="preserve">onventional gas </w:t>
      </w:r>
      <w:r w:rsidR="00E31C9D">
        <w:t>development scenarios</w:t>
      </w:r>
      <w:r w:rsidR="00555395">
        <w:t xml:space="preserve"> </w:t>
      </w:r>
      <w:r w:rsidR="00555395" w:rsidRPr="00994879">
        <w:t>(</w:t>
      </w:r>
      <w:r w:rsidR="00555395">
        <w:t>source:</w:t>
      </w:r>
      <w:r w:rsidR="00555395" w:rsidRPr="00994879">
        <w:t xml:space="preserve"> </w:t>
      </w:r>
      <w:r w:rsidR="00414715">
        <w:t>Goldie Divko</w:t>
      </w:r>
      <w:r w:rsidR="00206FC6">
        <w:t>, 201</w:t>
      </w:r>
      <w:r w:rsidR="00414715">
        <w:t>4</w:t>
      </w:r>
      <w:r w:rsidR="00555395" w:rsidRPr="00994879">
        <w:t>)</w:t>
      </w:r>
      <w:bookmarkEnd w:id="52"/>
      <w:r w:rsidR="00A659A8">
        <w:br/>
      </w:r>
    </w:p>
    <w:p w14:paraId="7DAA01CF" w14:textId="6D9CD6C3" w:rsidR="000C564C" w:rsidRPr="000C564C" w:rsidRDefault="000C564C" w:rsidP="00994879">
      <w:pPr>
        <w:pStyle w:val="Head2xx"/>
      </w:pPr>
      <w:bookmarkStart w:id="53" w:name="_Toc420327718"/>
      <w:r w:rsidRPr="000C564C">
        <w:t xml:space="preserve">Groundwater </w:t>
      </w:r>
      <w:r w:rsidR="002F4A45" w:rsidRPr="000C564C">
        <w:t>chemistry sampling suite</w:t>
      </w:r>
      <w:bookmarkEnd w:id="53"/>
    </w:p>
    <w:p w14:paraId="7DAA01D3" w14:textId="46775009" w:rsidR="000C564C" w:rsidRPr="000C564C" w:rsidRDefault="000C564C" w:rsidP="000C564C">
      <w:pPr>
        <w:rPr>
          <w:lang w:val="en-AU"/>
        </w:rPr>
      </w:pPr>
      <w:r w:rsidRPr="000C564C">
        <w:rPr>
          <w:lang w:val="en-AU"/>
        </w:rPr>
        <w:t xml:space="preserve">In developing </w:t>
      </w:r>
      <w:r w:rsidR="00817360">
        <w:rPr>
          <w:lang w:val="en-AU"/>
        </w:rPr>
        <w:t xml:space="preserve">sampling </w:t>
      </w:r>
      <w:r w:rsidRPr="000C564C">
        <w:rPr>
          <w:lang w:val="en-AU"/>
        </w:rPr>
        <w:t xml:space="preserve">approach a range of literature has been used to understand the most efficient and informative monitoring suite. </w:t>
      </w:r>
    </w:p>
    <w:p w14:paraId="7DAA01D4" w14:textId="4DFCC61B" w:rsidR="000C564C" w:rsidRPr="000C564C" w:rsidRDefault="008100FC" w:rsidP="000C564C">
      <w:pPr>
        <w:rPr>
          <w:lang w:val="en-AU"/>
        </w:rPr>
      </w:pPr>
      <w:r w:rsidRPr="008100FC">
        <w:rPr>
          <w:lang w:val="en-AU"/>
        </w:rPr>
        <w:t xml:space="preserve">A number of natural gas exploration companies are currently operating in Queensland, Australia. The groundwater quality monitoring program undertaken by QGC for Queensland Curtis LNG (QCLNG) has been considered in development of this </w:t>
      </w:r>
      <w:r w:rsidR="00857ACF">
        <w:rPr>
          <w:lang w:val="en-AU"/>
        </w:rPr>
        <w:t xml:space="preserve">monitoring </w:t>
      </w:r>
      <w:r w:rsidRPr="008100FC">
        <w:rPr>
          <w:lang w:val="en-AU"/>
        </w:rPr>
        <w:t xml:space="preserve">suite. International baseline groundwater monitoring protocols associated with natural gas have also been reviewed and used to inform the proposed </w:t>
      </w:r>
      <w:r w:rsidR="00857ACF">
        <w:rPr>
          <w:lang w:val="en-AU"/>
        </w:rPr>
        <w:t xml:space="preserve">monitoring </w:t>
      </w:r>
      <w:r w:rsidRPr="008100FC">
        <w:rPr>
          <w:lang w:val="en-AU"/>
        </w:rPr>
        <w:t>suite. Protocols for Alberta and British Columbia, Canada have particularly provided useful basis from which to assess the groundwater parameters (Alberta Environment (2006), Chaytor, S. and Shaw, R., (2008)).</w:t>
      </w:r>
      <w:r w:rsidR="000C564C" w:rsidRPr="000C564C">
        <w:rPr>
          <w:lang w:val="en-AU"/>
        </w:rPr>
        <w:t xml:space="preserve"> </w:t>
      </w:r>
    </w:p>
    <w:p w14:paraId="7DAA01D5" w14:textId="17BFDA7E" w:rsidR="000C564C" w:rsidRPr="008100FC" w:rsidRDefault="000C564C" w:rsidP="008100FC">
      <w:pPr>
        <w:pStyle w:val="Head3xxx"/>
        <w:numPr>
          <w:ilvl w:val="2"/>
          <w:numId w:val="62"/>
        </w:numPr>
        <w:ind w:hanging="993"/>
        <w:rPr>
          <w:lang w:val="en-AU"/>
        </w:rPr>
      </w:pPr>
      <w:r w:rsidRPr="008100FC">
        <w:rPr>
          <w:lang w:val="en-AU"/>
        </w:rPr>
        <w:t xml:space="preserve">Groundwater </w:t>
      </w:r>
      <w:r w:rsidR="002F4A45" w:rsidRPr="008100FC">
        <w:rPr>
          <w:lang w:val="en-AU"/>
        </w:rPr>
        <w:t>c</w:t>
      </w:r>
      <w:r w:rsidRPr="008100FC">
        <w:rPr>
          <w:lang w:val="en-AU"/>
        </w:rPr>
        <w:t>haracterisation</w:t>
      </w:r>
    </w:p>
    <w:p w14:paraId="43649BC4" w14:textId="5507CEC3" w:rsidR="002F4A45" w:rsidRDefault="00817360">
      <w:pPr>
        <w:rPr>
          <w:lang w:val="en-AU"/>
        </w:rPr>
      </w:pPr>
      <w:r>
        <w:rPr>
          <w:lang w:val="en-AU"/>
        </w:rPr>
        <w:t>M</w:t>
      </w:r>
      <w:r w:rsidR="000C564C" w:rsidRPr="000C564C">
        <w:rPr>
          <w:lang w:val="en-AU"/>
        </w:rPr>
        <w:t xml:space="preserve">onitoring of physical and inorganic properties of groundwater will be used to characterise the existing variability in aquifer chemistry. This will be done by assessing the unique chemical characteristics of the different aquifers, which can then be used as tracers to provide qualitative estimates of the degree of mixing between multiple aquifers. </w:t>
      </w:r>
      <w:r w:rsidR="002F4A45">
        <w:rPr>
          <w:lang w:val="en-AU"/>
        </w:rPr>
        <w:br w:type="page"/>
      </w:r>
    </w:p>
    <w:p w14:paraId="7DAA01D7" w14:textId="0F8EDC2C" w:rsidR="000C564C" w:rsidRPr="000C564C" w:rsidRDefault="000C564C" w:rsidP="000C564C">
      <w:pPr>
        <w:rPr>
          <w:lang w:val="en-AU"/>
        </w:rPr>
      </w:pPr>
      <w:r w:rsidRPr="000C564C">
        <w:rPr>
          <w:lang w:val="en-AU"/>
        </w:rPr>
        <w:t xml:space="preserve">Inorganic minerals are those derived from geological systems as opposed to organic minerals that are derived from biological systems. Groundwater contact with rocks and soils will lead to dissolution of inorganic minerals, namely major cations and major anions. The proposed </w:t>
      </w:r>
      <w:r w:rsidR="00734F99" w:rsidRPr="000C564C">
        <w:rPr>
          <w:lang w:val="en-AU"/>
        </w:rPr>
        <w:t xml:space="preserve">suite of inorganic parameters to use in </w:t>
      </w:r>
      <w:r w:rsidR="00206FC6" w:rsidRPr="000C564C">
        <w:rPr>
          <w:lang w:val="en-AU"/>
        </w:rPr>
        <w:t>this project</w:t>
      </w:r>
      <w:r w:rsidR="00734F99" w:rsidRPr="000C564C">
        <w:rPr>
          <w:lang w:val="en-AU"/>
        </w:rPr>
        <w:t xml:space="preserve"> is</w:t>
      </w:r>
      <w:r w:rsidRPr="000C564C">
        <w:rPr>
          <w:lang w:val="en-AU"/>
        </w:rPr>
        <w:t>:</w:t>
      </w:r>
    </w:p>
    <w:p w14:paraId="7DAA01D8" w14:textId="77777777" w:rsidR="000C564C" w:rsidRPr="00994879" w:rsidRDefault="000C564C" w:rsidP="00D5530F">
      <w:pPr>
        <w:pStyle w:val="Bullet1"/>
        <w:numPr>
          <w:ilvl w:val="0"/>
          <w:numId w:val="2"/>
        </w:numPr>
        <w:tabs>
          <w:tab w:val="clear" w:pos="1260"/>
          <w:tab w:val="num" w:pos="426"/>
          <w:tab w:val="num" w:pos="851"/>
        </w:tabs>
        <w:ind w:left="426" w:hanging="426"/>
        <w:rPr>
          <w:lang w:val="en-AU"/>
        </w:rPr>
      </w:pPr>
      <w:r w:rsidRPr="00994879">
        <w:rPr>
          <w:lang w:val="en-AU"/>
        </w:rPr>
        <w:t>Calcium</w:t>
      </w:r>
    </w:p>
    <w:p w14:paraId="7DAA01D9" w14:textId="77777777" w:rsidR="000C564C" w:rsidRPr="00994879" w:rsidRDefault="000C564C" w:rsidP="00D5530F">
      <w:pPr>
        <w:pStyle w:val="Bullet1"/>
        <w:numPr>
          <w:ilvl w:val="0"/>
          <w:numId w:val="2"/>
        </w:numPr>
        <w:tabs>
          <w:tab w:val="clear" w:pos="1260"/>
          <w:tab w:val="num" w:pos="426"/>
          <w:tab w:val="num" w:pos="851"/>
        </w:tabs>
        <w:ind w:left="426" w:hanging="426"/>
        <w:rPr>
          <w:lang w:val="en-AU"/>
        </w:rPr>
      </w:pPr>
      <w:r w:rsidRPr="00994879">
        <w:rPr>
          <w:lang w:val="en-AU"/>
        </w:rPr>
        <w:t>Sodium</w:t>
      </w:r>
    </w:p>
    <w:p w14:paraId="7DAA01DA" w14:textId="77777777" w:rsidR="000C564C" w:rsidRPr="00994879" w:rsidRDefault="000C564C" w:rsidP="00D5530F">
      <w:pPr>
        <w:pStyle w:val="Bullet1"/>
        <w:numPr>
          <w:ilvl w:val="0"/>
          <w:numId w:val="2"/>
        </w:numPr>
        <w:tabs>
          <w:tab w:val="clear" w:pos="1260"/>
          <w:tab w:val="num" w:pos="426"/>
          <w:tab w:val="num" w:pos="851"/>
        </w:tabs>
        <w:ind w:left="426" w:hanging="426"/>
        <w:rPr>
          <w:lang w:val="en-AU"/>
        </w:rPr>
      </w:pPr>
      <w:r w:rsidRPr="00994879">
        <w:rPr>
          <w:lang w:val="en-AU"/>
        </w:rPr>
        <w:t>Magnesium</w:t>
      </w:r>
    </w:p>
    <w:p w14:paraId="7DAA01DB" w14:textId="77777777" w:rsidR="000C564C" w:rsidRPr="00994879" w:rsidRDefault="000C564C" w:rsidP="00D5530F">
      <w:pPr>
        <w:pStyle w:val="Bullet1"/>
        <w:numPr>
          <w:ilvl w:val="0"/>
          <w:numId w:val="2"/>
        </w:numPr>
        <w:tabs>
          <w:tab w:val="clear" w:pos="1260"/>
          <w:tab w:val="num" w:pos="426"/>
          <w:tab w:val="num" w:pos="851"/>
        </w:tabs>
        <w:ind w:left="426" w:hanging="426"/>
        <w:rPr>
          <w:lang w:val="en-AU"/>
        </w:rPr>
      </w:pPr>
      <w:r w:rsidRPr="00994879">
        <w:rPr>
          <w:lang w:val="en-AU"/>
        </w:rPr>
        <w:t>Potassium</w:t>
      </w:r>
    </w:p>
    <w:p w14:paraId="7DAA01DC" w14:textId="77777777" w:rsidR="000C564C" w:rsidRPr="00994879" w:rsidRDefault="000C564C" w:rsidP="00D5530F">
      <w:pPr>
        <w:pStyle w:val="Bullet1"/>
        <w:numPr>
          <w:ilvl w:val="0"/>
          <w:numId w:val="2"/>
        </w:numPr>
        <w:tabs>
          <w:tab w:val="clear" w:pos="1260"/>
          <w:tab w:val="num" w:pos="426"/>
          <w:tab w:val="num" w:pos="851"/>
        </w:tabs>
        <w:ind w:left="426" w:hanging="426"/>
        <w:rPr>
          <w:lang w:val="en-AU"/>
        </w:rPr>
      </w:pPr>
      <w:r w:rsidRPr="00994879">
        <w:rPr>
          <w:lang w:val="en-AU"/>
        </w:rPr>
        <w:t>Chloride</w:t>
      </w:r>
    </w:p>
    <w:p w14:paraId="7DAA01DD" w14:textId="7A387444" w:rsidR="000C564C" w:rsidRPr="00994879" w:rsidRDefault="00206FC6" w:rsidP="00D5530F">
      <w:pPr>
        <w:pStyle w:val="Bullet1"/>
        <w:numPr>
          <w:ilvl w:val="0"/>
          <w:numId w:val="2"/>
        </w:numPr>
        <w:tabs>
          <w:tab w:val="clear" w:pos="1260"/>
          <w:tab w:val="num" w:pos="426"/>
          <w:tab w:val="num" w:pos="851"/>
        </w:tabs>
        <w:ind w:left="426" w:hanging="426"/>
        <w:rPr>
          <w:lang w:val="en-AU"/>
        </w:rPr>
      </w:pPr>
      <w:r w:rsidRPr="00994879">
        <w:rPr>
          <w:lang w:val="en-AU"/>
        </w:rPr>
        <w:t>Sulphate</w:t>
      </w:r>
    </w:p>
    <w:p w14:paraId="7DAA01DE" w14:textId="77777777" w:rsidR="000C564C" w:rsidRPr="00994879" w:rsidRDefault="000C564C" w:rsidP="00D5530F">
      <w:pPr>
        <w:pStyle w:val="Bullet1"/>
        <w:numPr>
          <w:ilvl w:val="0"/>
          <w:numId w:val="2"/>
        </w:numPr>
        <w:tabs>
          <w:tab w:val="clear" w:pos="1260"/>
          <w:tab w:val="num" w:pos="426"/>
          <w:tab w:val="num" w:pos="851"/>
        </w:tabs>
        <w:ind w:left="426" w:hanging="426"/>
        <w:rPr>
          <w:lang w:val="en-AU"/>
        </w:rPr>
      </w:pPr>
      <w:r w:rsidRPr="00994879">
        <w:rPr>
          <w:lang w:val="en-AU"/>
        </w:rPr>
        <w:t>Fluoride</w:t>
      </w:r>
    </w:p>
    <w:p w14:paraId="7DAA01DF" w14:textId="77777777" w:rsidR="000C564C" w:rsidRPr="00994879" w:rsidRDefault="000C564C" w:rsidP="00D5530F">
      <w:pPr>
        <w:pStyle w:val="Bullet1"/>
        <w:numPr>
          <w:ilvl w:val="0"/>
          <w:numId w:val="2"/>
        </w:numPr>
        <w:tabs>
          <w:tab w:val="clear" w:pos="1260"/>
          <w:tab w:val="num" w:pos="426"/>
          <w:tab w:val="num" w:pos="851"/>
        </w:tabs>
        <w:ind w:left="426" w:hanging="426"/>
        <w:rPr>
          <w:lang w:val="en-AU"/>
        </w:rPr>
      </w:pPr>
      <w:r w:rsidRPr="00994879">
        <w:rPr>
          <w:lang w:val="en-AU"/>
        </w:rPr>
        <w:t xml:space="preserve">Total alkalinity, carbonate / bicarbonate </w:t>
      </w:r>
    </w:p>
    <w:p w14:paraId="7DAA01E0" w14:textId="0AFEAB0F" w:rsidR="000C564C" w:rsidRPr="00994879" w:rsidRDefault="000C564C" w:rsidP="00D5530F">
      <w:pPr>
        <w:pStyle w:val="Bullet1"/>
        <w:numPr>
          <w:ilvl w:val="0"/>
          <w:numId w:val="2"/>
        </w:numPr>
        <w:tabs>
          <w:tab w:val="clear" w:pos="1260"/>
          <w:tab w:val="num" w:pos="426"/>
          <w:tab w:val="num" w:pos="851"/>
        </w:tabs>
        <w:ind w:left="426" w:hanging="426"/>
        <w:rPr>
          <w:lang w:val="en-AU"/>
        </w:rPr>
      </w:pPr>
      <w:r w:rsidRPr="00994879">
        <w:rPr>
          <w:lang w:val="en-AU"/>
        </w:rPr>
        <w:t>Total Nitrogen, Nitrate / Nitrite</w:t>
      </w:r>
      <w:r w:rsidR="00AD4497">
        <w:rPr>
          <w:lang w:val="en-AU"/>
        </w:rPr>
        <w:t>.</w:t>
      </w:r>
      <w:r w:rsidRPr="00994879">
        <w:rPr>
          <w:lang w:val="en-AU"/>
        </w:rPr>
        <w:t xml:space="preserve"> </w:t>
      </w:r>
    </w:p>
    <w:p w14:paraId="7DAA01E1" w14:textId="5228CF8F" w:rsidR="000C564C" w:rsidRPr="000C564C" w:rsidRDefault="000C564C" w:rsidP="000C564C">
      <w:pPr>
        <w:rPr>
          <w:lang w:val="en-AU"/>
        </w:rPr>
      </w:pPr>
      <w:r w:rsidRPr="000C564C">
        <w:rPr>
          <w:lang w:val="en-AU"/>
        </w:rPr>
        <w:t>The above proposed suite of inorganics is largely consistent with the ALS Environmental basic</w:t>
      </w:r>
      <w:r w:rsidR="006742B6">
        <w:rPr>
          <w:lang w:val="en-AU"/>
        </w:rPr>
        <w:t xml:space="preserve"> coal seam gas</w:t>
      </w:r>
      <w:r w:rsidRPr="000C564C">
        <w:rPr>
          <w:lang w:val="en-AU"/>
        </w:rPr>
        <w:t xml:space="preserve"> suite. The extended </w:t>
      </w:r>
      <w:r w:rsidR="006742B6">
        <w:rPr>
          <w:lang w:val="en-AU"/>
        </w:rPr>
        <w:t>coal seam gas</w:t>
      </w:r>
      <w:r w:rsidRPr="000C564C">
        <w:rPr>
          <w:lang w:val="en-AU"/>
        </w:rPr>
        <w:t xml:space="preserve"> suite (which is adopted by QGC in their baseline groundwater sampling programs) incorporates dissolved and total metals. This assessment has not recommended the inclusion of metals, as the objectives of this program can be achieved without their inclusion. </w:t>
      </w:r>
    </w:p>
    <w:p w14:paraId="7DAA01E2" w14:textId="77777777" w:rsidR="000C564C" w:rsidRPr="000C564C" w:rsidRDefault="000C564C" w:rsidP="000C564C">
      <w:pPr>
        <w:rPr>
          <w:lang w:val="en-AU"/>
        </w:rPr>
      </w:pPr>
      <w:r w:rsidRPr="000C564C">
        <w:rPr>
          <w:lang w:val="en-AU"/>
        </w:rPr>
        <w:t>The following inorganic indicators are also proposed to be calculated to assist in aquifer characterisation;</w:t>
      </w:r>
    </w:p>
    <w:p w14:paraId="7DAA01E3" w14:textId="217BF407" w:rsidR="000C564C" w:rsidRPr="00994879" w:rsidRDefault="00AD4497" w:rsidP="00D5530F">
      <w:pPr>
        <w:pStyle w:val="Bullet1"/>
        <w:numPr>
          <w:ilvl w:val="0"/>
          <w:numId w:val="2"/>
        </w:numPr>
        <w:tabs>
          <w:tab w:val="clear" w:pos="1260"/>
          <w:tab w:val="num" w:pos="426"/>
          <w:tab w:val="num" w:pos="851"/>
        </w:tabs>
        <w:ind w:left="426" w:hanging="426"/>
        <w:rPr>
          <w:lang w:val="en-AU"/>
        </w:rPr>
      </w:pPr>
      <w:r>
        <w:rPr>
          <w:lang w:val="en-AU"/>
        </w:rPr>
        <w:t>h</w:t>
      </w:r>
      <w:r w:rsidR="000C564C" w:rsidRPr="00994879">
        <w:rPr>
          <w:lang w:val="en-AU"/>
        </w:rPr>
        <w:t>ardness</w:t>
      </w:r>
      <w:r>
        <w:rPr>
          <w:lang w:val="en-AU"/>
        </w:rPr>
        <w:t>:</w:t>
      </w:r>
      <w:r w:rsidRPr="00994879">
        <w:rPr>
          <w:lang w:val="en-AU"/>
        </w:rPr>
        <w:t xml:space="preserve"> </w:t>
      </w:r>
      <w:r w:rsidR="000C564C" w:rsidRPr="00994879">
        <w:rPr>
          <w:lang w:val="en-AU"/>
        </w:rPr>
        <w:t>expressed as mg/L of CaCO</w:t>
      </w:r>
      <w:r w:rsidR="000C564C" w:rsidRPr="00D5530F">
        <w:rPr>
          <w:lang w:val="en-AU"/>
        </w:rPr>
        <w:t>3</w:t>
      </w:r>
      <w:r w:rsidR="000C564C" w:rsidRPr="00994879">
        <w:rPr>
          <w:lang w:val="en-AU"/>
        </w:rPr>
        <w:t xml:space="preserve"> and used to classify waters as soft -&gt; hard</w:t>
      </w:r>
    </w:p>
    <w:p w14:paraId="7DAA01E4" w14:textId="2B4D85D0" w:rsidR="000C564C" w:rsidRPr="00994879" w:rsidRDefault="000C564C" w:rsidP="00D5530F">
      <w:pPr>
        <w:pStyle w:val="Bullet1"/>
        <w:numPr>
          <w:ilvl w:val="0"/>
          <w:numId w:val="2"/>
        </w:numPr>
        <w:tabs>
          <w:tab w:val="clear" w:pos="1260"/>
          <w:tab w:val="num" w:pos="426"/>
          <w:tab w:val="num" w:pos="851"/>
        </w:tabs>
        <w:ind w:left="426" w:hanging="426"/>
        <w:rPr>
          <w:lang w:val="en-AU"/>
        </w:rPr>
      </w:pPr>
      <w:r w:rsidRPr="00994879">
        <w:rPr>
          <w:lang w:val="en-AU"/>
        </w:rPr>
        <w:t>Total Dissolved Solids (TDS)</w:t>
      </w:r>
      <w:r w:rsidR="00AD4497">
        <w:rPr>
          <w:lang w:val="en-AU"/>
        </w:rPr>
        <w:t>:</w:t>
      </w:r>
      <w:r w:rsidRPr="00994879">
        <w:rPr>
          <w:lang w:val="en-AU"/>
        </w:rPr>
        <w:t xml:space="preserve"> a measure of the salt dissolved in a water sample after the removal of suspended solids. TDS is the residue remaining after evaporation of the water and it is related to the specific conductance. </w:t>
      </w:r>
    </w:p>
    <w:p w14:paraId="7DAA01E5" w14:textId="7737527C" w:rsidR="000C564C" w:rsidRPr="00994879" w:rsidRDefault="000C564C" w:rsidP="00D5530F">
      <w:pPr>
        <w:pStyle w:val="Bullet1"/>
        <w:numPr>
          <w:ilvl w:val="0"/>
          <w:numId w:val="2"/>
        </w:numPr>
        <w:tabs>
          <w:tab w:val="clear" w:pos="1260"/>
          <w:tab w:val="num" w:pos="426"/>
          <w:tab w:val="num" w:pos="851"/>
        </w:tabs>
        <w:ind w:left="426" w:hanging="426"/>
        <w:rPr>
          <w:lang w:val="en-AU"/>
        </w:rPr>
      </w:pPr>
      <w:r w:rsidRPr="00994879">
        <w:rPr>
          <w:lang w:val="en-AU"/>
        </w:rPr>
        <w:t>Specific Conductance (or electrical conductivity uS/cm)</w:t>
      </w:r>
      <w:r w:rsidR="00AD4497">
        <w:rPr>
          <w:lang w:val="en-AU"/>
        </w:rPr>
        <w:t>.</w:t>
      </w:r>
      <w:r w:rsidRPr="00994879">
        <w:rPr>
          <w:lang w:val="en-AU"/>
        </w:rPr>
        <w:t xml:space="preserve"> </w:t>
      </w:r>
      <w:r w:rsidR="00AD4497">
        <w:rPr>
          <w:lang w:val="en-AU"/>
        </w:rPr>
        <w:t>S</w:t>
      </w:r>
      <w:r w:rsidRPr="00994879">
        <w:rPr>
          <w:lang w:val="en-AU"/>
        </w:rPr>
        <w:t>pecific conductance measures the capacity of water to transmit electrical current and is proportional to salt content</w:t>
      </w:r>
      <w:r w:rsidR="00AD4497">
        <w:rPr>
          <w:lang w:val="en-AU"/>
        </w:rPr>
        <w:t>.</w:t>
      </w:r>
    </w:p>
    <w:p w14:paraId="7DAA01E6" w14:textId="463C6546" w:rsidR="000C564C" w:rsidRPr="00994879" w:rsidRDefault="000C564C" w:rsidP="00D5530F">
      <w:pPr>
        <w:pStyle w:val="Bullet1"/>
        <w:numPr>
          <w:ilvl w:val="0"/>
          <w:numId w:val="2"/>
        </w:numPr>
        <w:tabs>
          <w:tab w:val="clear" w:pos="1260"/>
          <w:tab w:val="num" w:pos="426"/>
          <w:tab w:val="num" w:pos="851"/>
        </w:tabs>
        <w:ind w:left="426" w:hanging="426"/>
        <w:rPr>
          <w:lang w:val="en-AU"/>
        </w:rPr>
      </w:pPr>
      <w:r w:rsidRPr="00994879">
        <w:rPr>
          <w:lang w:val="en-AU"/>
        </w:rPr>
        <w:t>Sodium Adsorption Ratio</w:t>
      </w:r>
      <w:r w:rsidR="00AD4497">
        <w:rPr>
          <w:lang w:val="en-AU"/>
        </w:rPr>
        <w:t>:</w:t>
      </w:r>
      <w:r w:rsidRPr="00994879">
        <w:rPr>
          <w:lang w:val="en-AU"/>
        </w:rPr>
        <w:t xml:space="preserve"> used to evaluate the hazard in irrigation waters caused by sodium. It relates the concentration of sodium ions to magnesium and calcium ions. An increasing SAR relates to less favourable irrigated soil conditions. </w:t>
      </w:r>
    </w:p>
    <w:p w14:paraId="7DAA01E7" w14:textId="1605F850" w:rsidR="000C564C" w:rsidRPr="00994879" w:rsidRDefault="00CF64C3" w:rsidP="00D5530F">
      <w:pPr>
        <w:pStyle w:val="Bullet1"/>
        <w:numPr>
          <w:ilvl w:val="0"/>
          <w:numId w:val="2"/>
        </w:numPr>
        <w:tabs>
          <w:tab w:val="clear" w:pos="1260"/>
          <w:tab w:val="num" w:pos="426"/>
          <w:tab w:val="num" w:pos="851"/>
        </w:tabs>
        <w:ind w:left="426" w:hanging="426"/>
        <w:rPr>
          <w:lang w:val="en-AU"/>
        </w:rPr>
      </w:pPr>
      <w:r>
        <w:rPr>
          <w:lang w:val="en-AU"/>
        </w:rPr>
        <w:t>pH</w:t>
      </w:r>
    </w:p>
    <w:p w14:paraId="7DAA01E8" w14:textId="7E13CC48" w:rsidR="000C564C" w:rsidRPr="000C564C" w:rsidRDefault="000C564C" w:rsidP="00D5530F">
      <w:pPr>
        <w:pStyle w:val="Bullet1"/>
        <w:numPr>
          <w:ilvl w:val="0"/>
          <w:numId w:val="2"/>
        </w:numPr>
        <w:tabs>
          <w:tab w:val="clear" w:pos="1260"/>
          <w:tab w:val="num" w:pos="426"/>
          <w:tab w:val="num" w:pos="851"/>
        </w:tabs>
        <w:ind w:left="426" w:hanging="426"/>
        <w:rPr>
          <w:lang w:val="en-AU"/>
        </w:rPr>
      </w:pPr>
      <w:r w:rsidRPr="000C564C">
        <w:rPr>
          <w:lang w:val="en-AU"/>
        </w:rPr>
        <w:t>Physical water quality characteristics include those that relate to temperature, colour, taste and odour. The physical characteristics can be collected in the field and will be based on observations of such things as</w:t>
      </w:r>
      <w:r w:rsidR="00AD4497">
        <w:rPr>
          <w:lang w:val="en-AU"/>
        </w:rPr>
        <w:t>:</w:t>
      </w:r>
      <w:r w:rsidR="00AD4497" w:rsidRPr="000C564C">
        <w:rPr>
          <w:lang w:val="en-AU"/>
        </w:rPr>
        <w:t xml:space="preserve"> </w:t>
      </w:r>
    </w:p>
    <w:p w14:paraId="7DAA01E9" w14:textId="77777777" w:rsidR="000C564C" w:rsidRPr="001E696A" w:rsidRDefault="000C564C" w:rsidP="0069713F">
      <w:pPr>
        <w:pStyle w:val="Bullet2"/>
        <w:rPr>
          <w:lang w:val="en-AU"/>
        </w:rPr>
      </w:pPr>
      <w:r w:rsidRPr="006A0D1B">
        <w:rPr>
          <w:lang w:val="en-AU"/>
        </w:rPr>
        <w:t>odour</w:t>
      </w:r>
    </w:p>
    <w:p w14:paraId="7DAA01EA" w14:textId="77777777" w:rsidR="000C564C" w:rsidRPr="001E696A" w:rsidRDefault="000C564C" w:rsidP="0069713F">
      <w:pPr>
        <w:pStyle w:val="Bullet2"/>
        <w:rPr>
          <w:lang w:val="en-AU"/>
        </w:rPr>
      </w:pPr>
      <w:r w:rsidRPr="001E696A">
        <w:rPr>
          <w:lang w:val="en-AU"/>
        </w:rPr>
        <w:t>water colour</w:t>
      </w:r>
    </w:p>
    <w:p w14:paraId="7DAA01EB" w14:textId="5867F467" w:rsidR="000C564C" w:rsidRPr="00333B5A" w:rsidRDefault="000C564C" w:rsidP="0069713F">
      <w:pPr>
        <w:pStyle w:val="Bullet2"/>
        <w:rPr>
          <w:lang w:val="en-AU"/>
        </w:rPr>
      </w:pPr>
      <w:r w:rsidRPr="001E696A">
        <w:rPr>
          <w:lang w:val="en-AU"/>
        </w:rPr>
        <w:t>effervescence</w:t>
      </w:r>
      <w:r w:rsidR="00AD4497" w:rsidRPr="007C1677">
        <w:rPr>
          <w:lang w:val="en-AU"/>
        </w:rPr>
        <w:t>.</w:t>
      </w:r>
      <w:r w:rsidRPr="00333B5A">
        <w:rPr>
          <w:lang w:val="en-AU"/>
        </w:rPr>
        <w:t xml:space="preserve"> </w:t>
      </w:r>
    </w:p>
    <w:p w14:paraId="59129098" w14:textId="77777777" w:rsidR="002F4A45" w:rsidRDefault="002F4A45">
      <w:pPr>
        <w:rPr>
          <w:rFonts w:cs="Arial"/>
          <w:b/>
          <w:bCs/>
          <w:sz w:val="26"/>
          <w:szCs w:val="26"/>
          <w:lang w:val="en-AU"/>
        </w:rPr>
      </w:pPr>
      <w:r>
        <w:rPr>
          <w:lang w:val="en-AU"/>
        </w:rPr>
        <w:br w:type="page"/>
      </w:r>
    </w:p>
    <w:p w14:paraId="7DAA01EC" w14:textId="1E4F08D5" w:rsidR="000C564C" w:rsidRPr="000C564C" w:rsidRDefault="000C564C" w:rsidP="002F4A45">
      <w:pPr>
        <w:pStyle w:val="Head3xxx"/>
        <w:ind w:left="851"/>
        <w:rPr>
          <w:lang w:val="en-AU"/>
        </w:rPr>
      </w:pPr>
      <w:r w:rsidRPr="000C564C">
        <w:rPr>
          <w:lang w:val="en-AU"/>
        </w:rPr>
        <w:t>Isotopes</w:t>
      </w:r>
    </w:p>
    <w:p w14:paraId="7DAA01ED" w14:textId="1A0A0E2C" w:rsidR="000C564C" w:rsidRPr="000C564C" w:rsidRDefault="000C564C" w:rsidP="00B06114">
      <w:pPr>
        <w:rPr>
          <w:lang w:val="en-AU"/>
        </w:rPr>
      </w:pPr>
      <w:r w:rsidRPr="000C564C">
        <w:rPr>
          <w:lang w:val="en-AU"/>
        </w:rPr>
        <w:t xml:space="preserve">Incorporation of isotope chemistry into </w:t>
      </w:r>
      <w:r w:rsidR="00206FC6" w:rsidRPr="000C564C">
        <w:rPr>
          <w:lang w:val="en-AU"/>
        </w:rPr>
        <w:t>the suite</w:t>
      </w:r>
      <w:r w:rsidRPr="000C564C">
        <w:rPr>
          <w:lang w:val="en-AU"/>
        </w:rPr>
        <w:t xml:space="preserve"> would be useful, however not vital to aquifer characterisation. Stable isotopes of </w:t>
      </w:r>
      <w:r w:rsidR="006F7FED">
        <w:rPr>
          <w:lang w:val="en-AU"/>
        </w:rPr>
        <w:t>o</w:t>
      </w:r>
      <w:r w:rsidRPr="000C564C">
        <w:rPr>
          <w:lang w:val="en-AU"/>
        </w:rPr>
        <w:t xml:space="preserve">xygen and </w:t>
      </w:r>
      <w:r w:rsidR="006F7FED">
        <w:rPr>
          <w:lang w:val="en-AU"/>
        </w:rPr>
        <w:t>h</w:t>
      </w:r>
      <w:r w:rsidRPr="000C564C">
        <w:rPr>
          <w:lang w:val="en-AU"/>
        </w:rPr>
        <w:t xml:space="preserve">ydrogen and </w:t>
      </w:r>
      <w:r w:rsidR="006F7FED">
        <w:rPr>
          <w:lang w:val="en-AU"/>
        </w:rPr>
        <w:t>s</w:t>
      </w:r>
      <w:r w:rsidRPr="000C564C">
        <w:rPr>
          <w:lang w:val="en-AU"/>
        </w:rPr>
        <w:t xml:space="preserve">trontium in groundwater are routinely used to characterise groundwater and to investigate mixing between aquifers. </w:t>
      </w:r>
    </w:p>
    <w:p w14:paraId="7DAA01EE" w14:textId="77777777" w:rsidR="000C564C" w:rsidRPr="000C564C" w:rsidRDefault="000C564C" w:rsidP="00B06114">
      <w:pPr>
        <w:rPr>
          <w:lang w:val="en-AU"/>
        </w:rPr>
      </w:pPr>
      <w:r w:rsidRPr="000C564C">
        <w:rPr>
          <w:lang w:val="en-AU"/>
        </w:rPr>
        <w:t>DSDBI (2013) recommended the inclusion of groundwater isotope analysis to investigate groundwater age and therefore flow paths. This would suggest inclusion of eithe</w:t>
      </w:r>
      <w:r w:rsidR="00734F99">
        <w:rPr>
          <w:lang w:val="en-AU"/>
        </w:rPr>
        <w:t xml:space="preserve">r Chlorine or Carbon isotopes. </w:t>
      </w:r>
    </w:p>
    <w:p w14:paraId="7DAA01EF" w14:textId="0AF39AEC" w:rsidR="000C564C" w:rsidRPr="000C564C" w:rsidRDefault="00F73033" w:rsidP="002F4A45">
      <w:pPr>
        <w:pStyle w:val="Head3xxx"/>
        <w:ind w:left="851"/>
        <w:rPr>
          <w:lang w:val="en-AU"/>
        </w:rPr>
      </w:pPr>
      <w:r>
        <w:rPr>
          <w:lang w:val="en-AU"/>
        </w:rPr>
        <w:t>Naturally occurring h</w:t>
      </w:r>
      <w:r w:rsidR="000C564C" w:rsidRPr="000C564C">
        <w:rPr>
          <w:lang w:val="en-AU"/>
        </w:rPr>
        <w:t xml:space="preserve">ydrocarbons </w:t>
      </w:r>
    </w:p>
    <w:p w14:paraId="7DAA01F0" w14:textId="77777777" w:rsidR="000C564C" w:rsidRPr="000C564C" w:rsidRDefault="000C564C" w:rsidP="000C564C">
      <w:pPr>
        <w:rPr>
          <w:lang w:val="en-AU"/>
        </w:rPr>
      </w:pPr>
      <w:r w:rsidRPr="000C564C">
        <w:rPr>
          <w:lang w:val="en-AU"/>
        </w:rPr>
        <w:t>Organic chemistry in this study focuses on the organic geochemical properties of coal with particular focus on hydrocarbon associated chemicals such as:</w:t>
      </w:r>
    </w:p>
    <w:p w14:paraId="7DAA01F1" w14:textId="492191C2" w:rsidR="000C564C" w:rsidRPr="004D7D8E" w:rsidRDefault="00AD4497" w:rsidP="004D7D8E">
      <w:pPr>
        <w:pStyle w:val="Bullet1"/>
        <w:numPr>
          <w:ilvl w:val="0"/>
          <w:numId w:val="2"/>
        </w:numPr>
        <w:tabs>
          <w:tab w:val="clear" w:pos="1260"/>
          <w:tab w:val="num" w:pos="426"/>
          <w:tab w:val="num" w:pos="851"/>
        </w:tabs>
        <w:ind w:left="426" w:hanging="426"/>
      </w:pPr>
      <w:r>
        <w:t>h</w:t>
      </w:r>
      <w:r w:rsidRPr="004D7D8E">
        <w:t xml:space="preserve">ydrocarbon </w:t>
      </w:r>
      <w:r w:rsidR="000C564C" w:rsidRPr="004D7D8E">
        <w:t xml:space="preserve">gases (natural gas) </w:t>
      </w:r>
    </w:p>
    <w:p w14:paraId="7DAA01F2" w14:textId="27E1A070" w:rsidR="000C564C" w:rsidRPr="004D7D8E" w:rsidRDefault="00AD4497" w:rsidP="0069713F">
      <w:pPr>
        <w:pStyle w:val="B110after"/>
      </w:pPr>
      <w:r>
        <w:t>h</w:t>
      </w:r>
      <w:r w:rsidRPr="004D7D8E">
        <w:t xml:space="preserve">ydrocarbon </w:t>
      </w:r>
      <w:r w:rsidR="000C564C" w:rsidRPr="004D7D8E">
        <w:t>liquids (petroleum hydrocarbons).</w:t>
      </w:r>
    </w:p>
    <w:p w14:paraId="7DAA01F3" w14:textId="77777777" w:rsidR="000C564C" w:rsidRPr="000C564C" w:rsidRDefault="000C564C" w:rsidP="000C564C">
      <w:pPr>
        <w:rPr>
          <w:lang w:val="en-AU"/>
        </w:rPr>
      </w:pPr>
      <w:r w:rsidRPr="000C564C">
        <w:rPr>
          <w:lang w:val="en-AU"/>
        </w:rPr>
        <w:t xml:space="preserve">Hydrocarbon gases include Methane (C1), Ethane (C2), Propane (C3) and Butane (C4). Measurement of the four gases means that gas component ratios can be used to help establish the role that hydrocarbon-oxidizing bacteria play in altering the original source gas composition. This ratio (referred to as the Bernard Parameter) can be used to indicate a likely thermogenic hydrocarbon source for any gas fields. </w:t>
      </w:r>
    </w:p>
    <w:p w14:paraId="1F267BF5" w14:textId="226E17AF" w:rsidR="008100FC" w:rsidRDefault="008100FC" w:rsidP="000C564C">
      <w:pPr>
        <w:rPr>
          <w:lang w:val="en-AU"/>
        </w:rPr>
      </w:pPr>
      <w:r w:rsidRPr="00345CDF">
        <w:t xml:space="preserve">Methane occurs naturally in the atmosphere and is commonly found at trace levels as a dissolved component of groundwater. It can also be released by </w:t>
      </w:r>
      <w:r>
        <w:t>anthropogenic activities including agriculture, landfills</w:t>
      </w:r>
      <w:r w:rsidRPr="00345CDF">
        <w:t>. There is no author</w:t>
      </w:r>
      <w:r>
        <w:t>i</w:t>
      </w:r>
      <w:r w:rsidRPr="00345CDF">
        <w:t>t</w:t>
      </w:r>
      <w:r>
        <w:t>at</w:t>
      </w:r>
      <w:r w:rsidRPr="00345CDF">
        <w:t>ive guidance for methane concentrations in groundwater, given it is practically non-toxic. A 2012 National Methane Baseline Study was undertaken by the British Geological Survey (BGS) and was defined as the ‘current background range of methane concentrations in UK groundwater before any significant exploitation of unconventional hydrocarbons, such as shale gas, takes place’. This study found maximum Methane concentrations of 14.2</w:t>
      </w:r>
      <w:r>
        <w:t> </w:t>
      </w:r>
      <w:r w:rsidRPr="00345CDF">
        <w:t>mg/L and 132</w:t>
      </w:r>
      <w:r>
        <w:t> </w:t>
      </w:r>
      <w:r w:rsidRPr="00345CDF">
        <w:t>mg/L in the two study regions. Analysis of methane concentration from nearly 4,000 samples indicated a median Methane concentration of &lt;0.5</w:t>
      </w:r>
      <w:r>
        <w:t> </w:t>
      </w:r>
      <w:r w:rsidRPr="00345CDF">
        <w:t>mg/L. The study analysed only potable water and observation bores within Cretaceous, Jurassic and Triassic carbonates and sandstones.</w:t>
      </w:r>
    </w:p>
    <w:p w14:paraId="7DAA01F4" w14:textId="49575444" w:rsidR="000C564C" w:rsidRPr="000C564C" w:rsidRDefault="000C564C" w:rsidP="000C564C">
      <w:pPr>
        <w:rPr>
          <w:lang w:val="en-AU"/>
        </w:rPr>
      </w:pPr>
      <w:r w:rsidRPr="000C564C">
        <w:rPr>
          <w:lang w:val="en-AU"/>
        </w:rPr>
        <w:t xml:space="preserve">The protocols for baseline groundwater sampling reported for both British Columbia and the state of Colorado indicate that if dissolved methane levels exceed 2 mg/L, gas composition analysis and stable isotope analysis of the methane (i.e. carbon and deuterium) should be performed to </w:t>
      </w:r>
      <w:r w:rsidR="008100FC">
        <w:rPr>
          <w:lang w:val="en-AU"/>
        </w:rPr>
        <w:t>assess the potential origins of the gas</w:t>
      </w:r>
      <w:r w:rsidRPr="000C564C">
        <w:rPr>
          <w:lang w:val="en-AU"/>
        </w:rPr>
        <w:t>. Stable carbon and deuterium isotopes of methane provide an independent means to determine the origin of gases and are conventionally used to differentiate between biogenic and thermogenic methane sources. Both chromatographic composition and isotope ratios are used to differentiate naturally occurring gas sources.</w:t>
      </w:r>
    </w:p>
    <w:p w14:paraId="7DAA01F5" w14:textId="290DE6D9" w:rsidR="000D482F" w:rsidRDefault="000C564C" w:rsidP="000D482F">
      <w:pPr>
        <w:rPr>
          <w:lang w:val="en-AU"/>
        </w:rPr>
      </w:pPr>
      <w:r w:rsidRPr="000C564C">
        <w:rPr>
          <w:lang w:val="en-AU"/>
        </w:rPr>
        <w:t xml:space="preserve">It is noted that DSDBI (2013) found methane in a number of sampled groundwater bores, yet the origin of this gas was unknown and was noted to require further investigation. For this reason it is proposed that measurement of all four gases </w:t>
      </w:r>
      <w:r w:rsidR="00AD4497">
        <w:rPr>
          <w:lang w:val="en-AU"/>
        </w:rPr>
        <w:t>(</w:t>
      </w:r>
      <w:r w:rsidRPr="000C564C">
        <w:rPr>
          <w:lang w:val="en-AU"/>
        </w:rPr>
        <w:t>C1-C4</w:t>
      </w:r>
      <w:r w:rsidR="00AD4497">
        <w:rPr>
          <w:lang w:val="en-AU"/>
        </w:rPr>
        <w:t>)</w:t>
      </w:r>
      <w:r w:rsidRPr="000C564C">
        <w:rPr>
          <w:lang w:val="en-AU"/>
        </w:rPr>
        <w:t xml:space="preserve"> is undertaken and consideration for stable isotopes be given to later rounds of sampling where elevated metha</w:t>
      </w:r>
      <w:r w:rsidR="000D482F">
        <w:rPr>
          <w:lang w:val="en-AU"/>
        </w:rPr>
        <w:t>ne concentrations are observed.</w:t>
      </w:r>
    </w:p>
    <w:p w14:paraId="7DAA01F6" w14:textId="77777777" w:rsidR="000C564C" w:rsidRPr="000D482F" w:rsidRDefault="000C564C" w:rsidP="000C564C">
      <w:pPr>
        <w:rPr>
          <w:lang w:val="en-AU"/>
        </w:rPr>
      </w:pPr>
      <w:r w:rsidRPr="000D482F">
        <w:rPr>
          <w:lang w:val="en-AU"/>
        </w:rPr>
        <w:t>Sampling for petroleum hydrocarbons typically includes samples for:</w:t>
      </w:r>
    </w:p>
    <w:p w14:paraId="7DAA01F7"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 xml:space="preserve">aromatic hydrocarbons benzene, ethylbenzene, </w:t>
      </w:r>
      <w:r w:rsidR="00BA623C" w:rsidRPr="00D5530F">
        <w:t>toluene</w:t>
      </w:r>
      <w:r w:rsidRPr="00D5530F">
        <w:t xml:space="preserve"> and xylene (BTEX) </w:t>
      </w:r>
    </w:p>
    <w:p w14:paraId="7DAA01F8" w14:textId="15D49DD1" w:rsidR="000C564C" w:rsidRPr="00D5530F" w:rsidRDefault="00204888" w:rsidP="00D5530F">
      <w:pPr>
        <w:pStyle w:val="Bullet1"/>
        <w:numPr>
          <w:ilvl w:val="0"/>
          <w:numId w:val="2"/>
        </w:numPr>
        <w:tabs>
          <w:tab w:val="clear" w:pos="1260"/>
          <w:tab w:val="num" w:pos="426"/>
          <w:tab w:val="num" w:pos="851"/>
        </w:tabs>
        <w:ind w:left="426" w:hanging="426"/>
      </w:pPr>
      <w:r>
        <w:t>t</w:t>
      </w:r>
      <w:r w:rsidR="000C564C" w:rsidRPr="00D5530F">
        <w:t>otal petroleum hydrocarbons (TPH)</w:t>
      </w:r>
    </w:p>
    <w:p w14:paraId="7DAA01F9"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 xml:space="preserve">polynuclear aromatic hydrocarbons (PAH). </w:t>
      </w:r>
    </w:p>
    <w:p w14:paraId="432F8250" w14:textId="2F26FF7C" w:rsidR="00E927B0" w:rsidRDefault="00E927B0" w:rsidP="000C564C">
      <w:pPr>
        <w:rPr>
          <w:lang w:val="en-AU"/>
        </w:rPr>
      </w:pPr>
      <w:r w:rsidRPr="00E927B0">
        <w:rPr>
          <w:lang w:val="en-AU"/>
        </w:rPr>
        <w:t>A National Methane Baseline Study was undertaken by the British Geological Survey (BGS, 2012) and was defined as the ‘current background range of methane concentrations in UK groundwater before any significant exploitation of unconventional hydrocarbons, such as shale gas, takes place’. This study found maximum methane concentrations of 14.2 mg/L and 132 mg/L in the two study regions. Analysis of methane concentration from nearly 4,000 samples indicated a median methane concentration of &lt;0.5 mg/L. The study analysed only potable water and observation bores within Cretaceous, Jurassic and Triassic carbonates and sandstones.</w:t>
      </w:r>
    </w:p>
    <w:p w14:paraId="7DAA01FA" w14:textId="22C11524" w:rsidR="000C564C" w:rsidRPr="000D482F" w:rsidRDefault="000C564C" w:rsidP="000C564C">
      <w:pPr>
        <w:rPr>
          <w:lang w:val="en-AU"/>
        </w:rPr>
      </w:pPr>
      <w:r w:rsidRPr="000D482F">
        <w:rPr>
          <w:lang w:val="en-AU"/>
        </w:rPr>
        <w:t xml:space="preserve">BTEX compounds are naturally found in crude oil, coal and gas deposits. Leusch and Bartkow (2011) concluded that BTEX compounds may therefore be naturally present at low concentrations in groundwater associated with these deposits. </w:t>
      </w:r>
    </w:p>
    <w:p w14:paraId="7DAA01FB" w14:textId="5FA043D0" w:rsidR="000C564C" w:rsidRPr="000D482F" w:rsidRDefault="000C564C" w:rsidP="000C564C">
      <w:pPr>
        <w:rPr>
          <w:lang w:val="en-AU"/>
        </w:rPr>
      </w:pPr>
      <w:r w:rsidRPr="000D482F">
        <w:rPr>
          <w:lang w:val="en-AU"/>
        </w:rPr>
        <w:t>Total petroleum hydrocarbons (TPH) are defined as carbon chains in the range of C6 through</w:t>
      </w:r>
      <w:r w:rsidR="00204888">
        <w:rPr>
          <w:lang w:val="en-AU"/>
        </w:rPr>
        <w:t xml:space="preserve"> to</w:t>
      </w:r>
      <w:r w:rsidRPr="000D482F">
        <w:rPr>
          <w:lang w:val="en-AU"/>
        </w:rPr>
        <w:t xml:space="preserve"> C35. Products containing TPH include a wide variety of mixtures that may contain hundreds to thousands of hydrocarbon compounds including aliphatic (straight carbon chain) and aromatic (carbon ring) compounds. Evaluating hundreds to thousands of compounds is not usually practical. Evaluations for overall TPH are common and </w:t>
      </w:r>
      <w:r w:rsidR="008100FC">
        <w:t xml:space="preserve">is </w:t>
      </w:r>
      <w:r w:rsidR="008100FC" w:rsidRPr="00345CDF">
        <w:t>generally accepted</w:t>
      </w:r>
      <w:r w:rsidR="008100FC">
        <w:t xml:space="preserve"> practice</w:t>
      </w:r>
      <w:r w:rsidRPr="000D482F">
        <w:rPr>
          <w:lang w:val="en-AU"/>
        </w:rPr>
        <w:t xml:space="preserve">. </w:t>
      </w:r>
    </w:p>
    <w:p w14:paraId="7DAA01FC" w14:textId="593B15C9" w:rsidR="000C564C" w:rsidRPr="000D482F" w:rsidRDefault="000C564C" w:rsidP="000C564C">
      <w:pPr>
        <w:rPr>
          <w:lang w:val="en-AU"/>
        </w:rPr>
      </w:pPr>
      <w:r w:rsidRPr="000D482F">
        <w:rPr>
          <w:lang w:val="en-AU"/>
        </w:rPr>
        <w:t xml:space="preserve">Sampling for BTEX and TPH is recommended as part of this suite given that national and international protocols for baseline groundwater sampling all include TPH and BTEX and BTEX compounds are used in </w:t>
      </w:r>
      <w:r w:rsidR="008100FC">
        <w:rPr>
          <w:lang w:val="en-AU"/>
        </w:rPr>
        <w:t>hydraulic fracturing</w:t>
      </w:r>
      <w:r w:rsidRPr="000D482F">
        <w:rPr>
          <w:lang w:val="en-AU"/>
        </w:rPr>
        <w:t xml:space="preserve"> activities. </w:t>
      </w:r>
    </w:p>
    <w:p w14:paraId="7DAA01FD" w14:textId="77EF0792" w:rsidR="000C564C" w:rsidRPr="000C564C" w:rsidRDefault="000C564C" w:rsidP="000C564C">
      <w:pPr>
        <w:rPr>
          <w:lang w:val="en-AU"/>
        </w:rPr>
      </w:pPr>
      <w:r w:rsidRPr="000D482F">
        <w:rPr>
          <w:lang w:val="en-AU"/>
        </w:rPr>
        <w:t xml:space="preserve">PAHs are produced in coal and the presence of PAHs in groundwater is due to the leaching of coals. Orem </w:t>
      </w:r>
      <w:r w:rsidRPr="00BA6593">
        <w:rPr>
          <w:i/>
          <w:lang w:val="en-AU"/>
        </w:rPr>
        <w:t>et al</w:t>
      </w:r>
      <w:r w:rsidRPr="000D482F">
        <w:rPr>
          <w:lang w:val="en-AU"/>
        </w:rPr>
        <w:t xml:space="preserve">. (2007) tested produced waters from </w:t>
      </w:r>
      <w:r w:rsidR="006742B6">
        <w:rPr>
          <w:lang w:val="en-AU"/>
        </w:rPr>
        <w:t>coal seam gas</w:t>
      </w:r>
      <w:r w:rsidRPr="000D482F">
        <w:rPr>
          <w:lang w:val="en-AU"/>
        </w:rPr>
        <w:t xml:space="preserve"> wells in the Powder</w:t>
      </w:r>
      <w:r w:rsidRPr="000C564C">
        <w:rPr>
          <w:lang w:val="en-AU"/>
        </w:rPr>
        <w:t xml:space="preserve"> River Basin, Wyoming</w:t>
      </w:r>
      <w:r w:rsidR="00204888">
        <w:rPr>
          <w:lang w:val="en-AU"/>
        </w:rPr>
        <w:t>,</w:t>
      </w:r>
      <w:r w:rsidRPr="000C564C">
        <w:rPr>
          <w:lang w:val="en-AU"/>
        </w:rPr>
        <w:t xml:space="preserve"> and concluded </w:t>
      </w:r>
      <w:r w:rsidR="00204888">
        <w:rPr>
          <w:lang w:val="en-AU"/>
        </w:rPr>
        <w:t xml:space="preserve">that </w:t>
      </w:r>
      <w:r w:rsidRPr="000C564C">
        <w:rPr>
          <w:lang w:val="en-AU"/>
        </w:rPr>
        <w:t xml:space="preserve">the probable source of the PAHs was leaching from sub-bituminous coals, based on the similarities between the spectrum of PAHs present in the produced water and those found in the coal. </w:t>
      </w:r>
    </w:p>
    <w:p w14:paraId="7DAA01FE" w14:textId="2256603A" w:rsidR="000C564C" w:rsidRDefault="000C564C" w:rsidP="000C564C">
      <w:pPr>
        <w:rPr>
          <w:lang w:val="en-AU"/>
        </w:rPr>
      </w:pPr>
      <w:r w:rsidRPr="000C564C">
        <w:rPr>
          <w:lang w:val="en-AU"/>
        </w:rPr>
        <w:t xml:space="preserve">The international baseline sampling protocols reviewed did not include PAHs (i.e. the Colorado oil and gas conservation commission statewide groundwater baseline sampling and monitoring rules (2014), the Alberta Environment standard for baseline water well testing (2006) or the protocols developed for British Columbia (Chaytor &amp; Shaw, 2008)). The groundwater monitoring program adopted in Queensland by QGC </w:t>
      </w:r>
      <w:r w:rsidR="00734F99" w:rsidRPr="000C564C">
        <w:rPr>
          <w:lang w:val="en-AU"/>
        </w:rPr>
        <w:t>however</w:t>
      </w:r>
      <w:r w:rsidRPr="000C564C">
        <w:rPr>
          <w:lang w:val="en-AU"/>
        </w:rPr>
        <w:t xml:space="preserve"> did include PAHs. </w:t>
      </w:r>
    </w:p>
    <w:p w14:paraId="7DAA01FF" w14:textId="77777777" w:rsidR="000C564C" w:rsidRPr="000C564C" w:rsidRDefault="000C564C" w:rsidP="000C564C">
      <w:pPr>
        <w:rPr>
          <w:lang w:val="en-AU"/>
        </w:rPr>
      </w:pPr>
      <w:r w:rsidRPr="000C564C">
        <w:rPr>
          <w:lang w:val="en-AU"/>
        </w:rPr>
        <w:t xml:space="preserve">The sampling of PAHs has not been included in the recommended sampling suite. </w:t>
      </w:r>
    </w:p>
    <w:p w14:paraId="7DAA0200" w14:textId="55C1E7BB" w:rsidR="000C564C" w:rsidRPr="000C564C" w:rsidRDefault="000C564C" w:rsidP="00994879">
      <w:pPr>
        <w:pStyle w:val="Head2xx"/>
      </w:pPr>
      <w:bookmarkStart w:id="54" w:name="_Toc420327719"/>
      <w:r w:rsidRPr="000C564C">
        <w:t xml:space="preserve">Summary of </w:t>
      </w:r>
      <w:r w:rsidR="009028B4" w:rsidRPr="000C564C">
        <w:t>literature review</w:t>
      </w:r>
      <w:bookmarkEnd w:id="54"/>
    </w:p>
    <w:p w14:paraId="7DAA0201" w14:textId="18B70616" w:rsidR="000C564C" w:rsidRPr="00F673E7" w:rsidRDefault="000C564C" w:rsidP="002F4A45">
      <w:pPr>
        <w:pStyle w:val="Head3xxx"/>
        <w:numPr>
          <w:ilvl w:val="2"/>
          <w:numId w:val="53"/>
        </w:numPr>
        <w:ind w:left="851"/>
        <w:rPr>
          <w:lang w:val="en-AU"/>
        </w:rPr>
      </w:pPr>
      <w:r w:rsidRPr="00F673E7">
        <w:rPr>
          <w:lang w:val="en-AU"/>
        </w:rPr>
        <w:t xml:space="preserve">Groundwater sample locations informed by </w:t>
      </w:r>
      <w:r w:rsidR="00C0769F">
        <w:rPr>
          <w:lang w:val="en-AU"/>
        </w:rPr>
        <w:t>h</w:t>
      </w:r>
      <w:r w:rsidR="00C0769F" w:rsidRPr="00F673E7">
        <w:rPr>
          <w:lang w:val="en-AU"/>
        </w:rPr>
        <w:t xml:space="preserve">ydrocarbon </w:t>
      </w:r>
      <w:r w:rsidRPr="00F673E7">
        <w:rPr>
          <w:lang w:val="en-AU"/>
        </w:rPr>
        <w:t>occurrence</w:t>
      </w:r>
    </w:p>
    <w:p w14:paraId="7DAA0202" w14:textId="77777777" w:rsidR="000C564C" w:rsidRPr="000C564C" w:rsidRDefault="000C564C" w:rsidP="000C564C">
      <w:pPr>
        <w:rPr>
          <w:lang w:val="en-AU"/>
        </w:rPr>
      </w:pPr>
      <w:r w:rsidRPr="000C564C">
        <w:rPr>
          <w:lang w:val="en-AU"/>
        </w:rPr>
        <w:t xml:space="preserve">The monitoring program should target observation bores in the following locations where hydrocarbons have been observed: </w:t>
      </w:r>
    </w:p>
    <w:p w14:paraId="7DAA0203" w14:textId="40714572" w:rsidR="000C564C" w:rsidRPr="00D5530F" w:rsidRDefault="000C564C" w:rsidP="00D5530F">
      <w:pPr>
        <w:pStyle w:val="Bullet1"/>
        <w:numPr>
          <w:ilvl w:val="0"/>
          <w:numId w:val="2"/>
        </w:numPr>
        <w:tabs>
          <w:tab w:val="clear" w:pos="1260"/>
          <w:tab w:val="num" w:pos="426"/>
          <w:tab w:val="num" w:pos="851"/>
        </w:tabs>
        <w:ind w:left="426" w:hanging="426"/>
      </w:pPr>
      <w:r w:rsidRPr="00D5530F">
        <w:t>Cretaceous aged sediments of the Sherbrook Group in the Port Campbell Embayment</w:t>
      </w:r>
    </w:p>
    <w:p w14:paraId="7DAA0204" w14:textId="19CF351C" w:rsidR="000C564C" w:rsidRPr="00D5530F" w:rsidRDefault="000C564C" w:rsidP="00D5530F">
      <w:pPr>
        <w:pStyle w:val="Bullet1"/>
        <w:numPr>
          <w:ilvl w:val="0"/>
          <w:numId w:val="2"/>
        </w:numPr>
        <w:tabs>
          <w:tab w:val="clear" w:pos="1260"/>
          <w:tab w:val="num" w:pos="426"/>
          <w:tab w:val="num" w:pos="851"/>
        </w:tabs>
        <w:ind w:left="426" w:hanging="426"/>
      </w:pPr>
      <w:r w:rsidRPr="00D5530F">
        <w:t>Lower Tertiary aged Wangerrip Group in the Port Campbell Embayment with particular hot spots in the Port Campbell area and the Barwon Downs region west of Geelong</w:t>
      </w:r>
    </w:p>
    <w:p w14:paraId="7DAA0205" w14:textId="77777777" w:rsidR="000C564C" w:rsidRPr="00D5530F" w:rsidRDefault="000C564C" w:rsidP="0069713F">
      <w:pPr>
        <w:pStyle w:val="B110after"/>
      </w:pPr>
      <w:r w:rsidRPr="00D5530F">
        <w:t>Cretaceous aged sediments of the Sherbrook Group and the Lower Tertiary aged sediments of the Wangerrip Group in the Portland Trough.</w:t>
      </w:r>
    </w:p>
    <w:p w14:paraId="7DAA0206" w14:textId="3D351FD4" w:rsidR="000C564C" w:rsidRPr="000C564C" w:rsidRDefault="000C564C" w:rsidP="000C564C">
      <w:pPr>
        <w:rPr>
          <w:lang w:val="en-AU"/>
        </w:rPr>
      </w:pPr>
      <w:r w:rsidRPr="000C564C">
        <w:rPr>
          <w:lang w:val="en-AU"/>
        </w:rPr>
        <w:t xml:space="preserve">In addition to these units and areas which are known to host hydrocarbon deposits, monitoring bores should target areas where the Narrawatruk and Gellibrand Marl is known to be thin </w:t>
      </w:r>
      <w:r w:rsidR="00204888">
        <w:rPr>
          <w:lang w:val="en-AU"/>
        </w:rPr>
        <w:t>as</w:t>
      </w:r>
      <w:r w:rsidR="00204888" w:rsidRPr="000C564C">
        <w:rPr>
          <w:lang w:val="en-AU"/>
        </w:rPr>
        <w:t xml:space="preserve"> </w:t>
      </w:r>
      <w:r w:rsidRPr="000C564C">
        <w:rPr>
          <w:lang w:val="en-AU"/>
        </w:rPr>
        <w:t xml:space="preserve">there could be an increased risk of vertical migration of hydrocarbons into overlying aquifers. </w:t>
      </w:r>
    </w:p>
    <w:p w14:paraId="7DAA0207" w14:textId="445CA830" w:rsidR="000C564C" w:rsidRPr="000C564C" w:rsidRDefault="000C564C" w:rsidP="000C564C">
      <w:pPr>
        <w:rPr>
          <w:lang w:val="en-AU"/>
        </w:rPr>
      </w:pPr>
      <w:r w:rsidRPr="000C564C">
        <w:rPr>
          <w:lang w:val="en-AU"/>
        </w:rPr>
        <w:t xml:space="preserve">These conclusions </w:t>
      </w:r>
      <w:r w:rsidR="004D7D8E">
        <w:rPr>
          <w:lang w:val="en-AU"/>
        </w:rPr>
        <w:t xml:space="preserve">were taken into account in the selection of bores for sampling </w:t>
      </w:r>
      <w:r w:rsidR="006F7FED">
        <w:rPr>
          <w:lang w:val="en-AU"/>
        </w:rPr>
        <w:t>(chapter</w:t>
      </w:r>
      <w:r w:rsidR="004D7D8E">
        <w:rPr>
          <w:lang w:val="en-AU"/>
        </w:rPr>
        <w:t xml:space="preserve"> 3).</w:t>
      </w:r>
    </w:p>
    <w:p w14:paraId="7DAA0208" w14:textId="595CFE8D" w:rsidR="000C564C" w:rsidRPr="000C564C" w:rsidRDefault="000C564C" w:rsidP="002F4A45">
      <w:pPr>
        <w:pStyle w:val="Head3xxx"/>
        <w:ind w:left="851"/>
        <w:rPr>
          <w:lang w:val="en-AU"/>
        </w:rPr>
      </w:pPr>
      <w:r w:rsidRPr="000C564C">
        <w:rPr>
          <w:lang w:val="en-AU"/>
        </w:rPr>
        <w:t xml:space="preserve">Summary of groundwater sampling parameters </w:t>
      </w:r>
    </w:p>
    <w:p w14:paraId="7DAA0209" w14:textId="77777777" w:rsidR="000C564C" w:rsidRPr="000C564C" w:rsidRDefault="000C564C" w:rsidP="000C564C">
      <w:pPr>
        <w:rPr>
          <w:lang w:val="en-AU"/>
        </w:rPr>
      </w:pPr>
      <w:r w:rsidRPr="000C564C">
        <w:rPr>
          <w:lang w:val="en-AU"/>
        </w:rPr>
        <w:t xml:space="preserve">Based on the above literature review, in order to characterise the groundwater chemistry of chosen aquifers and to determine the natural occurrence of hydrocarbons in groundwater, groundwater samples should be analysed for the following parameters:  </w:t>
      </w:r>
    </w:p>
    <w:p w14:paraId="7DAA020A" w14:textId="666BA72E" w:rsidR="009B67B3" w:rsidRPr="00D5530F" w:rsidRDefault="00204888" w:rsidP="00D5530F">
      <w:pPr>
        <w:pStyle w:val="Bullet1"/>
        <w:numPr>
          <w:ilvl w:val="0"/>
          <w:numId w:val="2"/>
        </w:numPr>
        <w:tabs>
          <w:tab w:val="clear" w:pos="1260"/>
          <w:tab w:val="num" w:pos="426"/>
          <w:tab w:val="num" w:pos="851"/>
        </w:tabs>
        <w:ind w:left="426" w:hanging="426"/>
      </w:pPr>
      <w:r>
        <w:t>m</w:t>
      </w:r>
      <w:r w:rsidR="009B67B3" w:rsidRPr="00D5530F">
        <w:t xml:space="preserve">ajor ions: Calcium, Sodium, Magnesium, Potassium, Chloride, </w:t>
      </w:r>
      <w:r w:rsidR="00206FC6" w:rsidRPr="00D5530F">
        <w:t>Sulphate</w:t>
      </w:r>
      <w:r w:rsidR="009B67B3" w:rsidRPr="00D5530F">
        <w:t xml:space="preserve">, Fluoride, Total alkalinity, carbonate, bicarbonate, Total Nitrogen, Nitrate, Nitrite </w:t>
      </w:r>
    </w:p>
    <w:p w14:paraId="7DAA020B" w14:textId="57D917A5" w:rsidR="009B67B3" w:rsidRPr="00D5530F" w:rsidRDefault="00204888" w:rsidP="00D5530F">
      <w:pPr>
        <w:pStyle w:val="Bullet1"/>
        <w:numPr>
          <w:ilvl w:val="0"/>
          <w:numId w:val="2"/>
        </w:numPr>
        <w:tabs>
          <w:tab w:val="clear" w:pos="1260"/>
          <w:tab w:val="num" w:pos="426"/>
          <w:tab w:val="num" w:pos="851"/>
        </w:tabs>
        <w:ind w:left="426" w:hanging="426"/>
      </w:pPr>
      <w:r>
        <w:t>i</w:t>
      </w:r>
      <w:r w:rsidRPr="00D5530F">
        <w:t xml:space="preserve">norganic </w:t>
      </w:r>
      <w:r>
        <w:t>i</w:t>
      </w:r>
      <w:r w:rsidR="009B67B3" w:rsidRPr="00D5530F">
        <w:t>ndicators:  Hardness, Total Dissolved Solids (TDS) , Specific Conductance (or electrical conductivity uS/cm), Sodium Adsorption Ratio, pH</w:t>
      </w:r>
    </w:p>
    <w:p w14:paraId="7DAA020C" w14:textId="3E6CF332" w:rsidR="009B67B3" w:rsidRPr="00D5530F" w:rsidRDefault="00204888" w:rsidP="00D5530F">
      <w:pPr>
        <w:pStyle w:val="Bullet1"/>
        <w:numPr>
          <w:ilvl w:val="0"/>
          <w:numId w:val="2"/>
        </w:numPr>
        <w:tabs>
          <w:tab w:val="clear" w:pos="1260"/>
          <w:tab w:val="num" w:pos="426"/>
          <w:tab w:val="num" w:pos="851"/>
        </w:tabs>
        <w:ind w:left="426" w:hanging="426"/>
      </w:pPr>
      <w:r>
        <w:t>p</w:t>
      </w:r>
      <w:r w:rsidRPr="00D5530F">
        <w:t xml:space="preserve">hysical </w:t>
      </w:r>
      <w:r w:rsidR="009B67B3" w:rsidRPr="00D5530F">
        <w:t xml:space="preserve">water quality characteristics (identified in the field): odour,  water colour, effervescence </w:t>
      </w:r>
    </w:p>
    <w:p w14:paraId="7DAA020D" w14:textId="74BAAAB0" w:rsidR="009B67B3" w:rsidRPr="00D5530F" w:rsidRDefault="00204888" w:rsidP="00D5530F">
      <w:pPr>
        <w:pStyle w:val="Bullet1"/>
        <w:numPr>
          <w:ilvl w:val="0"/>
          <w:numId w:val="2"/>
        </w:numPr>
        <w:tabs>
          <w:tab w:val="clear" w:pos="1260"/>
          <w:tab w:val="num" w:pos="426"/>
          <w:tab w:val="num" w:pos="851"/>
        </w:tabs>
        <w:ind w:left="426" w:hanging="426"/>
      </w:pPr>
      <w:r>
        <w:t>h</w:t>
      </w:r>
      <w:r w:rsidRPr="00D5530F">
        <w:t>ydrocarbons</w:t>
      </w:r>
      <w:r w:rsidR="009B67B3" w:rsidRPr="00D5530F">
        <w:t xml:space="preserve">:  Methane (C1), Ethane (C2), Propane (C3), Butane (C4), Benzene, </w:t>
      </w:r>
      <w:r w:rsidR="00BA623C" w:rsidRPr="00D5530F">
        <w:t>Toluene</w:t>
      </w:r>
      <w:r w:rsidR="009B67B3" w:rsidRPr="00D5530F">
        <w:t>, Ethylbenzene, Xylene, Total Petroleum Hydrocarbons</w:t>
      </w:r>
      <w:r>
        <w:t>.</w:t>
      </w:r>
    </w:p>
    <w:p w14:paraId="7DAA020E" w14:textId="77777777" w:rsidR="000C564C" w:rsidRPr="000C564C" w:rsidRDefault="000C564C" w:rsidP="000C564C">
      <w:pPr>
        <w:rPr>
          <w:lang w:val="en-AU"/>
        </w:rPr>
      </w:pPr>
    </w:p>
    <w:p w14:paraId="7DAA020F" w14:textId="77777777" w:rsidR="00AC71DA" w:rsidRDefault="00AC71DA">
      <w:pPr>
        <w:rPr>
          <w:lang w:val="en-AU"/>
        </w:rPr>
      </w:pPr>
      <w:r>
        <w:rPr>
          <w:lang w:val="en-AU"/>
        </w:rPr>
        <w:br w:type="page"/>
      </w:r>
    </w:p>
    <w:p w14:paraId="7DAA0210" w14:textId="383326DC" w:rsidR="000C564C" w:rsidRPr="000C564C" w:rsidRDefault="000C564C" w:rsidP="00AC71DA">
      <w:pPr>
        <w:pStyle w:val="Head1x"/>
      </w:pPr>
      <w:bookmarkStart w:id="55" w:name="_Toc420327720"/>
      <w:r w:rsidRPr="000C564C">
        <w:t xml:space="preserve">Bore </w:t>
      </w:r>
      <w:r w:rsidR="009028B4">
        <w:t>s</w:t>
      </w:r>
      <w:r w:rsidR="009028B4" w:rsidRPr="000C564C">
        <w:t>election</w:t>
      </w:r>
      <w:bookmarkEnd w:id="55"/>
    </w:p>
    <w:p w14:paraId="7DAA0211" w14:textId="78CB11D5" w:rsidR="000C564C" w:rsidRPr="000C564C" w:rsidRDefault="000C564C" w:rsidP="000C564C">
      <w:pPr>
        <w:rPr>
          <w:lang w:val="en-AU"/>
        </w:rPr>
      </w:pPr>
      <w:r w:rsidRPr="000C564C">
        <w:rPr>
          <w:lang w:val="en-AU"/>
        </w:rPr>
        <w:t xml:space="preserve">The </w:t>
      </w:r>
      <w:r w:rsidR="00FE6EC9">
        <w:rPr>
          <w:lang w:val="en-AU"/>
        </w:rPr>
        <w:t>sampling</w:t>
      </w:r>
      <w:r w:rsidRPr="000C564C">
        <w:rPr>
          <w:lang w:val="en-AU"/>
        </w:rPr>
        <w:t xml:space="preserve"> program </w:t>
      </w:r>
      <w:r w:rsidR="00E4431E">
        <w:rPr>
          <w:lang w:val="en-AU"/>
        </w:rPr>
        <w:t>has</w:t>
      </w:r>
      <w:r w:rsidRPr="000C564C">
        <w:rPr>
          <w:lang w:val="en-AU"/>
        </w:rPr>
        <w:t xml:space="preserve"> the following objectives: </w:t>
      </w:r>
    </w:p>
    <w:p w14:paraId="237EE573" w14:textId="3F92613A" w:rsidR="00FE6EC9" w:rsidRDefault="00FE6EC9" w:rsidP="0069713F">
      <w:pPr>
        <w:pStyle w:val="NormalWeb"/>
        <w:numPr>
          <w:ilvl w:val="0"/>
          <w:numId w:val="2"/>
        </w:numPr>
        <w:tabs>
          <w:tab w:val="clear" w:pos="1260"/>
          <w:tab w:val="num" w:pos="426"/>
        </w:tabs>
        <w:spacing w:before="0" w:after="200"/>
        <w:ind w:left="426" w:hanging="426"/>
        <w:rPr>
          <w:rFonts w:ascii="Arial" w:hAnsi="Arial"/>
          <w:sz w:val="20"/>
          <w:szCs w:val="20"/>
          <w:lang w:val="en-GB"/>
        </w:rPr>
      </w:pPr>
      <w:r w:rsidRPr="00B12D8A">
        <w:rPr>
          <w:rFonts w:ascii="Arial" w:hAnsi="Arial"/>
          <w:sz w:val="20"/>
          <w:szCs w:val="20"/>
          <w:lang w:val="en-GB"/>
        </w:rPr>
        <w:t xml:space="preserve">to </w:t>
      </w:r>
      <w:r>
        <w:rPr>
          <w:rFonts w:ascii="Arial" w:hAnsi="Arial"/>
          <w:sz w:val="20"/>
          <w:szCs w:val="20"/>
          <w:lang w:val="en-GB"/>
        </w:rPr>
        <w:t>characterise the g</w:t>
      </w:r>
      <w:r w:rsidRPr="00B12D8A">
        <w:rPr>
          <w:rFonts w:ascii="Arial" w:hAnsi="Arial"/>
          <w:sz w:val="20"/>
          <w:szCs w:val="20"/>
          <w:lang w:val="en-GB"/>
        </w:rPr>
        <w:t>roundwater chemistry</w:t>
      </w:r>
      <w:r>
        <w:rPr>
          <w:rFonts w:ascii="Arial" w:hAnsi="Arial"/>
          <w:sz w:val="20"/>
          <w:szCs w:val="20"/>
          <w:lang w:val="en-GB"/>
        </w:rPr>
        <w:t>, particularly with presence or not or not of hydrocarbons, in prospective onshore natural gas areas</w:t>
      </w:r>
      <w:r w:rsidR="00C448D4">
        <w:rPr>
          <w:rFonts w:ascii="Arial" w:hAnsi="Arial"/>
          <w:sz w:val="20"/>
          <w:szCs w:val="20"/>
          <w:lang w:val="en-GB"/>
        </w:rPr>
        <w:t>, and</w:t>
      </w:r>
    </w:p>
    <w:p w14:paraId="1642CA17" w14:textId="06CE5B95" w:rsidR="00FE6EC9" w:rsidRPr="00B12D8A" w:rsidRDefault="00FE6EC9" w:rsidP="0069713F">
      <w:pPr>
        <w:pStyle w:val="NormalWeb"/>
        <w:numPr>
          <w:ilvl w:val="0"/>
          <w:numId w:val="2"/>
        </w:numPr>
        <w:tabs>
          <w:tab w:val="clear" w:pos="1260"/>
          <w:tab w:val="num" w:pos="426"/>
        </w:tabs>
        <w:spacing w:before="0" w:after="200"/>
        <w:ind w:left="426" w:hanging="426"/>
        <w:rPr>
          <w:rFonts w:ascii="Arial" w:hAnsi="Arial"/>
          <w:sz w:val="20"/>
          <w:szCs w:val="20"/>
          <w:lang w:val="en-GB"/>
        </w:rPr>
      </w:pPr>
      <w:r>
        <w:rPr>
          <w:rFonts w:ascii="Arial" w:hAnsi="Arial"/>
          <w:sz w:val="20"/>
          <w:szCs w:val="20"/>
          <w:lang w:val="en-GB"/>
        </w:rPr>
        <w:t>to provide an indication of baseline groundwater quality, in particular the concentration of hydrocarbons in groundwater.</w:t>
      </w:r>
    </w:p>
    <w:p w14:paraId="7DAA0214" w14:textId="073CA847" w:rsidR="000C564C" w:rsidRDefault="000C564C" w:rsidP="000C564C">
      <w:pPr>
        <w:rPr>
          <w:lang w:val="en-AU"/>
        </w:rPr>
      </w:pPr>
      <w:r w:rsidRPr="000C564C">
        <w:rPr>
          <w:lang w:val="en-AU"/>
        </w:rPr>
        <w:t xml:space="preserve">This project </w:t>
      </w:r>
      <w:r w:rsidR="00816E19">
        <w:rPr>
          <w:lang w:val="en-AU"/>
        </w:rPr>
        <w:t>utilised</w:t>
      </w:r>
      <w:r w:rsidRPr="000C564C">
        <w:rPr>
          <w:lang w:val="en-AU"/>
        </w:rPr>
        <w:t xml:space="preserve"> low flow techniques to sample a representative number of bores screened within aquifers known</w:t>
      </w:r>
      <w:r w:rsidR="00204888">
        <w:rPr>
          <w:lang w:val="en-AU"/>
        </w:rPr>
        <w:t xml:space="preserve"> to have,</w:t>
      </w:r>
      <w:r w:rsidRPr="000C564C">
        <w:rPr>
          <w:lang w:val="en-AU"/>
        </w:rPr>
        <w:t xml:space="preserve"> or suspected of having</w:t>
      </w:r>
      <w:r w:rsidR="00204888">
        <w:rPr>
          <w:lang w:val="en-AU"/>
        </w:rPr>
        <w:t>,</w:t>
      </w:r>
      <w:r w:rsidRPr="000C564C">
        <w:rPr>
          <w:lang w:val="en-AU"/>
        </w:rPr>
        <w:t xml:space="preserve"> hydrocarbon concentrations and/or within or near </w:t>
      </w:r>
      <w:r w:rsidR="00E87D28">
        <w:rPr>
          <w:lang w:val="en-AU"/>
        </w:rPr>
        <w:t>key</w:t>
      </w:r>
      <w:r w:rsidRPr="000C564C">
        <w:rPr>
          <w:lang w:val="en-AU"/>
        </w:rPr>
        <w:t xml:space="preserve"> groundwater or surface water assets.  </w:t>
      </w:r>
      <w:r w:rsidR="006A0D1B" w:rsidRPr="00345CDF">
        <w:t xml:space="preserve">Low flow sampling is a recognised technique for </w:t>
      </w:r>
      <w:r w:rsidR="006A0D1B" w:rsidRPr="002F7812">
        <w:t>sampling</w:t>
      </w:r>
      <w:r w:rsidR="006A0D1B">
        <w:t xml:space="preserve"> </w:t>
      </w:r>
      <w:r w:rsidR="006A0D1B" w:rsidRPr="002F7812">
        <w:t>small volumes</w:t>
      </w:r>
      <w:r w:rsidR="006A0D1B" w:rsidRPr="00345CDF">
        <w:t xml:space="preserve"> of groundwater </w:t>
      </w:r>
      <w:r w:rsidR="006A0D1B">
        <w:t>from</w:t>
      </w:r>
      <w:r w:rsidR="006A0D1B" w:rsidRPr="00345CDF">
        <w:t xml:space="preserve"> the bore</w:t>
      </w:r>
      <w:r w:rsidR="006A0D1B">
        <w:t xml:space="preserve"> (Geoscience Australia, 2009)</w:t>
      </w:r>
      <w:r w:rsidRPr="000C564C">
        <w:rPr>
          <w:lang w:val="en-AU"/>
        </w:rPr>
        <w:t xml:space="preserve">. The technique relies on knowledge </w:t>
      </w:r>
      <w:r w:rsidR="0069713F">
        <w:rPr>
          <w:lang w:val="en-AU"/>
        </w:rPr>
        <w:br/>
      </w:r>
      <w:r w:rsidRPr="000C564C">
        <w:rPr>
          <w:lang w:val="en-AU"/>
        </w:rPr>
        <w:t xml:space="preserve">of the bore construction especially the screen interval and also the diameter and condition of the bore.  Reliability of results also requires knowledge of which aquifer and interval the sample represents.  For this reason, this project </w:t>
      </w:r>
      <w:r w:rsidR="006F7FED">
        <w:rPr>
          <w:lang w:val="en-AU"/>
        </w:rPr>
        <w:t>chose</w:t>
      </w:r>
      <w:r w:rsidRPr="000C564C">
        <w:rPr>
          <w:lang w:val="en-AU"/>
        </w:rPr>
        <w:t xml:space="preserve"> </w:t>
      </w:r>
      <w:r w:rsidR="00445BFC" w:rsidRPr="006A0D1B">
        <w:rPr>
          <w:lang w:val="en-AU"/>
        </w:rPr>
        <w:t>s</w:t>
      </w:r>
      <w:r w:rsidRPr="006A0D1B">
        <w:rPr>
          <w:lang w:val="en-AU"/>
        </w:rPr>
        <w:t xml:space="preserve">tate </w:t>
      </w:r>
      <w:r w:rsidR="00445BFC" w:rsidRPr="001E696A">
        <w:rPr>
          <w:lang w:val="en-AU"/>
        </w:rPr>
        <w:t>o</w:t>
      </w:r>
      <w:r w:rsidRPr="001E696A">
        <w:rPr>
          <w:lang w:val="en-AU"/>
        </w:rPr>
        <w:t xml:space="preserve">bservation </w:t>
      </w:r>
      <w:r w:rsidR="00445BFC" w:rsidRPr="001E696A">
        <w:rPr>
          <w:lang w:val="en-AU"/>
        </w:rPr>
        <w:t>b</w:t>
      </w:r>
      <w:r w:rsidRPr="007C1677">
        <w:rPr>
          <w:lang w:val="en-AU"/>
        </w:rPr>
        <w:t>ores</w:t>
      </w:r>
      <w:r w:rsidR="006F7FED">
        <w:rPr>
          <w:lang w:val="en-AU"/>
        </w:rPr>
        <w:t xml:space="preserve"> (SOBs)</w:t>
      </w:r>
      <w:r w:rsidRPr="000C564C">
        <w:rPr>
          <w:lang w:val="en-AU"/>
        </w:rPr>
        <w:t xml:space="preserve"> for sampling due to the reliable data on bore construction and condition. The alternative of using private bores was discounted due to the variable </w:t>
      </w:r>
      <w:r w:rsidR="0069713F">
        <w:rPr>
          <w:lang w:val="en-AU"/>
        </w:rPr>
        <w:br/>
      </w:r>
      <w:r w:rsidRPr="000C564C">
        <w:rPr>
          <w:lang w:val="en-AU"/>
        </w:rPr>
        <w:t>nature of bore construction and casing condition data</w:t>
      </w:r>
      <w:r w:rsidR="00F14F4D">
        <w:rPr>
          <w:lang w:val="en-AU"/>
        </w:rPr>
        <w:t>.</w:t>
      </w:r>
      <w:r w:rsidRPr="000C564C">
        <w:rPr>
          <w:lang w:val="en-AU"/>
        </w:rPr>
        <w:t xml:space="preserve"> and the problems with already installed pumps and obtaining access.  </w:t>
      </w:r>
    </w:p>
    <w:p w14:paraId="468639B9" w14:textId="5B702C3E" w:rsidR="00617060" w:rsidRPr="00617060" w:rsidRDefault="00617060" w:rsidP="000C564C">
      <w:pPr>
        <w:pStyle w:val="Head2xx"/>
      </w:pPr>
      <w:bookmarkStart w:id="56" w:name="_Toc414012178"/>
      <w:bookmarkStart w:id="57" w:name="_Toc414629209"/>
      <w:bookmarkStart w:id="58" w:name="_Toc420327721"/>
      <w:r w:rsidRPr="00345CDF">
        <w:t>Selection criteria</w:t>
      </w:r>
      <w:bookmarkEnd w:id="56"/>
      <w:bookmarkEnd w:id="57"/>
      <w:bookmarkEnd w:id="58"/>
    </w:p>
    <w:p w14:paraId="7DAA0215" w14:textId="06EF0D57" w:rsidR="000C564C" w:rsidRPr="000C564C" w:rsidRDefault="000C564C" w:rsidP="000C564C">
      <w:pPr>
        <w:rPr>
          <w:lang w:val="en-AU"/>
        </w:rPr>
      </w:pPr>
      <w:r w:rsidRPr="000C564C">
        <w:rPr>
          <w:lang w:val="en-AU"/>
        </w:rPr>
        <w:t xml:space="preserve">The following criteria were used to select bores for the </w:t>
      </w:r>
      <w:r w:rsidR="00857ACF">
        <w:rPr>
          <w:lang w:val="en-AU"/>
        </w:rPr>
        <w:t xml:space="preserve">monitoring </w:t>
      </w:r>
      <w:r w:rsidRPr="000C564C">
        <w:rPr>
          <w:lang w:val="en-AU"/>
        </w:rPr>
        <w:t xml:space="preserve">program:  </w:t>
      </w:r>
    </w:p>
    <w:p w14:paraId="7DAA0216" w14:textId="607DABA3" w:rsidR="000C564C" w:rsidRPr="00D5530F" w:rsidRDefault="00F14F4D" w:rsidP="00D5530F">
      <w:pPr>
        <w:pStyle w:val="Bullet1"/>
        <w:numPr>
          <w:ilvl w:val="0"/>
          <w:numId w:val="2"/>
        </w:numPr>
        <w:tabs>
          <w:tab w:val="clear" w:pos="1260"/>
          <w:tab w:val="num" w:pos="426"/>
          <w:tab w:val="num" w:pos="851"/>
        </w:tabs>
        <w:ind w:left="426" w:hanging="426"/>
      </w:pPr>
      <w:r>
        <w:t>b</w:t>
      </w:r>
      <w:r w:rsidRPr="00D5530F">
        <w:t xml:space="preserve">ores </w:t>
      </w:r>
      <w:r w:rsidR="000C564C" w:rsidRPr="00D5530F">
        <w:t xml:space="preserve">in the </w:t>
      </w:r>
      <w:r w:rsidR="00A83284">
        <w:rPr>
          <w:lang w:val="en-AU"/>
        </w:rPr>
        <w:t>prospective</w:t>
      </w:r>
      <w:r w:rsidR="000C564C" w:rsidRPr="00D5530F">
        <w:t xml:space="preserve"> units for unconventional gas development especially in areas of identified high prospectivity</w:t>
      </w:r>
    </w:p>
    <w:p w14:paraId="7DAA0217" w14:textId="588EB522" w:rsidR="000C564C" w:rsidRPr="00D5530F" w:rsidRDefault="00F14F4D" w:rsidP="00D5530F">
      <w:pPr>
        <w:pStyle w:val="Bullet1"/>
        <w:numPr>
          <w:ilvl w:val="0"/>
          <w:numId w:val="2"/>
        </w:numPr>
        <w:tabs>
          <w:tab w:val="clear" w:pos="1260"/>
          <w:tab w:val="num" w:pos="426"/>
          <w:tab w:val="num" w:pos="851"/>
        </w:tabs>
        <w:ind w:left="426" w:hanging="426"/>
      </w:pPr>
      <w:r>
        <w:t>w</w:t>
      </w:r>
      <w:r w:rsidRPr="00D5530F">
        <w:t xml:space="preserve">atertable </w:t>
      </w:r>
      <w:r w:rsidR="000C564C" w:rsidRPr="00D5530F">
        <w:t>bores chosen in or around</w:t>
      </w:r>
      <w:r w:rsidR="006F7FED">
        <w:t xml:space="preserve"> groundwater dependent </w:t>
      </w:r>
      <w:r w:rsidR="00816E19">
        <w:t>ecosystem</w:t>
      </w:r>
      <w:r w:rsidR="000C564C" w:rsidRPr="00D5530F">
        <w:t xml:space="preserve"> assets particularly above zones of high unconventional gas prospectivity</w:t>
      </w:r>
    </w:p>
    <w:p w14:paraId="7DAA0218" w14:textId="12A89439" w:rsidR="000C564C" w:rsidRPr="00D5530F" w:rsidRDefault="00F14F4D" w:rsidP="00D5530F">
      <w:pPr>
        <w:pStyle w:val="Bullet1"/>
        <w:numPr>
          <w:ilvl w:val="0"/>
          <w:numId w:val="2"/>
        </w:numPr>
        <w:tabs>
          <w:tab w:val="clear" w:pos="1260"/>
          <w:tab w:val="num" w:pos="426"/>
          <w:tab w:val="num" w:pos="851"/>
        </w:tabs>
        <w:ind w:left="426" w:hanging="426"/>
      </w:pPr>
      <w:r>
        <w:t>b</w:t>
      </w:r>
      <w:r w:rsidRPr="00D5530F">
        <w:t xml:space="preserve">ores </w:t>
      </w:r>
      <w:r w:rsidR="000C564C" w:rsidRPr="00D5530F">
        <w:t xml:space="preserve">in </w:t>
      </w:r>
      <w:r w:rsidR="00445BFC">
        <w:t>areas of either</w:t>
      </w:r>
      <w:r w:rsidR="000C564C" w:rsidRPr="00D5530F">
        <w:t xml:space="preserve"> high potential or actual use</w:t>
      </w:r>
    </w:p>
    <w:p w14:paraId="7DAA0219" w14:textId="20A8365C" w:rsidR="000C564C" w:rsidRPr="00D5530F" w:rsidRDefault="00F14F4D" w:rsidP="00D5530F">
      <w:pPr>
        <w:pStyle w:val="Bullet1"/>
        <w:numPr>
          <w:ilvl w:val="0"/>
          <w:numId w:val="2"/>
        </w:numPr>
        <w:tabs>
          <w:tab w:val="clear" w:pos="1260"/>
          <w:tab w:val="num" w:pos="426"/>
          <w:tab w:val="num" w:pos="851"/>
        </w:tabs>
        <w:ind w:left="426" w:hanging="426"/>
      </w:pPr>
      <w:r>
        <w:t>n</w:t>
      </w:r>
      <w:r w:rsidRPr="00D5530F">
        <w:t xml:space="preserve">ested </w:t>
      </w:r>
      <w:r w:rsidR="000C564C" w:rsidRPr="00D5530F">
        <w:t>bores which highlight the vertical differences in groundwater chemistry at the same location</w:t>
      </w:r>
    </w:p>
    <w:p w14:paraId="7DAA021A" w14:textId="03FAEF21" w:rsidR="000C564C" w:rsidRPr="00D5530F" w:rsidRDefault="00F14F4D" w:rsidP="00D5530F">
      <w:pPr>
        <w:pStyle w:val="Bullet1"/>
        <w:numPr>
          <w:ilvl w:val="0"/>
          <w:numId w:val="2"/>
        </w:numPr>
        <w:tabs>
          <w:tab w:val="clear" w:pos="1260"/>
          <w:tab w:val="num" w:pos="426"/>
          <w:tab w:val="num" w:pos="851"/>
        </w:tabs>
        <w:ind w:left="426" w:hanging="426"/>
      </w:pPr>
      <w:r>
        <w:t>b</w:t>
      </w:r>
      <w:r w:rsidRPr="00D5530F">
        <w:t xml:space="preserve">ores </w:t>
      </w:r>
      <w:r w:rsidR="000C564C" w:rsidRPr="00D5530F">
        <w:t>with known hydrocarbon concentrations determined from the above literature review</w:t>
      </w:r>
    </w:p>
    <w:p w14:paraId="7DAA021B" w14:textId="448F271B" w:rsidR="000C564C" w:rsidRPr="00D5530F" w:rsidRDefault="00F14F4D" w:rsidP="00D5530F">
      <w:pPr>
        <w:pStyle w:val="Bullet1"/>
        <w:numPr>
          <w:ilvl w:val="0"/>
          <w:numId w:val="2"/>
        </w:numPr>
        <w:tabs>
          <w:tab w:val="clear" w:pos="1260"/>
          <w:tab w:val="num" w:pos="426"/>
          <w:tab w:val="num" w:pos="851"/>
        </w:tabs>
        <w:ind w:left="426" w:hanging="426"/>
      </w:pPr>
      <w:r>
        <w:t>b</w:t>
      </w:r>
      <w:r w:rsidRPr="00D5530F">
        <w:t xml:space="preserve">ores </w:t>
      </w:r>
      <w:r w:rsidR="000C564C" w:rsidRPr="00D5530F">
        <w:t>in aquifers above known seals and also where the seal is absent to allow analysis of the effectiveness of the seal for capping</w:t>
      </w:r>
      <w:r w:rsidR="00FF26F0" w:rsidRPr="00D5530F">
        <w:t xml:space="preserve"> vertical hydrocarbon migration</w:t>
      </w:r>
    </w:p>
    <w:p w14:paraId="7DAA021C" w14:textId="42DC1931" w:rsidR="000C564C" w:rsidRPr="00D5530F" w:rsidRDefault="00F14F4D" w:rsidP="00D5530F">
      <w:pPr>
        <w:pStyle w:val="Bullet1"/>
        <w:numPr>
          <w:ilvl w:val="0"/>
          <w:numId w:val="2"/>
        </w:numPr>
        <w:tabs>
          <w:tab w:val="clear" w:pos="1260"/>
          <w:tab w:val="num" w:pos="426"/>
          <w:tab w:val="num" w:pos="851"/>
        </w:tabs>
        <w:ind w:left="426" w:hanging="426"/>
      </w:pPr>
      <w:r>
        <w:t>b</w:t>
      </w:r>
      <w:r w:rsidRPr="00D5530F">
        <w:t xml:space="preserve">ores </w:t>
      </w:r>
      <w:r w:rsidR="000C564C" w:rsidRPr="00D5530F">
        <w:t>should not be chosen if they have one or more of the following characteristics:</w:t>
      </w:r>
    </w:p>
    <w:p w14:paraId="7DAA021D" w14:textId="2C10984A" w:rsidR="000C564C" w:rsidRPr="007C1677" w:rsidRDefault="00F14F4D" w:rsidP="0069713F">
      <w:pPr>
        <w:pStyle w:val="Bullet2"/>
      </w:pPr>
      <w:r w:rsidRPr="006A0D1B">
        <w:t xml:space="preserve">failed </w:t>
      </w:r>
      <w:r w:rsidR="000C564C" w:rsidRPr="001E696A">
        <w:t>bores or bores of poor condition</w:t>
      </w:r>
    </w:p>
    <w:p w14:paraId="7DAA021E" w14:textId="13AF1206" w:rsidR="000C564C" w:rsidRPr="00BA6593" w:rsidRDefault="00F14F4D" w:rsidP="0069713F">
      <w:pPr>
        <w:pStyle w:val="Bullet2"/>
      </w:pPr>
      <w:r w:rsidRPr="00BA6593">
        <w:t xml:space="preserve">bores </w:t>
      </w:r>
      <w:r w:rsidR="000C564C" w:rsidRPr="00BA6593">
        <w:t>w</w:t>
      </w:r>
      <w:r w:rsidR="00734F99" w:rsidRPr="00BA6593">
        <w:t>ith lack of construction data.</w:t>
      </w:r>
    </w:p>
    <w:p w14:paraId="7DAA021F" w14:textId="68994017" w:rsidR="000C564C" w:rsidRPr="000C564C" w:rsidRDefault="000C564C" w:rsidP="000C564C">
      <w:pPr>
        <w:rPr>
          <w:lang w:val="en-AU"/>
        </w:rPr>
      </w:pPr>
      <w:r w:rsidRPr="000C564C">
        <w:rPr>
          <w:lang w:val="en-AU"/>
        </w:rPr>
        <w:t xml:space="preserve">The Otway prospectivity areas (Section </w:t>
      </w:r>
      <w:r w:rsidR="00FF26F0">
        <w:rPr>
          <w:lang w:val="en-AU"/>
        </w:rPr>
        <w:fldChar w:fldCharType="begin"/>
      </w:r>
      <w:r w:rsidR="00FF26F0">
        <w:rPr>
          <w:lang w:val="en-AU"/>
        </w:rPr>
        <w:instrText xml:space="preserve"> REF _Ref414005264 \r \h </w:instrText>
      </w:r>
      <w:r w:rsidR="00FF26F0">
        <w:rPr>
          <w:lang w:val="en-AU"/>
        </w:rPr>
      </w:r>
      <w:r w:rsidR="00FF26F0">
        <w:rPr>
          <w:lang w:val="en-AU"/>
        </w:rPr>
        <w:fldChar w:fldCharType="separate"/>
      </w:r>
      <w:r w:rsidR="00BD60CC">
        <w:rPr>
          <w:lang w:val="en-AU"/>
        </w:rPr>
        <w:t>2.3</w:t>
      </w:r>
      <w:r w:rsidR="00FF26F0">
        <w:rPr>
          <w:lang w:val="en-AU"/>
        </w:rPr>
        <w:fldChar w:fldCharType="end"/>
      </w:r>
      <w:r w:rsidRPr="000C564C">
        <w:rPr>
          <w:lang w:val="en-AU"/>
        </w:rPr>
        <w:t>)</w:t>
      </w:r>
      <w:r w:rsidR="002E4CB3">
        <w:rPr>
          <w:lang w:val="en-AU"/>
        </w:rPr>
        <w:t xml:space="preserve"> </w:t>
      </w:r>
      <w:r w:rsidRPr="000C564C">
        <w:rPr>
          <w:lang w:val="en-AU"/>
        </w:rPr>
        <w:t xml:space="preserve">and the locations of the </w:t>
      </w:r>
      <w:r w:rsidR="00445BFC">
        <w:rPr>
          <w:lang w:val="en-AU"/>
        </w:rPr>
        <w:t>state observation bores</w:t>
      </w:r>
      <w:r w:rsidR="00445BFC" w:rsidRPr="000C564C">
        <w:rPr>
          <w:lang w:val="en-AU"/>
        </w:rPr>
        <w:t xml:space="preserve"> </w:t>
      </w:r>
      <w:r w:rsidRPr="000C564C">
        <w:rPr>
          <w:lang w:val="en-AU"/>
        </w:rPr>
        <w:t xml:space="preserve">have been used to inform the </w:t>
      </w:r>
      <w:r w:rsidR="00857ACF">
        <w:rPr>
          <w:lang w:val="en-AU"/>
        </w:rPr>
        <w:t xml:space="preserve">monitoring </w:t>
      </w:r>
      <w:r w:rsidRPr="000C564C">
        <w:rPr>
          <w:lang w:val="en-AU"/>
        </w:rPr>
        <w:t xml:space="preserve">program by comparing with: </w:t>
      </w:r>
    </w:p>
    <w:p w14:paraId="7DAA0220" w14:textId="3E531A11" w:rsidR="000C564C" w:rsidRPr="00D5530F" w:rsidRDefault="000C564C" w:rsidP="00D5530F">
      <w:pPr>
        <w:pStyle w:val="Bullet1"/>
        <w:numPr>
          <w:ilvl w:val="0"/>
          <w:numId w:val="2"/>
        </w:numPr>
        <w:tabs>
          <w:tab w:val="clear" w:pos="1260"/>
          <w:tab w:val="num" w:pos="426"/>
          <w:tab w:val="num" w:pos="851"/>
        </w:tabs>
        <w:ind w:left="426" w:hanging="426"/>
      </w:pPr>
      <w:r w:rsidRPr="00D5530F">
        <w:t>key groundwater dependent</w:t>
      </w:r>
      <w:r w:rsidR="00445BFC">
        <w:t xml:space="preserve"> ecosystems and</w:t>
      </w:r>
      <w:r w:rsidRPr="00D5530F">
        <w:t xml:space="preserve"> surface water assets </w:t>
      </w:r>
    </w:p>
    <w:p w14:paraId="7DAA0221" w14:textId="151BC642" w:rsidR="000C564C" w:rsidRPr="00D5530F" w:rsidRDefault="00445BFC" w:rsidP="00D5530F">
      <w:pPr>
        <w:pStyle w:val="Bullet1"/>
        <w:numPr>
          <w:ilvl w:val="0"/>
          <w:numId w:val="2"/>
        </w:numPr>
        <w:tabs>
          <w:tab w:val="clear" w:pos="1260"/>
          <w:tab w:val="num" w:pos="426"/>
          <w:tab w:val="num" w:pos="851"/>
        </w:tabs>
        <w:ind w:left="426" w:hanging="426"/>
      </w:pPr>
      <w:r>
        <w:t>aquifers</w:t>
      </w:r>
    </w:p>
    <w:p w14:paraId="7DAA0222" w14:textId="6591A1C6" w:rsidR="000C564C" w:rsidRPr="00D5530F" w:rsidRDefault="000C564C" w:rsidP="00D5530F">
      <w:pPr>
        <w:pStyle w:val="Bullet1"/>
        <w:numPr>
          <w:ilvl w:val="0"/>
          <w:numId w:val="2"/>
        </w:numPr>
        <w:tabs>
          <w:tab w:val="clear" w:pos="1260"/>
          <w:tab w:val="num" w:pos="426"/>
          <w:tab w:val="num" w:pos="851"/>
        </w:tabs>
        <w:ind w:left="426" w:hanging="426"/>
      </w:pPr>
      <w:r w:rsidRPr="00D5530F">
        <w:t xml:space="preserve">naturally occurring hydrocarbon locations </w:t>
      </w:r>
      <w:r w:rsidR="00F14F4D">
        <w:t>identified by</w:t>
      </w:r>
      <w:r w:rsidR="00F14F4D" w:rsidRPr="00D5530F">
        <w:t xml:space="preserve"> </w:t>
      </w:r>
      <w:r w:rsidRPr="00D5530F">
        <w:t xml:space="preserve">the literature review. </w:t>
      </w:r>
    </w:p>
    <w:p w14:paraId="7DAA0223" w14:textId="61FD5343" w:rsidR="000C564C" w:rsidRPr="000C564C" w:rsidRDefault="000C564C" w:rsidP="000C564C">
      <w:pPr>
        <w:rPr>
          <w:lang w:val="en-AU"/>
        </w:rPr>
      </w:pPr>
      <w:r w:rsidRPr="000C564C">
        <w:rPr>
          <w:lang w:val="en-AU"/>
        </w:rPr>
        <w:t xml:space="preserve">A recent review of </w:t>
      </w:r>
      <w:r w:rsidRPr="006A0D1B">
        <w:rPr>
          <w:lang w:val="en-AU"/>
        </w:rPr>
        <w:t>the State Observation Bore Network</w:t>
      </w:r>
      <w:r w:rsidRPr="000C564C">
        <w:rPr>
          <w:lang w:val="en-AU"/>
        </w:rPr>
        <w:t xml:space="preserve"> </w:t>
      </w:r>
      <w:r w:rsidR="006F7FED">
        <w:rPr>
          <w:lang w:val="en-AU"/>
        </w:rPr>
        <w:t xml:space="preserve">(SOBN) </w:t>
      </w:r>
      <w:r w:rsidRPr="000C564C">
        <w:rPr>
          <w:lang w:val="en-AU"/>
        </w:rPr>
        <w:t xml:space="preserve">undertaken by GHD (2014) included an assessment and scoring of bore condition. Bores were scored from 1 (good) through to 5 (poor) and it was noted that bores with a final score of 4 or 5 were least preferred for inclusion as an SOBN asset. Bores with </w:t>
      </w:r>
      <w:r w:rsidR="00F14F4D">
        <w:rPr>
          <w:lang w:val="en-AU"/>
        </w:rPr>
        <w:t xml:space="preserve">a </w:t>
      </w:r>
      <w:r w:rsidRPr="000C564C">
        <w:rPr>
          <w:lang w:val="en-AU"/>
        </w:rPr>
        <w:t xml:space="preserve">poor condition ranking (4 or 5) were excluded from the initial round of bore selection and only considered for inclusion in the </w:t>
      </w:r>
      <w:r w:rsidR="00857ACF">
        <w:rPr>
          <w:lang w:val="en-AU"/>
        </w:rPr>
        <w:t xml:space="preserve">monitoring </w:t>
      </w:r>
      <w:r w:rsidRPr="000C564C">
        <w:rPr>
          <w:lang w:val="en-AU"/>
        </w:rPr>
        <w:t xml:space="preserve">network if an obvious gap in the remaining SOBs was observed. </w:t>
      </w:r>
    </w:p>
    <w:p w14:paraId="7DAA0224" w14:textId="3D105C7F" w:rsidR="000C564C" w:rsidRPr="000C564C" w:rsidRDefault="000C564C" w:rsidP="00AC71DA">
      <w:pPr>
        <w:pStyle w:val="Head2xx"/>
      </w:pPr>
      <w:bookmarkStart w:id="59" w:name="_Toc420327722"/>
      <w:r w:rsidRPr="000C564C">
        <w:t xml:space="preserve">Groundwater </w:t>
      </w:r>
      <w:r w:rsidR="00D00EA8" w:rsidRPr="000C564C">
        <w:t xml:space="preserve">dependent </w:t>
      </w:r>
      <w:r w:rsidR="00D00EA8">
        <w:t xml:space="preserve">ecosystems and </w:t>
      </w:r>
      <w:r w:rsidR="00D00EA8" w:rsidRPr="000C564C">
        <w:t xml:space="preserve">surface </w:t>
      </w:r>
      <w:r w:rsidR="0069713F">
        <w:br/>
      </w:r>
      <w:r w:rsidR="00D00EA8" w:rsidRPr="000C564C">
        <w:t>water assets</w:t>
      </w:r>
      <w:bookmarkEnd w:id="59"/>
    </w:p>
    <w:p w14:paraId="7DAA0225" w14:textId="625948A0" w:rsidR="000C564C" w:rsidRPr="000C564C" w:rsidRDefault="000C564C" w:rsidP="000C564C">
      <w:pPr>
        <w:rPr>
          <w:lang w:val="en-AU"/>
        </w:rPr>
      </w:pPr>
      <w:r w:rsidRPr="000C564C">
        <w:rPr>
          <w:lang w:val="en-AU"/>
        </w:rPr>
        <w:t xml:space="preserve">The Victorian Water Asset Database (VWAD) was used to identify </w:t>
      </w:r>
      <w:r w:rsidR="00445BFC">
        <w:rPr>
          <w:lang w:val="en-AU"/>
        </w:rPr>
        <w:t>potential</w:t>
      </w:r>
      <w:r w:rsidRPr="000C564C">
        <w:rPr>
          <w:lang w:val="en-AU"/>
        </w:rPr>
        <w:t xml:space="preserve"> Groundwater Dependent Ecosystems (GDEs)</w:t>
      </w:r>
      <w:r w:rsidR="00445BFC">
        <w:rPr>
          <w:lang w:val="en-AU"/>
        </w:rPr>
        <w:t>, waterways and wetlands</w:t>
      </w:r>
      <w:r w:rsidRPr="000C564C">
        <w:rPr>
          <w:lang w:val="en-AU"/>
        </w:rPr>
        <w:t xml:space="preserve"> in the Otway Basin. </w:t>
      </w:r>
    </w:p>
    <w:p w14:paraId="7DAA0226" w14:textId="77777777" w:rsidR="000C564C" w:rsidRDefault="000C564C" w:rsidP="000C564C">
      <w:pPr>
        <w:rPr>
          <w:lang w:val="en-AU"/>
        </w:rPr>
      </w:pPr>
      <w:r w:rsidRPr="000C564C">
        <w:rPr>
          <w:lang w:val="en-AU"/>
        </w:rPr>
        <w:t>The VWAD ranks assets from the perspective of habitat, economic, recreation and cultural value, whereby the following scores were applied:</w:t>
      </w:r>
    </w:p>
    <w:p w14:paraId="7DAA0227" w14:textId="77777777" w:rsidR="009B67B3" w:rsidRPr="00D5530F" w:rsidRDefault="009B67B3" w:rsidP="00D5530F">
      <w:pPr>
        <w:pStyle w:val="Bullet1"/>
        <w:numPr>
          <w:ilvl w:val="0"/>
          <w:numId w:val="2"/>
        </w:numPr>
        <w:tabs>
          <w:tab w:val="clear" w:pos="1260"/>
          <w:tab w:val="num" w:pos="426"/>
          <w:tab w:val="num" w:pos="851"/>
        </w:tabs>
        <w:ind w:left="426" w:hanging="426"/>
      </w:pPr>
      <w:r w:rsidRPr="00D5530F">
        <w:t xml:space="preserve">Neutral = 1, Low = 10, Moderate = 20 , High = 40 , Extreme = 100  </w:t>
      </w:r>
    </w:p>
    <w:p w14:paraId="7DAA0228" w14:textId="3EBC8F1A" w:rsidR="000C564C" w:rsidRPr="000C564C" w:rsidRDefault="000C564C" w:rsidP="000C564C">
      <w:pPr>
        <w:rPr>
          <w:lang w:val="en-AU"/>
        </w:rPr>
      </w:pPr>
      <w:r w:rsidRPr="000C564C">
        <w:rPr>
          <w:lang w:val="en-AU"/>
        </w:rPr>
        <w:t xml:space="preserve">Based on these criteria the following rules were applied to VWAD to generate datasets of </w:t>
      </w:r>
      <w:r w:rsidR="00445BFC">
        <w:rPr>
          <w:lang w:val="en-AU"/>
        </w:rPr>
        <w:t xml:space="preserve">potential </w:t>
      </w:r>
      <w:r w:rsidR="00A94D5B">
        <w:rPr>
          <w:lang w:val="en-AU"/>
        </w:rPr>
        <w:t xml:space="preserve">groundwater dependent ecosystems </w:t>
      </w:r>
      <w:r w:rsidRPr="000C564C">
        <w:rPr>
          <w:lang w:val="en-AU"/>
        </w:rPr>
        <w:t xml:space="preserve">s for potential bore monitoring target sites in the </w:t>
      </w:r>
      <w:r w:rsidR="00857ACF">
        <w:rPr>
          <w:lang w:val="en-AU"/>
        </w:rPr>
        <w:t xml:space="preserve">monitoring </w:t>
      </w:r>
      <w:r w:rsidRPr="000C564C">
        <w:rPr>
          <w:lang w:val="en-AU"/>
        </w:rPr>
        <w:t>program:</w:t>
      </w:r>
    </w:p>
    <w:p w14:paraId="7DAA0229" w14:textId="56EEB9D5" w:rsidR="000C564C" w:rsidRPr="00D5530F" w:rsidRDefault="000C564C" w:rsidP="00D5530F">
      <w:pPr>
        <w:pStyle w:val="Bullet1"/>
        <w:numPr>
          <w:ilvl w:val="0"/>
          <w:numId w:val="2"/>
        </w:numPr>
        <w:tabs>
          <w:tab w:val="clear" w:pos="1260"/>
          <w:tab w:val="num" w:pos="426"/>
          <w:tab w:val="num" w:pos="851"/>
        </w:tabs>
        <w:ind w:left="426" w:hanging="426"/>
      </w:pPr>
      <w:r w:rsidRPr="00D5530F">
        <w:t xml:space="preserve">GDE score = 100. A score of 100 implies a </w:t>
      </w:r>
      <w:r w:rsidR="00445BFC">
        <w:t xml:space="preserve">potential </w:t>
      </w:r>
      <w:r w:rsidR="00A94D5B">
        <w:t xml:space="preserve">groundwater dependent </w:t>
      </w:r>
      <w:r w:rsidR="00206FC6">
        <w:t xml:space="preserve">ecosystems </w:t>
      </w:r>
      <w:r w:rsidR="00206FC6" w:rsidRPr="00D5530F">
        <w:t>has</w:t>
      </w:r>
      <w:r w:rsidRPr="00D5530F">
        <w:t xml:space="preserve"> been identified. </w:t>
      </w:r>
    </w:p>
    <w:p w14:paraId="7DAA022A"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 xml:space="preserve">Water source = 100. A score of 100 implies the water source is groundwater. </w:t>
      </w:r>
    </w:p>
    <w:p w14:paraId="7DAA022B"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 xml:space="preserve">Habitat score = 100. This implies extremely valuable rivers and wetlands were selected from the VWAD. Examples include Iconic Rivers, Living Murray Icon Sites, Nationally Important Wetlands, Victorian Biodiversity Atlas, Highly Localised Asset sites of significance etc. </w:t>
      </w:r>
    </w:p>
    <w:p w14:paraId="7DAA022C" w14:textId="2769FEB5" w:rsidR="000C564C" w:rsidRPr="00D5530F" w:rsidRDefault="000C564C" w:rsidP="00D5530F">
      <w:pPr>
        <w:pStyle w:val="Bullet1"/>
        <w:numPr>
          <w:ilvl w:val="0"/>
          <w:numId w:val="2"/>
        </w:numPr>
        <w:tabs>
          <w:tab w:val="clear" w:pos="1260"/>
          <w:tab w:val="num" w:pos="426"/>
          <w:tab w:val="num" w:pos="851"/>
        </w:tabs>
        <w:ind w:left="426" w:hanging="426"/>
      </w:pPr>
      <w:r w:rsidRPr="00D5530F">
        <w:t xml:space="preserve">Economic score = 100. This implies extremely valuable rivers and wetlands were selected from the VWAD. Examples include Town Supply Reservoirs, features used for urban water supply, features located </w:t>
      </w:r>
      <w:r w:rsidR="00206FC6" w:rsidRPr="00D5530F">
        <w:t>in</w:t>
      </w:r>
      <w:r w:rsidRPr="00D5530F">
        <w:t xml:space="preserve"> Designated Water Supply Catchment etc. </w:t>
      </w:r>
    </w:p>
    <w:p w14:paraId="7DAA022D"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 xml:space="preserve">Recreation score = 100. This includes rivers and wetlands where recreational activities have been observed. </w:t>
      </w:r>
    </w:p>
    <w:p w14:paraId="7DAA022E" w14:textId="52EC7C07" w:rsidR="00FF26F0" w:rsidRPr="00D5530F" w:rsidRDefault="000C564C" w:rsidP="0069713F">
      <w:pPr>
        <w:pStyle w:val="B110after"/>
      </w:pPr>
      <w:r w:rsidRPr="00D5530F">
        <w:t>Cultural score = 40 (there were no score = 100 in</w:t>
      </w:r>
      <w:r w:rsidR="00F14F4D">
        <w:t xml:space="preserve"> the</w:t>
      </w:r>
      <w:r w:rsidRPr="00D5530F">
        <w:t xml:space="preserve"> Otway</w:t>
      </w:r>
      <w:r w:rsidR="00F14F4D">
        <w:t xml:space="preserve"> Basin</w:t>
      </w:r>
      <w:r w:rsidRPr="00D5530F">
        <w:t xml:space="preserve">). </w:t>
      </w:r>
      <w:r w:rsidR="00F14F4D">
        <w:t>As a result,</w:t>
      </w:r>
      <w:r w:rsidRPr="00D5530F">
        <w:t xml:space="preserve"> highly valuable rivers and wetlands were selected from the VWAD. Examples include features listed in the Victorian Heritage Register or AVIRA fo</w:t>
      </w:r>
      <w:r w:rsidR="00FF26F0" w:rsidRPr="00D5530F">
        <w:t xml:space="preserve">r National Heritage Sites etc. </w:t>
      </w:r>
    </w:p>
    <w:p w14:paraId="7DAA022F" w14:textId="748ABC26" w:rsidR="00FF26F0" w:rsidRPr="00FF26F0" w:rsidRDefault="00F673E7" w:rsidP="00827246">
      <w:pPr>
        <w:pStyle w:val="Bullet1"/>
        <w:rPr>
          <w:lang w:val="en-AU"/>
        </w:rPr>
      </w:pPr>
      <w:r>
        <w:rPr>
          <w:lang w:val="en-AU"/>
        </w:rPr>
        <w:t>T</w:t>
      </w:r>
      <w:r w:rsidR="00FF26F0" w:rsidRPr="00FF26F0">
        <w:rPr>
          <w:lang w:val="en-AU"/>
        </w:rPr>
        <w:t xml:space="preserve">here were no springs identified in the </w:t>
      </w:r>
      <w:r w:rsidR="00FE6EC9">
        <w:rPr>
          <w:lang w:val="en-AU"/>
        </w:rPr>
        <w:t>Basin</w:t>
      </w:r>
      <w:r w:rsidR="00FF26F0" w:rsidRPr="00FF26F0">
        <w:rPr>
          <w:lang w:val="en-AU"/>
        </w:rPr>
        <w:t xml:space="preserve"> or Basin Margin catchment system of the Otway Basin. Springs were only present in the upland valley and upland layered valley region in the north east corner of the Corangamite CMA area.  </w:t>
      </w:r>
    </w:p>
    <w:p w14:paraId="7DAA0230" w14:textId="6ABE7877" w:rsidR="00FF26F0" w:rsidRPr="000C564C" w:rsidRDefault="00F673E7" w:rsidP="00FF26F0">
      <w:pPr>
        <w:rPr>
          <w:lang w:val="en-AU"/>
        </w:rPr>
      </w:pPr>
      <w:r>
        <w:rPr>
          <w:lang w:val="en-AU"/>
        </w:rPr>
        <w:t xml:space="preserve">Identified </w:t>
      </w:r>
      <w:r w:rsidR="006A0D1B">
        <w:rPr>
          <w:lang w:val="en-AU"/>
        </w:rPr>
        <w:t xml:space="preserve">potential </w:t>
      </w:r>
      <w:r w:rsidR="00A94D5B">
        <w:rPr>
          <w:lang w:val="en-AU"/>
        </w:rPr>
        <w:t xml:space="preserve">groundwater dependent ecosystems </w:t>
      </w:r>
      <w:r>
        <w:rPr>
          <w:lang w:val="en-AU"/>
        </w:rPr>
        <w:t>s were</w:t>
      </w:r>
      <w:r w:rsidR="00FF26F0" w:rsidRPr="000C564C">
        <w:rPr>
          <w:lang w:val="en-AU"/>
        </w:rPr>
        <w:t xml:space="preserve"> compared to the locations of the field scale </w:t>
      </w:r>
      <w:r w:rsidR="00FF26F0" w:rsidRPr="006A0D1B">
        <w:rPr>
          <w:lang w:val="en-AU"/>
        </w:rPr>
        <w:t>and sub-regional</w:t>
      </w:r>
      <w:r w:rsidR="00FF26F0" w:rsidRPr="000C564C">
        <w:rPr>
          <w:lang w:val="en-AU"/>
        </w:rPr>
        <w:t xml:space="preserve"> scale prospectivity for conventional gas, coals seam gas and tight/shale gas localities, as defined by </w:t>
      </w:r>
      <w:r w:rsidR="00445BFC">
        <w:rPr>
          <w:lang w:val="en-AU"/>
        </w:rPr>
        <w:t>Goldie</w:t>
      </w:r>
      <w:r w:rsidR="00414715">
        <w:rPr>
          <w:lang w:val="en-AU"/>
        </w:rPr>
        <w:t xml:space="preserve"> </w:t>
      </w:r>
      <w:r w:rsidR="00445BFC">
        <w:rPr>
          <w:lang w:val="en-AU"/>
        </w:rPr>
        <w:t>Divko</w:t>
      </w:r>
      <w:r w:rsidR="00445BFC" w:rsidRPr="000C564C">
        <w:rPr>
          <w:lang w:val="en-AU"/>
        </w:rPr>
        <w:t xml:space="preserve"> </w:t>
      </w:r>
      <w:r w:rsidR="00FE6EC9">
        <w:rPr>
          <w:lang w:val="en-AU"/>
        </w:rPr>
        <w:t>(201</w:t>
      </w:r>
      <w:r w:rsidR="00414715">
        <w:rPr>
          <w:lang w:val="en-AU"/>
        </w:rPr>
        <w:t>4</w:t>
      </w:r>
      <w:r w:rsidR="00FF26F0" w:rsidRPr="000C564C">
        <w:rPr>
          <w:lang w:val="en-AU"/>
        </w:rPr>
        <w:t>) and described in Section 2.3.</w:t>
      </w:r>
    </w:p>
    <w:p w14:paraId="7DAA0231" w14:textId="77777777" w:rsidR="00FF26F0" w:rsidRPr="000C564C" w:rsidRDefault="00FF26F0" w:rsidP="00FF26F0">
      <w:pPr>
        <w:rPr>
          <w:lang w:val="en-AU"/>
        </w:rPr>
      </w:pPr>
      <w:r w:rsidRPr="000C564C">
        <w:rPr>
          <w:lang w:val="en-AU"/>
        </w:rPr>
        <w:t xml:space="preserve">The analysis was undertaken at a Groundwater Catchment Unit (GCU) scale, which includes the Hopkins-Corangamite, Portland and Glenelg GCUs. The absence of prospectivity in the Otway-Torquay GCU meant it was excluded from further assessment. </w:t>
      </w:r>
    </w:p>
    <w:p w14:paraId="275E16C6" w14:textId="77777777" w:rsidR="00D00EA8" w:rsidRDefault="00D00EA8">
      <w:pPr>
        <w:rPr>
          <w:rFonts w:cs="Arial"/>
          <w:b/>
          <w:bCs/>
          <w:sz w:val="26"/>
          <w:szCs w:val="26"/>
          <w:lang w:val="en-AU"/>
        </w:rPr>
      </w:pPr>
      <w:r>
        <w:rPr>
          <w:lang w:val="en-AU"/>
        </w:rPr>
        <w:br w:type="page"/>
      </w:r>
    </w:p>
    <w:p w14:paraId="7DAA0232" w14:textId="4C1B8548" w:rsidR="000C564C" w:rsidRPr="000C564C" w:rsidRDefault="000C564C" w:rsidP="00D00EA8">
      <w:pPr>
        <w:pStyle w:val="Head3xxx"/>
        <w:ind w:left="851"/>
        <w:rPr>
          <w:lang w:val="en-AU"/>
        </w:rPr>
      </w:pPr>
      <w:r w:rsidRPr="000C564C">
        <w:rPr>
          <w:lang w:val="en-AU"/>
        </w:rPr>
        <w:t>Hopkins Corangamite G</w:t>
      </w:r>
      <w:r w:rsidR="001E696A">
        <w:rPr>
          <w:lang w:val="en-AU"/>
        </w:rPr>
        <w:t xml:space="preserve">roundwater </w:t>
      </w:r>
      <w:r w:rsidRPr="000C564C">
        <w:rPr>
          <w:lang w:val="en-AU"/>
        </w:rPr>
        <w:t>C</w:t>
      </w:r>
      <w:r w:rsidR="001E696A">
        <w:rPr>
          <w:lang w:val="en-AU"/>
        </w:rPr>
        <w:t xml:space="preserve">atchment </w:t>
      </w:r>
      <w:r w:rsidRPr="000C564C">
        <w:rPr>
          <w:lang w:val="en-AU"/>
        </w:rPr>
        <w:t>U</w:t>
      </w:r>
      <w:r w:rsidR="001E696A">
        <w:rPr>
          <w:lang w:val="en-AU"/>
        </w:rPr>
        <w:t>nit</w:t>
      </w:r>
    </w:p>
    <w:p w14:paraId="7DAA0233" w14:textId="684BC4AF" w:rsidR="000C564C" w:rsidRPr="000C564C" w:rsidRDefault="000C564C" w:rsidP="000C564C">
      <w:pPr>
        <w:rPr>
          <w:lang w:val="en-AU"/>
        </w:rPr>
      </w:pPr>
      <w:r w:rsidRPr="000C564C">
        <w:rPr>
          <w:lang w:val="en-AU"/>
        </w:rPr>
        <w:t>Within the Hopkins Corangamite G</w:t>
      </w:r>
      <w:r w:rsidR="001E696A">
        <w:rPr>
          <w:lang w:val="en-AU"/>
        </w:rPr>
        <w:t xml:space="preserve">roundwater </w:t>
      </w:r>
      <w:r w:rsidRPr="000C564C">
        <w:rPr>
          <w:lang w:val="en-AU"/>
        </w:rPr>
        <w:t>C</w:t>
      </w:r>
      <w:r w:rsidR="001E696A">
        <w:rPr>
          <w:lang w:val="en-AU"/>
        </w:rPr>
        <w:t xml:space="preserve">atchment </w:t>
      </w:r>
      <w:r w:rsidRPr="000C564C">
        <w:rPr>
          <w:lang w:val="en-AU"/>
        </w:rPr>
        <w:t>U</w:t>
      </w:r>
      <w:r w:rsidR="001E696A">
        <w:rPr>
          <w:lang w:val="en-AU"/>
        </w:rPr>
        <w:t>nit (GCU)</w:t>
      </w:r>
      <w:r w:rsidRPr="000C564C">
        <w:rPr>
          <w:lang w:val="en-AU"/>
        </w:rPr>
        <w:t xml:space="preserve">, there </w:t>
      </w:r>
      <w:r w:rsidR="00F14F4D">
        <w:rPr>
          <w:lang w:val="en-AU"/>
        </w:rPr>
        <w:t>are</w:t>
      </w:r>
      <w:r w:rsidR="00F14F4D" w:rsidRPr="000C564C">
        <w:rPr>
          <w:lang w:val="en-AU"/>
        </w:rPr>
        <w:t xml:space="preserve"> </w:t>
      </w:r>
      <w:r w:rsidRPr="000C564C">
        <w:rPr>
          <w:lang w:val="en-AU"/>
        </w:rPr>
        <w:t xml:space="preserve">a number of field scale and </w:t>
      </w:r>
      <w:r w:rsidRPr="009E1EFD">
        <w:rPr>
          <w:lang w:val="en-AU"/>
        </w:rPr>
        <w:t>sub</w:t>
      </w:r>
      <w:r w:rsidR="009E1EFD" w:rsidRPr="009E1EFD">
        <w:rPr>
          <w:lang w:val="en-AU"/>
        </w:rPr>
        <w:t>-</w:t>
      </w:r>
      <w:r w:rsidRPr="009E1EFD">
        <w:rPr>
          <w:lang w:val="en-AU"/>
        </w:rPr>
        <w:t>regional</w:t>
      </w:r>
      <w:r w:rsidRPr="000C564C">
        <w:rPr>
          <w:lang w:val="en-AU"/>
        </w:rPr>
        <w:t xml:space="preserve"> scale conventional gas, tight gas and</w:t>
      </w:r>
      <w:r w:rsidR="006742B6">
        <w:rPr>
          <w:lang w:val="en-AU"/>
        </w:rPr>
        <w:t xml:space="preserve"> coal seam gas</w:t>
      </w:r>
      <w:r w:rsidRPr="000C564C">
        <w:rPr>
          <w:lang w:val="en-AU"/>
        </w:rPr>
        <w:t xml:space="preserve"> prospective areas. These areas were intersected with </w:t>
      </w:r>
      <w:r w:rsidR="00E87D28">
        <w:rPr>
          <w:lang w:val="en-AU"/>
        </w:rPr>
        <w:t>key</w:t>
      </w:r>
      <w:r w:rsidRPr="000C564C">
        <w:rPr>
          <w:lang w:val="en-AU"/>
        </w:rPr>
        <w:t xml:space="preserve"> waterways and wetlands as identified from VWAD to identify bores for inclusion in the </w:t>
      </w:r>
      <w:r w:rsidR="00857ACF">
        <w:rPr>
          <w:lang w:val="en-AU"/>
        </w:rPr>
        <w:t xml:space="preserve">monitoring </w:t>
      </w:r>
      <w:r w:rsidRPr="000C564C">
        <w:rPr>
          <w:lang w:val="en-AU"/>
        </w:rPr>
        <w:t>program.</w:t>
      </w:r>
      <w:r w:rsidR="008639AD">
        <w:rPr>
          <w:lang w:val="en-AU"/>
        </w:rPr>
        <w:t xml:space="preserve">Figure 11 </w:t>
      </w:r>
      <w:r w:rsidRPr="000C564C">
        <w:rPr>
          <w:lang w:val="en-AU"/>
        </w:rPr>
        <w:t>shows the proposed sampling bores which are summarised in</w:t>
      </w:r>
      <w:r w:rsidR="00FF26F0">
        <w:rPr>
          <w:lang w:val="en-AU"/>
        </w:rPr>
        <w:t xml:space="preserve"> </w:t>
      </w:r>
      <w:r w:rsidR="00FF26F0">
        <w:rPr>
          <w:lang w:val="en-AU"/>
        </w:rPr>
        <w:fldChar w:fldCharType="begin"/>
      </w:r>
      <w:r w:rsidR="00FF26F0">
        <w:rPr>
          <w:lang w:val="en-AU"/>
        </w:rPr>
        <w:instrText xml:space="preserve"> REF _Ref414005414 \h </w:instrText>
      </w:r>
      <w:r w:rsidR="00FF26F0">
        <w:rPr>
          <w:lang w:val="en-AU"/>
        </w:rPr>
      </w:r>
      <w:r w:rsidR="00FF26F0">
        <w:rPr>
          <w:lang w:val="en-AU"/>
        </w:rPr>
        <w:fldChar w:fldCharType="separate"/>
      </w:r>
      <w:r w:rsidR="00BD60CC" w:rsidRPr="004F0E33">
        <w:t xml:space="preserve">Table </w:t>
      </w:r>
      <w:r w:rsidR="00BD60CC">
        <w:rPr>
          <w:noProof/>
        </w:rPr>
        <w:t>1</w:t>
      </w:r>
      <w:r w:rsidR="00FF26F0">
        <w:rPr>
          <w:lang w:val="en-AU"/>
        </w:rPr>
        <w:fldChar w:fldCharType="end"/>
      </w:r>
      <w:r w:rsidRPr="000C564C">
        <w:rPr>
          <w:lang w:val="en-AU"/>
        </w:rPr>
        <w:t xml:space="preserve">. </w:t>
      </w:r>
    </w:p>
    <w:p w14:paraId="7DAA0234" w14:textId="4BE1B5C7" w:rsidR="000C564C" w:rsidRPr="004F0E33" w:rsidRDefault="00FF26F0" w:rsidP="004F307F">
      <w:pPr>
        <w:pStyle w:val="Tableheading"/>
      </w:pPr>
      <w:bookmarkStart w:id="60" w:name="_Ref414005414"/>
      <w:bookmarkStart w:id="61" w:name="_Toc420320551"/>
      <w:r w:rsidRPr="004F0E33">
        <w:t xml:space="preserve">Table </w:t>
      </w:r>
      <w:r w:rsidRPr="004F0E33">
        <w:fldChar w:fldCharType="begin"/>
      </w:r>
      <w:r w:rsidRPr="004F0E33">
        <w:instrText xml:space="preserve"> SEQ Table \* ARABIC </w:instrText>
      </w:r>
      <w:r w:rsidRPr="004F0E33">
        <w:fldChar w:fldCharType="separate"/>
      </w:r>
      <w:r w:rsidR="00BD60CC">
        <w:rPr>
          <w:noProof/>
        </w:rPr>
        <w:t>1</w:t>
      </w:r>
      <w:r w:rsidRPr="004F0E33">
        <w:fldChar w:fldCharType="end"/>
      </w:r>
      <w:bookmarkEnd w:id="60"/>
      <w:r w:rsidRPr="004F0E33">
        <w:t xml:space="preserve"> </w:t>
      </w:r>
      <w:r w:rsidR="000C564C" w:rsidRPr="004F0E33">
        <w:t xml:space="preserve">Proposed </w:t>
      </w:r>
      <w:r w:rsidR="00857ACF">
        <w:t>monitoring</w:t>
      </w:r>
      <w:r w:rsidR="000C564C" w:rsidRPr="004F0E33">
        <w:t xml:space="preserve"> bores in areas of prospectivity and </w:t>
      </w:r>
      <w:r w:rsidR="00445BFC">
        <w:t>potential</w:t>
      </w:r>
      <w:r w:rsidR="000C564C" w:rsidRPr="004F0E33">
        <w:t xml:space="preserve"> </w:t>
      </w:r>
      <w:r w:rsidR="00445BFC">
        <w:t>g</w:t>
      </w:r>
      <w:r w:rsidR="000C564C" w:rsidRPr="004F0E33">
        <w:t xml:space="preserve">roundwater </w:t>
      </w:r>
      <w:r w:rsidR="00445BFC">
        <w:t>d</w:t>
      </w:r>
      <w:r w:rsidR="000C564C" w:rsidRPr="004F0E33">
        <w:t xml:space="preserve">ependent </w:t>
      </w:r>
      <w:r w:rsidR="00445BFC">
        <w:t>e</w:t>
      </w:r>
      <w:r w:rsidR="000C564C" w:rsidRPr="004F0E33">
        <w:t xml:space="preserve">nvironmental </w:t>
      </w:r>
      <w:r w:rsidR="00445BFC">
        <w:t>a</w:t>
      </w:r>
      <w:r w:rsidR="000C564C" w:rsidRPr="004F0E33">
        <w:t>ssets</w:t>
      </w:r>
      <w:bookmarkEnd w:id="61"/>
    </w:p>
    <w:tbl>
      <w:tblPr>
        <w:tblW w:w="9765" w:type="dxa"/>
        <w:tblInd w:w="78" w:type="dxa"/>
        <w:tblBorders>
          <w:bottom w:val="single" w:sz="4" w:space="0" w:color="005A97"/>
          <w:insideH w:val="single" w:sz="4" w:space="0" w:color="005A97"/>
          <w:insideV w:val="single" w:sz="4" w:space="0" w:color="005A97"/>
        </w:tblBorders>
        <w:tblLayout w:type="fixed"/>
        <w:tblLook w:val="0000" w:firstRow="0" w:lastRow="0" w:firstColumn="0" w:lastColumn="0" w:noHBand="0" w:noVBand="0"/>
      </w:tblPr>
      <w:tblGrid>
        <w:gridCol w:w="881"/>
        <w:gridCol w:w="3118"/>
        <w:gridCol w:w="5766"/>
      </w:tblGrid>
      <w:tr w:rsidR="00420831" w:rsidRPr="00C946BB" w14:paraId="7DAA0238" w14:textId="77777777" w:rsidTr="004A1ED9">
        <w:trPr>
          <w:trHeight w:val="228"/>
          <w:tblHeader/>
        </w:trPr>
        <w:tc>
          <w:tcPr>
            <w:tcW w:w="881" w:type="dxa"/>
            <w:tcBorders>
              <w:top w:val="nil"/>
              <w:right w:val="single" w:sz="4" w:space="0" w:color="FFFFFF"/>
            </w:tcBorders>
            <w:shd w:val="clear" w:color="auto" w:fill="005A97"/>
            <w:vAlign w:val="center"/>
          </w:tcPr>
          <w:p w14:paraId="7DAA0235" w14:textId="77777777" w:rsidR="00420831" w:rsidRPr="00C946BB" w:rsidRDefault="00420831" w:rsidP="00E63375">
            <w:pPr>
              <w:pStyle w:val="TableHeaderrow"/>
            </w:pPr>
            <w:r w:rsidRPr="00C946BB">
              <w:t>Bore</w:t>
            </w:r>
          </w:p>
        </w:tc>
        <w:tc>
          <w:tcPr>
            <w:tcW w:w="3118" w:type="dxa"/>
            <w:tcBorders>
              <w:top w:val="nil"/>
              <w:left w:val="single" w:sz="4" w:space="0" w:color="FFFFFF"/>
              <w:right w:val="single" w:sz="4" w:space="0" w:color="FFFFFF"/>
            </w:tcBorders>
            <w:shd w:val="clear" w:color="auto" w:fill="005A97"/>
            <w:vAlign w:val="center"/>
          </w:tcPr>
          <w:p w14:paraId="7DAA0236" w14:textId="77777777" w:rsidR="00420831" w:rsidRPr="00C946BB" w:rsidRDefault="00420831" w:rsidP="00E63375">
            <w:pPr>
              <w:pStyle w:val="TableHeaderrow"/>
            </w:pPr>
            <w:r w:rsidRPr="00C946BB">
              <w:t>Details</w:t>
            </w:r>
          </w:p>
        </w:tc>
        <w:tc>
          <w:tcPr>
            <w:tcW w:w="5766" w:type="dxa"/>
            <w:tcBorders>
              <w:top w:val="nil"/>
              <w:left w:val="single" w:sz="4" w:space="0" w:color="FFFFFF"/>
            </w:tcBorders>
            <w:shd w:val="clear" w:color="auto" w:fill="005A97"/>
            <w:vAlign w:val="center"/>
          </w:tcPr>
          <w:p w14:paraId="7DAA0237" w14:textId="77777777" w:rsidR="00420831" w:rsidRPr="00C946BB" w:rsidRDefault="00420831" w:rsidP="00E63375">
            <w:pPr>
              <w:pStyle w:val="TableHeaderrow"/>
            </w:pPr>
            <w:r w:rsidRPr="00C946BB">
              <w:t xml:space="preserve">Justification </w:t>
            </w:r>
          </w:p>
        </w:tc>
      </w:tr>
      <w:tr w:rsidR="00420831" w:rsidRPr="004A1ED9" w14:paraId="7DAA023C" w14:textId="77777777" w:rsidTr="004A1ED9">
        <w:trPr>
          <w:trHeight w:val="228"/>
        </w:trPr>
        <w:tc>
          <w:tcPr>
            <w:tcW w:w="881" w:type="dxa"/>
            <w:vAlign w:val="center"/>
          </w:tcPr>
          <w:p w14:paraId="7DAA0239" w14:textId="77777777" w:rsidR="00420831" w:rsidRPr="004A1ED9" w:rsidRDefault="00420831" w:rsidP="00FF26F0">
            <w:pPr>
              <w:pStyle w:val="Tablesmalltext"/>
              <w:rPr>
                <w:sz w:val="18"/>
                <w:szCs w:val="18"/>
              </w:rPr>
            </w:pPr>
            <w:r w:rsidRPr="004A1ED9">
              <w:rPr>
                <w:sz w:val="18"/>
                <w:szCs w:val="18"/>
              </w:rPr>
              <w:t>115872</w:t>
            </w:r>
          </w:p>
        </w:tc>
        <w:tc>
          <w:tcPr>
            <w:tcW w:w="3118" w:type="dxa"/>
            <w:vAlign w:val="center"/>
          </w:tcPr>
          <w:p w14:paraId="7DAA023A" w14:textId="77777777" w:rsidR="00420831" w:rsidRPr="004A1ED9" w:rsidRDefault="00D327AC" w:rsidP="00FF26F0">
            <w:pPr>
              <w:pStyle w:val="Tablesmalltext"/>
              <w:rPr>
                <w:sz w:val="18"/>
                <w:szCs w:val="18"/>
              </w:rPr>
            </w:pPr>
            <w:r w:rsidRPr="004A1ED9">
              <w:rPr>
                <w:rFonts w:eastAsia="Times New Roman" w:cs="Arial"/>
                <w:color w:val="000000"/>
                <w:sz w:val="18"/>
                <w:szCs w:val="18"/>
                <w:lang w:eastAsia="en-AU"/>
              </w:rPr>
              <w:t>Lower Tertiary Aquifer (111)</w:t>
            </w:r>
          </w:p>
        </w:tc>
        <w:tc>
          <w:tcPr>
            <w:tcW w:w="5766" w:type="dxa"/>
            <w:vAlign w:val="center"/>
          </w:tcPr>
          <w:p w14:paraId="7DAA023B" w14:textId="104207FF" w:rsidR="00420831" w:rsidRPr="004A1ED9" w:rsidRDefault="00420831" w:rsidP="00445BFC">
            <w:pPr>
              <w:pStyle w:val="Tablesmalltext"/>
              <w:numPr>
                <w:ilvl w:val="0"/>
                <w:numId w:val="21"/>
              </w:numPr>
              <w:ind w:left="317"/>
              <w:rPr>
                <w:sz w:val="18"/>
                <w:szCs w:val="18"/>
              </w:rPr>
            </w:pPr>
            <w:r w:rsidRPr="004A1ED9">
              <w:rPr>
                <w:sz w:val="18"/>
                <w:szCs w:val="18"/>
              </w:rPr>
              <w:t>Located in the area of prospectivity and</w:t>
            </w:r>
            <w:r w:rsidR="001E696A" w:rsidRPr="004A1ED9">
              <w:rPr>
                <w:sz w:val="18"/>
                <w:szCs w:val="18"/>
              </w:rPr>
              <w:t xml:space="preserve"> key</w:t>
            </w:r>
            <w:r w:rsidRPr="004A1ED9">
              <w:rPr>
                <w:sz w:val="18"/>
                <w:szCs w:val="18"/>
              </w:rPr>
              <w:t xml:space="preserve"> </w:t>
            </w:r>
            <w:r w:rsidR="00D327AC" w:rsidRPr="004A1ED9">
              <w:rPr>
                <w:sz w:val="18"/>
                <w:szCs w:val="18"/>
              </w:rPr>
              <w:t xml:space="preserve">rivers and wetlands </w:t>
            </w:r>
          </w:p>
        </w:tc>
      </w:tr>
      <w:tr w:rsidR="00420831" w:rsidRPr="004A1ED9" w14:paraId="7DAA0240" w14:textId="77777777" w:rsidTr="004A1ED9">
        <w:trPr>
          <w:trHeight w:val="370"/>
        </w:trPr>
        <w:tc>
          <w:tcPr>
            <w:tcW w:w="881" w:type="dxa"/>
            <w:vAlign w:val="center"/>
          </w:tcPr>
          <w:p w14:paraId="7DAA023D" w14:textId="77777777" w:rsidR="00420831" w:rsidRPr="004A1ED9" w:rsidRDefault="00420831" w:rsidP="00FF26F0">
            <w:pPr>
              <w:pStyle w:val="Tablesmalltext"/>
              <w:rPr>
                <w:sz w:val="18"/>
                <w:szCs w:val="18"/>
                <w:highlight w:val="green"/>
              </w:rPr>
            </w:pPr>
            <w:r w:rsidRPr="004A1ED9">
              <w:rPr>
                <w:sz w:val="18"/>
                <w:szCs w:val="18"/>
              </w:rPr>
              <w:t>113467</w:t>
            </w:r>
          </w:p>
        </w:tc>
        <w:tc>
          <w:tcPr>
            <w:tcW w:w="3118" w:type="dxa"/>
            <w:vAlign w:val="center"/>
          </w:tcPr>
          <w:p w14:paraId="7DAA023E" w14:textId="77777777" w:rsidR="00420831" w:rsidRPr="004A1ED9" w:rsidRDefault="00D327AC" w:rsidP="00FF26F0">
            <w:pPr>
              <w:pStyle w:val="Tablesmalltext"/>
              <w:rPr>
                <w:sz w:val="18"/>
                <w:szCs w:val="18"/>
              </w:rPr>
            </w:pPr>
            <w:r w:rsidRPr="004A1ED9">
              <w:rPr>
                <w:rFonts w:eastAsia="Times New Roman" w:cs="Arial"/>
                <w:color w:val="000000"/>
                <w:sz w:val="18"/>
                <w:szCs w:val="18"/>
                <w:lang w:eastAsia="en-AU"/>
              </w:rPr>
              <w:t>Lower Tertiary Aquifer (111)</w:t>
            </w:r>
          </w:p>
        </w:tc>
        <w:tc>
          <w:tcPr>
            <w:tcW w:w="5766" w:type="dxa"/>
            <w:vAlign w:val="center"/>
          </w:tcPr>
          <w:p w14:paraId="7DAA023F" w14:textId="7B178CBD" w:rsidR="00420831" w:rsidRPr="004A1ED9" w:rsidRDefault="00420831" w:rsidP="000100DF">
            <w:pPr>
              <w:pStyle w:val="Tablesmalltext"/>
              <w:numPr>
                <w:ilvl w:val="0"/>
                <w:numId w:val="21"/>
              </w:numPr>
              <w:ind w:left="317"/>
              <w:rPr>
                <w:sz w:val="18"/>
                <w:szCs w:val="18"/>
              </w:rPr>
            </w:pPr>
            <w:r w:rsidRPr="004A1ED9">
              <w:rPr>
                <w:sz w:val="18"/>
                <w:szCs w:val="18"/>
              </w:rPr>
              <w:t xml:space="preserve">Located in the area of prospectivity and </w:t>
            </w:r>
            <w:r w:rsidR="00E87D28" w:rsidRPr="004A1ED9">
              <w:rPr>
                <w:sz w:val="18"/>
                <w:szCs w:val="18"/>
              </w:rPr>
              <w:t>key</w:t>
            </w:r>
            <w:r w:rsidRPr="004A1ED9">
              <w:rPr>
                <w:sz w:val="18"/>
                <w:szCs w:val="18"/>
              </w:rPr>
              <w:t xml:space="preserve"> rivers and wetlands</w:t>
            </w:r>
          </w:p>
        </w:tc>
      </w:tr>
      <w:tr w:rsidR="00420831" w:rsidRPr="004A1ED9" w14:paraId="7DAA0245" w14:textId="77777777" w:rsidTr="004A1ED9">
        <w:trPr>
          <w:trHeight w:val="614"/>
        </w:trPr>
        <w:tc>
          <w:tcPr>
            <w:tcW w:w="881" w:type="dxa"/>
            <w:vAlign w:val="center"/>
          </w:tcPr>
          <w:p w14:paraId="7DAA0241" w14:textId="77777777" w:rsidR="00420831" w:rsidRPr="004A1ED9" w:rsidRDefault="00420831" w:rsidP="00FF26F0">
            <w:pPr>
              <w:pStyle w:val="Tablesmalltext"/>
              <w:rPr>
                <w:sz w:val="18"/>
                <w:szCs w:val="18"/>
              </w:rPr>
            </w:pPr>
            <w:r w:rsidRPr="004A1ED9">
              <w:rPr>
                <w:sz w:val="18"/>
                <w:szCs w:val="18"/>
              </w:rPr>
              <w:t>54925</w:t>
            </w:r>
          </w:p>
        </w:tc>
        <w:tc>
          <w:tcPr>
            <w:tcW w:w="3118" w:type="dxa"/>
            <w:vAlign w:val="center"/>
          </w:tcPr>
          <w:p w14:paraId="7DAA0242" w14:textId="77777777" w:rsidR="00420831" w:rsidRPr="004A1ED9" w:rsidRDefault="00D327AC" w:rsidP="00FF26F0">
            <w:pPr>
              <w:pStyle w:val="Tablesmalltext"/>
              <w:rPr>
                <w:sz w:val="18"/>
                <w:szCs w:val="18"/>
              </w:rPr>
            </w:pPr>
            <w:r w:rsidRPr="004A1ED9">
              <w:rPr>
                <w:rFonts w:eastAsia="Times New Roman" w:cs="Arial"/>
                <w:color w:val="000000"/>
                <w:sz w:val="18"/>
                <w:szCs w:val="18"/>
                <w:lang w:eastAsia="en-AU"/>
              </w:rPr>
              <w:t>Upper Tertiary/Quaternary Basalt Aquifer (101)</w:t>
            </w:r>
          </w:p>
        </w:tc>
        <w:tc>
          <w:tcPr>
            <w:tcW w:w="5766" w:type="dxa"/>
            <w:vAlign w:val="center"/>
          </w:tcPr>
          <w:p w14:paraId="7DAA0243" w14:textId="7073E1CA" w:rsidR="0055262F" w:rsidRPr="004A1ED9" w:rsidRDefault="0055262F" w:rsidP="003E205E">
            <w:pPr>
              <w:pStyle w:val="Tablesmalltext"/>
              <w:numPr>
                <w:ilvl w:val="0"/>
                <w:numId w:val="21"/>
              </w:numPr>
              <w:ind w:left="317"/>
              <w:rPr>
                <w:sz w:val="18"/>
                <w:szCs w:val="18"/>
              </w:rPr>
            </w:pPr>
            <w:r w:rsidRPr="004A1ED9">
              <w:rPr>
                <w:sz w:val="18"/>
                <w:szCs w:val="18"/>
              </w:rPr>
              <w:t xml:space="preserve">Located in the area of prospectivity and </w:t>
            </w:r>
            <w:r w:rsidR="00E87D28" w:rsidRPr="004A1ED9">
              <w:rPr>
                <w:sz w:val="18"/>
                <w:szCs w:val="18"/>
              </w:rPr>
              <w:t>key</w:t>
            </w:r>
            <w:r w:rsidR="001E696A" w:rsidRPr="004A1ED9">
              <w:rPr>
                <w:sz w:val="18"/>
                <w:szCs w:val="18"/>
              </w:rPr>
              <w:t xml:space="preserve"> </w:t>
            </w:r>
            <w:r w:rsidRPr="004A1ED9">
              <w:rPr>
                <w:sz w:val="18"/>
                <w:szCs w:val="18"/>
              </w:rPr>
              <w:t xml:space="preserve">rivers and wetlands  </w:t>
            </w:r>
          </w:p>
          <w:p w14:paraId="7DAA0244" w14:textId="77777777" w:rsidR="00420831" w:rsidRPr="004A1ED9" w:rsidRDefault="0055262F" w:rsidP="003E205E">
            <w:pPr>
              <w:pStyle w:val="Tablesmalltext"/>
              <w:numPr>
                <w:ilvl w:val="0"/>
                <w:numId w:val="21"/>
              </w:numPr>
              <w:ind w:left="317"/>
              <w:rPr>
                <w:sz w:val="18"/>
                <w:szCs w:val="18"/>
              </w:rPr>
            </w:pPr>
            <w:r w:rsidRPr="004A1ED9">
              <w:rPr>
                <w:sz w:val="18"/>
                <w:szCs w:val="18"/>
              </w:rPr>
              <w:t>Monitors the watertable aquifer</w:t>
            </w:r>
          </w:p>
        </w:tc>
      </w:tr>
      <w:tr w:rsidR="00420831" w:rsidRPr="004A1ED9" w14:paraId="7DAA0249" w14:textId="77777777" w:rsidTr="004A1ED9">
        <w:trPr>
          <w:trHeight w:val="684"/>
        </w:trPr>
        <w:tc>
          <w:tcPr>
            <w:tcW w:w="881" w:type="dxa"/>
            <w:vAlign w:val="center"/>
          </w:tcPr>
          <w:p w14:paraId="7DAA0246" w14:textId="77777777" w:rsidR="00420831" w:rsidRPr="004A1ED9" w:rsidRDefault="00420831" w:rsidP="00FF26F0">
            <w:pPr>
              <w:pStyle w:val="Tablesmalltext"/>
              <w:rPr>
                <w:sz w:val="18"/>
                <w:szCs w:val="18"/>
              </w:rPr>
            </w:pPr>
            <w:r w:rsidRPr="004A1ED9">
              <w:rPr>
                <w:sz w:val="18"/>
                <w:szCs w:val="18"/>
              </w:rPr>
              <w:t>142660</w:t>
            </w:r>
          </w:p>
        </w:tc>
        <w:tc>
          <w:tcPr>
            <w:tcW w:w="3118" w:type="dxa"/>
            <w:vAlign w:val="center"/>
          </w:tcPr>
          <w:p w14:paraId="7DAA0247" w14:textId="77777777" w:rsidR="00420831" w:rsidRPr="004A1ED9" w:rsidRDefault="0055262F" w:rsidP="00FF26F0">
            <w:pPr>
              <w:pStyle w:val="Tablesmalltext"/>
              <w:rPr>
                <w:sz w:val="18"/>
                <w:szCs w:val="18"/>
              </w:rPr>
            </w:pPr>
            <w:r w:rsidRPr="004A1ED9">
              <w:rPr>
                <w:rFonts w:eastAsia="Times New Roman" w:cs="Arial"/>
                <w:color w:val="000000"/>
                <w:sz w:val="18"/>
                <w:szCs w:val="18"/>
                <w:lang w:eastAsia="en-AU"/>
              </w:rPr>
              <w:t>Upper Tertiary/Quaternary Basalt Aquifer (101)</w:t>
            </w:r>
          </w:p>
        </w:tc>
        <w:tc>
          <w:tcPr>
            <w:tcW w:w="5766" w:type="dxa"/>
            <w:vAlign w:val="center"/>
          </w:tcPr>
          <w:p w14:paraId="7DAA0248" w14:textId="08E91268" w:rsidR="00420831" w:rsidRPr="004A1ED9" w:rsidRDefault="0055262F" w:rsidP="00445BFC">
            <w:pPr>
              <w:pStyle w:val="Tablesmalltext"/>
              <w:numPr>
                <w:ilvl w:val="0"/>
                <w:numId w:val="21"/>
              </w:numPr>
              <w:ind w:left="317"/>
              <w:rPr>
                <w:sz w:val="18"/>
                <w:szCs w:val="18"/>
              </w:rPr>
            </w:pPr>
            <w:r w:rsidRPr="004A1ED9">
              <w:rPr>
                <w:sz w:val="18"/>
                <w:szCs w:val="18"/>
              </w:rPr>
              <w:t xml:space="preserve">Located in the area of prospectivity and </w:t>
            </w:r>
            <w:r w:rsidR="00E87D28" w:rsidRPr="004A1ED9">
              <w:rPr>
                <w:sz w:val="18"/>
                <w:szCs w:val="18"/>
              </w:rPr>
              <w:t>key</w:t>
            </w:r>
            <w:r w:rsidR="001E696A" w:rsidRPr="004A1ED9">
              <w:rPr>
                <w:sz w:val="18"/>
                <w:szCs w:val="18"/>
              </w:rPr>
              <w:t xml:space="preserve"> </w:t>
            </w:r>
            <w:r w:rsidRPr="004A1ED9">
              <w:rPr>
                <w:sz w:val="18"/>
                <w:szCs w:val="18"/>
              </w:rPr>
              <w:t xml:space="preserve">rivers and wetlands (including RAMSAR wetland site Lake Corangamite) </w:t>
            </w:r>
          </w:p>
        </w:tc>
      </w:tr>
      <w:tr w:rsidR="00420831" w:rsidRPr="004A1ED9" w14:paraId="7DAA024D" w14:textId="77777777" w:rsidTr="004A1ED9">
        <w:trPr>
          <w:trHeight w:val="414"/>
        </w:trPr>
        <w:tc>
          <w:tcPr>
            <w:tcW w:w="881" w:type="dxa"/>
            <w:vAlign w:val="center"/>
          </w:tcPr>
          <w:p w14:paraId="7DAA024A" w14:textId="77777777" w:rsidR="00420831" w:rsidRPr="004A1ED9" w:rsidRDefault="00420831" w:rsidP="00FF26F0">
            <w:pPr>
              <w:pStyle w:val="Tablesmalltext"/>
              <w:rPr>
                <w:sz w:val="18"/>
                <w:szCs w:val="18"/>
              </w:rPr>
            </w:pPr>
            <w:r w:rsidRPr="004A1ED9">
              <w:rPr>
                <w:sz w:val="18"/>
                <w:szCs w:val="18"/>
              </w:rPr>
              <w:t>141241</w:t>
            </w:r>
          </w:p>
        </w:tc>
        <w:tc>
          <w:tcPr>
            <w:tcW w:w="3118" w:type="dxa"/>
            <w:vAlign w:val="center"/>
          </w:tcPr>
          <w:p w14:paraId="7DAA024B" w14:textId="77777777" w:rsidR="00420831" w:rsidRPr="004A1ED9" w:rsidRDefault="0055262F" w:rsidP="00FF26F0">
            <w:pPr>
              <w:pStyle w:val="Tablesmalltext"/>
              <w:rPr>
                <w:sz w:val="18"/>
                <w:szCs w:val="18"/>
              </w:rPr>
            </w:pPr>
            <w:r w:rsidRPr="004A1ED9">
              <w:rPr>
                <w:rFonts w:eastAsia="Times New Roman" w:cs="Arial"/>
                <w:color w:val="000000"/>
                <w:sz w:val="18"/>
                <w:szCs w:val="18"/>
                <w:lang w:eastAsia="en-AU"/>
              </w:rPr>
              <w:t>Upper Mid-Tertiary Aquifer (107)</w:t>
            </w:r>
          </w:p>
        </w:tc>
        <w:tc>
          <w:tcPr>
            <w:tcW w:w="5766" w:type="dxa"/>
            <w:vAlign w:val="center"/>
          </w:tcPr>
          <w:p w14:paraId="7DAA024C" w14:textId="50396AFF" w:rsidR="00420831" w:rsidRPr="004A1ED9" w:rsidRDefault="0055262F" w:rsidP="00445BFC">
            <w:pPr>
              <w:pStyle w:val="Tablesmalltext"/>
              <w:numPr>
                <w:ilvl w:val="0"/>
                <w:numId w:val="21"/>
              </w:numPr>
              <w:ind w:left="317"/>
              <w:rPr>
                <w:sz w:val="18"/>
                <w:szCs w:val="18"/>
              </w:rPr>
            </w:pPr>
            <w:r w:rsidRPr="004A1ED9">
              <w:rPr>
                <w:sz w:val="18"/>
                <w:szCs w:val="18"/>
              </w:rPr>
              <w:t xml:space="preserve">Located in the area of prospectivity and </w:t>
            </w:r>
            <w:r w:rsidR="00E87D28" w:rsidRPr="004A1ED9">
              <w:rPr>
                <w:sz w:val="18"/>
                <w:szCs w:val="18"/>
              </w:rPr>
              <w:t>key</w:t>
            </w:r>
            <w:r w:rsidR="001E696A" w:rsidRPr="004A1ED9">
              <w:rPr>
                <w:sz w:val="18"/>
                <w:szCs w:val="18"/>
              </w:rPr>
              <w:t xml:space="preserve"> </w:t>
            </w:r>
            <w:r w:rsidRPr="004A1ED9">
              <w:rPr>
                <w:sz w:val="18"/>
                <w:szCs w:val="18"/>
              </w:rPr>
              <w:t xml:space="preserve">rivers and wetlands </w:t>
            </w:r>
          </w:p>
        </w:tc>
      </w:tr>
      <w:tr w:rsidR="00DF5A02" w:rsidRPr="004A1ED9" w14:paraId="7DAA0251" w14:textId="77777777" w:rsidTr="004A1ED9">
        <w:trPr>
          <w:trHeight w:val="414"/>
        </w:trPr>
        <w:tc>
          <w:tcPr>
            <w:tcW w:w="881" w:type="dxa"/>
            <w:vAlign w:val="center"/>
          </w:tcPr>
          <w:p w14:paraId="7DAA024E" w14:textId="77777777" w:rsidR="00DF5A02" w:rsidRPr="004A1ED9" w:rsidRDefault="00DF5A02" w:rsidP="00FF26F0">
            <w:pPr>
              <w:pStyle w:val="Tablesmalltext"/>
              <w:rPr>
                <w:sz w:val="18"/>
                <w:szCs w:val="18"/>
              </w:rPr>
            </w:pPr>
            <w:r w:rsidRPr="004A1ED9">
              <w:rPr>
                <w:sz w:val="18"/>
                <w:szCs w:val="18"/>
              </w:rPr>
              <w:t>141242</w:t>
            </w:r>
          </w:p>
        </w:tc>
        <w:tc>
          <w:tcPr>
            <w:tcW w:w="3118" w:type="dxa"/>
            <w:vAlign w:val="center"/>
          </w:tcPr>
          <w:p w14:paraId="7DAA024F" w14:textId="77777777" w:rsidR="00DF5A02" w:rsidRPr="004A1ED9" w:rsidRDefault="00DF5A02" w:rsidP="00FF26F0">
            <w:pPr>
              <w:pStyle w:val="Tablesmalltext"/>
              <w:rPr>
                <w:rFonts w:eastAsia="Times New Roman" w:cs="Arial"/>
                <w:color w:val="000000"/>
                <w:sz w:val="18"/>
                <w:szCs w:val="18"/>
                <w:lang w:eastAsia="en-AU"/>
              </w:rPr>
            </w:pPr>
            <w:r w:rsidRPr="004A1ED9">
              <w:rPr>
                <w:rFonts w:cs="Arial"/>
                <w:color w:val="000000"/>
                <w:sz w:val="18"/>
                <w:szCs w:val="18"/>
              </w:rPr>
              <w:t>Upper Mid-Tertiary Aquifer (107)</w:t>
            </w:r>
          </w:p>
        </w:tc>
        <w:tc>
          <w:tcPr>
            <w:tcW w:w="5766" w:type="dxa"/>
            <w:vAlign w:val="center"/>
          </w:tcPr>
          <w:p w14:paraId="7DAA0250" w14:textId="45CA9CAA" w:rsidR="00DF5A02" w:rsidRPr="004A1ED9" w:rsidRDefault="00DF5A02" w:rsidP="00445BFC">
            <w:pPr>
              <w:pStyle w:val="Tablesmalltext"/>
              <w:numPr>
                <w:ilvl w:val="0"/>
                <w:numId w:val="21"/>
              </w:numPr>
              <w:ind w:left="317"/>
              <w:rPr>
                <w:sz w:val="18"/>
                <w:szCs w:val="18"/>
              </w:rPr>
            </w:pPr>
            <w:r w:rsidRPr="004A1ED9">
              <w:rPr>
                <w:sz w:val="18"/>
                <w:szCs w:val="18"/>
              </w:rPr>
              <w:t xml:space="preserve">Located in the area of prospectivity and </w:t>
            </w:r>
            <w:r w:rsidR="00E87D28" w:rsidRPr="004A1ED9">
              <w:rPr>
                <w:sz w:val="18"/>
                <w:szCs w:val="18"/>
              </w:rPr>
              <w:t>key</w:t>
            </w:r>
            <w:r w:rsidR="001E696A" w:rsidRPr="004A1ED9">
              <w:rPr>
                <w:sz w:val="18"/>
                <w:szCs w:val="18"/>
              </w:rPr>
              <w:t xml:space="preserve"> </w:t>
            </w:r>
            <w:r w:rsidRPr="004A1ED9">
              <w:rPr>
                <w:sz w:val="18"/>
                <w:szCs w:val="18"/>
              </w:rPr>
              <w:t xml:space="preserve">rivers and wetlands </w:t>
            </w:r>
          </w:p>
        </w:tc>
      </w:tr>
    </w:tbl>
    <w:p w14:paraId="7DAA0252" w14:textId="77777777" w:rsidR="000C564C" w:rsidRPr="000C564C" w:rsidRDefault="000C564C" w:rsidP="000C564C">
      <w:pPr>
        <w:rPr>
          <w:lang w:val="en-AU"/>
        </w:rPr>
      </w:pPr>
    </w:p>
    <w:p w14:paraId="4DE2702C" w14:textId="77777777" w:rsidR="004A1ED9" w:rsidRDefault="00234227" w:rsidP="004A1ED9">
      <w:pPr>
        <w:pStyle w:val="figurereturn"/>
      </w:pPr>
      <w:bookmarkStart w:id="62" w:name="_Ref414005386"/>
      <w:bookmarkStart w:id="63" w:name="_Toc420327762"/>
      <w:r>
        <w:drawing>
          <wp:inline distT="0" distB="0" distL="0" distR="0" wp14:anchorId="0C143E45" wp14:editId="7A0BE9FD">
            <wp:extent cx="6023445" cy="4095750"/>
            <wp:effectExtent l="19050" t="19050" r="15875" b="1905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22096" cy="4094833"/>
                    </a:xfrm>
                    <a:prstGeom prst="rect">
                      <a:avLst/>
                    </a:prstGeom>
                    <a:noFill/>
                    <a:ln>
                      <a:solidFill>
                        <a:schemeClr val="accent1"/>
                      </a:solidFill>
                    </a:ln>
                  </pic:spPr>
                </pic:pic>
              </a:graphicData>
            </a:graphic>
          </wp:inline>
        </w:drawing>
      </w:r>
    </w:p>
    <w:p w14:paraId="56627848" w14:textId="02F634DC" w:rsidR="006F7FED" w:rsidRDefault="00FF26F0" w:rsidP="00D0375F">
      <w:pPr>
        <w:pStyle w:val="Figuretitle"/>
      </w:pPr>
      <w:r>
        <w:t xml:space="preserve">Figure </w:t>
      </w:r>
      <w:r w:rsidR="00B91643">
        <w:fldChar w:fldCharType="begin"/>
      </w:r>
      <w:r w:rsidR="00B91643">
        <w:instrText xml:space="preserve"> SEQ Figure \* ARABIC </w:instrText>
      </w:r>
      <w:r w:rsidR="00B91643">
        <w:fldChar w:fldCharType="separate"/>
      </w:r>
      <w:r w:rsidR="00BD60CC">
        <w:rPr>
          <w:noProof/>
        </w:rPr>
        <w:t>11</w:t>
      </w:r>
      <w:r w:rsidR="00B91643">
        <w:rPr>
          <w:noProof/>
        </w:rPr>
        <w:fldChar w:fldCharType="end"/>
      </w:r>
      <w:bookmarkEnd w:id="62"/>
      <w:r>
        <w:t xml:space="preserve"> </w:t>
      </w:r>
      <w:r w:rsidR="000C564C" w:rsidRPr="000C564C">
        <w:t>Hopkins-Corangamite G</w:t>
      </w:r>
      <w:r w:rsidR="001E696A">
        <w:t xml:space="preserve">roundwater </w:t>
      </w:r>
      <w:r w:rsidR="000C564C" w:rsidRPr="000C564C">
        <w:t>C</w:t>
      </w:r>
      <w:r w:rsidR="001E696A">
        <w:t xml:space="preserve">atchment </w:t>
      </w:r>
      <w:r w:rsidR="000C564C" w:rsidRPr="000C564C">
        <w:t>U</w:t>
      </w:r>
      <w:r w:rsidR="001E696A">
        <w:t>nit</w:t>
      </w:r>
      <w:r w:rsidR="000C564C" w:rsidRPr="000C564C">
        <w:t xml:space="preserve"> showing prospective natural gas areas and proposed monitoring bores (black circles)</w:t>
      </w:r>
      <w:bookmarkEnd w:id="63"/>
      <w:r w:rsidR="00B26FF6">
        <w:t xml:space="preserve"> </w:t>
      </w:r>
    </w:p>
    <w:p w14:paraId="4AD28025" w14:textId="0F06FD17" w:rsidR="006F7FED" w:rsidRPr="000C564C" w:rsidRDefault="000C564C" w:rsidP="006F7FED">
      <w:pPr>
        <w:pStyle w:val="Head3xxx"/>
        <w:ind w:left="851"/>
      </w:pPr>
      <w:r w:rsidRPr="006F7FED">
        <w:rPr>
          <w:lang w:val="en-AU"/>
        </w:rPr>
        <w:t>Portland G</w:t>
      </w:r>
      <w:r w:rsidR="001E696A" w:rsidRPr="006F7FED">
        <w:rPr>
          <w:lang w:val="en-AU"/>
        </w:rPr>
        <w:t xml:space="preserve">roundwater </w:t>
      </w:r>
      <w:r w:rsidRPr="006F7FED">
        <w:rPr>
          <w:lang w:val="en-AU"/>
        </w:rPr>
        <w:t>C</w:t>
      </w:r>
      <w:r w:rsidR="001E696A" w:rsidRPr="006F7FED">
        <w:rPr>
          <w:lang w:val="en-AU"/>
        </w:rPr>
        <w:t xml:space="preserve">atchment </w:t>
      </w:r>
      <w:r w:rsidRPr="006F7FED">
        <w:rPr>
          <w:lang w:val="en-AU"/>
        </w:rPr>
        <w:t>U</w:t>
      </w:r>
      <w:r w:rsidR="001E696A" w:rsidRPr="006F7FED">
        <w:rPr>
          <w:lang w:val="en-AU"/>
        </w:rPr>
        <w:t>nit</w:t>
      </w:r>
    </w:p>
    <w:p w14:paraId="7DAA0258" w14:textId="31D5ED76" w:rsidR="000C564C" w:rsidRPr="000C564C" w:rsidRDefault="000C564C" w:rsidP="000C564C">
      <w:pPr>
        <w:rPr>
          <w:lang w:val="en-AU"/>
        </w:rPr>
      </w:pPr>
      <w:r w:rsidRPr="000C564C">
        <w:rPr>
          <w:lang w:val="en-AU"/>
        </w:rPr>
        <w:t xml:space="preserve">Within the Portland GCU, the Killara </w:t>
      </w:r>
      <w:r w:rsidR="006742B6">
        <w:rPr>
          <w:lang w:val="en-AU"/>
        </w:rPr>
        <w:t>coal seam gas</w:t>
      </w:r>
      <w:r w:rsidRPr="000C564C">
        <w:rPr>
          <w:lang w:val="en-AU"/>
        </w:rPr>
        <w:t xml:space="preserve"> prospect near Hawkesdale and Digby present the primary prospect areas for natural gas. These areas were intersected with </w:t>
      </w:r>
      <w:r w:rsidR="00445BFC">
        <w:rPr>
          <w:lang w:val="en-AU"/>
        </w:rPr>
        <w:t>key</w:t>
      </w:r>
      <w:r w:rsidRPr="000C564C">
        <w:rPr>
          <w:lang w:val="en-AU"/>
        </w:rPr>
        <w:t xml:space="preserve"> waterways and wetlands as identified from VWAD to identify bores for inclusion in th</w:t>
      </w:r>
      <w:r w:rsidR="00857ACF">
        <w:rPr>
          <w:lang w:val="en-AU"/>
        </w:rPr>
        <w:t xml:space="preserve">e </w:t>
      </w:r>
      <w:r w:rsidR="00FF26F0">
        <w:rPr>
          <w:lang w:val="en-AU"/>
        </w:rPr>
        <w:t xml:space="preserve">monitoring program. </w:t>
      </w:r>
      <w:r w:rsidR="00FF26F0">
        <w:rPr>
          <w:lang w:val="en-AU"/>
        </w:rPr>
        <w:fldChar w:fldCharType="begin"/>
      </w:r>
      <w:r w:rsidR="00FF26F0">
        <w:rPr>
          <w:lang w:val="en-AU"/>
        </w:rPr>
        <w:instrText xml:space="preserve"> REF _Ref414005489 \h </w:instrText>
      </w:r>
      <w:r w:rsidR="00FF26F0">
        <w:rPr>
          <w:lang w:val="en-AU"/>
        </w:rPr>
      </w:r>
      <w:r w:rsidR="00FF26F0">
        <w:rPr>
          <w:lang w:val="en-AU"/>
        </w:rPr>
        <w:fldChar w:fldCharType="separate"/>
      </w:r>
      <w:r w:rsidR="00BD60CC" w:rsidRPr="0055262F">
        <w:t xml:space="preserve">Figure </w:t>
      </w:r>
      <w:r w:rsidR="00BD60CC">
        <w:rPr>
          <w:noProof/>
        </w:rPr>
        <w:t>12</w:t>
      </w:r>
      <w:r w:rsidR="00FF26F0">
        <w:rPr>
          <w:lang w:val="en-AU"/>
        </w:rPr>
        <w:fldChar w:fldCharType="end"/>
      </w:r>
      <w:r w:rsidR="00FF26F0">
        <w:rPr>
          <w:lang w:val="en-AU"/>
        </w:rPr>
        <w:t xml:space="preserve"> </w:t>
      </w:r>
      <w:r w:rsidRPr="000C564C">
        <w:rPr>
          <w:lang w:val="en-AU"/>
        </w:rPr>
        <w:t xml:space="preserve">shows the proposed sampling bores which are summarised in </w:t>
      </w:r>
      <w:r w:rsidR="00FF26F0">
        <w:rPr>
          <w:lang w:val="en-AU"/>
        </w:rPr>
        <w:fldChar w:fldCharType="begin"/>
      </w:r>
      <w:r w:rsidR="00FF26F0">
        <w:rPr>
          <w:lang w:val="en-AU"/>
        </w:rPr>
        <w:instrText xml:space="preserve"> REF _Ref414005461 \h </w:instrText>
      </w:r>
      <w:r w:rsidR="00FF26F0">
        <w:rPr>
          <w:lang w:val="en-AU"/>
        </w:rPr>
      </w:r>
      <w:r w:rsidR="00FF26F0">
        <w:rPr>
          <w:lang w:val="en-AU"/>
        </w:rPr>
        <w:fldChar w:fldCharType="separate"/>
      </w:r>
      <w:r w:rsidR="00BD60CC" w:rsidRPr="004F307F">
        <w:t xml:space="preserve">Table </w:t>
      </w:r>
      <w:r w:rsidR="00BD60CC">
        <w:rPr>
          <w:noProof/>
        </w:rPr>
        <w:t>2</w:t>
      </w:r>
      <w:r w:rsidR="00FF26F0">
        <w:rPr>
          <w:lang w:val="en-AU"/>
        </w:rPr>
        <w:fldChar w:fldCharType="end"/>
      </w:r>
      <w:r w:rsidRPr="000C564C">
        <w:rPr>
          <w:lang w:val="en-AU"/>
        </w:rPr>
        <w:t xml:space="preserve">. </w:t>
      </w:r>
    </w:p>
    <w:p w14:paraId="7DAA0259" w14:textId="3E0541BE" w:rsidR="000C564C" w:rsidRPr="004F307F" w:rsidRDefault="00FF26F0" w:rsidP="004F307F">
      <w:pPr>
        <w:pStyle w:val="Tableheading"/>
      </w:pPr>
      <w:bookmarkStart w:id="64" w:name="_Ref414005461"/>
      <w:bookmarkStart w:id="65" w:name="_Toc420320552"/>
      <w:r w:rsidRPr="004F307F">
        <w:t xml:space="preserve">Table </w:t>
      </w:r>
      <w:r w:rsidRPr="004F307F">
        <w:fldChar w:fldCharType="begin"/>
      </w:r>
      <w:r w:rsidRPr="004F307F">
        <w:instrText xml:space="preserve"> SEQ Table \* ARABIC </w:instrText>
      </w:r>
      <w:r w:rsidRPr="004F307F">
        <w:fldChar w:fldCharType="separate"/>
      </w:r>
      <w:r w:rsidR="00BD60CC">
        <w:rPr>
          <w:noProof/>
        </w:rPr>
        <w:t>2</w:t>
      </w:r>
      <w:r w:rsidRPr="004F307F">
        <w:fldChar w:fldCharType="end"/>
      </w:r>
      <w:bookmarkEnd w:id="64"/>
      <w:r w:rsidRPr="004F307F">
        <w:t xml:space="preserve"> </w:t>
      </w:r>
      <w:r w:rsidR="00857ACF">
        <w:t>Proposed monitoring</w:t>
      </w:r>
      <w:r w:rsidR="000C564C" w:rsidRPr="004F307F">
        <w:t xml:space="preserve"> bores in areas of prospectivity and high value Groundwater Dependent Environmental Assets</w:t>
      </w:r>
      <w:bookmarkEnd w:id="65"/>
    </w:p>
    <w:tbl>
      <w:tblPr>
        <w:tblW w:w="9765" w:type="dxa"/>
        <w:tblInd w:w="78" w:type="dxa"/>
        <w:tblBorders>
          <w:bottom w:val="single" w:sz="4" w:space="0" w:color="005A97"/>
          <w:insideH w:val="single" w:sz="4" w:space="0" w:color="005A97"/>
          <w:insideV w:val="single" w:sz="4" w:space="0" w:color="005A97"/>
        </w:tblBorders>
        <w:tblLayout w:type="fixed"/>
        <w:tblLook w:val="0000" w:firstRow="0" w:lastRow="0" w:firstColumn="0" w:lastColumn="0" w:noHBand="0" w:noVBand="0"/>
      </w:tblPr>
      <w:tblGrid>
        <w:gridCol w:w="1306"/>
        <w:gridCol w:w="2977"/>
        <w:gridCol w:w="5482"/>
      </w:tblGrid>
      <w:tr w:rsidR="00420831" w:rsidRPr="00A44265" w14:paraId="7DAA025D" w14:textId="77777777" w:rsidTr="004A1ED9">
        <w:trPr>
          <w:trHeight w:val="228"/>
          <w:tblHeader/>
        </w:trPr>
        <w:tc>
          <w:tcPr>
            <w:tcW w:w="1306" w:type="dxa"/>
            <w:tcBorders>
              <w:top w:val="nil"/>
              <w:right w:val="single" w:sz="4" w:space="0" w:color="FFFFFF"/>
            </w:tcBorders>
            <w:shd w:val="clear" w:color="auto" w:fill="005A97"/>
            <w:vAlign w:val="center"/>
          </w:tcPr>
          <w:p w14:paraId="7DAA025A" w14:textId="77777777" w:rsidR="00420831" w:rsidRPr="00A44265" w:rsidRDefault="00420831" w:rsidP="00E63375">
            <w:pPr>
              <w:pStyle w:val="TableHeaderrow"/>
            </w:pPr>
            <w:r w:rsidRPr="00A44265">
              <w:t>Bore</w:t>
            </w:r>
          </w:p>
        </w:tc>
        <w:tc>
          <w:tcPr>
            <w:tcW w:w="2977" w:type="dxa"/>
            <w:tcBorders>
              <w:top w:val="nil"/>
              <w:left w:val="single" w:sz="4" w:space="0" w:color="FFFFFF"/>
              <w:right w:val="single" w:sz="4" w:space="0" w:color="FFFFFF"/>
            </w:tcBorders>
            <w:shd w:val="clear" w:color="auto" w:fill="005A97"/>
            <w:vAlign w:val="center"/>
          </w:tcPr>
          <w:p w14:paraId="7DAA025B" w14:textId="77777777" w:rsidR="00420831" w:rsidRPr="00A44265" w:rsidRDefault="00420831" w:rsidP="00E63375">
            <w:pPr>
              <w:pStyle w:val="TableHeaderrow"/>
            </w:pPr>
            <w:r w:rsidRPr="00A44265">
              <w:t>Details</w:t>
            </w:r>
          </w:p>
        </w:tc>
        <w:tc>
          <w:tcPr>
            <w:tcW w:w="5482" w:type="dxa"/>
            <w:tcBorders>
              <w:top w:val="nil"/>
              <w:left w:val="single" w:sz="4" w:space="0" w:color="FFFFFF"/>
            </w:tcBorders>
            <w:shd w:val="clear" w:color="auto" w:fill="005A97"/>
            <w:vAlign w:val="center"/>
          </w:tcPr>
          <w:p w14:paraId="7DAA025C" w14:textId="77777777" w:rsidR="00420831" w:rsidRPr="00A44265" w:rsidRDefault="00420831" w:rsidP="00E63375">
            <w:pPr>
              <w:pStyle w:val="TableHeaderrow"/>
            </w:pPr>
            <w:r w:rsidRPr="00A44265">
              <w:t xml:space="preserve">Justification </w:t>
            </w:r>
          </w:p>
        </w:tc>
      </w:tr>
      <w:tr w:rsidR="000138D4" w:rsidRPr="004A1ED9" w14:paraId="7DAA0261" w14:textId="77777777" w:rsidTr="004A1ED9">
        <w:trPr>
          <w:trHeight w:val="438"/>
        </w:trPr>
        <w:tc>
          <w:tcPr>
            <w:tcW w:w="1306" w:type="dxa"/>
            <w:vAlign w:val="center"/>
          </w:tcPr>
          <w:p w14:paraId="7DAA025E" w14:textId="77777777" w:rsidR="000138D4" w:rsidRPr="004A1ED9" w:rsidRDefault="000138D4" w:rsidP="000138D4">
            <w:pPr>
              <w:pStyle w:val="Tablesmalltext"/>
              <w:rPr>
                <w:sz w:val="18"/>
                <w:szCs w:val="18"/>
              </w:rPr>
            </w:pPr>
            <w:r w:rsidRPr="004A1ED9">
              <w:rPr>
                <w:sz w:val="18"/>
                <w:szCs w:val="18"/>
              </w:rPr>
              <w:t>111524</w:t>
            </w:r>
          </w:p>
        </w:tc>
        <w:tc>
          <w:tcPr>
            <w:tcW w:w="2977" w:type="dxa"/>
            <w:vAlign w:val="center"/>
          </w:tcPr>
          <w:p w14:paraId="7DAA025F" w14:textId="77777777" w:rsidR="000138D4" w:rsidRPr="004A1ED9" w:rsidRDefault="000138D4" w:rsidP="000138D4">
            <w:pPr>
              <w:pStyle w:val="Tablesmalltext"/>
              <w:rPr>
                <w:rFonts w:eastAsia="Times New Roman" w:cs="Arial"/>
                <w:color w:val="000000"/>
                <w:sz w:val="18"/>
                <w:szCs w:val="18"/>
                <w:lang w:eastAsia="en-AU"/>
              </w:rPr>
            </w:pPr>
            <w:r w:rsidRPr="004A1ED9">
              <w:rPr>
                <w:rFonts w:eastAsia="Times New Roman" w:cs="Arial"/>
                <w:color w:val="000000"/>
                <w:sz w:val="18"/>
                <w:szCs w:val="18"/>
                <w:lang w:eastAsia="en-AU"/>
              </w:rPr>
              <w:t>Upper Mid-Tertiary Aquifer (107)</w:t>
            </w:r>
          </w:p>
        </w:tc>
        <w:tc>
          <w:tcPr>
            <w:tcW w:w="5482" w:type="dxa"/>
            <w:vAlign w:val="center"/>
          </w:tcPr>
          <w:p w14:paraId="7DAA0260" w14:textId="2B7E4171" w:rsidR="000138D4" w:rsidRPr="004A1ED9" w:rsidRDefault="000138D4" w:rsidP="004A1ED9">
            <w:pPr>
              <w:pStyle w:val="Tablesmalltext"/>
              <w:numPr>
                <w:ilvl w:val="0"/>
                <w:numId w:val="21"/>
              </w:numPr>
              <w:ind w:left="317" w:hanging="283"/>
              <w:rPr>
                <w:sz w:val="18"/>
                <w:szCs w:val="18"/>
              </w:rPr>
            </w:pPr>
            <w:r w:rsidRPr="004A1ED9">
              <w:rPr>
                <w:sz w:val="18"/>
                <w:szCs w:val="18"/>
              </w:rPr>
              <w:t xml:space="preserve">Located in the area of prospectivity and </w:t>
            </w:r>
            <w:r w:rsidR="00445BFC" w:rsidRPr="004A1ED9">
              <w:rPr>
                <w:sz w:val="18"/>
                <w:szCs w:val="18"/>
              </w:rPr>
              <w:t>key</w:t>
            </w:r>
            <w:r w:rsidR="001E696A" w:rsidRPr="004A1ED9">
              <w:rPr>
                <w:sz w:val="18"/>
                <w:szCs w:val="18"/>
              </w:rPr>
              <w:t xml:space="preserve"> </w:t>
            </w:r>
            <w:r w:rsidRPr="004A1ED9">
              <w:rPr>
                <w:sz w:val="18"/>
                <w:szCs w:val="18"/>
              </w:rPr>
              <w:t xml:space="preserve">rivers and wetlands </w:t>
            </w:r>
          </w:p>
        </w:tc>
      </w:tr>
      <w:tr w:rsidR="000138D4" w:rsidRPr="004A1ED9" w14:paraId="7DAA0266" w14:textId="77777777" w:rsidTr="004A1ED9">
        <w:trPr>
          <w:trHeight w:val="933"/>
        </w:trPr>
        <w:tc>
          <w:tcPr>
            <w:tcW w:w="1306" w:type="dxa"/>
            <w:vAlign w:val="center"/>
          </w:tcPr>
          <w:p w14:paraId="7DAA0262" w14:textId="77777777" w:rsidR="000138D4" w:rsidRPr="004A1ED9" w:rsidRDefault="000138D4" w:rsidP="000138D4">
            <w:pPr>
              <w:pStyle w:val="Tablesmalltext"/>
              <w:rPr>
                <w:sz w:val="18"/>
                <w:szCs w:val="18"/>
              </w:rPr>
            </w:pPr>
            <w:r w:rsidRPr="004A1ED9">
              <w:rPr>
                <w:sz w:val="18"/>
                <w:szCs w:val="18"/>
              </w:rPr>
              <w:t>111525</w:t>
            </w:r>
          </w:p>
        </w:tc>
        <w:tc>
          <w:tcPr>
            <w:tcW w:w="2977" w:type="dxa"/>
            <w:vAlign w:val="center"/>
          </w:tcPr>
          <w:p w14:paraId="7DAA0263" w14:textId="77777777" w:rsidR="000138D4" w:rsidRPr="004A1ED9" w:rsidRDefault="000138D4" w:rsidP="000138D4">
            <w:pPr>
              <w:pStyle w:val="Tablesmalltext"/>
              <w:rPr>
                <w:rFonts w:eastAsia="Times New Roman" w:cs="Arial"/>
                <w:color w:val="000000"/>
                <w:sz w:val="18"/>
                <w:szCs w:val="18"/>
                <w:lang w:eastAsia="en-AU"/>
              </w:rPr>
            </w:pPr>
            <w:r w:rsidRPr="004A1ED9">
              <w:rPr>
                <w:rFonts w:eastAsia="Times New Roman" w:cs="Arial"/>
                <w:color w:val="000000"/>
                <w:sz w:val="18"/>
                <w:szCs w:val="18"/>
                <w:lang w:eastAsia="en-AU"/>
              </w:rPr>
              <w:t>Upper Tertiary/Quaternary Basalt Aquifer (101))</w:t>
            </w:r>
          </w:p>
        </w:tc>
        <w:tc>
          <w:tcPr>
            <w:tcW w:w="5482" w:type="dxa"/>
            <w:vAlign w:val="center"/>
          </w:tcPr>
          <w:p w14:paraId="7DAA0264" w14:textId="6B2E0C4F" w:rsidR="000138D4" w:rsidRPr="004A1ED9" w:rsidRDefault="000138D4" w:rsidP="004A1ED9">
            <w:pPr>
              <w:pStyle w:val="Tablesmalltext"/>
              <w:numPr>
                <w:ilvl w:val="0"/>
                <w:numId w:val="21"/>
              </w:numPr>
              <w:ind w:left="317" w:hanging="283"/>
              <w:rPr>
                <w:sz w:val="18"/>
                <w:szCs w:val="18"/>
              </w:rPr>
            </w:pPr>
            <w:r w:rsidRPr="004A1ED9">
              <w:rPr>
                <w:sz w:val="18"/>
                <w:szCs w:val="18"/>
              </w:rPr>
              <w:t xml:space="preserve">Located in the area of prospectivity and </w:t>
            </w:r>
            <w:r w:rsidR="00445BFC" w:rsidRPr="004A1ED9">
              <w:rPr>
                <w:sz w:val="18"/>
                <w:szCs w:val="18"/>
              </w:rPr>
              <w:t xml:space="preserve">key </w:t>
            </w:r>
            <w:r w:rsidRPr="004A1ED9">
              <w:rPr>
                <w:sz w:val="18"/>
                <w:szCs w:val="18"/>
              </w:rPr>
              <w:t>rivers and wetlands</w:t>
            </w:r>
          </w:p>
          <w:p w14:paraId="7DAA0265" w14:textId="77777777" w:rsidR="000138D4" w:rsidRPr="004A1ED9" w:rsidRDefault="000138D4" w:rsidP="004A1ED9">
            <w:pPr>
              <w:pStyle w:val="Tablesmalltext"/>
              <w:numPr>
                <w:ilvl w:val="0"/>
                <w:numId w:val="21"/>
              </w:numPr>
              <w:ind w:left="317" w:hanging="283"/>
              <w:rPr>
                <w:sz w:val="18"/>
                <w:szCs w:val="18"/>
              </w:rPr>
            </w:pPr>
            <w:r w:rsidRPr="004A1ED9">
              <w:rPr>
                <w:sz w:val="18"/>
                <w:szCs w:val="18"/>
              </w:rPr>
              <w:t xml:space="preserve">Monitors the watertable aquifer in the vicinity of environmental assets </w:t>
            </w:r>
          </w:p>
        </w:tc>
      </w:tr>
      <w:tr w:rsidR="000138D4" w:rsidRPr="004A1ED9" w14:paraId="7DAA026A" w14:textId="77777777" w:rsidTr="004A1ED9">
        <w:trPr>
          <w:trHeight w:val="652"/>
        </w:trPr>
        <w:tc>
          <w:tcPr>
            <w:tcW w:w="1306" w:type="dxa"/>
            <w:vAlign w:val="center"/>
          </w:tcPr>
          <w:p w14:paraId="7DAA0267" w14:textId="77777777" w:rsidR="000138D4" w:rsidRPr="004A1ED9" w:rsidRDefault="000138D4" w:rsidP="000138D4">
            <w:pPr>
              <w:pStyle w:val="Tablesmalltext"/>
              <w:rPr>
                <w:sz w:val="18"/>
                <w:szCs w:val="18"/>
                <w:highlight w:val="green"/>
              </w:rPr>
            </w:pPr>
            <w:r w:rsidRPr="004A1ED9">
              <w:rPr>
                <w:sz w:val="18"/>
                <w:szCs w:val="18"/>
              </w:rPr>
              <w:t>122677</w:t>
            </w:r>
          </w:p>
        </w:tc>
        <w:tc>
          <w:tcPr>
            <w:tcW w:w="2977" w:type="dxa"/>
            <w:vAlign w:val="center"/>
          </w:tcPr>
          <w:p w14:paraId="7DAA0268" w14:textId="77777777" w:rsidR="000138D4" w:rsidRPr="004A1ED9" w:rsidRDefault="000138D4" w:rsidP="000138D4">
            <w:pPr>
              <w:pStyle w:val="Tablesmalltext"/>
              <w:rPr>
                <w:rFonts w:eastAsia="Times New Roman" w:cs="Arial"/>
                <w:color w:val="000000"/>
                <w:sz w:val="18"/>
                <w:szCs w:val="18"/>
                <w:lang w:eastAsia="en-AU"/>
              </w:rPr>
            </w:pPr>
            <w:r w:rsidRPr="004A1ED9">
              <w:rPr>
                <w:rFonts w:eastAsia="Times New Roman" w:cs="Arial"/>
                <w:color w:val="000000"/>
                <w:sz w:val="18"/>
                <w:szCs w:val="18"/>
                <w:lang w:eastAsia="en-AU"/>
              </w:rPr>
              <w:t>Lower Mid-Tertiary Aquifer (109)</w:t>
            </w:r>
          </w:p>
        </w:tc>
        <w:tc>
          <w:tcPr>
            <w:tcW w:w="5482" w:type="dxa"/>
            <w:vAlign w:val="center"/>
          </w:tcPr>
          <w:p w14:paraId="7DAA0269" w14:textId="609B2543" w:rsidR="000138D4" w:rsidRPr="004A1ED9" w:rsidRDefault="000138D4" w:rsidP="004A1ED9">
            <w:pPr>
              <w:pStyle w:val="Tablesmalltext"/>
              <w:numPr>
                <w:ilvl w:val="0"/>
                <w:numId w:val="21"/>
              </w:numPr>
              <w:ind w:left="317" w:hanging="283"/>
              <w:rPr>
                <w:sz w:val="18"/>
                <w:szCs w:val="18"/>
              </w:rPr>
            </w:pPr>
            <w:r w:rsidRPr="004A1ED9">
              <w:rPr>
                <w:sz w:val="18"/>
                <w:szCs w:val="18"/>
              </w:rPr>
              <w:t xml:space="preserve">Located adjacent to the area of prospectivity and </w:t>
            </w:r>
            <w:r w:rsidR="00445BFC" w:rsidRPr="004A1ED9">
              <w:rPr>
                <w:sz w:val="18"/>
                <w:szCs w:val="18"/>
              </w:rPr>
              <w:t>key</w:t>
            </w:r>
            <w:r w:rsidRPr="004A1ED9">
              <w:rPr>
                <w:sz w:val="18"/>
                <w:szCs w:val="18"/>
              </w:rPr>
              <w:t xml:space="preserve"> rivers and wetlands   </w:t>
            </w:r>
          </w:p>
        </w:tc>
      </w:tr>
    </w:tbl>
    <w:p w14:paraId="7DAA026B" w14:textId="77777777" w:rsidR="000C564C" w:rsidRDefault="000C564C" w:rsidP="000C564C"/>
    <w:p w14:paraId="7DAA026C" w14:textId="6D3686DC" w:rsidR="00420831" w:rsidRPr="00420831" w:rsidRDefault="00234227" w:rsidP="00532F37">
      <w:pPr>
        <w:pStyle w:val="figurereturn"/>
        <w:jc w:val="left"/>
      </w:pPr>
      <w:r>
        <w:drawing>
          <wp:inline distT="0" distB="0" distL="0" distR="0" wp14:anchorId="38ACC9C1" wp14:editId="335551C5">
            <wp:extent cx="6120130" cy="4154861"/>
            <wp:effectExtent l="19050" t="19050" r="13970" b="17145"/>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4154861"/>
                    </a:xfrm>
                    <a:prstGeom prst="rect">
                      <a:avLst/>
                    </a:prstGeom>
                    <a:noFill/>
                    <a:ln>
                      <a:solidFill>
                        <a:schemeClr val="accent1"/>
                      </a:solidFill>
                    </a:ln>
                  </pic:spPr>
                </pic:pic>
              </a:graphicData>
            </a:graphic>
          </wp:inline>
        </w:drawing>
      </w:r>
    </w:p>
    <w:p w14:paraId="7DAA026D" w14:textId="3AF17134" w:rsidR="000C564C" w:rsidRDefault="00FF26F0" w:rsidP="00D0375F">
      <w:pPr>
        <w:pStyle w:val="Figuretitle"/>
      </w:pPr>
      <w:bookmarkStart w:id="66" w:name="_Ref414005489"/>
      <w:bookmarkStart w:id="67" w:name="_Toc420327763"/>
      <w:r w:rsidRPr="0055262F">
        <w:t xml:space="preserve">Figure </w:t>
      </w:r>
      <w:r w:rsidR="00B91643">
        <w:fldChar w:fldCharType="begin"/>
      </w:r>
      <w:r w:rsidR="00B91643">
        <w:instrText xml:space="preserve"> SEQ Figure \* ARABIC </w:instrText>
      </w:r>
      <w:r w:rsidR="00B91643">
        <w:fldChar w:fldCharType="separate"/>
      </w:r>
      <w:r w:rsidR="00BD60CC">
        <w:rPr>
          <w:noProof/>
        </w:rPr>
        <w:t>12</w:t>
      </w:r>
      <w:r w:rsidR="00B91643">
        <w:rPr>
          <w:noProof/>
        </w:rPr>
        <w:fldChar w:fldCharType="end"/>
      </w:r>
      <w:bookmarkEnd w:id="66"/>
      <w:r w:rsidRPr="0055262F">
        <w:t xml:space="preserve"> </w:t>
      </w:r>
      <w:r w:rsidR="000C564C" w:rsidRPr="0055262F">
        <w:t xml:space="preserve">Portland </w:t>
      </w:r>
      <w:r w:rsidR="00E87D28">
        <w:t>Groundwater Catchment Unit</w:t>
      </w:r>
      <w:r w:rsidR="000C564C" w:rsidRPr="0055262F">
        <w:t xml:space="preserve"> showing prospective natural gas areas and proposed monitoring bores (black circle)</w:t>
      </w:r>
      <w:bookmarkEnd w:id="67"/>
      <w:r w:rsidR="00B26FF6">
        <w:t xml:space="preserve"> </w:t>
      </w:r>
    </w:p>
    <w:p w14:paraId="7DAA026E" w14:textId="77777777" w:rsidR="000138D4" w:rsidRPr="000C564C" w:rsidRDefault="000138D4" w:rsidP="00D0375F">
      <w:pPr>
        <w:pStyle w:val="Figuretitle"/>
      </w:pPr>
    </w:p>
    <w:p w14:paraId="7DAA026F" w14:textId="5B90A703" w:rsidR="000C564C" w:rsidRPr="000C564C" w:rsidRDefault="000C564C" w:rsidP="00D00EA8">
      <w:pPr>
        <w:pStyle w:val="Head3xxx"/>
        <w:ind w:left="851"/>
        <w:rPr>
          <w:lang w:val="en-AU"/>
        </w:rPr>
      </w:pPr>
      <w:r w:rsidRPr="000C564C">
        <w:rPr>
          <w:lang w:val="en-AU"/>
        </w:rPr>
        <w:t xml:space="preserve">Glenelg </w:t>
      </w:r>
      <w:r w:rsidR="00E87D28">
        <w:rPr>
          <w:lang w:val="en-AU"/>
        </w:rPr>
        <w:t>Groundwater Catchment Unit</w:t>
      </w:r>
    </w:p>
    <w:p w14:paraId="7DAA0270" w14:textId="5C0E5500" w:rsidR="000C564C" w:rsidRPr="00D81285" w:rsidRDefault="000C564C" w:rsidP="006A5312">
      <w:pPr>
        <w:pStyle w:val="Figuretitle"/>
        <w:rPr>
          <w:i w:val="0"/>
        </w:rPr>
      </w:pPr>
      <w:r w:rsidRPr="00D81285">
        <w:rPr>
          <w:i w:val="0"/>
        </w:rPr>
        <w:t>Within the Glenelg GCU, there are a number of</w:t>
      </w:r>
      <w:r w:rsidR="006742B6" w:rsidRPr="00D81285">
        <w:rPr>
          <w:i w:val="0"/>
        </w:rPr>
        <w:t xml:space="preserve"> coal seam gas</w:t>
      </w:r>
      <w:r w:rsidRPr="00D81285">
        <w:rPr>
          <w:i w:val="0"/>
        </w:rPr>
        <w:t xml:space="preserve"> and shale gas field prospects and the sub-regional shale gas prospect area. These areas were intersected with high value waterways and wetlands as identified from VWAD to identify bores for inclusion in the monitoring program. </w:t>
      </w:r>
      <w:r w:rsidR="00FF26F0" w:rsidRPr="00D81285">
        <w:rPr>
          <w:i w:val="0"/>
        </w:rPr>
        <w:t xml:space="preserve"> </w:t>
      </w:r>
    </w:p>
    <w:p w14:paraId="7DAA0271" w14:textId="0D312417" w:rsidR="000C564C" w:rsidRDefault="00FF26F0" w:rsidP="004F307F">
      <w:pPr>
        <w:pStyle w:val="Tableheading"/>
        <w:rPr>
          <w:lang w:val="en-AU"/>
        </w:rPr>
      </w:pPr>
      <w:bookmarkStart w:id="68" w:name="_Toc420320553"/>
      <w:r>
        <w:t xml:space="preserve">Table </w:t>
      </w:r>
      <w:r>
        <w:fldChar w:fldCharType="begin"/>
      </w:r>
      <w:r>
        <w:instrText xml:space="preserve"> SEQ Table \* ARABIC </w:instrText>
      </w:r>
      <w:r>
        <w:fldChar w:fldCharType="separate"/>
      </w:r>
      <w:r w:rsidR="00BD60CC">
        <w:rPr>
          <w:noProof/>
        </w:rPr>
        <w:t>3</w:t>
      </w:r>
      <w:r>
        <w:fldChar w:fldCharType="end"/>
      </w:r>
      <w:r>
        <w:rPr>
          <w:lang w:val="en-AU"/>
        </w:rPr>
        <w:t xml:space="preserve"> </w:t>
      </w:r>
      <w:r w:rsidR="000C564C" w:rsidRPr="000C564C">
        <w:rPr>
          <w:lang w:val="en-AU"/>
        </w:rPr>
        <w:t xml:space="preserve">Proposed </w:t>
      </w:r>
      <w:r w:rsidR="00857ACF">
        <w:rPr>
          <w:lang w:val="en-AU"/>
        </w:rPr>
        <w:t>monitoring</w:t>
      </w:r>
      <w:r w:rsidR="000C564C" w:rsidRPr="000C564C">
        <w:rPr>
          <w:lang w:val="en-AU"/>
        </w:rPr>
        <w:t xml:space="preserve"> bores in areas of prospectivity and high value Groundwater Dependent Environmental Assets</w:t>
      </w:r>
      <w:bookmarkEnd w:id="68"/>
    </w:p>
    <w:tbl>
      <w:tblPr>
        <w:tblW w:w="9765" w:type="dxa"/>
        <w:tblInd w:w="78" w:type="dxa"/>
        <w:tblBorders>
          <w:bottom w:val="single" w:sz="4" w:space="0" w:color="005A97"/>
          <w:insideH w:val="single" w:sz="4" w:space="0" w:color="005A97"/>
          <w:insideV w:val="single" w:sz="4" w:space="0" w:color="005A97"/>
        </w:tblBorders>
        <w:tblLayout w:type="fixed"/>
        <w:tblLook w:val="0000" w:firstRow="0" w:lastRow="0" w:firstColumn="0" w:lastColumn="0" w:noHBand="0" w:noVBand="0"/>
      </w:tblPr>
      <w:tblGrid>
        <w:gridCol w:w="1164"/>
        <w:gridCol w:w="2552"/>
        <w:gridCol w:w="6049"/>
      </w:tblGrid>
      <w:tr w:rsidR="00420831" w:rsidRPr="009A58AD" w14:paraId="7DAA0275" w14:textId="77777777" w:rsidTr="00B007D1">
        <w:trPr>
          <w:trHeight w:val="228"/>
          <w:tblHeader/>
        </w:trPr>
        <w:tc>
          <w:tcPr>
            <w:tcW w:w="1164" w:type="dxa"/>
            <w:tcBorders>
              <w:top w:val="nil"/>
              <w:right w:val="single" w:sz="4" w:space="0" w:color="FFFFFF"/>
            </w:tcBorders>
            <w:shd w:val="clear" w:color="auto" w:fill="005A97"/>
            <w:vAlign w:val="center"/>
          </w:tcPr>
          <w:p w14:paraId="7DAA0272" w14:textId="77777777" w:rsidR="00420831" w:rsidRPr="000E0326" w:rsidRDefault="00420831" w:rsidP="00E63375">
            <w:pPr>
              <w:pStyle w:val="TableHeaderrow"/>
            </w:pPr>
            <w:r w:rsidRPr="000E0326">
              <w:t>Bore</w:t>
            </w:r>
          </w:p>
        </w:tc>
        <w:tc>
          <w:tcPr>
            <w:tcW w:w="2552" w:type="dxa"/>
            <w:tcBorders>
              <w:top w:val="nil"/>
              <w:left w:val="single" w:sz="4" w:space="0" w:color="FFFFFF"/>
              <w:right w:val="single" w:sz="4" w:space="0" w:color="FFFFFF"/>
            </w:tcBorders>
            <w:shd w:val="clear" w:color="auto" w:fill="005A97"/>
            <w:vAlign w:val="center"/>
          </w:tcPr>
          <w:p w14:paraId="7DAA0273" w14:textId="77777777" w:rsidR="00420831" w:rsidRPr="000E0326" w:rsidRDefault="00420831" w:rsidP="00E63375">
            <w:pPr>
              <w:pStyle w:val="TableHeaderrow"/>
            </w:pPr>
            <w:r w:rsidRPr="000E0326">
              <w:t>Details</w:t>
            </w:r>
          </w:p>
        </w:tc>
        <w:tc>
          <w:tcPr>
            <w:tcW w:w="6049" w:type="dxa"/>
            <w:tcBorders>
              <w:top w:val="nil"/>
              <w:left w:val="single" w:sz="4" w:space="0" w:color="FFFFFF"/>
            </w:tcBorders>
            <w:shd w:val="clear" w:color="auto" w:fill="005A97"/>
            <w:vAlign w:val="center"/>
          </w:tcPr>
          <w:p w14:paraId="7DAA0274" w14:textId="77777777" w:rsidR="00420831" w:rsidRPr="000E0326" w:rsidRDefault="00420831" w:rsidP="00E63375">
            <w:pPr>
              <w:pStyle w:val="TableHeaderrow"/>
            </w:pPr>
            <w:r w:rsidRPr="000E0326">
              <w:t xml:space="preserve">Justification </w:t>
            </w:r>
          </w:p>
        </w:tc>
      </w:tr>
      <w:tr w:rsidR="00420831" w:rsidRPr="009A58AD" w14:paraId="7DAA0279" w14:textId="77777777" w:rsidTr="00B007D1">
        <w:trPr>
          <w:trHeight w:val="228"/>
        </w:trPr>
        <w:tc>
          <w:tcPr>
            <w:tcW w:w="1164" w:type="dxa"/>
            <w:vAlign w:val="center"/>
          </w:tcPr>
          <w:p w14:paraId="7DAA0276" w14:textId="77777777" w:rsidR="00420831" w:rsidRPr="00B007D1" w:rsidRDefault="00420831" w:rsidP="00A523BA">
            <w:pPr>
              <w:pStyle w:val="Tablesmalltext"/>
              <w:rPr>
                <w:sz w:val="18"/>
                <w:szCs w:val="18"/>
              </w:rPr>
            </w:pPr>
            <w:r w:rsidRPr="00B007D1">
              <w:rPr>
                <w:sz w:val="18"/>
                <w:szCs w:val="18"/>
              </w:rPr>
              <w:t>83446</w:t>
            </w:r>
          </w:p>
        </w:tc>
        <w:tc>
          <w:tcPr>
            <w:tcW w:w="2552" w:type="dxa"/>
            <w:vAlign w:val="center"/>
          </w:tcPr>
          <w:p w14:paraId="7DAA0277" w14:textId="77777777" w:rsidR="00420831" w:rsidRPr="00B007D1" w:rsidRDefault="00FC28A0" w:rsidP="00A523BA">
            <w:pPr>
              <w:pStyle w:val="Tablesmalltext"/>
              <w:rPr>
                <w:sz w:val="18"/>
                <w:szCs w:val="18"/>
              </w:rPr>
            </w:pPr>
            <w:r w:rsidRPr="00B007D1">
              <w:rPr>
                <w:rFonts w:eastAsia="Times New Roman" w:cs="Arial"/>
                <w:color w:val="000000"/>
                <w:sz w:val="18"/>
                <w:szCs w:val="18"/>
                <w:lang w:eastAsia="en-AU"/>
              </w:rPr>
              <w:t>Lower Tertiary Aquifer (111)</w:t>
            </w:r>
          </w:p>
        </w:tc>
        <w:tc>
          <w:tcPr>
            <w:tcW w:w="6049" w:type="dxa"/>
            <w:vAlign w:val="center"/>
          </w:tcPr>
          <w:p w14:paraId="7DAA0278" w14:textId="77777777" w:rsidR="00420831" w:rsidRPr="00B007D1" w:rsidRDefault="00FC28A0" w:rsidP="00B007D1">
            <w:pPr>
              <w:pStyle w:val="Tablesmalltext"/>
              <w:numPr>
                <w:ilvl w:val="0"/>
                <w:numId w:val="21"/>
              </w:numPr>
              <w:ind w:left="317" w:hanging="283"/>
              <w:rPr>
                <w:sz w:val="18"/>
                <w:szCs w:val="18"/>
              </w:rPr>
            </w:pPr>
            <w:r w:rsidRPr="00B007D1">
              <w:rPr>
                <w:sz w:val="18"/>
                <w:szCs w:val="18"/>
              </w:rPr>
              <w:t>Located in the area of prospectivity and high value rivers and wetlands (including wetlands protected by the Directory of Important Wetlands)</w:t>
            </w:r>
          </w:p>
        </w:tc>
      </w:tr>
      <w:tr w:rsidR="00420831" w:rsidRPr="009A58AD" w14:paraId="7DAA027D" w14:textId="77777777" w:rsidTr="00B007D1">
        <w:trPr>
          <w:trHeight w:val="670"/>
        </w:trPr>
        <w:tc>
          <w:tcPr>
            <w:tcW w:w="1164" w:type="dxa"/>
            <w:vAlign w:val="center"/>
          </w:tcPr>
          <w:p w14:paraId="7DAA027A" w14:textId="77777777" w:rsidR="00420831" w:rsidRPr="00B007D1" w:rsidRDefault="00420831" w:rsidP="00A523BA">
            <w:pPr>
              <w:pStyle w:val="Tablesmalltext"/>
              <w:rPr>
                <w:sz w:val="18"/>
                <w:szCs w:val="18"/>
              </w:rPr>
            </w:pPr>
            <w:r w:rsidRPr="00B007D1">
              <w:rPr>
                <w:sz w:val="18"/>
                <w:szCs w:val="18"/>
              </w:rPr>
              <w:t>83447</w:t>
            </w:r>
          </w:p>
        </w:tc>
        <w:tc>
          <w:tcPr>
            <w:tcW w:w="2552" w:type="dxa"/>
            <w:vAlign w:val="center"/>
          </w:tcPr>
          <w:p w14:paraId="7DAA027B" w14:textId="77777777" w:rsidR="00420831" w:rsidRPr="00B007D1" w:rsidRDefault="00FC28A0" w:rsidP="00A523BA">
            <w:pPr>
              <w:pStyle w:val="Tablesmalltext"/>
              <w:rPr>
                <w:sz w:val="18"/>
                <w:szCs w:val="18"/>
              </w:rPr>
            </w:pPr>
            <w:r w:rsidRPr="00B007D1">
              <w:rPr>
                <w:rFonts w:eastAsia="Times New Roman" w:cs="Arial"/>
                <w:color w:val="000000"/>
                <w:sz w:val="18"/>
                <w:szCs w:val="18"/>
                <w:lang w:eastAsia="en-AU"/>
              </w:rPr>
              <w:t>Upper Mid-Tertiary Aquifer (107)</w:t>
            </w:r>
          </w:p>
        </w:tc>
        <w:tc>
          <w:tcPr>
            <w:tcW w:w="6049" w:type="dxa"/>
            <w:vAlign w:val="center"/>
          </w:tcPr>
          <w:p w14:paraId="7DAA027C" w14:textId="77777777" w:rsidR="00420831" w:rsidRPr="00B007D1" w:rsidRDefault="00FC28A0" w:rsidP="00B007D1">
            <w:pPr>
              <w:pStyle w:val="Tablesmalltext"/>
              <w:numPr>
                <w:ilvl w:val="0"/>
                <w:numId w:val="21"/>
              </w:numPr>
              <w:ind w:left="317" w:hanging="283"/>
              <w:rPr>
                <w:sz w:val="18"/>
                <w:szCs w:val="18"/>
              </w:rPr>
            </w:pPr>
            <w:r w:rsidRPr="00B007D1">
              <w:rPr>
                <w:sz w:val="18"/>
                <w:szCs w:val="18"/>
              </w:rPr>
              <w:t>Located in the area of prospectivity and high value rivers and wetlands</w:t>
            </w:r>
          </w:p>
        </w:tc>
      </w:tr>
      <w:tr w:rsidR="00420831" w:rsidRPr="009A58AD" w14:paraId="7DAA0282" w14:textId="77777777" w:rsidTr="00B007D1">
        <w:trPr>
          <w:trHeight w:val="651"/>
        </w:trPr>
        <w:tc>
          <w:tcPr>
            <w:tcW w:w="1164" w:type="dxa"/>
            <w:vAlign w:val="center"/>
          </w:tcPr>
          <w:p w14:paraId="7DAA027E" w14:textId="77777777" w:rsidR="00420831" w:rsidRPr="00B007D1" w:rsidRDefault="00420831" w:rsidP="00A523BA">
            <w:pPr>
              <w:pStyle w:val="Tablesmalltext"/>
              <w:rPr>
                <w:sz w:val="18"/>
                <w:szCs w:val="18"/>
              </w:rPr>
            </w:pPr>
            <w:r w:rsidRPr="00B007D1">
              <w:rPr>
                <w:sz w:val="18"/>
                <w:szCs w:val="18"/>
              </w:rPr>
              <w:t>S61557-2</w:t>
            </w:r>
          </w:p>
        </w:tc>
        <w:tc>
          <w:tcPr>
            <w:tcW w:w="2552" w:type="dxa"/>
            <w:vAlign w:val="center"/>
          </w:tcPr>
          <w:p w14:paraId="7DAA027F" w14:textId="77777777" w:rsidR="00420831" w:rsidRPr="00B007D1" w:rsidRDefault="00FC28A0" w:rsidP="00A523BA">
            <w:pPr>
              <w:pStyle w:val="Tablesmalltext"/>
              <w:rPr>
                <w:sz w:val="18"/>
                <w:szCs w:val="18"/>
              </w:rPr>
            </w:pPr>
            <w:r w:rsidRPr="00B007D1">
              <w:rPr>
                <w:rFonts w:eastAsia="Times New Roman" w:cs="Arial"/>
                <w:color w:val="000000"/>
                <w:sz w:val="18"/>
                <w:szCs w:val="18"/>
                <w:lang w:eastAsia="en-AU"/>
              </w:rPr>
              <w:t>Quaternary Aquifer (100)</w:t>
            </w:r>
            <w:r w:rsidR="00420831" w:rsidRPr="00B007D1">
              <w:rPr>
                <w:sz w:val="18"/>
                <w:szCs w:val="18"/>
              </w:rPr>
              <w:t>)</w:t>
            </w:r>
          </w:p>
        </w:tc>
        <w:tc>
          <w:tcPr>
            <w:tcW w:w="6049" w:type="dxa"/>
            <w:vAlign w:val="center"/>
          </w:tcPr>
          <w:p w14:paraId="7DAA0280" w14:textId="77777777" w:rsidR="00420831" w:rsidRPr="00B007D1" w:rsidRDefault="00420831" w:rsidP="00B007D1">
            <w:pPr>
              <w:pStyle w:val="Tablesmalltext"/>
              <w:numPr>
                <w:ilvl w:val="0"/>
                <w:numId w:val="21"/>
              </w:numPr>
              <w:ind w:left="317" w:hanging="283"/>
              <w:rPr>
                <w:sz w:val="18"/>
                <w:szCs w:val="18"/>
              </w:rPr>
            </w:pPr>
            <w:r w:rsidRPr="00B007D1">
              <w:rPr>
                <w:sz w:val="18"/>
                <w:szCs w:val="18"/>
              </w:rPr>
              <w:t>Located in the area of prospectivity and high value rivers and wetlands. Including the Directory of Important Wetland ‘McCallums Swamp’</w:t>
            </w:r>
          </w:p>
          <w:p w14:paraId="7DAA0281" w14:textId="77777777" w:rsidR="00420831" w:rsidRPr="00B007D1" w:rsidRDefault="00420831" w:rsidP="00B007D1">
            <w:pPr>
              <w:pStyle w:val="Tablesmalltext"/>
              <w:numPr>
                <w:ilvl w:val="0"/>
                <w:numId w:val="21"/>
              </w:numPr>
              <w:ind w:left="317" w:hanging="283"/>
              <w:rPr>
                <w:sz w:val="18"/>
                <w:szCs w:val="18"/>
              </w:rPr>
            </w:pPr>
            <w:r w:rsidRPr="00B007D1">
              <w:rPr>
                <w:sz w:val="18"/>
                <w:szCs w:val="18"/>
              </w:rPr>
              <w:t>Monitors the watertable aquifer</w:t>
            </w:r>
          </w:p>
        </w:tc>
      </w:tr>
      <w:tr w:rsidR="00420831" w:rsidRPr="009A58AD" w14:paraId="7DAA0286" w14:textId="77777777" w:rsidTr="00B007D1">
        <w:trPr>
          <w:trHeight w:val="337"/>
        </w:trPr>
        <w:tc>
          <w:tcPr>
            <w:tcW w:w="1164" w:type="dxa"/>
            <w:vAlign w:val="center"/>
          </w:tcPr>
          <w:p w14:paraId="7DAA0283" w14:textId="77777777" w:rsidR="00420831" w:rsidRPr="00B007D1" w:rsidRDefault="00420831" w:rsidP="00A523BA">
            <w:pPr>
              <w:pStyle w:val="Tablesmalltext"/>
              <w:rPr>
                <w:sz w:val="18"/>
                <w:szCs w:val="18"/>
              </w:rPr>
            </w:pPr>
            <w:r w:rsidRPr="00B007D1">
              <w:rPr>
                <w:sz w:val="18"/>
                <w:szCs w:val="18"/>
              </w:rPr>
              <w:t>102621</w:t>
            </w:r>
          </w:p>
        </w:tc>
        <w:tc>
          <w:tcPr>
            <w:tcW w:w="2552" w:type="dxa"/>
            <w:vAlign w:val="center"/>
          </w:tcPr>
          <w:p w14:paraId="7DAA0284" w14:textId="77777777" w:rsidR="00420831" w:rsidRPr="00B007D1" w:rsidRDefault="00A523BA" w:rsidP="00A523BA">
            <w:pPr>
              <w:pStyle w:val="Tablesmalltext"/>
              <w:rPr>
                <w:sz w:val="18"/>
                <w:szCs w:val="18"/>
              </w:rPr>
            </w:pPr>
            <w:r w:rsidRPr="00B007D1">
              <w:rPr>
                <w:rFonts w:eastAsia="Times New Roman" w:cs="Arial"/>
                <w:color w:val="000000"/>
                <w:sz w:val="18"/>
                <w:szCs w:val="18"/>
                <w:lang w:eastAsia="en-AU"/>
              </w:rPr>
              <w:t>Upper Mid-Tertiary Aquifer (107)</w:t>
            </w:r>
          </w:p>
        </w:tc>
        <w:tc>
          <w:tcPr>
            <w:tcW w:w="6049" w:type="dxa"/>
            <w:vAlign w:val="center"/>
          </w:tcPr>
          <w:p w14:paraId="7DAA0285" w14:textId="77777777" w:rsidR="00420831" w:rsidRPr="00B007D1" w:rsidRDefault="00420831" w:rsidP="00B007D1">
            <w:pPr>
              <w:pStyle w:val="Tablesmalltext"/>
              <w:numPr>
                <w:ilvl w:val="0"/>
                <w:numId w:val="21"/>
              </w:numPr>
              <w:ind w:left="317" w:hanging="283"/>
              <w:rPr>
                <w:sz w:val="18"/>
                <w:szCs w:val="18"/>
              </w:rPr>
            </w:pPr>
            <w:r w:rsidRPr="00B007D1">
              <w:rPr>
                <w:sz w:val="18"/>
                <w:szCs w:val="18"/>
              </w:rPr>
              <w:t>Located in the area of prospectivity and</w:t>
            </w:r>
            <w:r w:rsidR="00A523BA" w:rsidRPr="00B007D1">
              <w:rPr>
                <w:sz w:val="18"/>
                <w:szCs w:val="18"/>
              </w:rPr>
              <w:t xml:space="preserve"> high value rivers and wetlands</w:t>
            </w:r>
          </w:p>
        </w:tc>
      </w:tr>
      <w:tr w:rsidR="00420831" w:rsidRPr="009A58AD" w14:paraId="7DAA028A" w14:textId="77777777" w:rsidTr="00B007D1">
        <w:trPr>
          <w:trHeight w:val="586"/>
        </w:trPr>
        <w:tc>
          <w:tcPr>
            <w:tcW w:w="1164" w:type="dxa"/>
            <w:vAlign w:val="center"/>
          </w:tcPr>
          <w:p w14:paraId="7DAA0287" w14:textId="77777777" w:rsidR="00420831" w:rsidRPr="00B007D1" w:rsidRDefault="00420831" w:rsidP="00A523BA">
            <w:pPr>
              <w:pStyle w:val="Tablesmalltext"/>
              <w:rPr>
                <w:sz w:val="18"/>
                <w:szCs w:val="18"/>
              </w:rPr>
            </w:pPr>
            <w:r w:rsidRPr="00B007D1">
              <w:rPr>
                <w:sz w:val="18"/>
                <w:szCs w:val="18"/>
              </w:rPr>
              <w:t>83729</w:t>
            </w:r>
          </w:p>
        </w:tc>
        <w:tc>
          <w:tcPr>
            <w:tcW w:w="2552" w:type="dxa"/>
            <w:vAlign w:val="center"/>
          </w:tcPr>
          <w:p w14:paraId="7DAA0288" w14:textId="77777777" w:rsidR="00420831" w:rsidRPr="00B007D1" w:rsidRDefault="00A523BA" w:rsidP="00A523BA">
            <w:pPr>
              <w:pStyle w:val="Tablesmalltext"/>
              <w:rPr>
                <w:sz w:val="18"/>
                <w:szCs w:val="18"/>
              </w:rPr>
            </w:pPr>
            <w:r w:rsidRPr="00B007D1">
              <w:rPr>
                <w:rFonts w:eastAsia="Times New Roman" w:cs="Arial"/>
                <w:color w:val="000000"/>
                <w:sz w:val="18"/>
                <w:szCs w:val="18"/>
                <w:lang w:eastAsia="en-AU"/>
              </w:rPr>
              <w:t>Upper Mid-Tertiary Aquifer (107)</w:t>
            </w:r>
          </w:p>
        </w:tc>
        <w:tc>
          <w:tcPr>
            <w:tcW w:w="6049" w:type="dxa"/>
            <w:vAlign w:val="center"/>
          </w:tcPr>
          <w:p w14:paraId="7DAA0289" w14:textId="77777777" w:rsidR="00420831" w:rsidRPr="00B007D1" w:rsidRDefault="00420831" w:rsidP="00B007D1">
            <w:pPr>
              <w:pStyle w:val="Tablesmalltext"/>
              <w:numPr>
                <w:ilvl w:val="0"/>
                <w:numId w:val="21"/>
              </w:numPr>
              <w:ind w:left="317" w:hanging="283"/>
              <w:rPr>
                <w:sz w:val="18"/>
                <w:szCs w:val="18"/>
              </w:rPr>
            </w:pPr>
            <w:r w:rsidRPr="00B007D1">
              <w:rPr>
                <w:sz w:val="18"/>
                <w:szCs w:val="18"/>
              </w:rPr>
              <w:t>Located in the area of prospectivity and</w:t>
            </w:r>
            <w:r w:rsidR="00A523BA" w:rsidRPr="00B007D1">
              <w:rPr>
                <w:sz w:val="18"/>
                <w:szCs w:val="18"/>
              </w:rPr>
              <w:t xml:space="preserve"> high value rivers and wetlands</w:t>
            </w:r>
          </w:p>
        </w:tc>
      </w:tr>
      <w:tr w:rsidR="00420831" w:rsidRPr="000E0326" w14:paraId="7DAA028F" w14:textId="77777777" w:rsidTr="00B007D1">
        <w:trPr>
          <w:trHeight w:val="808"/>
        </w:trPr>
        <w:tc>
          <w:tcPr>
            <w:tcW w:w="1164" w:type="dxa"/>
            <w:vAlign w:val="center"/>
          </w:tcPr>
          <w:p w14:paraId="7DAA028B" w14:textId="77777777" w:rsidR="00420831" w:rsidRPr="00B007D1" w:rsidRDefault="00420831" w:rsidP="00A523BA">
            <w:pPr>
              <w:pStyle w:val="Tablesmalltext"/>
              <w:rPr>
                <w:sz w:val="18"/>
                <w:szCs w:val="18"/>
              </w:rPr>
            </w:pPr>
            <w:r w:rsidRPr="00B007D1">
              <w:rPr>
                <w:sz w:val="18"/>
                <w:szCs w:val="18"/>
              </w:rPr>
              <w:t>S61557-3</w:t>
            </w:r>
          </w:p>
        </w:tc>
        <w:tc>
          <w:tcPr>
            <w:tcW w:w="2552" w:type="dxa"/>
            <w:vAlign w:val="center"/>
          </w:tcPr>
          <w:p w14:paraId="7DAA028C" w14:textId="77777777" w:rsidR="00420831" w:rsidRPr="00B007D1" w:rsidRDefault="00A523BA" w:rsidP="00A523BA">
            <w:pPr>
              <w:pStyle w:val="Tablesmalltext"/>
              <w:rPr>
                <w:sz w:val="18"/>
                <w:szCs w:val="18"/>
              </w:rPr>
            </w:pPr>
            <w:r w:rsidRPr="00B007D1">
              <w:rPr>
                <w:rFonts w:eastAsia="Times New Roman" w:cs="Arial"/>
                <w:color w:val="000000"/>
                <w:sz w:val="18"/>
                <w:szCs w:val="18"/>
                <w:lang w:eastAsia="en-AU"/>
              </w:rPr>
              <w:t>Quaternary Aquifer (100)</w:t>
            </w:r>
          </w:p>
        </w:tc>
        <w:tc>
          <w:tcPr>
            <w:tcW w:w="6049" w:type="dxa"/>
            <w:vAlign w:val="center"/>
          </w:tcPr>
          <w:p w14:paraId="7DAA028D" w14:textId="77777777" w:rsidR="00420831" w:rsidRPr="00B007D1" w:rsidRDefault="00420831" w:rsidP="00B007D1">
            <w:pPr>
              <w:pStyle w:val="Tablesmalltext"/>
              <w:numPr>
                <w:ilvl w:val="0"/>
                <w:numId w:val="21"/>
              </w:numPr>
              <w:ind w:left="317" w:hanging="283"/>
              <w:rPr>
                <w:sz w:val="18"/>
                <w:szCs w:val="18"/>
              </w:rPr>
            </w:pPr>
            <w:r w:rsidRPr="00B007D1">
              <w:rPr>
                <w:sz w:val="18"/>
                <w:szCs w:val="18"/>
              </w:rPr>
              <w:t>Located in the area of prospectivity and high value rivers and wetlands. Including Directory of Important Wetlands (Mundi-Selkirk Wetlands) and the Glenelg River</w:t>
            </w:r>
          </w:p>
          <w:p w14:paraId="7DAA028E" w14:textId="77777777" w:rsidR="00420831" w:rsidRPr="00B007D1" w:rsidRDefault="00420831" w:rsidP="00B007D1">
            <w:pPr>
              <w:pStyle w:val="Tablesmalltext"/>
              <w:numPr>
                <w:ilvl w:val="0"/>
                <w:numId w:val="21"/>
              </w:numPr>
              <w:ind w:left="317" w:hanging="283"/>
              <w:rPr>
                <w:sz w:val="18"/>
                <w:szCs w:val="18"/>
              </w:rPr>
            </w:pPr>
            <w:r w:rsidRPr="00B007D1">
              <w:rPr>
                <w:sz w:val="18"/>
                <w:szCs w:val="18"/>
              </w:rPr>
              <w:t xml:space="preserve">Monitors the watertable aquifer </w:t>
            </w:r>
          </w:p>
        </w:tc>
      </w:tr>
      <w:tr w:rsidR="00420831" w:rsidRPr="000E0326" w14:paraId="7DAA0294" w14:textId="77777777" w:rsidTr="00B007D1">
        <w:trPr>
          <w:trHeight w:val="674"/>
        </w:trPr>
        <w:tc>
          <w:tcPr>
            <w:tcW w:w="1164" w:type="dxa"/>
            <w:vAlign w:val="center"/>
          </w:tcPr>
          <w:p w14:paraId="7DAA0290" w14:textId="77777777" w:rsidR="00420831" w:rsidRPr="00B007D1" w:rsidRDefault="00420831" w:rsidP="00A523BA">
            <w:pPr>
              <w:pStyle w:val="Tablesmalltext"/>
              <w:rPr>
                <w:sz w:val="18"/>
                <w:szCs w:val="18"/>
              </w:rPr>
            </w:pPr>
            <w:r w:rsidRPr="00B007D1">
              <w:rPr>
                <w:sz w:val="18"/>
                <w:szCs w:val="18"/>
              </w:rPr>
              <w:t>S61557-1</w:t>
            </w:r>
          </w:p>
        </w:tc>
        <w:tc>
          <w:tcPr>
            <w:tcW w:w="2552" w:type="dxa"/>
            <w:vAlign w:val="center"/>
          </w:tcPr>
          <w:p w14:paraId="7DAA0291" w14:textId="77777777" w:rsidR="00420831" w:rsidRPr="00B007D1" w:rsidRDefault="00A523BA" w:rsidP="00A523BA">
            <w:pPr>
              <w:pStyle w:val="Tablesmalltext"/>
              <w:rPr>
                <w:sz w:val="18"/>
                <w:szCs w:val="18"/>
              </w:rPr>
            </w:pPr>
            <w:r w:rsidRPr="00B007D1">
              <w:rPr>
                <w:rFonts w:eastAsia="Times New Roman" w:cs="Arial"/>
                <w:color w:val="000000"/>
                <w:sz w:val="18"/>
                <w:szCs w:val="18"/>
                <w:lang w:eastAsia="en-AU"/>
              </w:rPr>
              <w:t>Quaternary Aquifer (100)</w:t>
            </w:r>
          </w:p>
        </w:tc>
        <w:tc>
          <w:tcPr>
            <w:tcW w:w="6049" w:type="dxa"/>
            <w:vAlign w:val="center"/>
          </w:tcPr>
          <w:p w14:paraId="7DAA0292" w14:textId="77777777" w:rsidR="00420831" w:rsidRPr="00B007D1" w:rsidRDefault="00420831" w:rsidP="00B007D1">
            <w:pPr>
              <w:pStyle w:val="Tablesmalltext"/>
              <w:numPr>
                <w:ilvl w:val="0"/>
                <w:numId w:val="21"/>
              </w:numPr>
              <w:ind w:left="317" w:hanging="283"/>
              <w:rPr>
                <w:sz w:val="18"/>
                <w:szCs w:val="18"/>
              </w:rPr>
            </w:pPr>
            <w:r w:rsidRPr="00B007D1">
              <w:rPr>
                <w:sz w:val="18"/>
                <w:szCs w:val="18"/>
              </w:rPr>
              <w:t xml:space="preserve">Located in the area of prospectivity and high value rivers and wetlands. Including Directory of Important Wetlands (Mundi-Selkirk Wetlands, Pig Swamp and Lake Mundi) </w:t>
            </w:r>
          </w:p>
          <w:p w14:paraId="7DAA0293" w14:textId="77777777" w:rsidR="00420831" w:rsidRPr="00B007D1" w:rsidRDefault="00420831" w:rsidP="00B007D1">
            <w:pPr>
              <w:pStyle w:val="Tablesmalltext"/>
              <w:numPr>
                <w:ilvl w:val="0"/>
                <w:numId w:val="21"/>
              </w:numPr>
              <w:ind w:left="317" w:hanging="283"/>
              <w:rPr>
                <w:sz w:val="18"/>
                <w:szCs w:val="18"/>
              </w:rPr>
            </w:pPr>
            <w:r w:rsidRPr="00B007D1">
              <w:rPr>
                <w:sz w:val="18"/>
                <w:szCs w:val="18"/>
              </w:rPr>
              <w:t>Monitors the watertable aquifer</w:t>
            </w:r>
          </w:p>
        </w:tc>
      </w:tr>
    </w:tbl>
    <w:p w14:paraId="182E6AB4" w14:textId="3A4EFA73" w:rsidR="006F7FED" w:rsidRDefault="002C4338" w:rsidP="00B007D1">
      <w:pPr>
        <w:pStyle w:val="figurereturn"/>
      </w:pPr>
      <w:bookmarkStart w:id="69" w:name="_Ref414005614"/>
      <w:r>
        <w:drawing>
          <wp:inline distT="0" distB="0" distL="0" distR="0" wp14:anchorId="153B0FAD" wp14:editId="1EBA389B">
            <wp:extent cx="6120130" cy="4171262"/>
            <wp:effectExtent l="19050" t="19050" r="13970" b="2032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4171262"/>
                    </a:xfrm>
                    <a:prstGeom prst="rect">
                      <a:avLst/>
                    </a:prstGeom>
                    <a:noFill/>
                    <a:ln>
                      <a:solidFill>
                        <a:schemeClr val="accent1"/>
                      </a:solidFill>
                    </a:ln>
                  </pic:spPr>
                </pic:pic>
              </a:graphicData>
            </a:graphic>
          </wp:inline>
        </w:drawing>
      </w:r>
    </w:p>
    <w:p w14:paraId="7DAA0298" w14:textId="0820ADA7" w:rsidR="00A523BA" w:rsidRPr="000C564C" w:rsidRDefault="00FF26F0" w:rsidP="00D0375F">
      <w:pPr>
        <w:pStyle w:val="Figuretitle"/>
      </w:pPr>
      <w:bookmarkStart w:id="70" w:name="_Toc420327764"/>
      <w:r w:rsidRPr="00FC28A0">
        <w:t xml:space="preserve">Figure </w:t>
      </w:r>
      <w:r w:rsidR="00B91643">
        <w:fldChar w:fldCharType="begin"/>
      </w:r>
      <w:r w:rsidR="00B91643">
        <w:instrText xml:space="preserve"> SEQ Figure \* ARABIC </w:instrText>
      </w:r>
      <w:r w:rsidR="00B91643">
        <w:fldChar w:fldCharType="separate"/>
      </w:r>
      <w:r w:rsidR="00BD60CC">
        <w:rPr>
          <w:noProof/>
        </w:rPr>
        <w:t>13</w:t>
      </w:r>
      <w:r w:rsidR="00B91643">
        <w:rPr>
          <w:noProof/>
        </w:rPr>
        <w:fldChar w:fldCharType="end"/>
      </w:r>
      <w:bookmarkEnd w:id="69"/>
      <w:r w:rsidRPr="00FC28A0">
        <w:t xml:space="preserve"> Glenelg G</w:t>
      </w:r>
      <w:r w:rsidR="00107D85">
        <w:t xml:space="preserve">roundwater </w:t>
      </w:r>
      <w:r w:rsidRPr="00FC28A0">
        <w:t>C</w:t>
      </w:r>
      <w:r w:rsidR="00107D85">
        <w:t xml:space="preserve">atchment </w:t>
      </w:r>
      <w:r w:rsidRPr="00FC28A0">
        <w:t>U</w:t>
      </w:r>
      <w:r w:rsidR="00107D85">
        <w:t>nit</w:t>
      </w:r>
      <w:r w:rsidRPr="00FC28A0">
        <w:t xml:space="preserve"> showing prospective natural gas areas and proposed monitoring bores (black circle)</w:t>
      </w:r>
      <w:bookmarkEnd w:id="70"/>
      <w:r w:rsidR="00B26FF6">
        <w:t xml:space="preserve"> </w:t>
      </w:r>
    </w:p>
    <w:p w14:paraId="7DAA0299" w14:textId="60473E8E" w:rsidR="000C564C" w:rsidRPr="000C564C" w:rsidRDefault="000C564C" w:rsidP="00420831">
      <w:pPr>
        <w:pStyle w:val="Head2xx"/>
      </w:pPr>
      <w:bookmarkStart w:id="71" w:name="_Toc420327723"/>
      <w:r w:rsidRPr="000C564C">
        <w:t>Aquifers</w:t>
      </w:r>
      <w:bookmarkEnd w:id="71"/>
    </w:p>
    <w:p w14:paraId="7DAA029A" w14:textId="26406DFE" w:rsidR="000C564C" w:rsidRPr="000C564C" w:rsidRDefault="000C564C" w:rsidP="000C564C">
      <w:pPr>
        <w:rPr>
          <w:lang w:val="en-AU"/>
        </w:rPr>
      </w:pPr>
      <w:r w:rsidRPr="000C564C">
        <w:rPr>
          <w:lang w:val="en-AU"/>
        </w:rPr>
        <w:t xml:space="preserve">Across Victoria, areas where groundwater </w:t>
      </w:r>
      <w:r w:rsidR="00107D85">
        <w:rPr>
          <w:lang w:val="en-AU"/>
        </w:rPr>
        <w:t xml:space="preserve">is </w:t>
      </w:r>
      <w:r w:rsidR="00107D85">
        <w:t>either a high potential or actual use</w:t>
      </w:r>
      <w:r w:rsidRPr="000C564C">
        <w:rPr>
          <w:lang w:val="en-AU"/>
        </w:rPr>
        <w:t xml:space="preserve"> are defined by Groundwater Management Areas (GMAs) and Water Supply Protection Areas (WSPAs). In </w:t>
      </w:r>
      <w:r w:rsidRPr="00107D85">
        <w:rPr>
          <w:lang w:val="en-AU"/>
        </w:rPr>
        <w:t xml:space="preserve">the Otway </w:t>
      </w:r>
      <w:r w:rsidR="00107D85" w:rsidRPr="00107D85">
        <w:rPr>
          <w:lang w:val="en-AU"/>
        </w:rPr>
        <w:t>Basin</w:t>
      </w:r>
      <w:r w:rsidRPr="000C564C">
        <w:rPr>
          <w:lang w:val="en-AU"/>
        </w:rPr>
        <w:t xml:space="preserve"> there are multiple GMAs and WSPAs and these are summarised below in</w:t>
      </w:r>
      <w:r w:rsidR="00E6365E">
        <w:rPr>
          <w:lang w:val="en-AU"/>
        </w:rPr>
        <w:t xml:space="preserve"> </w:t>
      </w:r>
      <w:r w:rsidR="00E6365E">
        <w:rPr>
          <w:lang w:val="en-AU"/>
        </w:rPr>
        <w:fldChar w:fldCharType="begin"/>
      </w:r>
      <w:r w:rsidR="00E6365E">
        <w:rPr>
          <w:lang w:val="en-AU"/>
        </w:rPr>
        <w:instrText xml:space="preserve"> REF _Ref414011038 \h </w:instrText>
      </w:r>
      <w:r w:rsidR="00E6365E">
        <w:rPr>
          <w:lang w:val="en-AU"/>
        </w:rPr>
      </w:r>
      <w:r w:rsidR="00E6365E">
        <w:rPr>
          <w:lang w:val="en-AU"/>
        </w:rPr>
        <w:fldChar w:fldCharType="separate"/>
      </w:r>
      <w:r w:rsidR="00BD60CC">
        <w:t xml:space="preserve">Table </w:t>
      </w:r>
      <w:r w:rsidR="00BD60CC">
        <w:rPr>
          <w:noProof/>
        </w:rPr>
        <w:t>4</w:t>
      </w:r>
      <w:r w:rsidR="00E6365E">
        <w:rPr>
          <w:lang w:val="en-AU"/>
        </w:rPr>
        <w:fldChar w:fldCharType="end"/>
      </w:r>
      <w:r w:rsidRPr="000C564C">
        <w:rPr>
          <w:lang w:val="en-AU"/>
        </w:rPr>
        <w:t>. The target aquifers for these high value groundwater areas have b</w:t>
      </w:r>
      <w:r w:rsidR="00857ACF">
        <w:rPr>
          <w:lang w:val="en-AU"/>
        </w:rPr>
        <w:t>een used to develop the</w:t>
      </w:r>
      <w:r w:rsidRPr="000C564C">
        <w:rPr>
          <w:lang w:val="en-AU"/>
        </w:rPr>
        <w:t xml:space="preserve"> monitoring network. </w:t>
      </w:r>
    </w:p>
    <w:p w14:paraId="7DAA029B" w14:textId="35D70156" w:rsidR="000C564C" w:rsidRDefault="00FF26F0" w:rsidP="004F307F">
      <w:pPr>
        <w:pStyle w:val="Tableheading"/>
        <w:rPr>
          <w:lang w:val="en-AU"/>
        </w:rPr>
      </w:pPr>
      <w:bookmarkStart w:id="72" w:name="_Ref414011038"/>
      <w:bookmarkStart w:id="73" w:name="_Ref414005706"/>
      <w:bookmarkStart w:id="74" w:name="_Toc420320554"/>
      <w:r>
        <w:t xml:space="preserve">Table </w:t>
      </w:r>
      <w:r>
        <w:fldChar w:fldCharType="begin"/>
      </w:r>
      <w:r>
        <w:instrText xml:space="preserve"> SEQ Table \* ARABIC </w:instrText>
      </w:r>
      <w:r>
        <w:fldChar w:fldCharType="separate"/>
      </w:r>
      <w:r w:rsidR="00BD60CC">
        <w:rPr>
          <w:noProof/>
        </w:rPr>
        <w:t>4</w:t>
      </w:r>
      <w:r>
        <w:fldChar w:fldCharType="end"/>
      </w:r>
      <w:bookmarkEnd w:id="72"/>
      <w:r>
        <w:rPr>
          <w:lang w:val="en-AU"/>
        </w:rPr>
        <w:t xml:space="preserve"> </w:t>
      </w:r>
      <w:r w:rsidR="000C564C" w:rsidRPr="000C564C">
        <w:rPr>
          <w:lang w:val="en-AU"/>
        </w:rPr>
        <w:t>Summary of GMAs a</w:t>
      </w:r>
      <w:r w:rsidR="00420831">
        <w:rPr>
          <w:lang w:val="en-AU"/>
        </w:rPr>
        <w:t xml:space="preserve">nd WSPAs in the Otway </w:t>
      </w:r>
      <w:bookmarkEnd w:id="73"/>
      <w:r w:rsidR="00E87D28">
        <w:rPr>
          <w:lang w:val="en-AU"/>
        </w:rPr>
        <w:t>region</w:t>
      </w:r>
      <w:bookmarkEnd w:id="74"/>
    </w:p>
    <w:tbl>
      <w:tblPr>
        <w:tblW w:w="10039" w:type="dxa"/>
        <w:tblInd w:w="93"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716"/>
        <w:gridCol w:w="1418"/>
        <w:gridCol w:w="1559"/>
        <w:gridCol w:w="2268"/>
        <w:gridCol w:w="3078"/>
      </w:tblGrid>
      <w:tr w:rsidR="00420831" w:rsidRPr="00200223" w14:paraId="7DAA02A1" w14:textId="77777777" w:rsidTr="00B007D1">
        <w:trPr>
          <w:trHeight w:val="299"/>
          <w:tblHeader/>
        </w:trPr>
        <w:tc>
          <w:tcPr>
            <w:tcW w:w="1716" w:type="dxa"/>
            <w:tcBorders>
              <w:top w:val="nil"/>
              <w:right w:val="single" w:sz="4" w:space="0" w:color="FFFFFF"/>
            </w:tcBorders>
            <w:shd w:val="clear" w:color="auto" w:fill="005A97"/>
            <w:vAlign w:val="center"/>
          </w:tcPr>
          <w:p w14:paraId="7DAA029C" w14:textId="77777777" w:rsidR="00420831" w:rsidRPr="00200223" w:rsidRDefault="00420831" w:rsidP="00E63375">
            <w:pPr>
              <w:pStyle w:val="TableHeaderrow"/>
            </w:pPr>
            <w:r>
              <w:t>GCU</w:t>
            </w:r>
          </w:p>
        </w:tc>
        <w:tc>
          <w:tcPr>
            <w:tcW w:w="1418" w:type="dxa"/>
            <w:tcBorders>
              <w:top w:val="nil"/>
              <w:left w:val="single" w:sz="4" w:space="0" w:color="FFFFFF"/>
              <w:right w:val="single" w:sz="4" w:space="0" w:color="FFFFFF"/>
            </w:tcBorders>
            <w:shd w:val="clear" w:color="auto" w:fill="005A97"/>
            <w:noWrap/>
            <w:vAlign w:val="center"/>
            <w:hideMark/>
          </w:tcPr>
          <w:p w14:paraId="7DAA029D" w14:textId="77777777" w:rsidR="00420831" w:rsidRPr="00200223" w:rsidRDefault="00420831" w:rsidP="00E63375">
            <w:pPr>
              <w:pStyle w:val="TableHeaderrow"/>
            </w:pPr>
            <w:r w:rsidRPr="00200223">
              <w:t>GMA</w:t>
            </w:r>
            <w:r w:rsidRPr="00C946BB">
              <w:t>/WSPA</w:t>
            </w:r>
          </w:p>
        </w:tc>
        <w:tc>
          <w:tcPr>
            <w:tcW w:w="1559" w:type="dxa"/>
            <w:tcBorders>
              <w:top w:val="nil"/>
              <w:left w:val="single" w:sz="4" w:space="0" w:color="FFFFFF"/>
              <w:right w:val="single" w:sz="4" w:space="0" w:color="FFFFFF"/>
            </w:tcBorders>
            <w:shd w:val="clear" w:color="auto" w:fill="005A97"/>
            <w:noWrap/>
            <w:vAlign w:val="center"/>
            <w:hideMark/>
          </w:tcPr>
          <w:p w14:paraId="7DAA029E" w14:textId="77777777" w:rsidR="00420831" w:rsidRPr="00200223" w:rsidRDefault="00420831" w:rsidP="00E63375">
            <w:pPr>
              <w:pStyle w:val="TableHeaderrow"/>
            </w:pPr>
            <w:r w:rsidRPr="00200223">
              <w:t>Depth Criteria</w:t>
            </w:r>
          </w:p>
        </w:tc>
        <w:tc>
          <w:tcPr>
            <w:tcW w:w="2268" w:type="dxa"/>
            <w:tcBorders>
              <w:top w:val="nil"/>
              <w:left w:val="single" w:sz="4" w:space="0" w:color="FFFFFF"/>
              <w:right w:val="single" w:sz="4" w:space="0" w:color="FFFFFF"/>
            </w:tcBorders>
            <w:shd w:val="clear" w:color="auto" w:fill="005A97"/>
            <w:vAlign w:val="center"/>
            <w:hideMark/>
          </w:tcPr>
          <w:p w14:paraId="7DAA029F" w14:textId="77777777" w:rsidR="00420831" w:rsidRPr="00200223" w:rsidRDefault="00420831" w:rsidP="00E63375">
            <w:pPr>
              <w:pStyle w:val="TableHeaderrow"/>
            </w:pPr>
            <w:r w:rsidRPr="00200223">
              <w:t>Target Aquifer</w:t>
            </w:r>
          </w:p>
        </w:tc>
        <w:tc>
          <w:tcPr>
            <w:tcW w:w="3078" w:type="dxa"/>
            <w:tcBorders>
              <w:top w:val="nil"/>
              <w:left w:val="single" w:sz="4" w:space="0" w:color="FFFFFF"/>
            </w:tcBorders>
            <w:shd w:val="clear" w:color="auto" w:fill="005A97"/>
            <w:noWrap/>
            <w:vAlign w:val="center"/>
            <w:hideMark/>
          </w:tcPr>
          <w:p w14:paraId="7DAA02A0" w14:textId="77777777" w:rsidR="00420831" w:rsidRPr="00200223" w:rsidRDefault="00420831" w:rsidP="00E63375">
            <w:pPr>
              <w:pStyle w:val="TableHeaderrow"/>
            </w:pPr>
            <w:r w:rsidRPr="00200223">
              <w:t>Code</w:t>
            </w:r>
          </w:p>
        </w:tc>
      </w:tr>
      <w:tr w:rsidR="00420831" w:rsidRPr="00200223" w14:paraId="7DAA02A7" w14:textId="77777777" w:rsidTr="00B007D1">
        <w:trPr>
          <w:trHeight w:val="299"/>
        </w:trPr>
        <w:tc>
          <w:tcPr>
            <w:tcW w:w="1716" w:type="dxa"/>
            <w:vAlign w:val="center"/>
          </w:tcPr>
          <w:p w14:paraId="7DAA02A2" w14:textId="77777777" w:rsidR="00420831" w:rsidRPr="00B007D1" w:rsidRDefault="00420831" w:rsidP="00FF26F0">
            <w:pPr>
              <w:pStyle w:val="Tablesmalltext"/>
              <w:rPr>
                <w:sz w:val="18"/>
                <w:szCs w:val="18"/>
              </w:rPr>
            </w:pPr>
            <w:r w:rsidRPr="00B007D1">
              <w:rPr>
                <w:sz w:val="18"/>
                <w:szCs w:val="18"/>
              </w:rPr>
              <w:t>Glenelg</w:t>
            </w:r>
          </w:p>
        </w:tc>
        <w:tc>
          <w:tcPr>
            <w:tcW w:w="1418" w:type="dxa"/>
            <w:shd w:val="clear" w:color="auto" w:fill="auto"/>
            <w:noWrap/>
            <w:vAlign w:val="center"/>
          </w:tcPr>
          <w:p w14:paraId="7DAA02A3" w14:textId="77777777" w:rsidR="00420831" w:rsidRPr="00B007D1" w:rsidRDefault="00420831" w:rsidP="00FF26F0">
            <w:pPr>
              <w:pStyle w:val="Tablesmalltext"/>
              <w:rPr>
                <w:sz w:val="18"/>
                <w:szCs w:val="18"/>
              </w:rPr>
            </w:pPr>
            <w:r w:rsidRPr="00B007D1">
              <w:rPr>
                <w:sz w:val="18"/>
                <w:szCs w:val="18"/>
              </w:rPr>
              <w:t>Glenelg</w:t>
            </w:r>
          </w:p>
        </w:tc>
        <w:tc>
          <w:tcPr>
            <w:tcW w:w="1559" w:type="dxa"/>
            <w:shd w:val="clear" w:color="auto" w:fill="auto"/>
            <w:noWrap/>
            <w:vAlign w:val="center"/>
          </w:tcPr>
          <w:p w14:paraId="7DAA02A4" w14:textId="77777777" w:rsidR="00420831" w:rsidRPr="00B007D1" w:rsidRDefault="00420831" w:rsidP="00FF26F0">
            <w:pPr>
              <w:pStyle w:val="Tablesmalltext"/>
              <w:rPr>
                <w:sz w:val="18"/>
                <w:szCs w:val="18"/>
              </w:rPr>
            </w:pPr>
            <w:r w:rsidRPr="00B007D1">
              <w:rPr>
                <w:sz w:val="18"/>
                <w:szCs w:val="18"/>
              </w:rPr>
              <w:t>All</w:t>
            </w:r>
          </w:p>
        </w:tc>
        <w:tc>
          <w:tcPr>
            <w:tcW w:w="2268" w:type="dxa"/>
            <w:shd w:val="clear" w:color="auto" w:fill="auto"/>
            <w:vAlign w:val="center"/>
          </w:tcPr>
          <w:p w14:paraId="7DAA02A5" w14:textId="77777777" w:rsidR="00420831" w:rsidRPr="00B007D1" w:rsidRDefault="00420831" w:rsidP="00FF26F0">
            <w:pPr>
              <w:pStyle w:val="Tablesmalltext"/>
              <w:rPr>
                <w:sz w:val="18"/>
                <w:szCs w:val="18"/>
              </w:rPr>
            </w:pPr>
            <w:r w:rsidRPr="00B007D1">
              <w:rPr>
                <w:sz w:val="18"/>
                <w:szCs w:val="18"/>
              </w:rPr>
              <w:t>Port Campbell Limestone and Dilwyn Formation</w:t>
            </w:r>
          </w:p>
        </w:tc>
        <w:tc>
          <w:tcPr>
            <w:tcW w:w="3078" w:type="dxa"/>
            <w:shd w:val="clear" w:color="auto" w:fill="auto"/>
            <w:noWrap/>
            <w:vAlign w:val="center"/>
          </w:tcPr>
          <w:p w14:paraId="7DAA02A6" w14:textId="77777777" w:rsidR="00420831" w:rsidRPr="00B007D1" w:rsidRDefault="00B45B2B" w:rsidP="00FF26F0">
            <w:pPr>
              <w:pStyle w:val="Tablesmalltext"/>
              <w:rPr>
                <w:sz w:val="18"/>
                <w:szCs w:val="18"/>
              </w:rPr>
            </w:pPr>
            <w:r w:rsidRPr="00B007D1">
              <w:rPr>
                <w:rFonts w:eastAsia="Times New Roman" w:cs="Arial"/>
                <w:color w:val="000000"/>
                <w:sz w:val="18"/>
                <w:szCs w:val="18"/>
                <w:lang w:eastAsia="en-AU"/>
              </w:rPr>
              <w:t xml:space="preserve">Upper Mid-Tertiary Aquifer (107) </w:t>
            </w:r>
            <w:r w:rsidR="00420831" w:rsidRPr="00B007D1">
              <w:rPr>
                <w:sz w:val="18"/>
                <w:szCs w:val="18"/>
              </w:rPr>
              <w:t xml:space="preserve">and </w:t>
            </w:r>
            <w:r w:rsidR="00A523BA" w:rsidRPr="00B007D1">
              <w:rPr>
                <w:rFonts w:eastAsia="Times New Roman" w:cs="Arial"/>
                <w:color w:val="000000"/>
                <w:sz w:val="18"/>
                <w:szCs w:val="18"/>
                <w:lang w:eastAsia="en-AU"/>
              </w:rPr>
              <w:t>Lower Tertiary Aquifer (111)</w:t>
            </w:r>
          </w:p>
        </w:tc>
      </w:tr>
      <w:tr w:rsidR="00420831" w:rsidRPr="00200223" w14:paraId="7DAA02AD" w14:textId="77777777" w:rsidTr="00B007D1">
        <w:trPr>
          <w:trHeight w:val="299"/>
        </w:trPr>
        <w:tc>
          <w:tcPr>
            <w:tcW w:w="1716" w:type="dxa"/>
            <w:vAlign w:val="center"/>
          </w:tcPr>
          <w:p w14:paraId="7DAA02A8" w14:textId="77777777" w:rsidR="00420831" w:rsidRPr="00B007D1" w:rsidRDefault="00420831" w:rsidP="00FF26F0">
            <w:pPr>
              <w:pStyle w:val="Tablesmalltext"/>
              <w:rPr>
                <w:sz w:val="18"/>
                <w:szCs w:val="18"/>
              </w:rPr>
            </w:pPr>
            <w:r w:rsidRPr="00B007D1">
              <w:rPr>
                <w:sz w:val="18"/>
                <w:szCs w:val="18"/>
              </w:rPr>
              <w:t>Portland</w:t>
            </w:r>
          </w:p>
        </w:tc>
        <w:tc>
          <w:tcPr>
            <w:tcW w:w="1418" w:type="dxa"/>
            <w:shd w:val="clear" w:color="auto" w:fill="auto"/>
            <w:noWrap/>
            <w:vAlign w:val="center"/>
          </w:tcPr>
          <w:p w14:paraId="7DAA02A9" w14:textId="77777777" w:rsidR="00420831" w:rsidRPr="00B007D1" w:rsidRDefault="00420831" w:rsidP="00FF26F0">
            <w:pPr>
              <w:pStyle w:val="Tablesmalltext"/>
              <w:rPr>
                <w:sz w:val="18"/>
                <w:szCs w:val="18"/>
              </w:rPr>
            </w:pPr>
            <w:r w:rsidRPr="00B007D1">
              <w:rPr>
                <w:sz w:val="18"/>
                <w:szCs w:val="18"/>
              </w:rPr>
              <w:t>Portland</w:t>
            </w:r>
          </w:p>
        </w:tc>
        <w:tc>
          <w:tcPr>
            <w:tcW w:w="1559" w:type="dxa"/>
            <w:shd w:val="clear" w:color="auto" w:fill="auto"/>
            <w:noWrap/>
            <w:vAlign w:val="center"/>
          </w:tcPr>
          <w:p w14:paraId="7DAA02AA" w14:textId="77777777" w:rsidR="00420831" w:rsidRPr="00B007D1" w:rsidRDefault="00420831" w:rsidP="00FF26F0">
            <w:pPr>
              <w:pStyle w:val="Tablesmalltext"/>
              <w:rPr>
                <w:sz w:val="18"/>
                <w:szCs w:val="18"/>
              </w:rPr>
            </w:pPr>
            <w:r w:rsidRPr="00B007D1">
              <w:rPr>
                <w:sz w:val="18"/>
                <w:szCs w:val="18"/>
              </w:rPr>
              <w:t>&gt;200</w:t>
            </w:r>
          </w:p>
        </w:tc>
        <w:tc>
          <w:tcPr>
            <w:tcW w:w="2268" w:type="dxa"/>
            <w:shd w:val="clear" w:color="auto" w:fill="auto"/>
            <w:vAlign w:val="center"/>
          </w:tcPr>
          <w:p w14:paraId="7DAA02AB" w14:textId="77777777" w:rsidR="00420831" w:rsidRPr="00B007D1" w:rsidRDefault="00420831" w:rsidP="00FF26F0">
            <w:pPr>
              <w:pStyle w:val="Tablesmalltext"/>
              <w:rPr>
                <w:sz w:val="18"/>
                <w:szCs w:val="18"/>
              </w:rPr>
            </w:pPr>
            <w:r w:rsidRPr="00B007D1">
              <w:rPr>
                <w:sz w:val="18"/>
                <w:szCs w:val="18"/>
              </w:rPr>
              <w:t xml:space="preserve">Dilwyn Formation </w:t>
            </w:r>
          </w:p>
        </w:tc>
        <w:tc>
          <w:tcPr>
            <w:tcW w:w="3078" w:type="dxa"/>
            <w:shd w:val="clear" w:color="auto" w:fill="auto"/>
            <w:noWrap/>
            <w:vAlign w:val="center"/>
          </w:tcPr>
          <w:p w14:paraId="7DAA02AC" w14:textId="77777777" w:rsidR="00420831" w:rsidRPr="00B007D1" w:rsidRDefault="00A523BA" w:rsidP="00FF26F0">
            <w:pPr>
              <w:pStyle w:val="Tablesmalltext"/>
              <w:rPr>
                <w:sz w:val="18"/>
                <w:szCs w:val="18"/>
              </w:rPr>
            </w:pPr>
            <w:r w:rsidRPr="00B007D1">
              <w:rPr>
                <w:rFonts w:eastAsia="Times New Roman" w:cs="Arial"/>
                <w:color w:val="000000"/>
                <w:sz w:val="18"/>
                <w:szCs w:val="18"/>
                <w:lang w:eastAsia="en-AU"/>
              </w:rPr>
              <w:t>Lower Tertiary Aquifer (111)</w:t>
            </w:r>
            <w:r w:rsidR="00420831" w:rsidRPr="00B007D1">
              <w:rPr>
                <w:sz w:val="18"/>
                <w:szCs w:val="18"/>
              </w:rPr>
              <w:t>1</w:t>
            </w:r>
          </w:p>
        </w:tc>
      </w:tr>
      <w:tr w:rsidR="00420831" w:rsidRPr="00200223" w14:paraId="7DAA02B3" w14:textId="77777777" w:rsidTr="00B007D1">
        <w:trPr>
          <w:trHeight w:val="299"/>
        </w:trPr>
        <w:tc>
          <w:tcPr>
            <w:tcW w:w="1716" w:type="dxa"/>
            <w:vAlign w:val="center"/>
          </w:tcPr>
          <w:p w14:paraId="7DAA02AE" w14:textId="77777777" w:rsidR="00420831" w:rsidRPr="00B007D1" w:rsidRDefault="00420831" w:rsidP="00FF26F0">
            <w:pPr>
              <w:pStyle w:val="Tablesmalltext"/>
              <w:rPr>
                <w:sz w:val="18"/>
                <w:szCs w:val="18"/>
              </w:rPr>
            </w:pPr>
            <w:r w:rsidRPr="00B007D1">
              <w:rPr>
                <w:sz w:val="18"/>
                <w:szCs w:val="18"/>
              </w:rPr>
              <w:t>Portland</w:t>
            </w:r>
          </w:p>
        </w:tc>
        <w:tc>
          <w:tcPr>
            <w:tcW w:w="1418" w:type="dxa"/>
            <w:shd w:val="clear" w:color="auto" w:fill="auto"/>
            <w:noWrap/>
            <w:vAlign w:val="center"/>
            <w:hideMark/>
          </w:tcPr>
          <w:p w14:paraId="7DAA02AF" w14:textId="77777777" w:rsidR="00420831" w:rsidRPr="00B007D1" w:rsidRDefault="00420831" w:rsidP="00FF26F0">
            <w:pPr>
              <w:pStyle w:val="Tablesmalltext"/>
              <w:rPr>
                <w:sz w:val="18"/>
                <w:szCs w:val="18"/>
              </w:rPr>
            </w:pPr>
            <w:r w:rsidRPr="00B007D1">
              <w:rPr>
                <w:sz w:val="18"/>
                <w:szCs w:val="18"/>
              </w:rPr>
              <w:t>Condah</w:t>
            </w:r>
          </w:p>
        </w:tc>
        <w:tc>
          <w:tcPr>
            <w:tcW w:w="1559" w:type="dxa"/>
            <w:shd w:val="clear" w:color="auto" w:fill="auto"/>
            <w:noWrap/>
            <w:vAlign w:val="center"/>
            <w:hideMark/>
          </w:tcPr>
          <w:p w14:paraId="7DAA02B0" w14:textId="77777777" w:rsidR="00420831" w:rsidRPr="00B007D1" w:rsidRDefault="00420831" w:rsidP="00FF26F0">
            <w:pPr>
              <w:pStyle w:val="Tablesmalltext"/>
              <w:rPr>
                <w:sz w:val="18"/>
                <w:szCs w:val="18"/>
              </w:rPr>
            </w:pPr>
            <w:r w:rsidRPr="00B007D1">
              <w:rPr>
                <w:sz w:val="18"/>
                <w:szCs w:val="18"/>
              </w:rPr>
              <w:t>70-200</w:t>
            </w:r>
          </w:p>
        </w:tc>
        <w:tc>
          <w:tcPr>
            <w:tcW w:w="2268" w:type="dxa"/>
            <w:shd w:val="clear" w:color="auto" w:fill="auto"/>
            <w:vAlign w:val="center"/>
            <w:hideMark/>
          </w:tcPr>
          <w:p w14:paraId="7DAA02B1" w14:textId="77777777" w:rsidR="00420831" w:rsidRPr="00B007D1" w:rsidRDefault="00420831" w:rsidP="00FF26F0">
            <w:pPr>
              <w:pStyle w:val="Tablesmalltext"/>
              <w:rPr>
                <w:sz w:val="18"/>
                <w:szCs w:val="18"/>
              </w:rPr>
            </w:pPr>
            <w:r w:rsidRPr="00B007D1">
              <w:rPr>
                <w:sz w:val="18"/>
                <w:szCs w:val="18"/>
              </w:rPr>
              <w:t>Clifton Formation</w:t>
            </w:r>
          </w:p>
        </w:tc>
        <w:tc>
          <w:tcPr>
            <w:tcW w:w="3078" w:type="dxa"/>
            <w:shd w:val="clear" w:color="auto" w:fill="auto"/>
            <w:noWrap/>
            <w:vAlign w:val="center"/>
            <w:hideMark/>
          </w:tcPr>
          <w:p w14:paraId="7DAA02B2" w14:textId="77777777" w:rsidR="00420831" w:rsidRPr="00B007D1" w:rsidRDefault="00B45B2B" w:rsidP="00FF26F0">
            <w:pPr>
              <w:pStyle w:val="Tablesmalltext"/>
              <w:rPr>
                <w:sz w:val="18"/>
                <w:szCs w:val="18"/>
              </w:rPr>
            </w:pPr>
            <w:r w:rsidRPr="00B007D1">
              <w:rPr>
                <w:rFonts w:eastAsia="Times New Roman" w:cs="Arial"/>
                <w:color w:val="000000"/>
                <w:sz w:val="18"/>
                <w:szCs w:val="18"/>
                <w:lang w:eastAsia="en-AU"/>
              </w:rPr>
              <w:t>Lower Mid-Tertiary Aquifer (109)</w:t>
            </w:r>
          </w:p>
        </w:tc>
      </w:tr>
      <w:tr w:rsidR="00420831" w:rsidRPr="00200223" w14:paraId="7DAA02B9" w14:textId="77777777" w:rsidTr="00B007D1">
        <w:trPr>
          <w:trHeight w:val="299"/>
        </w:trPr>
        <w:tc>
          <w:tcPr>
            <w:tcW w:w="1716" w:type="dxa"/>
            <w:vAlign w:val="center"/>
          </w:tcPr>
          <w:p w14:paraId="7DAA02B4" w14:textId="77777777" w:rsidR="00420831" w:rsidRPr="00B007D1" w:rsidRDefault="00420831" w:rsidP="00FF26F0">
            <w:pPr>
              <w:pStyle w:val="Tablesmalltext"/>
              <w:rPr>
                <w:sz w:val="18"/>
                <w:szCs w:val="18"/>
              </w:rPr>
            </w:pPr>
            <w:r w:rsidRPr="00B007D1">
              <w:rPr>
                <w:sz w:val="18"/>
                <w:szCs w:val="18"/>
              </w:rPr>
              <w:t>Portland</w:t>
            </w:r>
          </w:p>
        </w:tc>
        <w:tc>
          <w:tcPr>
            <w:tcW w:w="1418" w:type="dxa"/>
            <w:shd w:val="clear" w:color="auto" w:fill="auto"/>
            <w:noWrap/>
            <w:vAlign w:val="center"/>
          </w:tcPr>
          <w:p w14:paraId="7DAA02B5" w14:textId="77777777" w:rsidR="00420831" w:rsidRPr="00B007D1" w:rsidRDefault="00420831" w:rsidP="00FF26F0">
            <w:pPr>
              <w:pStyle w:val="Tablesmalltext"/>
              <w:rPr>
                <w:sz w:val="18"/>
                <w:szCs w:val="18"/>
              </w:rPr>
            </w:pPr>
            <w:r w:rsidRPr="00B007D1">
              <w:rPr>
                <w:sz w:val="18"/>
                <w:szCs w:val="18"/>
              </w:rPr>
              <w:t>Yangery</w:t>
            </w:r>
          </w:p>
        </w:tc>
        <w:tc>
          <w:tcPr>
            <w:tcW w:w="1559" w:type="dxa"/>
            <w:shd w:val="clear" w:color="auto" w:fill="auto"/>
            <w:noWrap/>
            <w:vAlign w:val="center"/>
          </w:tcPr>
          <w:p w14:paraId="7DAA02B6" w14:textId="77777777" w:rsidR="00420831" w:rsidRPr="00B007D1" w:rsidRDefault="00420831" w:rsidP="00FF26F0">
            <w:pPr>
              <w:pStyle w:val="Tablesmalltext"/>
              <w:rPr>
                <w:sz w:val="18"/>
                <w:szCs w:val="18"/>
              </w:rPr>
            </w:pPr>
            <w:r w:rsidRPr="00B007D1">
              <w:rPr>
                <w:sz w:val="18"/>
                <w:szCs w:val="18"/>
              </w:rPr>
              <w:t>&lt;100</w:t>
            </w:r>
          </w:p>
        </w:tc>
        <w:tc>
          <w:tcPr>
            <w:tcW w:w="2268" w:type="dxa"/>
            <w:shd w:val="clear" w:color="auto" w:fill="auto"/>
            <w:vAlign w:val="center"/>
          </w:tcPr>
          <w:p w14:paraId="7DAA02B7" w14:textId="77777777" w:rsidR="00420831" w:rsidRPr="00B007D1" w:rsidRDefault="00420831" w:rsidP="00FF26F0">
            <w:pPr>
              <w:pStyle w:val="Tablesmalltext"/>
              <w:rPr>
                <w:sz w:val="18"/>
                <w:szCs w:val="18"/>
              </w:rPr>
            </w:pPr>
            <w:r w:rsidRPr="00B007D1">
              <w:rPr>
                <w:sz w:val="18"/>
                <w:szCs w:val="18"/>
              </w:rPr>
              <w:t>Port Campbell Limestone</w:t>
            </w:r>
          </w:p>
        </w:tc>
        <w:tc>
          <w:tcPr>
            <w:tcW w:w="3078" w:type="dxa"/>
            <w:shd w:val="clear" w:color="auto" w:fill="auto"/>
            <w:noWrap/>
            <w:vAlign w:val="center"/>
          </w:tcPr>
          <w:p w14:paraId="7DAA02B8" w14:textId="77777777" w:rsidR="00420831" w:rsidRPr="00B007D1" w:rsidRDefault="00A523BA" w:rsidP="00FF26F0">
            <w:pPr>
              <w:pStyle w:val="Tablesmalltext"/>
              <w:rPr>
                <w:sz w:val="18"/>
                <w:szCs w:val="18"/>
              </w:rPr>
            </w:pPr>
            <w:r w:rsidRPr="00B007D1">
              <w:rPr>
                <w:rFonts w:eastAsia="Times New Roman" w:cs="Arial"/>
                <w:color w:val="000000"/>
                <w:sz w:val="18"/>
                <w:szCs w:val="18"/>
                <w:lang w:eastAsia="en-AU"/>
              </w:rPr>
              <w:t>Upper Mid-Tertiary Aquifer (107)</w:t>
            </w:r>
          </w:p>
        </w:tc>
      </w:tr>
      <w:tr w:rsidR="00420831" w:rsidRPr="00200223" w14:paraId="7DAA02BF" w14:textId="77777777" w:rsidTr="00B007D1">
        <w:trPr>
          <w:trHeight w:val="299"/>
        </w:trPr>
        <w:tc>
          <w:tcPr>
            <w:tcW w:w="1716" w:type="dxa"/>
            <w:vAlign w:val="center"/>
          </w:tcPr>
          <w:p w14:paraId="7DAA02BA" w14:textId="77777777" w:rsidR="00420831" w:rsidRPr="00B007D1" w:rsidRDefault="00420831" w:rsidP="00FF26F0">
            <w:pPr>
              <w:pStyle w:val="Tablesmalltext"/>
              <w:rPr>
                <w:sz w:val="18"/>
                <w:szCs w:val="18"/>
              </w:rPr>
            </w:pPr>
            <w:r w:rsidRPr="00B007D1">
              <w:rPr>
                <w:sz w:val="18"/>
                <w:szCs w:val="18"/>
              </w:rPr>
              <w:t>Portland</w:t>
            </w:r>
          </w:p>
        </w:tc>
        <w:tc>
          <w:tcPr>
            <w:tcW w:w="1418" w:type="dxa"/>
            <w:shd w:val="clear" w:color="auto" w:fill="auto"/>
            <w:noWrap/>
            <w:vAlign w:val="center"/>
            <w:hideMark/>
          </w:tcPr>
          <w:p w14:paraId="7DAA02BB" w14:textId="77777777" w:rsidR="00420831" w:rsidRPr="00B007D1" w:rsidRDefault="00420831" w:rsidP="00FF26F0">
            <w:pPr>
              <w:pStyle w:val="Tablesmalltext"/>
              <w:rPr>
                <w:sz w:val="18"/>
                <w:szCs w:val="18"/>
              </w:rPr>
            </w:pPr>
            <w:r w:rsidRPr="00B007D1">
              <w:rPr>
                <w:sz w:val="18"/>
                <w:szCs w:val="18"/>
              </w:rPr>
              <w:t>Hawkesdale</w:t>
            </w:r>
          </w:p>
        </w:tc>
        <w:tc>
          <w:tcPr>
            <w:tcW w:w="1559" w:type="dxa"/>
            <w:shd w:val="clear" w:color="auto" w:fill="auto"/>
            <w:noWrap/>
            <w:vAlign w:val="center"/>
            <w:hideMark/>
          </w:tcPr>
          <w:p w14:paraId="7DAA02BC" w14:textId="77777777" w:rsidR="00420831" w:rsidRPr="00B007D1" w:rsidRDefault="00420831" w:rsidP="00FF26F0">
            <w:pPr>
              <w:pStyle w:val="Tablesmalltext"/>
              <w:rPr>
                <w:sz w:val="18"/>
                <w:szCs w:val="18"/>
              </w:rPr>
            </w:pPr>
            <w:r w:rsidRPr="00B007D1">
              <w:rPr>
                <w:sz w:val="18"/>
                <w:szCs w:val="18"/>
              </w:rPr>
              <w:t>Zone 1 &lt;200 and zone 2 all</w:t>
            </w:r>
          </w:p>
        </w:tc>
        <w:tc>
          <w:tcPr>
            <w:tcW w:w="2268" w:type="dxa"/>
            <w:shd w:val="clear" w:color="auto" w:fill="auto"/>
            <w:vAlign w:val="center"/>
            <w:hideMark/>
          </w:tcPr>
          <w:p w14:paraId="7DAA02BD" w14:textId="77777777" w:rsidR="00420831" w:rsidRPr="00B007D1" w:rsidRDefault="00420831" w:rsidP="00FF26F0">
            <w:pPr>
              <w:pStyle w:val="Tablesmalltext"/>
              <w:rPr>
                <w:sz w:val="18"/>
                <w:szCs w:val="18"/>
              </w:rPr>
            </w:pPr>
            <w:r w:rsidRPr="00B007D1">
              <w:rPr>
                <w:sz w:val="18"/>
                <w:szCs w:val="18"/>
              </w:rPr>
              <w:t>Port Campbell Limestone</w:t>
            </w:r>
          </w:p>
        </w:tc>
        <w:tc>
          <w:tcPr>
            <w:tcW w:w="3078" w:type="dxa"/>
            <w:shd w:val="clear" w:color="auto" w:fill="auto"/>
            <w:noWrap/>
            <w:vAlign w:val="center"/>
            <w:hideMark/>
          </w:tcPr>
          <w:p w14:paraId="7DAA02BE" w14:textId="77777777" w:rsidR="00420831" w:rsidRPr="00B007D1" w:rsidRDefault="00A523BA" w:rsidP="00FF26F0">
            <w:pPr>
              <w:pStyle w:val="Tablesmalltext"/>
              <w:rPr>
                <w:sz w:val="18"/>
                <w:szCs w:val="18"/>
              </w:rPr>
            </w:pPr>
            <w:r w:rsidRPr="00B007D1">
              <w:rPr>
                <w:rFonts w:eastAsia="Times New Roman" w:cs="Arial"/>
                <w:color w:val="000000"/>
                <w:sz w:val="18"/>
                <w:szCs w:val="18"/>
                <w:lang w:eastAsia="en-AU"/>
              </w:rPr>
              <w:t>Upper Mid-Tertiary Aquifer (107)</w:t>
            </w:r>
          </w:p>
        </w:tc>
      </w:tr>
      <w:tr w:rsidR="00420831" w:rsidRPr="00200223" w14:paraId="7DAA02C5" w14:textId="77777777" w:rsidTr="00B007D1">
        <w:trPr>
          <w:trHeight w:val="331"/>
        </w:trPr>
        <w:tc>
          <w:tcPr>
            <w:tcW w:w="1716" w:type="dxa"/>
            <w:vAlign w:val="center"/>
          </w:tcPr>
          <w:p w14:paraId="7DAA02C0" w14:textId="77777777" w:rsidR="00420831" w:rsidRPr="00B007D1" w:rsidRDefault="00420831" w:rsidP="00FF26F0">
            <w:pPr>
              <w:pStyle w:val="Tablesmalltext"/>
              <w:rPr>
                <w:sz w:val="18"/>
                <w:szCs w:val="18"/>
              </w:rPr>
            </w:pPr>
            <w:r w:rsidRPr="00B007D1">
              <w:rPr>
                <w:sz w:val="18"/>
                <w:szCs w:val="18"/>
              </w:rPr>
              <w:t>Portland</w:t>
            </w:r>
          </w:p>
        </w:tc>
        <w:tc>
          <w:tcPr>
            <w:tcW w:w="1418" w:type="dxa"/>
            <w:shd w:val="clear" w:color="auto" w:fill="auto"/>
            <w:noWrap/>
            <w:vAlign w:val="center"/>
            <w:hideMark/>
          </w:tcPr>
          <w:p w14:paraId="7DAA02C1" w14:textId="77777777" w:rsidR="00420831" w:rsidRPr="00B007D1" w:rsidRDefault="00420831" w:rsidP="00FF26F0">
            <w:pPr>
              <w:pStyle w:val="Tablesmalltext"/>
              <w:rPr>
                <w:sz w:val="18"/>
                <w:szCs w:val="18"/>
              </w:rPr>
            </w:pPr>
            <w:r w:rsidRPr="00B007D1">
              <w:rPr>
                <w:sz w:val="18"/>
                <w:szCs w:val="18"/>
              </w:rPr>
              <w:t>Heywood</w:t>
            </w:r>
          </w:p>
        </w:tc>
        <w:tc>
          <w:tcPr>
            <w:tcW w:w="1559" w:type="dxa"/>
            <w:shd w:val="clear" w:color="auto" w:fill="auto"/>
            <w:noWrap/>
            <w:vAlign w:val="center"/>
            <w:hideMark/>
          </w:tcPr>
          <w:p w14:paraId="7DAA02C2" w14:textId="77777777" w:rsidR="00420831" w:rsidRPr="00B007D1" w:rsidRDefault="00420831" w:rsidP="00FF26F0">
            <w:pPr>
              <w:pStyle w:val="Tablesmalltext"/>
              <w:rPr>
                <w:sz w:val="18"/>
                <w:szCs w:val="18"/>
              </w:rPr>
            </w:pPr>
            <w:r w:rsidRPr="00B007D1">
              <w:rPr>
                <w:sz w:val="18"/>
                <w:szCs w:val="18"/>
              </w:rPr>
              <w:t>&lt;70</w:t>
            </w:r>
          </w:p>
        </w:tc>
        <w:tc>
          <w:tcPr>
            <w:tcW w:w="2268" w:type="dxa"/>
            <w:shd w:val="clear" w:color="auto" w:fill="auto"/>
            <w:vAlign w:val="center"/>
            <w:hideMark/>
          </w:tcPr>
          <w:p w14:paraId="7DAA02C3" w14:textId="77777777" w:rsidR="00420831" w:rsidRPr="00B007D1" w:rsidRDefault="00420831" w:rsidP="00FF26F0">
            <w:pPr>
              <w:pStyle w:val="Tablesmalltext"/>
              <w:rPr>
                <w:sz w:val="18"/>
                <w:szCs w:val="18"/>
              </w:rPr>
            </w:pPr>
            <w:r w:rsidRPr="00B007D1">
              <w:rPr>
                <w:sz w:val="18"/>
                <w:szCs w:val="18"/>
              </w:rPr>
              <w:t>Quaternary volcanics, Bridgewater and Whalers Bluff Formations and the Port Campbell Limestone Aquifer.</w:t>
            </w:r>
          </w:p>
        </w:tc>
        <w:tc>
          <w:tcPr>
            <w:tcW w:w="3078" w:type="dxa"/>
            <w:shd w:val="clear" w:color="auto" w:fill="auto"/>
            <w:noWrap/>
            <w:vAlign w:val="center"/>
            <w:hideMark/>
          </w:tcPr>
          <w:p w14:paraId="7DAA02C4" w14:textId="77777777" w:rsidR="00420831" w:rsidRPr="00B007D1" w:rsidRDefault="00A523BA" w:rsidP="00B45B2B">
            <w:pPr>
              <w:pStyle w:val="Tablesmalltext"/>
              <w:rPr>
                <w:sz w:val="18"/>
                <w:szCs w:val="18"/>
              </w:rPr>
            </w:pPr>
            <w:r w:rsidRPr="00B007D1">
              <w:rPr>
                <w:rFonts w:eastAsia="Times New Roman" w:cs="Arial"/>
                <w:color w:val="000000"/>
                <w:sz w:val="18"/>
                <w:szCs w:val="18"/>
                <w:lang w:eastAsia="en-AU"/>
              </w:rPr>
              <w:t xml:space="preserve">Upper Tertiary/Quaternary Basalt Aquifer (101) and </w:t>
            </w:r>
            <w:r w:rsidR="00B45B2B" w:rsidRPr="00B007D1">
              <w:rPr>
                <w:rFonts w:eastAsia="Times New Roman" w:cs="Arial"/>
                <w:color w:val="000000"/>
                <w:sz w:val="18"/>
                <w:szCs w:val="18"/>
                <w:lang w:eastAsia="en-AU"/>
              </w:rPr>
              <w:t>Upper Tertiary Aquifer (marine) (104)</w:t>
            </w:r>
            <w:r w:rsidR="00B45B2B" w:rsidRPr="00B007D1">
              <w:rPr>
                <w:sz w:val="18"/>
                <w:szCs w:val="18"/>
              </w:rPr>
              <w:t xml:space="preserve">and </w:t>
            </w:r>
            <w:r w:rsidR="00B45B2B" w:rsidRPr="00B007D1">
              <w:rPr>
                <w:rFonts w:eastAsia="Times New Roman" w:cs="Arial"/>
                <w:color w:val="000000"/>
                <w:sz w:val="18"/>
                <w:szCs w:val="18"/>
                <w:lang w:eastAsia="en-AU"/>
              </w:rPr>
              <w:t>Upper Mid-Tertiary Aquifer (107)</w:t>
            </w:r>
          </w:p>
        </w:tc>
      </w:tr>
      <w:tr w:rsidR="00420831" w:rsidRPr="00200223" w14:paraId="7DAA02CB" w14:textId="77777777" w:rsidTr="00B007D1">
        <w:trPr>
          <w:trHeight w:val="299"/>
        </w:trPr>
        <w:tc>
          <w:tcPr>
            <w:tcW w:w="1716" w:type="dxa"/>
            <w:vAlign w:val="center"/>
          </w:tcPr>
          <w:p w14:paraId="7DAA02C6" w14:textId="77777777" w:rsidR="00420831" w:rsidRPr="00B007D1" w:rsidRDefault="00420831" w:rsidP="00FF26F0">
            <w:pPr>
              <w:pStyle w:val="Tablesmalltext"/>
              <w:rPr>
                <w:sz w:val="18"/>
                <w:szCs w:val="18"/>
              </w:rPr>
            </w:pPr>
            <w:r w:rsidRPr="00B007D1">
              <w:rPr>
                <w:sz w:val="18"/>
                <w:szCs w:val="18"/>
              </w:rPr>
              <w:t>Hopkins - Corangamite</w:t>
            </w:r>
          </w:p>
        </w:tc>
        <w:tc>
          <w:tcPr>
            <w:tcW w:w="1418" w:type="dxa"/>
            <w:shd w:val="clear" w:color="auto" w:fill="auto"/>
            <w:noWrap/>
            <w:vAlign w:val="center"/>
            <w:hideMark/>
          </w:tcPr>
          <w:p w14:paraId="7DAA02C7" w14:textId="77777777" w:rsidR="00420831" w:rsidRPr="00B007D1" w:rsidRDefault="00420831" w:rsidP="00FF26F0">
            <w:pPr>
              <w:pStyle w:val="Tablesmalltext"/>
              <w:rPr>
                <w:sz w:val="18"/>
                <w:szCs w:val="18"/>
              </w:rPr>
            </w:pPr>
            <w:r w:rsidRPr="00B007D1">
              <w:rPr>
                <w:sz w:val="18"/>
                <w:szCs w:val="18"/>
              </w:rPr>
              <w:t>Newlingrook</w:t>
            </w:r>
          </w:p>
        </w:tc>
        <w:tc>
          <w:tcPr>
            <w:tcW w:w="1559" w:type="dxa"/>
            <w:shd w:val="clear" w:color="auto" w:fill="auto"/>
            <w:noWrap/>
            <w:vAlign w:val="center"/>
            <w:hideMark/>
          </w:tcPr>
          <w:p w14:paraId="7DAA02C8" w14:textId="77777777" w:rsidR="00420831" w:rsidRPr="00B007D1" w:rsidRDefault="00420831" w:rsidP="00FF26F0">
            <w:pPr>
              <w:pStyle w:val="Tablesmalltext"/>
              <w:rPr>
                <w:sz w:val="18"/>
                <w:szCs w:val="18"/>
              </w:rPr>
            </w:pPr>
            <w:r w:rsidRPr="00B007D1">
              <w:rPr>
                <w:sz w:val="18"/>
                <w:szCs w:val="18"/>
              </w:rPr>
              <w:t>All</w:t>
            </w:r>
          </w:p>
        </w:tc>
        <w:tc>
          <w:tcPr>
            <w:tcW w:w="2268" w:type="dxa"/>
            <w:shd w:val="clear" w:color="auto" w:fill="auto"/>
            <w:vAlign w:val="center"/>
            <w:hideMark/>
          </w:tcPr>
          <w:p w14:paraId="7DAA02C9" w14:textId="77777777" w:rsidR="00420831" w:rsidRPr="00B007D1" w:rsidRDefault="00420831" w:rsidP="00FF26F0">
            <w:pPr>
              <w:pStyle w:val="Tablesmalltext"/>
              <w:rPr>
                <w:sz w:val="18"/>
                <w:szCs w:val="18"/>
              </w:rPr>
            </w:pPr>
            <w:r w:rsidRPr="00B007D1">
              <w:rPr>
                <w:sz w:val="18"/>
                <w:szCs w:val="18"/>
              </w:rPr>
              <w:t xml:space="preserve">Dilwyn Formation </w:t>
            </w:r>
          </w:p>
        </w:tc>
        <w:tc>
          <w:tcPr>
            <w:tcW w:w="3078" w:type="dxa"/>
            <w:shd w:val="clear" w:color="auto" w:fill="auto"/>
            <w:noWrap/>
            <w:vAlign w:val="center"/>
            <w:hideMark/>
          </w:tcPr>
          <w:p w14:paraId="7DAA02CA" w14:textId="77777777" w:rsidR="00420831" w:rsidRPr="00B007D1" w:rsidRDefault="00A523BA" w:rsidP="00FF26F0">
            <w:pPr>
              <w:pStyle w:val="Tablesmalltext"/>
              <w:rPr>
                <w:sz w:val="18"/>
                <w:szCs w:val="18"/>
              </w:rPr>
            </w:pPr>
            <w:r w:rsidRPr="00B007D1">
              <w:rPr>
                <w:rFonts w:eastAsia="Times New Roman" w:cs="Arial"/>
                <w:color w:val="000000"/>
                <w:sz w:val="18"/>
                <w:szCs w:val="18"/>
                <w:lang w:eastAsia="en-AU"/>
              </w:rPr>
              <w:t>Lower Tertiary Aquifer (111)</w:t>
            </w:r>
          </w:p>
        </w:tc>
      </w:tr>
      <w:tr w:rsidR="00420831" w:rsidRPr="00200223" w14:paraId="7DAA02D1" w14:textId="77777777" w:rsidTr="00B007D1">
        <w:trPr>
          <w:trHeight w:val="299"/>
        </w:trPr>
        <w:tc>
          <w:tcPr>
            <w:tcW w:w="1716" w:type="dxa"/>
            <w:vAlign w:val="center"/>
          </w:tcPr>
          <w:p w14:paraId="7DAA02CC" w14:textId="77777777" w:rsidR="00420831" w:rsidRPr="00B007D1" w:rsidRDefault="00420831" w:rsidP="00FF26F0">
            <w:pPr>
              <w:pStyle w:val="Tablesmalltext"/>
              <w:rPr>
                <w:sz w:val="18"/>
                <w:szCs w:val="18"/>
              </w:rPr>
            </w:pPr>
            <w:r w:rsidRPr="00B007D1">
              <w:rPr>
                <w:sz w:val="18"/>
                <w:szCs w:val="18"/>
              </w:rPr>
              <w:t>Hopkins - Corangamite</w:t>
            </w:r>
          </w:p>
        </w:tc>
        <w:tc>
          <w:tcPr>
            <w:tcW w:w="1418" w:type="dxa"/>
            <w:shd w:val="clear" w:color="auto" w:fill="auto"/>
            <w:noWrap/>
            <w:vAlign w:val="center"/>
            <w:hideMark/>
          </w:tcPr>
          <w:p w14:paraId="7DAA02CD" w14:textId="77777777" w:rsidR="00420831" w:rsidRPr="00B007D1" w:rsidRDefault="00420831" w:rsidP="00FF26F0">
            <w:pPr>
              <w:pStyle w:val="Tablesmalltext"/>
              <w:rPr>
                <w:sz w:val="18"/>
                <w:szCs w:val="18"/>
              </w:rPr>
            </w:pPr>
            <w:r w:rsidRPr="00B007D1">
              <w:rPr>
                <w:sz w:val="18"/>
                <w:szCs w:val="18"/>
              </w:rPr>
              <w:t>Nullawarre</w:t>
            </w:r>
          </w:p>
        </w:tc>
        <w:tc>
          <w:tcPr>
            <w:tcW w:w="1559" w:type="dxa"/>
            <w:shd w:val="clear" w:color="auto" w:fill="auto"/>
            <w:noWrap/>
            <w:vAlign w:val="center"/>
            <w:hideMark/>
          </w:tcPr>
          <w:p w14:paraId="7DAA02CE" w14:textId="77777777" w:rsidR="00420831" w:rsidRPr="00B007D1" w:rsidRDefault="00420831" w:rsidP="00FF26F0">
            <w:pPr>
              <w:pStyle w:val="Tablesmalltext"/>
              <w:rPr>
                <w:sz w:val="18"/>
                <w:szCs w:val="18"/>
              </w:rPr>
            </w:pPr>
            <w:r w:rsidRPr="00B007D1">
              <w:rPr>
                <w:sz w:val="18"/>
                <w:szCs w:val="18"/>
              </w:rPr>
              <w:t>&lt;250</w:t>
            </w:r>
          </w:p>
        </w:tc>
        <w:tc>
          <w:tcPr>
            <w:tcW w:w="2268" w:type="dxa"/>
            <w:shd w:val="clear" w:color="auto" w:fill="auto"/>
            <w:vAlign w:val="center"/>
            <w:hideMark/>
          </w:tcPr>
          <w:p w14:paraId="7DAA02CF" w14:textId="77777777" w:rsidR="00420831" w:rsidRPr="00B007D1" w:rsidRDefault="00420831" w:rsidP="00FF26F0">
            <w:pPr>
              <w:pStyle w:val="Tablesmalltext"/>
              <w:rPr>
                <w:sz w:val="18"/>
                <w:szCs w:val="18"/>
              </w:rPr>
            </w:pPr>
            <w:r w:rsidRPr="00B007D1">
              <w:rPr>
                <w:sz w:val="18"/>
                <w:szCs w:val="18"/>
              </w:rPr>
              <w:t>Port Campbell Limestone</w:t>
            </w:r>
          </w:p>
        </w:tc>
        <w:tc>
          <w:tcPr>
            <w:tcW w:w="3078" w:type="dxa"/>
            <w:shd w:val="clear" w:color="auto" w:fill="auto"/>
            <w:noWrap/>
            <w:vAlign w:val="center"/>
            <w:hideMark/>
          </w:tcPr>
          <w:p w14:paraId="7DAA02D0" w14:textId="77777777" w:rsidR="00420831" w:rsidRPr="00B007D1" w:rsidRDefault="00A523BA" w:rsidP="00FF26F0">
            <w:pPr>
              <w:pStyle w:val="Tablesmalltext"/>
              <w:rPr>
                <w:sz w:val="18"/>
                <w:szCs w:val="18"/>
              </w:rPr>
            </w:pPr>
            <w:r w:rsidRPr="00B007D1">
              <w:rPr>
                <w:rFonts w:eastAsia="Times New Roman" w:cs="Arial"/>
                <w:color w:val="000000"/>
                <w:sz w:val="18"/>
                <w:szCs w:val="18"/>
                <w:lang w:eastAsia="en-AU"/>
              </w:rPr>
              <w:t>Upper Mid-Tertiary Aquifer (107)</w:t>
            </w:r>
          </w:p>
        </w:tc>
      </w:tr>
      <w:tr w:rsidR="00420831" w:rsidRPr="00200223" w14:paraId="7DAA02D7" w14:textId="77777777" w:rsidTr="00B007D1">
        <w:trPr>
          <w:trHeight w:val="299"/>
        </w:trPr>
        <w:tc>
          <w:tcPr>
            <w:tcW w:w="1716" w:type="dxa"/>
            <w:vAlign w:val="center"/>
          </w:tcPr>
          <w:p w14:paraId="7DAA02D2" w14:textId="77777777" w:rsidR="00420831" w:rsidRPr="00B007D1" w:rsidRDefault="00420831" w:rsidP="00FF26F0">
            <w:pPr>
              <w:pStyle w:val="Tablesmalltext"/>
              <w:rPr>
                <w:sz w:val="18"/>
                <w:szCs w:val="18"/>
              </w:rPr>
            </w:pPr>
            <w:r w:rsidRPr="00B007D1">
              <w:rPr>
                <w:sz w:val="18"/>
                <w:szCs w:val="18"/>
              </w:rPr>
              <w:t>Hopkins - Corangamite</w:t>
            </w:r>
          </w:p>
        </w:tc>
        <w:tc>
          <w:tcPr>
            <w:tcW w:w="1418" w:type="dxa"/>
            <w:shd w:val="clear" w:color="auto" w:fill="auto"/>
            <w:noWrap/>
            <w:vAlign w:val="center"/>
            <w:hideMark/>
          </w:tcPr>
          <w:p w14:paraId="7DAA02D3" w14:textId="77777777" w:rsidR="00420831" w:rsidRPr="00B007D1" w:rsidRDefault="00420831" w:rsidP="00FF26F0">
            <w:pPr>
              <w:pStyle w:val="Tablesmalltext"/>
              <w:rPr>
                <w:sz w:val="18"/>
                <w:szCs w:val="18"/>
              </w:rPr>
            </w:pPr>
            <w:r w:rsidRPr="00B007D1">
              <w:rPr>
                <w:sz w:val="18"/>
                <w:szCs w:val="18"/>
              </w:rPr>
              <w:t>Paaratte</w:t>
            </w:r>
          </w:p>
        </w:tc>
        <w:tc>
          <w:tcPr>
            <w:tcW w:w="1559" w:type="dxa"/>
            <w:shd w:val="clear" w:color="auto" w:fill="auto"/>
            <w:noWrap/>
            <w:vAlign w:val="center"/>
            <w:hideMark/>
          </w:tcPr>
          <w:p w14:paraId="7DAA02D4" w14:textId="77777777" w:rsidR="00420831" w:rsidRPr="00B007D1" w:rsidRDefault="00420831" w:rsidP="00FF26F0">
            <w:pPr>
              <w:pStyle w:val="Tablesmalltext"/>
              <w:rPr>
                <w:sz w:val="18"/>
                <w:szCs w:val="18"/>
              </w:rPr>
            </w:pPr>
            <w:r w:rsidRPr="00B007D1">
              <w:rPr>
                <w:sz w:val="18"/>
                <w:szCs w:val="18"/>
              </w:rPr>
              <w:t>&gt;120</w:t>
            </w:r>
          </w:p>
        </w:tc>
        <w:tc>
          <w:tcPr>
            <w:tcW w:w="2268" w:type="dxa"/>
            <w:shd w:val="clear" w:color="auto" w:fill="auto"/>
            <w:vAlign w:val="center"/>
            <w:hideMark/>
          </w:tcPr>
          <w:p w14:paraId="7DAA02D5" w14:textId="77777777" w:rsidR="00420831" w:rsidRPr="00B007D1" w:rsidRDefault="00420831" w:rsidP="00FF26F0">
            <w:pPr>
              <w:pStyle w:val="Tablesmalltext"/>
              <w:rPr>
                <w:sz w:val="18"/>
                <w:szCs w:val="18"/>
              </w:rPr>
            </w:pPr>
            <w:r w:rsidRPr="00B007D1">
              <w:rPr>
                <w:sz w:val="18"/>
                <w:szCs w:val="18"/>
              </w:rPr>
              <w:t xml:space="preserve">Dilwyn Formation </w:t>
            </w:r>
          </w:p>
        </w:tc>
        <w:tc>
          <w:tcPr>
            <w:tcW w:w="3078" w:type="dxa"/>
            <w:shd w:val="clear" w:color="auto" w:fill="auto"/>
            <w:noWrap/>
            <w:vAlign w:val="center"/>
            <w:hideMark/>
          </w:tcPr>
          <w:p w14:paraId="7DAA02D6" w14:textId="77777777" w:rsidR="00420831" w:rsidRPr="00B007D1" w:rsidRDefault="00A523BA" w:rsidP="00FF26F0">
            <w:pPr>
              <w:pStyle w:val="Tablesmalltext"/>
              <w:rPr>
                <w:sz w:val="18"/>
                <w:szCs w:val="18"/>
              </w:rPr>
            </w:pPr>
            <w:r w:rsidRPr="00B007D1">
              <w:rPr>
                <w:rFonts w:eastAsia="Times New Roman" w:cs="Arial"/>
                <w:color w:val="000000"/>
                <w:sz w:val="18"/>
                <w:szCs w:val="18"/>
                <w:lang w:eastAsia="en-AU"/>
              </w:rPr>
              <w:t>Lower Tertiary Aquifer (111)</w:t>
            </w:r>
          </w:p>
        </w:tc>
      </w:tr>
      <w:tr w:rsidR="00420831" w:rsidRPr="00200223" w14:paraId="7DAA02DD" w14:textId="77777777" w:rsidTr="00B007D1">
        <w:trPr>
          <w:trHeight w:val="299"/>
        </w:trPr>
        <w:tc>
          <w:tcPr>
            <w:tcW w:w="1716" w:type="dxa"/>
            <w:vAlign w:val="center"/>
          </w:tcPr>
          <w:p w14:paraId="7DAA02D8" w14:textId="77777777" w:rsidR="00420831" w:rsidRPr="00B007D1" w:rsidRDefault="00420831" w:rsidP="00FF26F0">
            <w:pPr>
              <w:pStyle w:val="Tablesmalltext"/>
              <w:rPr>
                <w:sz w:val="18"/>
                <w:szCs w:val="18"/>
              </w:rPr>
            </w:pPr>
            <w:r w:rsidRPr="00B007D1">
              <w:rPr>
                <w:sz w:val="18"/>
                <w:szCs w:val="18"/>
              </w:rPr>
              <w:t>Hopkins - Corangamite</w:t>
            </w:r>
          </w:p>
        </w:tc>
        <w:tc>
          <w:tcPr>
            <w:tcW w:w="1418" w:type="dxa"/>
            <w:shd w:val="clear" w:color="auto" w:fill="auto"/>
            <w:noWrap/>
            <w:vAlign w:val="center"/>
            <w:hideMark/>
          </w:tcPr>
          <w:p w14:paraId="7DAA02D9" w14:textId="77777777" w:rsidR="00420831" w:rsidRPr="00B007D1" w:rsidRDefault="00420831" w:rsidP="00FF26F0">
            <w:pPr>
              <w:pStyle w:val="Tablesmalltext"/>
              <w:rPr>
                <w:sz w:val="18"/>
                <w:szCs w:val="18"/>
              </w:rPr>
            </w:pPr>
            <w:r w:rsidRPr="00B007D1">
              <w:rPr>
                <w:sz w:val="18"/>
                <w:szCs w:val="18"/>
              </w:rPr>
              <w:t>Warrion</w:t>
            </w:r>
          </w:p>
        </w:tc>
        <w:tc>
          <w:tcPr>
            <w:tcW w:w="1559" w:type="dxa"/>
            <w:shd w:val="clear" w:color="auto" w:fill="auto"/>
            <w:noWrap/>
            <w:vAlign w:val="center"/>
            <w:hideMark/>
          </w:tcPr>
          <w:p w14:paraId="7DAA02DA" w14:textId="77777777" w:rsidR="00420831" w:rsidRPr="00B007D1" w:rsidRDefault="00420831" w:rsidP="00FF26F0">
            <w:pPr>
              <w:pStyle w:val="Tablesmalltext"/>
              <w:rPr>
                <w:sz w:val="18"/>
                <w:szCs w:val="18"/>
              </w:rPr>
            </w:pPr>
            <w:r w:rsidRPr="00B007D1">
              <w:rPr>
                <w:sz w:val="18"/>
                <w:szCs w:val="18"/>
              </w:rPr>
              <w:t>All</w:t>
            </w:r>
          </w:p>
        </w:tc>
        <w:tc>
          <w:tcPr>
            <w:tcW w:w="2268" w:type="dxa"/>
            <w:shd w:val="clear" w:color="auto" w:fill="auto"/>
            <w:vAlign w:val="center"/>
            <w:hideMark/>
          </w:tcPr>
          <w:p w14:paraId="7DAA02DB" w14:textId="77777777" w:rsidR="00420831" w:rsidRPr="00B007D1" w:rsidRDefault="00420831" w:rsidP="00FF26F0">
            <w:pPr>
              <w:pStyle w:val="Tablesmalltext"/>
              <w:rPr>
                <w:sz w:val="18"/>
                <w:szCs w:val="18"/>
              </w:rPr>
            </w:pPr>
            <w:r w:rsidRPr="00B007D1">
              <w:rPr>
                <w:sz w:val="18"/>
                <w:szCs w:val="18"/>
              </w:rPr>
              <w:t>Newer Volcanics</w:t>
            </w:r>
          </w:p>
        </w:tc>
        <w:tc>
          <w:tcPr>
            <w:tcW w:w="3078" w:type="dxa"/>
            <w:shd w:val="clear" w:color="auto" w:fill="auto"/>
            <w:noWrap/>
            <w:vAlign w:val="center"/>
            <w:hideMark/>
          </w:tcPr>
          <w:p w14:paraId="7DAA02DC" w14:textId="77777777" w:rsidR="00420831" w:rsidRPr="00B007D1" w:rsidRDefault="00A523BA" w:rsidP="00FF26F0">
            <w:pPr>
              <w:pStyle w:val="Tablesmalltext"/>
              <w:rPr>
                <w:sz w:val="18"/>
                <w:szCs w:val="18"/>
              </w:rPr>
            </w:pPr>
            <w:r w:rsidRPr="00B007D1">
              <w:rPr>
                <w:rFonts w:eastAsia="Times New Roman" w:cs="Arial"/>
                <w:color w:val="000000"/>
                <w:sz w:val="18"/>
                <w:szCs w:val="18"/>
                <w:lang w:eastAsia="en-AU"/>
              </w:rPr>
              <w:t>Upper Tertiary/Quaternary Basalt Aquifer (101)</w:t>
            </w:r>
          </w:p>
        </w:tc>
      </w:tr>
      <w:tr w:rsidR="00420831" w:rsidRPr="00200223" w14:paraId="7DAA02E3" w14:textId="77777777" w:rsidTr="00B007D1">
        <w:trPr>
          <w:trHeight w:val="299"/>
        </w:trPr>
        <w:tc>
          <w:tcPr>
            <w:tcW w:w="1716" w:type="dxa"/>
            <w:vAlign w:val="center"/>
          </w:tcPr>
          <w:p w14:paraId="7DAA02DE" w14:textId="77777777" w:rsidR="00420831" w:rsidRPr="00B007D1" w:rsidRDefault="00420831" w:rsidP="00FF26F0">
            <w:pPr>
              <w:pStyle w:val="Tablesmalltext"/>
              <w:rPr>
                <w:sz w:val="18"/>
                <w:szCs w:val="18"/>
              </w:rPr>
            </w:pPr>
            <w:r w:rsidRPr="00B007D1">
              <w:rPr>
                <w:sz w:val="18"/>
                <w:szCs w:val="18"/>
              </w:rPr>
              <w:t>Hopkins - Corangamite</w:t>
            </w:r>
          </w:p>
        </w:tc>
        <w:tc>
          <w:tcPr>
            <w:tcW w:w="1418" w:type="dxa"/>
            <w:shd w:val="clear" w:color="auto" w:fill="auto"/>
            <w:noWrap/>
            <w:vAlign w:val="center"/>
            <w:hideMark/>
          </w:tcPr>
          <w:p w14:paraId="7DAA02DF" w14:textId="77777777" w:rsidR="00420831" w:rsidRPr="00B007D1" w:rsidRDefault="00420831" w:rsidP="00FF26F0">
            <w:pPr>
              <w:pStyle w:val="Tablesmalltext"/>
              <w:rPr>
                <w:sz w:val="18"/>
                <w:szCs w:val="18"/>
              </w:rPr>
            </w:pPr>
            <w:r w:rsidRPr="00B007D1">
              <w:rPr>
                <w:sz w:val="18"/>
                <w:szCs w:val="18"/>
              </w:rPr>
              <w:t>Colongulac</w:t>
            </w:r>
          </w:p>
        </w:tc>
        <w:tc>
          <w:tcPr>
            <w:tcW w:w="1559" w:type="dxa"/>
            <w:shd w:val="clear" w:color="auto" w:fill="auto"/>
            <w:noWrap/>
            <w:vAlign w:val="center"/>
            <w:hideMark/>
          </w:tcPr>
          <w:p w14:paraId="7DAA02E0" w14:textId="77777777" w:rsidR="00420831" w:rsidRPr="00B007D1" w:rsidRDefault="00420831" w:rsidP="00FF26F0">
            <w:pPr>
              <w:pStyle w:val="Tablesmalltext"/>
              <w:rPr>
                <w:sz w:val="18"/>
                <w:szCs w:val="18"/>
              </w:rPr>
            </w:pPr>
            <w:r w:rsidRPr="00B007D1">
              <w:rPr>
                <w:sz w:val="18"/>
                <w:szCs w:val="18"/>
              </w:rPr>
              <w:t>&lt;60</w:t>
            </w:r>
          </w:p>
        </w:tc>
        <w:tc>
          <w:tcPr>
            <w:tcW w:w="2268" w:type="dxa"/>
            <w:shd w:val="clear" w:color="auto" w:fill="auto"/>
            <w:vAlign w:val="center"/>
            <w:hideMark/>
          </w:tcPr>
          <w:p w14:paraId="7DAA02E1" w14:textId="77777777" w:rsidR="00420831" w:rsidRPr="00B007D1" w:rsidRDefault="00420831" w:rsidP="00FF26F0">
            <w:pPr>
              <w:pStyle w:val="Tablesmalltext"/>
              <w:rPr>
                <w:sz w:val="18"/>
                <w:szCs w:val="18"/>
              </w:rPr>
            </w:pPr>
            <w:r w:rsidRPr="00B007D1">
              <w:rPr>
                <w:sz w:val="18"/>
                <w:szCs w:val="18"/>
              </w:rPr>
              <w:t>Newer Volcanics</w:t>
            </w:r>
          </w:p>
        </w:tc>
        <w:tc>
          <w:tcPr>
            <w:tcW w:w="3078" w:type="dxa"/>
            <w:shd w:val="clear" w:color="auto" w:fill="auto"/>
            <w:noWrap/>
            <w:vAlign w:val="center"/>
            <w:hideMark/>
          </w:tcPr>
          <w:p w14:paraId="7DAA02E2" w14:textId="77777777" w:rsidR="00420831" w:rsidRPr="00B007D1" w:rsidRDefault="00A523BA" w:rsidP="00FF26F0">
            <w:pPr>
              <w:pStyle w:val="Tablesmalltext"/>
              <w:rPr>
                <w:sz w:val="18"/>
                <w:szCs w:val="18"/>
              </w:rPr>
            </w:pPr>
            <w:r w:rsidRPr="00B007D1">
              <w:rPr>
                <w:rFonts w:eastAsia="Times New Roman" w:cs="Arial"/>
                <w:color w:val="000000"/>
                <w:sz w:val="18"/>
                <w:szCs w:val="18"/>
                <w:lang w:eastAsia="en-AU"/>
              </w:rPr>
              <w:t>Upper Tertiary/Quaternary Basalt Aquifer (101)</w:t>
            </w:r>
          </w:p>
        </w:tc>
      </w:tr>
      <w:tr w:rsidR="00420831" w:rsidRPr="00200223" w14:paraId="7DAA02E9" w14:textId="77777777" w:rsidTr="00B007D1">
        <w:trPr>
          <w:trHeight w:val="299"/>
        </w:trPr>
        <w:tc>
          <w:tcPr>
            <w:tcW w:w="1716" w:type="dxa"/>
            <w:vAlign w:val="center"/>
          </w:tcPr>
          <w:p w14:paraId="7DAA02E4" w14:textId="77777777" w:rsidR="00420831" w:rsidRPr="00B007D1" w:rsidRDefault="00420831" w:rsidP="00FF26F0">
            <w:pPr>
              <w:pStyle w:val="Tablesmalltext"/>
              <w:rPr>
                <w:sz w:val="18"/>
                <w:szCs w:val="18"/>
              </w:rPr>
            </w:pPr>
            <w:r w:rsidRPr="00B007D1">
              <w:rPr>
                <w:sz w:val="18"/>
                <w:szCs w:val="18"/>
              </w:rPr>
              <w:t>Hopkins - Corangamite</w:t>
            </w:r>
          </w:p>
        </w:tc>
        <w:tc>
          <w:tcPr>
            <w:tcW w:w="1418" w:type="dxa"/>
            <w:shd w:val="clear" w:color="auto" w:fill="auto"/>
            <w:noWrap/>
            <w:vAlign w:val="center"/>
            <w:hideMark/>
          </w:tcPr>
          <w:p w14:paraId="7DAA02E5" w14:textId="77777777" w:rsidR="00420831" w:rsidRPr="00B007D1" w:rsidRDefault="00420831" w:rsidP="00FF26F0">
            <w:pPr>
              <w:pStyle w:val="Tablesmalltext"/>
              <w:rPr>
                <w:sz w:val="18"/>
                <w:szCs w:val="18"/>
              </w:rPr>
            </w:pPr>
            <w:r w:rsidRPr="00B007D1">
              <w:rPr>
                <w:sz w:val="18"/>
                <w:szCs w:val="18"/>
              </w:rPr>
              <w:t>Gellibrand</w:t>
            </w:r>
          </w:p>
        </w:tc>
        <w:tc>
          <w:tcPr>
            <w:tcW w:w="1559" w:type="dxa"/>
            <w:shd w:val="clear" w:color="auto" w:fill="auto"/>
            <w:noWrap/>
            <w:vAlign w:val="center"/>
            <w:hideMark/>
          </w:tcPr>
          <w:p w14:paraId="7DAA02E6" w14:textId="77777777" w:rsidR="00420831" w:rsidRPr="00B007D1" w:rsidRDefault="00420831" w:rsidP="00FF26F0">
            <w:pPr>
              <w:pStyle w:val="Tablesmalltext"/>
              <w:rPr>
                <w:sz w:val="18"/>
                <w:szCs w:val="18"/>
              </w:rPr>
            </w:pPr>
            <w:r w:rsidRPr="00B007D1">
              <w:rPr>
                <w:sz w:val="18"/>
                <w:szCs w:val="18"/>
              </w:rPr>
              <w:t>All</w:t>
            </w:r>
          </w:p>
        </w:tc>
        <w:tc>
          <w:tcPr>
            <w:tcW w:w="2268" w:type="dxa"/>
            <w:shd w:val="clear" w:color="auto" w:fill="auto"/>
            <w:vAlign w:val="center"/>
            <w:hideMark/>
          </w:tcPr>
          <w:p w14:paraId="7DAA02E7" w14:textId="77777777" w:rsidR="00420831" w:rsidRPr="00B007D1" w:rsidRDefault="00420831" w:rsidP="00FF26F0">
            <w:pPr>
              <w:pStyle w:val="Tablesmalltext"/>
              <w:rPr>
                <w:sz w:val="18"/>
                <w:szCs w:val="18"/>
              </w:rPr>
            </w:pPr>
            <w:r w:rsidRPr="00B007D1">
              <w:rPr>
                <w:sz w:val="18"/>
                <w:szCs w:val="18"/>
              </w:rPr>
              <w:t xml:space="preserve">Dilwyn Formation </w:t>
            </w:r>
          </w:p>
        </w:tc>
        <w:tc>
          <w:tcPr>
            <w:tcW w:w="3078" w:type="dxa"/>
            <w:shd w:val="clear" w:color="auto" w:fill="auto"/>
            <w:noWrap/>
            <w:vAlign w:val="center"/>
            <w:hideMark/>
          </w:tcPr>
          <w:p w14:paraId="7DAA02E8" w14:textId="77777777" w:rsidR="00420831" w:rsidRPr="00B007D1" w:rsidRDefault="00A523BA" w:rsidP="00FF26F0">
            <w:pPr>
              <w:pStyle w:val="Tablesmalltext"/>
              <w:rPr>
                <w:sz w:val="18"/>
                <w:szCs w:val="18"/>
              </w:rPr>
            </w:pPr>
            <w:r w:rsidRPr="00B007D1">
              <w:rPr>
                <w:rFonts w:eastAsia="Times New Roman" w:cs="Arial"/>
                <w:color w:val="000000"/>
                <w:sz w:val="18"/>
                <w:szCs w:val="18"/>
                <w:lang w:eastAsia="en-AU"/>
              </w:rPr>
              <w:t>Lower Tertiary Aquifer (111)</w:t>
            </w:r>
          </w:p>
        </w:tc>
      </w:tr>
      <w:tr w:rsidR="00420831" w:rsidRPr="00200223" w14:paraId="7DAA02EF" w14:textId="77777777" w:rsidTr="00B007D1">
        <w:trPr>
          <w:trHeight w:val="299"/>
        </w:trPr>
        <w:tc>
          <w:tcPr>
            <w:tcW w:w="1716" w:type="dxa"/>
            <w:vAlign w:val="center"/>
          </w:tcPr>
          <w:p w14:paraId="7DAA02EA" w14:textId="77777777" w:rsidR="00420831" w:rsidRPr="00B007D1" w:rsidRDefault="00420831" w:rsidP="00FF26F0">
            <w:pPr>
              <w:pStyle w:val="Tablesmalltext"/>
              <w:rPr>
                <w:sz w:val="18"/>
                <w:szCs w:val="18"/>
              </w:rPr>
            </w:pPr>
            <w:r w:rsidRPr="00B007D1">
              <w:rPr>
                <w:sz w:val="18"/>
                <w:szCs w:val="18"/>
              </w:rPr>
              <w:t>Hopkins - Corangamite</w:t>
            </w:r>
          </w:p>
        </w:tc>
        <w:tc>
          <w:tcPr>
            <w:tcW w:w="1418" w:type="dxa"/>
            <w:shd w:val="clear" w:color="auto" w:fill="auto"/>
            <w:noWrap/>
            <w:vAlign w:val="center"/>
            <w:hideMark/>
          </w:tcPr>
          <w:p w14:paraId="7DAA02EB" w14:textId="77777777" w:rsidR="00420831" w:rsidRPr="00B007D1" w:rsidRDefault="00420831" w:rsidP="00FF26F0">
            <w:pPr>
              <w:pStyle w:val="Tablesmalltext"/>
              <w:rPr>
                <w:sz w:val="18"/>
                <w:szCs w:val="18"/>
              </w:rPr>
            </w:pPr>
            <w:r w:rsidRPr="00B007D1">
              <w:rPr>
                <w:sz w:val="18"/>
                <w:szCs w:val="18"/>
              </w:rPr>
              <w:t>Gerangamete</w:t>
            </w:r>
          </w:p>
        </w:tc>
        <w:tc>
          <w:tcPr>
            <w:tcW w:w="1559" w:type="dxa"/>
            <w:shd w:val="clear" w:color="auto" w:fill="auto"/>
            <w:noWrap/>
            <w:vAlign w:val="center"/>
            <w:hideMark/>
          </w:tcPr>
          <w:p w14:paraId="7DAA02EC" w14:textId="77777777" w:rsidR="00420831" w:rsidRPr="00B007D1" w:rsidRDefault="00420831" w:rsidP="00FF26F0">
            <w:pPr>
              <w:pStyle w:val="Tablesmalltext"/>
              <w:rPr>
                <w:sz w:val="18"/>
                <w:szCs w:val="18"/>
              </w:rPr>
            </w:pPr>
            <w:r w:rsidRPr="00B007D1">
              <w:rPr>
                <w:sz w:val="18"/>
                <w:szCs w:val="18"/>
              </w:rPr>
              <w:t>&gt;60</w:t>
            </w:r>
          </w:p>
        </w:tc>
        <w:tc>
          <w:tcPr>
            <w:tcW w:w="2268" w:type="dxa"/>
            <w:shd w:val="clear" w:color="auto" w:fill="auto"/>
            <w:vAlign w:val="center"/>
            <w:hideMark/>
          </w:tcPr>
          <w:p w14:paraId="7DAA02ED" w14:textId="77777777" w:rsidR="00420831" w:rsidRPr="00B007D1" w:rsidRDefault="00420831" w:rsidP="00FF26F0">
            <w:pPr>
              <w:pStyle w:val="Tablesmalltext"/>
              <w:rPr>
                <w:sz w:val="18"/>
                <w:szCs w:val="18"/>
              </w:rPr>
            </w:pPr>
            <w:r w:rsidRPr="00B007D1">
              <w:rPr>
                <w:sz w:val="18"/>
                <w:szCs w:val="18"/>
              </w:rPr>
              <w:t>Dilwyn Formation and Pebble Point</w:t>
            </w:r>
          </w:p>
        </w:tc>
        <w:tc>
          <w:tcPr>
            <w:tcW w:w="3078" w:type="dxa"/>
            <w:shd w:val="clear" w:color="auto" w:fill="auto"/>
            <w:noWrap/>
            <w:vAlign w:val="center"/>
            <w:hideMark/>
          </w:tcPr>
          <w:p w14:paraId="7DAA02EE" w14:textId="77777777" w:rsidR="00420831" w:rsidRPr="00B007D1" w:rsidRDefault="00A523BA" w:rsidP="00FF26F0">
            <w:pPr>
              <w:pStyle w:val="Tablesmalltext"/>
              <w:rPr>
                <w:sz w:val="18"/>
                <w:szCs w:val="18"/>
              </w:rPr>
            </w:pPr>
            <w:r w:rsidRPr="00B007D1">
              <w:rPr>
                <w:rFonts w:eastAsia="Times New Roman" w:cs="Arial"/>
                <w:color w:val="000000"/>
                <w:sz w:val="18"/>
                <w:szCs w:val="18"/>
                <w:lang w:eastAsia="en-AU"/>
              </w:rPr>
              <w:t>Lower Tertiary Aquifer (111)</w:t>
            </w:r>
          </w:p>
        </w:tc>
      </w:tr>
      <w:tr w:rsidR="00420831" w:rsidRPr="00200223" w14:paraId="7DAA02F5" w14:textId="77777777" w:rsidTr="00B007D1">
        <w:trPr>
          <w:trHeight w:val="299"/>
        </w:trPr>
        <w:tc>
          <w:tcPr>
            <w:tcW w:w="1716" w:type="dxa"/>
            <w:vAlign w:val="center"/>
          </w:tcPr>
          <w:p w14:paraId="7DAA02F0" w14:textId="77777777" w:rsidR="00420831" w:rsidRPr="00B007D1" w:rsidRDefault="00420831" w:rsidP="00FF26F0">
            <w:pPr>
              <w:pStyle w:val="Tablesmalltext"/>
              <w:rPr>
                <w:sz w:val="18"/>
                <w:szCs w:val="18"/>
              </w:rPr>
            </w:pPr>
            <w:r w:rsidRPr="00B007D1">
              <w:rPr>
                <w:sz w:val="18"/>
                <w:szCs w:val="18"/>
              </w:rPr>
              <w:t>Hopkins - Corangamite</w:t>
            </w:r>
          </w:p>
        </w:tc>
        <w:tc>
          <w:tcPr>
            <w:tcW w:w="1418" w:type="dxa"/>
            <w:shd w:val="clear" w:color="auto" w:fill="auto"/>
            <w:noWrap/>
            <w:vAlign w:val="center"/>
            <w:hideMark/>
          </w:tcPr>
          <w:p w14:paraId="7DAA02F1" w14:textId="77777777" w:rsidR="00420831" w:rsidRPr="00B007D1" w:rsidRDefault="00420831" w:rsidP="00FF26F0">
            <w:pPr>
              <w:pStyle w:val="Tablesmalltext"/>
              <w:rPr>
                <w:sz w:val="18"/>
                <w:szCs w:val="18"/>
              </w:rPr>
            </w:pPr>
            <w:r w:rsidRPr="00B007D1">
              <w:rPr>
                <w:sz w:val="18"/>
                <w:szCs w:val="18"/>
              </w:rPr>
              <w:t>Glenormiston</w:t>
            </w:r>
          </w:p>
        </w:tc>
        <w:tc>
          <w:tcPr>
            <w:tcW w:w="1559" w:type="dxa"/>
            <w:shd w:val="clear" w:color="auto" w:fill="auto"/>
            <w:noWrap/>
            <w:vAlign w:val="center"/>
            <w:hideMark/>
          </w:tcPr>
          <w:p w14:paraId="7DAA02F2" w14:textId="77777777" w:rsidR="00420831" w:rsidRPr="00B007D1" w:rsidRDefault="00420831" w:rsidP="00FF26F0">
            <w:pPr>
              <w:pStyle w:val="Tablesmalltext"/>
              <w:rPr>
                <w:sz w:val="18"/>
                <w:szCs w:val="18"/>
              </w:rPr>
            </w:pPr>
            <w:r w:rsidRPr="00B007D1">
              <w:rPr>
                <w:sz w:val="18"/>
                <w:szCs w:val="18"/>
              </w:rPr>
              <w:t>&lt;60</w:t>
            </w:r>
          </w:p>
        </w:tc>
        <w:tc>
          <w:tcPr>
            <w:tcW w:w="2268" w:type="dxa"/>
            <w:shd w:val="clear" w:color="auto" w:fill="auto"/>
            <w:vAlign w:val="center"/>
            <w:hideMark/>
          </w:tcPr>
          <w:p w14:paraId="7DAA02F3" w14:textId="77777777" w:rsidR="00420831" w:rsidRPr="00B007D1" w:rsidRDefault="00420831" w:rsidP="00FF26F0">
            <w:pPr>
              <w:pStyle w:val="Tablesmalltext"/>
              <w:rPr>
                <w:sz w:val="18"/>
                <w:szCs w:val="18"/>
              </w:rPr>
            </w:pPr>
            <w:r w:rsidRPr="00B007D1">
              <w:rPr>
                <w:sz w:val="18"/>
                <w:szCs w:val="18"/>
              </w:rPr>
              <w:t>Hanson Plain Sands and Newer Volcanics</w:t>
            </w:r>
          </w:p>
        </w:tc>
        <w:tc>
          <w:tcPr>
            <w:tcW w:w="3078" w:type="dxa"/>
            <w:shd w:val="clear" w:color="auto" w:fill="auto"/>
            <w:noWrap/>
            <w:vAlign w:val="center"/>
            <w:hideMark/>
          </w:tcPr>
          <w:p w14:paraId="7DAA02F4" w14:textId="77777777" w:rsidR="00420831" w:rsidRPr="00B007D1" w:rsidRDefault="00A523BA" w:rsidP="00FF26F0">
            <w:pPr>
              <w:pStyle w:val="Tablesmalltext"/>
              <w:rPr>
                <w:sz w:val="18"/>
                <w:szCs w:val="18"/>
              </w:rPr>
            </w:pPr>
            <w:r w:rsidRPr="00B007D1">
              <w:rPr>
                <w:rFonts w:eastAsia="Times New Roman" w:cs="Arial"/>
                <w:color w:val="000000"/>
                <w:sz w:val="18"/>
                <w:szCs w:val="18"/>
                <w:lang w:eastAsia="en-AU"/>
              </w:rPr>
              <w:t>Upper Tertiary/Quaternary Basalt Aquifer (101)</w:t>
            </w:r>
          </w:p>
        </w:tc>
      </w:tr>
    </w:tbl>
    <w:p w14:paraId="7DAA02F6" w14:textId="77777777" w:rsidR="00420831" w:rsidRDefault="00420831" w:rsidP="000C564C">
      <w:pPr>
        <w:rPr>
          <w:lang w:val="en-AU"/>
        </w:rPr>
      </w:pPr>
    </w:p>
    <w:p w14:paraId="7DAA02F7" w14:textId="3CF1AD52" w:rsidR="000C564C" w:rsidRPr="000C564C" w:rsidRDefault="000C564C" w:rsidP="00D00EA8">
      <w:pPr>
        <w:pStyle w:val="Head3xxx"/>
        <w:ind w:left="851"/>
        <w:rPr>
          <w:lang w:val="en-AU"/>
        </w:rPr>
      </w:pPr>
      <w:r w:rsidRPr="000C564C">
        <w:rPr>
          <w:lang w:val="en-AU"/>
        </w:rPr>
        <w:t>Hopkins Corangamite</w:t>
      </w:r>
      <w:r w:rsidR="00107D85">
        <w:rPr>
          <w:lang w:val="en-AU"/>
        </w:rPr>
        <w:t xml:space="preserve"> Groundwater Catchment Unit</w:t>
      </w:r>
    </w:p>
    <w:p w14:paraId="7DAA02F8" w14:textId="3A3440DB" w:rsidR="000C564C" w:rsidRPr="000C564C" w:rsidRDefault="000C564C" w:rsidP="000C564C">
      <w:pPr>
        <w:rPr>
          <w:lang w:val="en-AU"/>
        </w:rPr>
      </w:pPr>
      <w:r w:rsidRPr="000C564C">
        <w:rPr>
          <w:lang w:val="en-AU"/>
        </w:rPr>
        <w:t>The Hopkins Corangamite GCU includes the following GMAs and WSPAs</w:t>
      </w:r>
      <w:r w:rsidR="00821CEE">
        <w:rPr>
          <w:lang w:val="en-AU"/>
        </w:rPr>
        <w:t>:</w:t>
      </w:r>
    </w:p>
    <w:p w14:paraId="7DAA02F9"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Newlingook</w:t>
      </w:r>
    </w:p>
    <w:p w14:paraId="7DAA02FA"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Nullawarre</w:t>
      </w:r>
    </w:p>
    <w:p w14:paraId="7DAA02FB"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Paaratte</w:t>
      </w:r>
    </w:p>
    <w:p w14:paraId="7DAA02FC"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Warrion</w:t>
      </w:r>
    </w:p>
    <w:p w14:paraId="7DAA02FD"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Colonguluc</w:t>
      </w:r>
    </w:p>
    <w:p w14:paraId="7DAA02FE"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Gellibrand</w:t>
      </w:r>
    </w:p>
    <w:p w14:paraId="7DAA02FF" w14:textId="4091A047" w:rsidR="000C564C" w:rsidRPr="00D5530F" w:rsidRDefault="000C564C" w:rsidP="00D5530F">
      <w:pPr>
        <w:pStyle w:val="Bullet1"/>
        <w:numPr>
          <w:ilvl w:val="0"/>
          <w:numId w:val="2"/>
        </w:numPr>
        <w:tabs>
          <w:tab w:val="clear" w:pos="1260"/>
          <w:tab w:val="num" w:pos="426"/>
          <w:tab w:val="num" w:pos="851"/>
        </w:tabs>
        <w:ind w:left="426" w:hanging="426"/>
      </w:pPr>
      <w:r w:rsidRPr="00D5530F">
        <w:t>Ger</w:t>
      </w:r>
      <w:r w:rsidR="00107D85">
        <w:t>a</w:t>
      </w:r>
      <w:r w:rsidRPr="00D5530F">
        <w:t xml:space="preserve">ngamete </w:t>
      </w:r>
    </w:p>
    <w:p w14:paraId="7DAA0300" w14:textId="52BBA143" w:rsidR="000C564C" w:rsidRPr="00D5530F" w:rsidRDefault="000C564C" w:rsidP="00C91A60">
      <w:pPr>
        <w:pStyle w:val="B110after"/>
      </w:pPr>
      <w:r w:rsidRPr="00D5530F">
        <w:t>Glenormiston</w:t>
      </w:r>
      <w:r w:rsidR="00821CEE">
        <w:t>.</w:t>
      </w:r>
    </w:p>
    <w:p w14:paraId="7DAA0302" w14:textId="3E3785E6" w:rsidR="00012896" w:rsidRPr="001D6F3F" w:rsidRDefault="000C564C">
      <w:pPr>
        <w:rPr>
          <w:rFonts w:cs="Arial"/>
          <w:b/>
          <w:bCs/>
        </w:rPr>
      </w:pPr>
      <w:r w:rsidRPr="000C564C">
        <w:rPr>
          <w:lang w:val="en-AU"/>
        </w:rPr>
        <w:t>SRW (2014) provides an overview of the target aquifers for groundwater use within each of the above management areas in the Hopkins Corangamite GCU and this information was used to target bor</w:t>
      </w:r>
      <w:r w:rsidR="00857ACF">
        <w:rPr>
          <w:lang w:val="en-AU"/>
        </w:rPr>
        <w:t>es for inclusion in the</w:t>
      </w:r>
      <w:r w:rsidRPr="000C564C">
        <w:rPr>
          <w:lang w:val="en-AU"/>
        </w:rPr>
        <w:t xml:space="preserve"> monitoring network. Bores identified for inclusion in the network are summarised in</w:t>
      </w:r>
      <w:r w:rsidR="00787C30">
        <w:rPr>
          <w:lang w:val="en-AU"/>
        </w:rPr>
        <w:t xml:space="preserve"> Table 5</w:t>
      </w:r>
      <w:r w:rsidR="006F7FED">
        <w:rPr>
          <w:lang w:val="en-AU"/>
        </w:rPr>
        <w:t xml:space="preserve"> and</w:t>
      </w:r>
      <w:r w:rsidR="00CE7376">
        <w:rPr>
          <w:lang w:val="en-AU"/>
        </w:rPr>
        <w:t xml:space="preserve"> shown in Figure 14</w:t>
      </w:r>
      <w:r w:rsidR="00107D85">
        <w:rPr>
          <w:lang w:val="en-AU"/>
        </w:rPr>
        <w:t>.</w:t>
      </w:r>
    </w:p>
    <w:p w14:paraId="7D3D4D0F" w14:textId="77777777" w:rsidR="00FC2A0F" w:rsidRDefault="00FC2A0F">
      <w:pPr>
        <w:rPr>
          <w:rFonts w:cs="Arial"/>
          <w:b/>
          <w:bCs/>
        </w:rPr>
      </w:pPr>
      <w:bookmarkStart w:id="75" w:name="_Ref414005782"/>
      <w:r>
        <w:br w:type="page"/>
      </w:r>
    </w:p>
    <w:p w14:paraId="7DAA0303" w14:textId="4759279B" w:rsidR="000C564C" w:rsidRDefault="00FF26F0" w:rsidP="004F307F">
      <w:pPr>
        <w:pStyle w:val="Tableheading"/>
        <w:rPr>
          <w:lang w:val="en-AU"/>
        </w:rPr>
      </w:pPr>
      <w:bookmarkStart w:id="76" w:name="_Toc420320555"/>
      <w:r>
        <w:t xml:space="preserve">Table </w:t>
      </w:r>
      <w:r>
        <w:fldChar w:fldCharType="begin"/>
      </w:r>
      <w:r>
        <w:instrText xml:space="preserve"> SEQ Table \* ARABIC </w:instrText>
      </w:r>
      <w:r>
        <w:fldChar w:fldCharType="separate"/>
      </w:r>
      <w:r w:rsidR="00BD60CC">
        <w:rPr>
          <w:noProof/>
        </w:rPr>
        <w:t>5</w:t>
      </w:r>
      <w:r>
        <w:fldChar w:fldCharType="end"/>
      </w:r>
      <w:bookmarkEnd w:id="75"/>
      <w:r>
        <w:rPr>
          <w:lang w:val="en-AU"/>
        </w:rPr>
        <w:t xml:space="preserve"> </w:t>
      </w:r>
      <w:r w:rsidR="00F673E7">
        <w:rPr>
          <w:lang w:val="en-AU"/>
        </w:rPr>
        <w:t>Selected</w:t>
      </w:r>
      <w:r w:rsidR="00857ACF">
        <w:rPr>
          <w:lang w:val="en-AU"/>
        </w:rPr>
        <w:t xml:space="preserve"> monitoring</w:t>
      </w:r>
      <w:r w:rsidR="000C564C" w:rsidRPr="000C564C">
        <w:rPr>
          <w:lang w:val="en-AU"/>
        </w:rPr>
        <w:t xml:space="preserve"> bores in areas of high value groundwater asset (a</w:t>
      </w:r>
      <w:r w:rsidR="00420831">
        <w:rPr>
          <w:lang w:val="en-AU"/>
        </w:rPr>
        <w:t>s indicated by GMAs and WSPAs)</w:t>
      </w:r>
      <w:bookmarkEnd w:id="76"/>
    </w:p>
    <w:tbl>
      <w:tblPr>
        <w:tblW w:w="9796" w:type="dxa"/>
        <w:tblInd w:w="93"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850"/>
        <w:gridCol w:w="1317"/>
        <w:gridCol w:w="2261"/>
        <w:gridCol w:w="1134"/>
        <w:gridCol w:w="3234"/>
      </w:tblGrid>
      <w:tr w:rsidR="00420831" w:rsidRPr="00200223" w14:paraId="7DAA0309" w14:textId="77777777" w:rsidTr="00C91A60">
        <w:trPr>
          <w:trHeight w:val="299"/>
          <w:tblHeader/>
        </w:trPr>
        <w:tc>
          <w:tcPr>
            <w:tcW w:w="1858" w:type="dxa"/>
            <w:tcBorders>
              <w:top w:val="nil"/>
              <w:right w:val="single" w:sz="4" w:space="0" w:color="FFFFFF"/>
            </w:tcBorders>
            <w:shd w:val="clear" w:color="auto" w:fill="005A97"/>
            <w:vAlign w:val="center"/>
          </w:tcPr>
          <w:p w14:paraId="7DAA0304" w14:textId="77777777" w:rsidR="00420831" w:rsidRPr="00200223" w:rsidRDefault="00420831" w:rsidP="00E63375">
            <w:pPr>
              <w:pStyle w:val="TableHeaderrow"/>
            </w:pPr>
            <w:r>
              <w:t>GCU</w:t>
            </w:r>
          </w:p>
        </w:tc>
        <w:tc>
          <w:tcPr>
            <w:tcW w:w="1276" w:type="dxa"/>
            <w:tcBorders>
              <w:top w:val="nil"/>
              <w:left w:val="single" w:sz="4" w:space="0" w:color="FFFFFF"/>
              <w:right w:val="single" w:sz="4" w:space="0" w:color="FFFFFF"/>
            </w:tcBorders>
            <w:shd w:val="clear" w:color="auto" w:fill="005A97"/>
            <w:noWrap/>
            <w:vAlign w:val="center"/>
            <w:hideMark/>
          </w:tcPr>
          <w:p w14:paraId="7DAA0305" w14:textId="77777777" w:rsidR="00420831" w:rsidRPr="00200223" w:rsidRDefault="00420831" w:rsidP="00E63375">
            <w:pPr>
              <w:pStyle w:val="TableHeaderrow"/>
            </w:pPr>
            <w:r w:rsidRPr="00200223">
              <w:t>GMA</w:t>
            </w:r>
            <w:r w:rsidRPr="00C946BB">
              <w:t>/WSPA</w:t>
            </w:r>
          </w:p>
        </w:tc>
        <w:tc>
          <w:tcPr>
            <w:tcW w:w="2268" w:type="dxa"/>
            <w:tcBorders>
              <w:top w:val="nil"/>
              <w:left w:val="single" w:sz="4" w:space="0" w:color="FFFFFF"/>
              <w:right w:val="single" w:sz="4" w:space="0" w:color="FFFFFF"/>
            </w:tcBorders>
            <w:shd w:val="clear" w:color="auto" w:fill="005A97"/>
            <w:vAlign w:val="center"/>
            <w:hideMark/>
          </w:tcPr>
          <w:p w14:paraId="7DAA0306" w14:textId="77777777" w:rsidR="00420831" w:rsidRPr="00200223" w:rsidRDefault="00420831" w:rsidP="00E63375">
            <w:pPr>
              <w:pStyle w:val="TableHeaderrow"/>
            </w:pPr>
            <w:r w:rsidRPr="00200223">
              <w:t>Target Aquifer</w:t>
            </w:r>
          </w:p>
        </w:tc>
        <w:tc>
          <w:tcPr>
            <w:tcW w:w="1134" w:type="dxa"/>
            <w:tcBorders>
              <w:top w:val="nil"/>
              <w:left w:val="single" w:sz="4" w:space="0" w:color="FFFFFF"/>
              <w:right w:val="single" w:sz="4" w:space="0" w:color="FFFFFF"/>
            </w:tcBorders>
            <w:shd w:val="clear" w:color="auto" w:fill="005A97"/>
            <w:noWrap/>
            <w:vAlign w:val="center"/>
            <w:hideMark/>
          </w:tcPr>
          <w:p w14:paraId="7DAA0307" w14:textId="77777777" w:rsidR="00420831" w:rsidRPr="00200223" w:rsidRDefault="00420831" w:rsidP="00E63375">
            <w:pPr>
              <w:pStyle w:val="TableHeaderrow"/>
            </w:pPr>
            <w:r>
              <w:t>Bore</w:t>
            </w:r>
          </w:p>
        </w:tc>
        <w:tc>
          <w:tcPr>
            <w:tcW w:w="3260" w:type="dxa"/>
            <w:tcBorders>
              <w:top w:val="nil"/>
              <w:left w:val="single" w:sz="4" w:space="0" w:color="FFFFFF"/>
            </w:tcBorders>
            <w:shd w:val="clear" w:color="auto" w:fill="005A97"/>
            <w:vAlign w:val="center"/>
          </w:tcPr>
          <w:p w14:paraId="7DAA0308" w14:textId="77777777" w:rsidR="00420831" w:rsidRPr="00200223" w:rsidRDefault="00420831" w:rsidP="00E63375">
            <w:pPr>
              <w:pStyle w:val="TableHeaderrow"/>
            </w:pPr>
            <w:r>
              <w:t>Justification</w:t>
            </w:r>
          </w:p>
        </w:tc>
      </w:tr>
      <w:tr w:rsidR="00420831" w:rsidRPr="00200223" w14:paraId="7DAA030F" w14:textId="77777777" w:rsidTr="00C91A60">
        <w:trPr>
          <w:trHeight w:val="299"/>
        </w:trPr>
        <w:tc>
          <w:tcPr>
            <w:tcW w:w="1858" w:type="dxa"/>
            <w:vAlign w:val="center"/>
          </w:tcPr>
          <w:p w14:paraId="7DAA030A" w14:textId="77777777" w:rsidR="00420831" w:rsidRPr="00C91A60" w:rsidRDefault="00420831" w:rsidP="006B530C">
            <w:pPr>
              <w:pStyle w:val="Tablesmalltext"/>
              <w:rPr>
                <w:sz w:val="18"/>
                <w:szCs w:val="18"/>
              </w:rPr>
            </w:pPr>
            <w:r w:rsidRPr="00C91A60">
              <w:rPr>
                <w:sz w:val="18"/>
                <w:szCs w:val="18"/>
              </w:rPr>
              <w:t>Hopkins - Corangamite</w:t>
            </w:r>
          </w:p>
        </w:tc>
        <w:tc>
          <w:tcPr>
            <w:tcW w:w="1276" w:type="dxa"/>
            <w:shd w:val="clear" w:color="auto" w:fill="auto"/>
            <w:noWrap/>
            <w:vAlign w:val="center"/>
            <w:hideMark/>
          </w:tcPr>
          <w:p w14:paraId="7DAA030B" w14:textId="77777777" w:rsidR="00420831" w:rsidRPr="00C91A60" w:rsidRDefault="00420831" w:rsidP="006B530C">
            <w:pPr>
              <w:pStyle w:val="Tablesmalltext"/>
              <w:rPr>
                <w:sz w:val="18"/>
                <w:szCs w:val="18"/>
              </w:rPr>
            </w:pPr>
            <w:r w:rsidRPr="00C91A60">
              <w:rPr>
                <w:sz w:val="18"/>
                <w:szCs w:val="18"/>
              </w:rPr>
              <w:t>Newlingrook</w:t>
            </w:r>
          </w:p>
        </w:tc>
        <w:tc>
          <w:tcPr>
            <w:tcW w:w="2268" w:type="dxa"/>
            <w:shd w:val="clear" w:color="auto" w:fill="auto"/>
            <w:vAlign w:val="center"/>
            <w:hideMark/>
          </w:tcPr>
          <w:p w14:paraId="7DAA030C" w14:textId="77777777" w:rsidR="00420831" w:rsidRPr="00C91A60" w:rsidRDefault="0089797E" w:rsidP="006B530C">
            <w:pPr>
              <w:pStyle w:val="Tablesmalltext"/>
              <w:rPr>
                <w:sz w:val="18"/>
                <w:szCs w:val="18"/>
              </w:rPr>
            </w:pPr>
            <w:r w:rsidRPr="00C91A60">
              <w:rPr>
                <w:rFonts w:eastAsia="Times New Roman" w:cs="Arial"/>
                <w:color w:val="000000"/>
                <w:sz w:val="18"/>
                <w:szCs w:val="18"/>
                <w:lang w:eastAsia="en-AU"/>
              </w:rPr>
              <w:t>Lower Tertiary Aquifer (111)</w:t>
            </w:r>
          </w:p>
        </w:tc>
        <w:tc>
          <w:tcPr>
            <w:tcW w:w="1134" w:type="dxa"/>
            <w:shd w:val="clear" w:color="auto" w:fill="auto"/>
            <w:noWrap/>
            <w:vAlign w:val="center"/>
            <w:hideMark/>
          </w:tcPr>
          <w:p w14:paraId="7DAA030D" w14:textId="77777777" w:rsidR="00420831" w:rsidRPr="00C91A60" w:rsidRDefault="00420831" w:rsidP="006B530C">
            <w:pPr>
              <w:pStyle w:val="Tablesmalltext"/>
              <w:rPr>
                <w:sz w:val="18"/>
                <w:szCs w:val="18"/>
              </w:rPr>
            </w:pPr>
            <w:r w:rsidRPr="00C91A60">
              <w:rPr>
                <w:sz w:val="18"/>
                <w:szCs w:val="18"/>
              </w:rPr>
              <w:t>75070</w:t>
            </w:r>
            <w:r w:rsidR="0089797E" w:rsidRPr="00C91A60">
              <w:rPr>
                <w:sz w:val="18"/>
                <w:szCs w:val="18"/>
              </w:rPr>
              <w:t xml:space="preserve"> </w:t>
            </w:r>
          </w:p>
        </w:tc>
        <w:tc>
          <w:tcPr>
            <w:tcW w:w="3260" w:type="dxa"/>
            <w:vAlign w:val="center"/>
          </w:tcPr>
          <w:p w14:paraId="7DAA030E" w14:textId="77777777" w:rsidR="00420831" w:rsidRPr="00C91A60" w:rsidRDefault="00420831" w:rsidP="006B530C">
            <w:pPr>
              <w:pStyle w:val="Tablesmalltext"/>
              <w:rPr>
                <w:sz w:val="18"/>
                <w:szCs w:val="18"/>
              </w:rPr>
            </w:pPr>
            <w:r w:rsidRPr="00C91A60">
              <w:rPr>
                <w:sz w:val="18"/>
                <w:szCs w:val="18"/>
              </w:rPr>
              <w:t xml:space="preserve">Closest bore monitoring the Dilwyn Formation to the prospectivity area. No nested sites to present alternative option. </w:t>
            </w:r>
          </w:p>
        </w:tc>
      </w:tr>
      <w:tr w:rsidR="00420831" w:rsidRPr="00200223" w14:paraId="7DAA0316" w14:textId="77777777" w:rsidTr="00C91A60">
        <w:trPr>
          <w:trHeight w:val="299"/>
        </w:trPr>
        <w:tc>
          <w:tcPr>
            <w:tcW w:w="1858" w:type="dxa"/>
            <w:vAlign w:val="center"/>
          </w:tcPr>
          <w:p w14:paraId="7DAA0310" w14:textId="77777777" w:rsidR="00420831" w:rsidRPr="00C91A60" w:rsidRDefault="00420831" w:rsidP="006B530C">
            <w:pPr>
              <w:pStyle w:val="Tablesmalltext"/>
              <w:rPr>
                <w:sz w:val="18"/>
                <w:szCs w:val="18"/>
              </w:rPr>
            </w:pPr>
            <w:r w:rsidRPr="00C91A60">
              <w:rPr>
                <w:sz w:val="18"/>
                <w:szCs w:val="18"/>
              </w:rPr>
              <w:t>Hopkins - Corangamite</w:t>
            </w:r>
          </w:p>
        </w:tc>
        <w:tc>
          <w:tcPr>
            <w:tcW w:w="1276" w:type="dxa"/>
            <w:shd w:val="clear" w:color="auto" w:fill="auto"/>
            <w:noWrap/>
            <w:vAlign w:val="center"/>
            <w:hideMark/>
          </w:tcPr>
          <w:p w14:paraId="7DAA0311" w14:textId="77777777" w:rsidR="00420831" w:rsidRPr="00C91A60" w:rsidRDefault="00420831" w:rsidP="006B530C">
            <w:pPr>
              <w:pStyle w:val="Tablesmalltext"/>
              <w:rPr>
                <w:sz w:val="18"/>
                <w:szCs w:val="18"/>
              </w:rPr>
            </w:pPr>
            <w:r w:rsidRPr="00C91A60">
              <w:rPr>
                <w:sz w:val="18"/>
                <w:szCs w:val="18"/>
              </w:rPr>
              <w:t>Nullawarre</w:t>
            </w:r>
          </w:p>
        </w:tc>
        <w:tc>
          <w:tcPr>
            <w:tcW w:w="2268" w:type="dxa"/>
            <w:shd w:val="clear" w:color="auto" w:fill="auto"/>
            <w:vAlign w:val="center"/>
            <w:hideMark/>
          </w:tcPr>
          <w:p w14:paraId="7DAA0312" w14:textId="77777777" w:rsidR="00420831" w:rsidRPr="00C91A60" w:rsidRDefault="0089797E" w:rsidP="006B530C">
            <w:pPr>
              <w:pStyle w:val="Tablesmalltext"/>
              <w:rPr>
                <w:sz w:val="18"/>
                <w:szCs w:val="18"/>
              </w:rPr>
            </w:pPr>
            <w:r w:rsidRPr="00C91A60">
              <w:rPr>
                <w:rFonts w:eastAsia="Times New Roman" w:cs="Arial"/>
                <w:color w:val="000000"/>
                <w:sz w:val="18"/>
                <w:szCs w:val="18"/>
                <w:lang w:eastAsia="en-AU"/>
              </w:rPr>
              <w:t>Upper Mid-Tertiary Aquifer (107)</w:t>
            </w:r>
          </w:p>
        </w:tc>
        <w:tc>
          <w:tcPr>
            <w:tcW w:w="1134" w:type="dxa"/>
            <w:shd w:val="clear" w:color="auto" w:fill="auto"/>
            <w:noWrap/>
            <w:vAlign w:val="center"/>
            <w:hideMark/>
          </w:tcPr>
          <w:p w14:paraId="7DAA0313" w14:textId="77777777" w:rsidR="00420831" w:rsidRPr="00C91A60" w:rsidRDefault="00420831" w:rsidP="006B530C">
            <w:pPr>
              <w:pStyle w:val="Tablesmalltext"/>
              <w:rPr>
                <w:sz w:val="18"/>
                <w:szCs w:val="18"/>
              </w:rPr>
            </w:pPr>
            <w:r w:rsidRPr="00C91A60">
              <w:rPr>
                <w:sz w:val="18"/>
                <w:szCs w:val="18"/>
              </w:rPr>
              <w:t>141241*</w:t>
            </w:r>
          </w:p>
          <w:p w14:paraId="7DAA0314" w14:textId="77777777" w:rsidR="00DF5A02" w:rsidRPr="00C91A60" w:rsidRDefault="00DF5A02" w:rsidP="006B530C">
            <w:pPr>
              <w:pStyle w:val="Tablesmalltext"/>
              <w:rPr>
                <w:sz w:val="18"/>
                <w:szCs w:val="18"/>
              </w:rPr>
            </w:pPr>
            <w:r w:rsidRPr="00C91A60">
              <w:rPr>
                <w:sz w:val="18"/>
                <w:szCs w:val="18"/>
              </w:rPr>
              <w:t>141242*</w:t>
            </w:r>
          </w:p>
        </w:tc>
        <w:tc>
          <w:tcPr>
            <w:tcW w:w="3260" w:type="dxa"/>
            <w:vAlign w:val="center"/>
          </w:tcPr>
          <w:p w14:paraId="7DAA0315" w14:textId="77777777" w:rsidR="00420831" w:rsidRPr="00C91A60" w:rsidRDefault="0055262F" w:rsidP="006B530C">
            <w:pPr>
              <w:pStyle w:val="Tablesmalltext"/>
              <w:rPr>
                <w:sz w:val="18"/>
                <w:szCs w:val="18"/>
              </w:rPr>
            </w:pPr>
            <w:r w:rsidRPr="00C91A60">
              <w:rPr>
                <w:rFonts w:cs="Arial"/>
                <w:sz w:val="18"/>
                <w:szCs w:val="18"/>
              </w:rPr>
              <w:t>Monitors the target aquifer (PCL) in the Nullawarre WSPA</w:t>
            </w:r>
          </w:p>
        </w:tc>
      </w:tr>
      <w:tr w:rsidR="00420831" w:rsidRPr="00200223" w14:paraId="7DAA031D" w14:textId="77777777" w:rsidTr="00C91A60">
        <w:trPr>
          <w:trHeight w:val="299"/>
        </w:trPr>
        <w:tc>
          <w:tcPr>
            <w:tcW w:w="1858" w:type="dxa"/>
            <w:vAlign w:val="center"/>
          </w:tcPr>
          <w:p w14:paraId="7DAA0317" w14:textId="77777777" w:rsidR="00420831" w:rsidRPr="00C91A60" w:rsidRDefault="00420831" w:rsidP="006B530C">
            <w:pPr>
              <w:pStyle w:val="Tablesmalltext"/>
              <w:rPr>
                <w:sz w:val="18"/>
                <w:szCs w:val="18"/>
              </w:rPr>
            </w:pPr>
            <w:r w:rsidRPr="00C91A60">
              <w:rPr>
                <w:sz w:val="18"/>
                <w:szCs w:val="18"/>
              </w:rPr>
              <w:t>Hopkins - Corangamite</w:t>
            </w:r>
          </w:p>
        </w:tc>
        <w:tc>
          <w:tcPr>
            <w:tcW w:w="1276" w:type="dxa"/>
            <w:shd w:val="clear" w:color="auto" w:fill="auto"/>
            <w:noWrap/>
            <w:vAlign w:val="center"/>
            <w:hideMark/>
          </w:tcPr>
          <w:p w14:paraId="7DAA0318" w14:textId="77777777" w:rsidR="00420831" w:rsidRPr="00C91A60" w:rsidRDefault="00420831" w:rsidP="006B530C">
            <w:pPr>
              <w:pStyle w:val="Tablesmalltext"/>
              <w:rPr>
                <w:sz w:val="18"/>
                <w:szCs w:val="18"/>
              </w:rPr>
            </w:pPr>
            <w:r w:rsidRPr="00C91A60">
              <w:rPr>
                <w:sz w:val="18"/>
                <w:szCs w:val="18"/>
              </w:rPr>
              <w:t>Paaratte</w:t>
            </w:r>
          </w:p>
        </w:tc>
        <w:tc>
          <w:tcPr>
            <w:tcW w:w="2268" w:type="dxa"/>
            <w:shd w:val="clear" w:color="auto" w:fill="auto"/>
            <w:vAlign w:val="center"/>
            <w:hideMark/>
          </w:tcPr>
          <w:p w14:paraId="7DAA0319" w14:textId="77777777" w:rsidR="00420831" w:rsidRPr="00C91A60" w:rsidRDefault="0089797E" w:rsidP="006B530C">
            <w:pPr>
              <w:pStyle w:val="Tablesmalltext"/>
              <w:rPr>
                <w:sz w:val="18"/>
                <w:szCs w:val="18"/>
              </w:rPr>
            </w:pPr>
            <w:r w:rsidRPr="00C91A60">
              <w:rPr>
                <w:rFonts w:eastAsia="Times New Roman" w:cs="Arial"/>
                <w:color w:val="000000"/>
                <w:sz w:val="18"/>
                <w:szCs w:val="18"/>
                <w:lang w:eastAsia="en-AU"/>
              </w:rPr>
              <w:t>Lower Tertiary Aquifer (111)</w:t>
            </w:r>
          </w:p>
        </w:tc>
        <w:tc>
          <w:tcPr>
            <w:tcW w:w="1134" w:type="dxa"/>
            <w:shd w:val="clear" w:color="auto" w:fill="auto"/>
            <w:noWrap/>
            <w:vAlign w:val="center"/>
            <w:hideMark/>
          </w:tcPr>
          <w:p w14:paraId="7DAA031A" w14:textId="77777777" w:rsidR="00420831" w:rsidRPr="00C91A60" w:rsidRDefault="00420831" w:rsidP="006B530C">
            <w:pPr>
              <w:pStyle w:val="Tablesmalltext"/>
              <w:rPr>
                <w:sz w:val="18"/>
                <w:szCs w:val="18"/>
              </w:rPr>
            </w:pPr>
            <w:r w:rsidRPr="00C91A60">
              <w:rPr>
                <w:sz w:val="18"/>
                <w:szCs w:val="18"/>
              </w:rPr>
              <w:t>115872*</w:t>
            </w:r>
          </w:p>
          <w:p w14:paraId="7DAA031B" w14:textId="77777777" w:rsidR="00420831" w:rsidRPr="00C91A60" w:rsidRDefault="00420831" w:rsidP="006B530C">
            <w:pPr>
              <w:pStyle w:val="Tablesmalltext"/>
              <w:rPr>
                <w:sz w:val="18"/>
                <w:szCs w:val="18"/>
              </w:rPr>
            </w:pPr>
            <w:r w:rsidRPr="00C91A60">
              <w:rPr>
                <w:sz w:val="18"/>
                <w:szCs w:val="18"/>
              </w:rPr>
              <w:t>113467*</w:t>
            </w:r>
          </w:p>
        </w:tc>
        <w:tc>
          <w:tcPr>
            <w:tcW w:w="3260" w:type="dxa"/>
            <w:vAlign w:val="center"/>
          </w:tcPr>
          <w:p w14:paraId="7DAA031C" w14:textId="77777777" w:rsidR="00D327AC" w:rsidRPr="00C91A60" w:rsidRDefault="00D327AC" w:rsidP="00D327AC">
            <w:pPr>
              <w:pStyle w:val="Tablesmalltext"/>
              <w:rPr>
                <w:sz w:val="18"/>
                <w:szCs w:val="18"/>
              </w:rPr>
            </w:pPr>
            <w:r w:rsidRPr="00C91A60">
              <w:rPr>
                <w:sz w:val="18"/>
                <w:szCs w:val="18"/>
              </w:rPr>
              <w:t>Both bores monitor the target aquifer (Dilwyn Formation) in the Paaratte GMA</w:t>
            </w:r>
          </w:p>
        </w:tc>
      </w:tr>
      <w:tr w:rsidR="00420831" w:rsidRPr="00200223" w14:paraId="7DAA0323" w14:textId="77777777" w:rsidTr="00C91A60">
        <w:trPr>
          <w:trHeight w:val="299"/>
        </w:trPr>
        <w:tc>
          <w:tcPr>
            <w:tcW w:w="1858" w:type="dxa"/>
            <w:vAlign w:val="center"/>
          </w:tcPr>
          <w:p w14:paraId="7DAA031E" w14:textId="77777777" w:rsidR="00420831" w:rsidRPr="00C91A60" w:rsidRDefault="00420831" w:rsidP="006B530C">
            <w:pPr>
              <w:pStyle w:val="Tablesmalltext"/>
              <w:rPr>
                <w:sz w:val="18"/>
                <w:szCs w:val="18"/>
              </w:rPr>
            </w:pPr>
            <w:r w:rsidRPr="00C91A60">
              <w:rPr>
                <w:sz w:val="18"/>
                <w:szCs w:val="18"/>
              </w:rPr>
              <w:t>Hopkins - Corangamite</w:t>
            </w:r>
          </w:p>
        </w:tc>
        <w:tc>
          <w:tcPr>
            <w:tcW w:w="1276" w:type="dxa"/>
            <w:shd w:val="clear" w:color="auto" w:fill="auto"/>
            <w:noWrap/>
            <w:vAlign w:val="center"/>
            <w:hideMark/>
          </w:tcPr>
          <w:p w14:paraId="7DAA031F" w14:textId="77777777" w:rsidR="00420831" w:rsidRPr="00C91A60" w:rsidRDefault="00420831" w:rsidP="006B530C">
            <w:pPr>
              <w:pStyle w:val="Tablesmalltext"/>
              <w:rPr>
                <w:sz w:val="18"/>
                <w:szCs w:val="18"/>
              </w:rPr>
            </w:pPr>
            <w:r w:rsidRPr="00C91A60">
              <w:rPr>
                <w:sz w:val="18"/>
                <w:szCs w:val="18"/>
              </w:rPr>
              <w:t>Warrion</w:t>
            </w:r>
          </w:p>
        </w:tc>
        <w:tc>
          <w:tcPr>
            <w:tcW w:w="2268" w:type="dxa"/>
            <w:shd w:val="clear" w:color="auto" w:fill="auto"/>
            <w:vAlign w:val="center"/>
            <w:hideMark/>
          </w:tcPr>
          <w:p w14:paraId="7DAA0320" w14:textId="77777777" w:rsidR="00420831" w:rsidRPr="00C91A60" w:rsidRDefault="00420831" w:rsidP="006B530C">
            <w:pPr>
              <w:pStyle w:val="Tablesmalltext"/>
              <w:rPr>
                <w:sz w:val="18"/>
                <w:szCs w:val="18"/>
              </w:rPr>
            </w:pPr>
            <w:r w:rsidRPr="00C91A60">
              <w:rPr>
                <w:sz w:val="18"/>
                <w:szCs w:val="18"/>
              </w:rPr>
              <w:t>Newer Volcanics (101)</w:t>
            </w:r>
          </w:p>
        </w:tc>
        <w:tc>
          <w:tcPr>
            <w:tcW w:w="1134" w:type="dxa"/>
            <w:shd w:val="clear" w:color="auto" w:fill="auto"/>
            <w:noWrap/>
            <w:vAlign w:val="center"/>
          </w:tcPr>
          <w:p w14:paraId="7DAA0321" w14:textId="77777777" w:rsidR="00420831" w:rsidRPr="00C91A60" w:rsidRDefault="00420831" w:rsidP="006B530C">
            <w:pPr>
              <w:pStyle w:val="Tablesmalltext"/>
              <w:rPr>
                <w:sz w:val="18"/>
                <w:szCs w:val="18"/>
              </w:rPr>
            </w:pPr>
            <w:r w:rsidRPr="00C91A60">
              <w:rPr>
                <w:sz w:val="18"/>
                <w:szCs w:val="18"/>
              </w:rPr>
              <w:t>142660*</w:t>
            </w:r>
          </w:p>
        </w:tc>
        <w:tc>
          <w:tcPr>
            <w:tcW w:w="3260" w:type="dxa"/>
            <w:vAlign w:val="center"/>
          </w:tcPr>
          <w:p w14:paraId="7DAA0322" w14:textId="77777777" w:rsidR="00420831" w:rsidRPr="00C91A60" w:rsidRDefault="0055262F" w:rsidP="006B530C">
            <w:pPr>
              <w:pStyle w:val="Tablesmalltext"/>
              <w:rPr>
                <w:sz w:val="18"/>
                <w:szCs w:val="18"/>
              </w:rPr>
            </w:pPr>
            <w:r w:rsidRPr="00C91A60">
              <w:rPr>
                <w:rFonts w:cs="Arial"/>
                <w:sz w:val="18"/>
                <w:szCs w:val="18"/>
              </w:rPr>
              <w:t>Monitors the target aquifer (Newer Volcanics) in the Warrion WSPA</w:t>
            </w:r>
          </w:p>
        </w:tc>
      </w:tr>
      <w:tr w:rsidR="00420831" w:rsidRPr="00200223" w14:paraId="7DAA0329" w14:textId="77777777" w:rsidTr="00C91A60">
        <w:trPr>
          <w:trHeight w:val="299"/>
        </w:trPr>
        <w:tc>
          <w:tcPr>
            <w:tcW w:w="1858" w:type="dxa"/>
            <w:vAlign w:val="center"/>
          </w:tcPr>
          <w:p w14:paraId="7DAA0324" w14:textId="77777777" w:rsidR="00420831" w:rsidRPr="00C91A60" w:rsidRDefault="00420831" w:rsidP="006B530C">
            <w:pPr>
              <w:pStyle w:val="Tablesmalltext"/>
              <w:rPr>
                <w:sz w:val="18"/>
                <w:szCs w:val="18"/>
              </w:rPr>
            </w:pPr>
            <w:r w:rsidRPr="00C91A60">
              <w:rPr>
                <w:sz w:val="18"/>
                <w:szCs w:val="18"/>
              </w:rPr>
              <w:t>Hopkins - Corangamite</w:t>
            </w:r>
          </w:p>
        </w:tc>
        <w:tc>
          <w:tcPr>
            <w:tcW w:w="1276" w:type="dxa"/>
            <w:shd w:val="clear" w:color="auto" w:fill="auto"/>
            <w:noWrap/>
            <w:vAlign w:val="center"/>
            <w:hideMark/>
          </w:tcPr>
          <w:p w14:paraId="7DAA0325" w14:textId="77777777" w:rsidR="00420831" w:rsidRPr="00C91A60" w:rsidRDefault="00420831" w:rsidP="006B530C">
            <w:pPr>
              <w:pStyle w:val="Tablesmalltext"/>
              <w:rPr>
                <w:sz w:val="18"/>
                <w:szCs w:val="18"/>
              </w:rPr>
            </w:pPr>
            <w:r w:rsidRPr="00C91A60">
              <w:rPr>
                <w:sz w:val="18"/>
                <w:szCs w:val="18"/>
              </w:rPr>
              <w:t>Colongulac</w:t>
            </w:r>
          </w:p>
        </w:tc>
        <w:tc>
          <w:tcPr>
            <w:tcW w:w="2268" w:type="dxa"/>
            <w:shd w:val="clear" w:color="auto" w:fill="auto"/>
            <w:vAlign w:val="center"/>
            <w:hideMark/>
          </w:tcPr>
          <w:p w14:paraId="7DAA0326" w14:textId="77777777" w:rsidR="00420831" w:rsidRPr="00C91A60" w:rsidRDefault="00420831" w:rsidP="006B530C">
            <w:pPr>
              <w:pStyle w:val="Tablesmalltext"/>
              <w:rPr>
                <w:sz w:val="18"/>
                <w:szCs w:val="18"/>
              </w:rPr>
            </w:pPr>
            <w:r w:rsidRPr="00C91A60">
              <w:rPr>
                <w:sz w:val="18"/>
                <w:szCs w:val="18"/>
              </w:rPr>
              <w:t>Newer Volcanics (101)</w:t>
            </w:r>
          </w:p>
        </w:tc>
        <w:tc>
          <w:tcPr>
            <w:tcW w:w="1134" w:type="dxa"/>
            <w:shd w:val="clear" w:color="auto" w:fill="auto"/>
            <w:noWrap/>
            <w:vAlign w:val="center"/>
          </w:tcPr>
          <w:p w14:paraId="7DAA0327" w14:textId="77777777" w:rsidR="00420831" w:rsidRPr="00C91A60" w:rsidRDefault="00420831" w:rsidP="006B530C">
            <w:pPr>
              <w:pStyle w:val="Tablesmalltext"/>
              <w:rPr>
                <w:sz w:val="18"/>
                <w:szCs w:val="18"/>
              </w:rPr>
            </w:pPr>
            <w:r w:rsidRPr="00C91A60">
              <w:rPr>
                <w:sz w:val="18"/>
                <w:szCs w:val="18"/>
              </w:rPr>
              <w:t>89040</w:t>
            </w:r>
          </w:p>
        </w:tc>
        <w:tc>
          <w:tcPr>
            <w:tcW w:w="3260" w:type="dxa"/>
            <w:vAlign w:val="center"/>
          </w:tcPr>
          <w:p w14:paraId="7DAA0328" w14:textId="77777777" w:rsidR="00420831" w:rsidRPr="00C91A60" w:rsidRDefault="00420831" w:rsidP="006B530C">
            <w:pPr>
              <w:pStyle w:val="Tablesmalltext"/>
              <w:rPr>
                <w:sz w:val="18"/>
                <w:szCs w:val="18"/>
              </w:rPr>
            </w:pPr>
            <w:r w:rsidRPr="00C91A60">
              <w:rPr>
                <w:sz w:val="18"/>
                <w:szCs w:val="18"/>
              </w:rPr>
              <w:t xml:space="preserve">Only available SOB in the GMA. No nested sites to present alternative option. </w:t>
            </w:r>
          </w:p>
        </w:tc>
      </w:tr>
      <w:tr w:rsidR="00420831" w:rsidRPr="00200223" w14:paraId="7DAA032F" w14:textId="77777777" w:rsidTr="00C91A60">
        <w:trPr>
          <w:trHeight w:val="299"/>
        </w:trPr>
        <w:tc>
          <w:tcPr>
            <w:tcW w:w="1858" w:type="dxa"/>
            <w:vAlign w:val="center"/>
          </w:tcPr>
          <w:p w14:paraId="7DAA032A" w14:textId="77777777" w:rsidR="00420831" w:rsidRPr="00C91A60" w:rsidRDefault="00420831" w:rsidP="006B530C">
            <w:pPr>
              <w:pStyle w:val="Tablesmalltext"/>
              <w:rPr>
                <w:sz w:val="18"/>
                <w:szCs w:val="18"/>
              </w:rPr>
            </w:pPr>
            <w:r w:rsidRPr="00C91A60">
              <w:rPr>
                <w:sz w:val="18"/>
                <w:szCs w:val="18"/>
              </w:rPr>
              <w:t>Hopkins - Corangamite</w:t>
            </w:r>
          </w:p>
        </w:tc>
        <w:tc>
          <w:tcPr>
            <w:tcW w:w="1276" w:type="dxa"/>
            <w:shd w:val="clear" w:color="auto" w:fill="auto"/>
            <w:noWrap/>
            <w:vAlign w:val="center"/>
            <w:hideMark/>
          </w:tcPr>
          <w:p w14:paraId="7DAA032B" w14:textId="77777777" w:rsidR="00420831" w:rsidRPr="00C91A60" w:rsidRDefault="00420831" w:rsidP="006B530C">
            <w:pPr>
              <w:pStyle w:val="Tablesmalltext"/>
              <w:rPr>
                <w:sz w:val="18"/>
                <w:szCs w:val="18"/>
              </w:rPr>
            </w:pPr>
            <w:r w:rsidRPr="00C91A60">
              <w:rPr>
                <w:sz w:val="18"/>
                <w:szCs w:val="18"/>
              </w:rPr>
              <w:t>Gellibrand</w:t>
            </w:r>
          </w:p>
        </w:tc>
        <w:tc>
          <w:tcPr>
            <w:tcW w:w="2268" w:type="dxa"/>
            <w:shd w:val="clear" w:color="auto" w:fill="auto"/>
            <w:vAlign w:val="center"/>
            <w:hideMark/>
          </w:tcPr>
          <w:p w14:paraId="7DAA032C" w14:textId="77777777" w:rsidR="00420831" w:rsidRPr="00C91A60" w:rsidRDefault="0089797E" w:rsidP="006B530C">
            <w:pPr>
              <w:pStyle w:val="Tablesmalltext"/>
              <w:rPr>
                <w:sz w:val="18"/>
                <w:szCs w:val="18"/>
              </w:rPr>
            </w:pPr>
            <w:r w:rsidRPr="00C91A60">
              <w:rPr>
                <w:rFonts w:eastAsia="Times New Roman" w:cs="Arial"/>
                <w:color w:val="000000"/>
                <w:sz w:val="18"/>
                <w:szCs w:val="18"/>
                <w:lang w:eastAsia="en-AU"/>
              </w:rPr>
              <w:t>Lower Tertiary Aquifer (111)</w:t>
            </w:r>
          </w:p>
        </w:tc>
        <w:tc>
          <w:tcPr>
            <w:tcW w:w="1134" w:type="dxa"/>
            <w:shd w:val="clear" w:color="auto" w:fill="auto"/>
            <w:noWrap/>
            <w:vAlign w:val="center"/>
          </w:tcPr>
          <w:p w14:paraId="7DAA032D" w14:textId="77777777" w:rsidR="00420831" w:rsidRPr="00C91A60" w:rsidRDefault="00420831" w:rsidP="006B530C">
            <w:pPr>
              <w:pStyle w:val="Tablesmalltext"/>
              <w:rPr>
                <w:sz w:val="18"/>
                <w:szCs w:val="18"/>
              </w:rPr>
            </w:pPr>
            <w:r w:rsidRPr="00C91A60">
              <w:rPr>
                <w:sz w:val="18"/>
                <w:szCs w:val="18"/>
              </w:rPr>
              <w:t>114169</w:t>
            </w:r>
          </w:p>
        </w:tc>
        <w:tc>
          <w:tcPr>
            <w:tcW w:w="3260" w:type="dxa"/>
            <w:vAlign w:val="center"/>
          </w:tcPr>
          <w:p w14:paraId="7DAA032E" w14:textId="77777777" w:rsidR="00420831" w:rsidRPr="00C91A60" w:rsidRDefault="00420831" w:rsidP="006B530C">
            <w:pPr>
              <w:pStyle w:val="Tablesmalltext"/>
              <w:rPr>
                <w:sz w:val="18"/>
                <w:szCs w:val="18"/>
              </w:rPr>
            </w:pPr>
            <w:r w:rsidRPr="00C91A60">
              <w:rPr>
                <w:sz w:val="18"/>
                <w:szCs w:val="18"/>
              </w:rPr>
              <w:t xml:space="preserve">No nested sites to present alternative option. </w:t>
            </w:r>
          </w:p>
        </w:tc>
      </w:tr>
      <w:tr w:rsidR="0089797E" w:rsidRPr="00200223" w14:paraId="7DAA0335" w14:textId="77777777" w:rsidTr="00C91A60">
        <w:trPr>
          <w:trHeight w:val="299"/>
        </w:trPr>
        <w:tc>
          <w:tcPr>
            <w:tcW w:w="1858" w:type="dxa"/>
            <w:vAlign w:val="center"/>
          </w:tcPr>
          <w:p w14:paraId="7DAA0330" w14:textId="77777777" w:rsidR="0089797E" w:rsidRPr="00C91A60" w:rsidRDefault="0089797E" w:rsidP="006B530C">
            <w:pPr>
              <w:pStyle w:val="Tablesmalltext"/>
              <w:rPr>
                <w:sz w:val="18"/>
                <w:szCs w:val="18"/>
              </w:rPr>
            </w:pPr>
            <w:r w:rsidRPr="00C91A60">
              <w:rPr>
                <w:sz w:val="18"/>
                <w:szCs w:val="18"/>
              </w:rPr>
              <w:t>Hopkins - Corangamite</w:t>
            </w:r>
          </w:p>
        </w:tc>
        <w:tc>
          <w:tcPr>
            <w:tcW w:w="1276" w:type="dxa"/>
            <w:shd w:val="clear" w:color="auto" w:fill="auto"/>
            <w:noWrap/>
            <w:vAlign w:val="center"/>
          </w:tcPr>
          <w:p w14:paraId="7DAA0331" w14:textId="77777777" w:rsidR="0089797E" w:rsidRPr="00C91A60" w:rsidRDefault="0089797E" w:rsidP="006B530C">
            <w:pPr>
              <w:pStyle w:val="Tablesmalltext"/>
              <w:rPr>
                <w:sz w:val="18"/>
                <w:szCs w:val="18"/>
              </w:rPr>
            </w:pPr>
            <w:r w:rsidRPr="00C91A60">
              <w:rPr>
                <w:sz w:val="18"/>
                <w:szCs w:val="18"/>
              </w:rPr>
              <w:t>Gerangamete</w:t>
            </w:r>
          </w:p>
        </w:tc>
        <w:tc>
          <w:tcPr>
            <w:tcW w:w="2268" w:type="dxa"/>
            <w:shd w:val="clear" w:color="auto" w:fill="auto"/>
            <w:vAlign w:val="center"/>
          </w:tcPr>
          <w:p w14:paraId="7DAA0332" w14:textId="77777777" w:rsidR="0089797E" w:rsidRPr="00C91A60" w:rsidRDefault="0089797E" w:rsidP="00F673E7">
            <w:pPr>
              <w:pStyle w:val="Tablesmalltext"/>
              <w:rPr>
                <w:sz w:val="18"/>
                <w:szCs w:val="18"/>
              </w:rPr>
            </w:pPr>
            <w:r w:rsidRPr="00C91A60">
              <w:rPr>
                <w:rFonts w:eastAsia="Times New Roman" w:cs="Arial"/>
                <w:color w:val="000000"/>
                <w:sz w:val="18"/>
                <w:szCs w:val="18"/>
                <w:lang w:eastAsia="en-AU"/>
              </w:rPr>
              <w:t>Lower Tertiary Aquifer (111)</w:t>
            </w:r>
          </w:p>
        </w:tc>
        <w:tc>
          <w:tcPr>
            <w:tcW w:w="1134" w:type="dxa"/>
            <w:shd w:val="clear" w:color="auto" w:fill="auto"/>
            <w:noWrap/>
            <w:vAlign w:val="center"/>
          </w:tcPr>
          <w:p w14:paraId="7DAA0333" w14:textId="77777777" w:rsidR="0089797E" w:rsidRPr="00C91A60" w:rsidRDefault="0089797E" w:rsidP="006B530C">
            <w:pPr>
              <w:pStyle w:val="Tablesmalltext"/>
              <w:rPr>
                <w:sz w:val="18"/>
                <w:szCs w:val="18"/>
              </w:rPr>
            </w:pPr>
            <w:r w:rsidRPr="00C91A60">
              <w:rPr>
                <w:sz w:val="18"/>
                <w:szCs w:val="18"/>
              </w:rPr>
              <w:t>114167</w:t>
            </w:r>
          </w:p>
        </w:tc>
        <w:tc>
          <w:tcPr>
            <w:tcW w:w="3260" w:type="dxa"/>
            <w:vAlign w:val="center"/>
          </w:tcPr>
          <w:p w14:paraId="7DAA0334" w14:textId="77777777" w:rsidR="0089797E" w:rsidRPr="00C91A60" w:rsidRDefault="0089797E" w:rsidP="006B530C">
            <w:pPr>
              <w:pStyle w:val="Tablesmalltext"/>
              <w:rPr>
                <w:sz w:val="18"/>
                <w:szCs w:val="18"/>
              </w:rPr>
            </w:pPr>
            <w:r w:rsidRPr="00C91A60">
              <w:rPr>
                <w:sz w:val="18"/>
                <w:szCs w:val="18"/>
              </w:rPr>
              <w:t>Monitors the target aquifer (Dilwyn Fmn) in the Gerangamete GMA</w:t>
            </w:r>
          </w:p>
        </w:tc>
      </w:tr>
      <w:tr w:rsidR="000216AE" w:rsidRPr="00200223" w14:paraId="7DAA033B" w14:textId="77777777" w:rsidTr="00C91A60">
        <w:trPr>
          <w:trHeight w:val="299"/>
        </w:trPr>
        <w:tc>
          <w:tcPr>
            <w:tcW w:w="1858" w:type="dxa"/>
            <w:vAlign w:val="center"/>
          </w:tcPr>
          <w:p w14:paraId="7DAA0336" w14:textId="77777777" w:rsidR="000216AE" w:rsidRPr="00C91A60" w:rsidRDefault="000216AE" w:rsidP="006B530C">
            <w:pPr>
              <w:pStyle w:val="Tablesmalltext"/>
              <w:rPr>
                <w:sz w:val="18"/>
                <w:szCs w:val="18"/>
              </w:rPr>
            </w:pPr>
            <w:r w:rsidRPr="00C91A60">
              <w:rPr>
                <w:sz w:val="18"/>
                <w:szCs w:val="18"/>
              </w:rPr>
              <w:t>Hopkins - Corangamite</w:t>
            </w:r>
          </w:p>
        </w:tc>
        <w:tc>
          <w:tcPr>
            <w:tcW w:w="1276" w:type="dxa"/>
            <w:shd w:val="clear" w:color="auto" w:fill="auto"/>
            <w:noWrap/>
            <w:vAlign w:val="center"/>
            <w:hideMark/>
          </w:tcPr>
          <w:p w14:paraId="7DAA0337" w14:textId="77777777" w:rsidR="000216AE" w:rsidRPr="00C91A60" w:rsidRDefault="000216AE" w:rsidP="006B530C">
            <w:pPr>
              <w:pStyle w:val="Tablesmalltext"/>
              <w:rPr>
                <w:sz w:val="18"/>
                <w:szCs w:val="18"/>
              </w:rPr>
            </w:pPr>
            <w:r w:rsidRPr="00C91A60">
              <w:rPr>
                <w:sz w:val="18"/>
                <w:szCs w:val="18"/>
              </w:rPr>
              <w:t>Glenormiston</w:t>
            </w:r>
          </w:p>
        </w:tc>
        <w:tc>
          <w:tcPr>
            <w:tcW w:w="2268" w:type="dxa"/>
            <w:shd w:val="clear" w:color="auto" w:fill="auto"/>
            <w:vAlign w:val="center"/>
            <w:hideMark/>
          </w:tcPr>
          <w:p w14:paraId="7DAA0338" w14:textId="77777777" w:rsidR="000216AE" w:rsidRPr="00C91A60" w:rsidRDefault="000216AE" w:rsidP="006B530C">
            <w:pPr>
              <w:pStyle w:val="Tablesmalltext"/>
              <w:rPr>
                <w:sz w:val="18"/>
                <w:szCs w:val="18"/>
              </w:rPr>
            </w:pPr>
            <w:r w:rsidRPr="00C91A60">
              <w:rPr>
                <w:rFonts w:eastAsia="Times New Roman" w:cs="Arial"/>
                <w:color w:val="000000"/>
                <w:sz w:val="18"/>
                <w:szCs w:val="18"/>
                <w:lang w:eastAsia="en-AU"/>
              </w:rPr>
              <w:t>Upper Tertiary/Quaternary Basalt Aquifer (101) and Upper Tertiary Aquifer (marine) (104)</w:t>
            </w:r>
          </w:p>
        </w:tc>
        <w:tc>
          <w:tcPr>
            <w:tcW w:w="1134" w:type="dxa"/>
            <w:shd w:val="clear" w:color="auto" w:fill="auto"/>
            <w:noWrap/>
            <w:vAlign w:val="center"/>
          </w:tcPr>
          <w:p w14:paraId="7DAA0339" w14:textId="77777777" w:rsidR="000216AE" w:rsidRPr="00C91A60" w:rsidRDefault="000216AE" w:rsidP="006B530C">
            <w:pPr>
              <w:pStyle w:val="Tablesmalltext"/>
              <w:rPr>
                <w:sz w:val="18"/>
                <w:szCs w:val="18"/>
              </w:rPr>
            </w:pPr>
            <w:r w:rsidRPr="00C91A60">
              <w:rPr>
                <w:sz w:val="18"/>
                <w:szCs w:val="18"/>
              </w:rPr>
              <w:t xml:space="preserve">NA </w:t>
            </w:r>
          </w:p>
        </w:tc>
        <w:tc>
          <w:tcPr>
            <w:tcW w:w="3260" w:type="dxa"/>
            <w:vAlign w:val="center"/>
          </w:tcPr>
          <w:p w14:paraId="7DAA033A" w14:textId="77777777" w:rsidR="000216AE" w:rsidRPr="00C91A60" w:rsidRDefault="000216AE" w:rsidP="006B530C">
            <w:pPr>
              <w:pStyle w:val="Tablesmalltext"/>
              <w:rPr>
                <w:sz w:val="18"/>
                <w:szCs w:val="18"/>
              </w:rPr>
            </w:pPr>
            <w:r w:rsidRPr="00C91A60">
              <w:rPr>
                <w:sz w:val="18"/>
                <w:szCs w:val="18"/>
              </w:rPr>
              <w:t>No SOBs (including poor condition bore check)</w:t>
            </w:r>
          </w:p>
        </w:tc>
      </w:tr>
    </w:tbl>
    <w:p w14:paraId="7DAA033C" w14:textId="40CD72E6" w:rsidR="000C564C" w:rsidRPr="000C564C" w:rsidRDefault="000C564C" w:rsidP="006B530C">
      <w:pPr>
        <w:pStyle w:val="Caption"/>
        <w:rPr>
          <w:lang w:val="en-AU"/>
        </w:rPr>
      </w:pPr>
      <w:r w:rsidRPr="000C564C">
        <w:rPr>
          <w:lang w:val="en-AU"/>
        </w:rPr>
        <w:t xml:space="preserve">*bores have already been included in the </w:t>
      </w:r>
      <w:r w:rsidR="00857ACF">
        <w:rPr>
          <w:lang w:val="en-AU"/>
        </w:rPr>
        <w:t xml:space="preserve">monitoring </w:t>
      </w:r>
      <w:r w:rsidRPr="000C564C">
        <w:rPr>
          <w:lang w:val="en-AU"/>
        </w:rPr>
        <w:t xml:space="preserve">network based on other selection criteria </w:t>
      </w:r>
    </w:p>
    <w:p w14:paraId="7DAA033D" w14:textId="29BEF0C7" w:rsidR="000C564C" w:rsidRPr="00C91A60" w:rsidRDefault="002C4338" w:rsidP="00C91A60">
      <w:pPr>
        <w:pStyle w:val="figurereturn"/>
      </w:pPr>
      <w:r>
        <w:drawing>
          <wp:inline distT="0" distB="0" distL="0" distR="0" wp14:anchorId="05AB9AD4" wp14:editId="27159D86">
            <wp:extent cx="6120130" cy="4154861"/>
            <wp:effectExtent l="19050" t="19050" r="13970" b="17145"/>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4154861"/>
                    </a:xfrm>
                    <a:prstGeom prst="rect">
                      <a:avLst/>
                    </a:prstGeom>
                    <a:noFill/>
                    <a:ln>
                      <a:solidFill>
                        <a:schemeClr val="accent1"/>
                      </a:solidFill>
                    </a:ln>
                  </pic:spPr>
                </pic:pic>
              </a:graphicData>
            </a:graphic>
          </wp:inline>
        </w:drawing>
      </w:r>
    </w:p>
    <w:p w14:paraId="7DAA033E" w14:textId="4921F0BD" w:rsidR="000C564C" w:rsidRPr="000C564C" w:rsidRDefault="006B530C" w:rsidP="00D0375F">
      <w:pPr>
        <w:pStyle w:val="Figuretitle"/>
      </w:pPr>
      <w:bookmarkStart w:id="77" w:name="_Toc420327765"/>
      <w:r w:rsidRPr="0089797E">
        <w:t xml:space="preserve">Figure </w:t>
      </w:r>
      <w:r w:rsidR="00B91643">
        <w:fldChar w:fldCharType="begin"/>
      </w:r>
      <w:r w:rsidR="00B91643">
        <w:instrText xml:space="preserve"> SEQ Figure \* ARABIC </w:instrText>
      </w:r>
      <w:r w:rsidR="00B91643">
        <w:fldChar w:fldCharType="separate"/>
      </w:r>
      <w:r w:rsidR="00BD60CC">
        <w:rPr>
          <w:noProof/>
        </w:rPr>
        <w:t>14</w:t>
      </w:r>
      <w:r w:rsidR="00B91643">
        <w:rPr>
          <w:noProof/>
        </w:rPr>
        <w:fldChar w:fldCharType="end"/>
      </w:r>
      <w:r w:rsidRPr="0089797E">
        <w:t xml:space="preserve"> </w:t>
      </w:r>
      <w:r w:rsidR="000C564C" w:rsidRPr="0089797E">
        <w:t xml:space="preserve">GMAs and WSPAs and targeted </w:t>
      </w:r>
      <w:r w:rsidR="00EC356C">
        <w:t>monitoring</w:t>
      </w:r>
      <w:r w:rsidR="000C564C" w:rsidRPr="0089797E">
        <w:t xml:space="preserve"> bores (new selected bores based on this criteria indicated in blue)</w:t>
      </w:r>
      <w:bookmarkEnd w:id="77"/>
      <w:r w:rsidR="000C564C" w:rsidRPr="000C564C">
        <w:t xml:space="preserve"> </w:t>
      </w:r>
    </w:p>
    <w:p w14:paraId="7DAA0340" w14:textId="145AFF43" w:rsidR="000C564C" w:rsidRPr="000C564C" w:rsidRDefault="000C564C" w:rsidP="00FC2A0F">
      <w:pPr>
        <w:pStyle w:val="Head3xxx"/>
        <w:ind w:left="851"/>
        <w:rPr>
          <w:lang w:val="en-AU"/>
        </w:rPr>
      </w:pPr>
      <w:r w:rsidRPr="000C564C">
        <w:rPr>
          <w:lang w:val="en-AU"/>
        </w:rPr>
        <w:t xml:space="preserve">Portland </w:t>
      </w:r>
      <w:r w:rsidR="00E87D28">
        <w:rPr>
          <w:lang w:val="en-AU"/>
        </w:rPr>
        <w:t>Groundwater Catchment Unit</w:t>
      </w:r>
    </w:p>
    <w:p w14:paraId="7DAA0341" w14:textId="31B18FBD" w:rsidR="000C564C" w:rsidRPr="000C564C" w:rsidRDefault="000C564C" w:rsidP="000C564C">
      <w:pPr>
        <w:rPr>
          <w:lang w:val="en-AU"/>
        </w:rPr>
      </w:pPr>
      <w:r w:rsidRPr="000C564C">
        <w:rPr>
          <w:lang w:val="en-AU"/>
        </w:rPr>
        <w:t>The Portland GCU includes the following GMAs and WSPAs</w:t>
      </w:r>
      <w:r w:rsidR="00821CEE">
        <w:rPr>
          <w:lang w:val="en-AU"/>
        </w:rPr>
        <w:t>:</w:t>
      </w:r>
    </w:p>
    <w:p w14:paraId="7DAA0342"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Portland</w:t>
      </w:r>
    </w:p>
    <w:p w14:paraId="7DAA0343"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Condah</w:t>
      </w:r>
    </w:p>
    <w:p w14:paraId="7DAA0344"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Yangery</w:t>
      </w:r>
    </w:p>
    <w:p w14:paraId="7DAA0345"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Hawkesdale</w:t>
      </w:r>
    </w:p>
    <w:p w14:paraId="7DAA0346" w14:textId="24CEF614" w:rsidR="000C564C" w:rsidRPr="00D5530F" w:rsidRDefault="000C564C" w:rsidP="00C91A60">
      <w:pPr>
        <w:pStyle w:val="B110after"/>
      </w:pPr>
      <w:r w:rsidRPr="00D5530F">
        <w:t>Heywood</w:t>
      </w:r>
      <w:r w:rsidR="00821CEE">
        <w:t>.</w:t>
      </w:r>
    </w:p>
    <w:p w14:paraId="7DAA0347" w14:textId="30CBA1C3" w:rsidR="000C564C" w:rsidRPr="000C564C" w:rsidRDefault="000C564C" w:rsidP="000C564C">
      <w:pPr>
        <w:rPr>
          <w:lang w:val="en-AU"/>
        </w:rPr>
      </w:pPr>
      <w:r w:rsidRPr="000C564C">
        <w:rPr>
          <w:lang w:val="en-AU"/>
        </w:rPr>
        <w:t>SRW (2014b) provides an overview of the target aquifers for groundwater use within each of the above management areas in the Portland GCU and this information was used to target bores for inclusion in the monitoring network. Bores identified for inclusion in the network are summarised in</w:t>
      </w:r>
      <w:r w:rsidR="00787C30">
        <w:rPr>
          <w:lang w:val="en-AU"/>
        </w:rPr>
        <w:t xml:space="preserve"> Table 6</w:t>
      </w:r>
      <w:r w:rsidR="00821CEE">
        <w:rPr>
          <w:lang w:val="en-AU"/>
        </w:rPr>
        <w:t xml:space="preserve"> </w:t>
      </w:r>
      <w:r w:rsidR="00107D85">
        <w:rPr>
          <w:lang w:val="en-AU"/>
        </w:rPr>
        <w:t>and shown in</w:t>
      </w:r>
      <w:r w:rsidR="00821CEE">
        <w:rPr>
          <w:lang w:val="en-AU"/>
        </w:rPr>
        <w:t xml:space="preserve"> Figure 15</w:t>
      </w:r>
      <w:r w:rsidR="00107D85">
        <w:rPr>
          <w:lang w:val="en-AU"/>
        </w:rPr>
        <w:t>.</w:t>
      </w:r>
    </w:p>
    <w:p w14:paraId="5512F7FB" w14:textId="77777777" w:rsidR="00FC2A0F" w:rsidRDefault="00FC2A0F">
      <w:pPr>
        <w:rPr>
          <w:rFonts w:cs="Arial"/>
          <w:b/>
          <w:bCs/>
        </w:rPr>
      </w:pPr>
      <w:bookmarkStart w:id="78" w:name="_Ref414006112"/>
      <w:r>
        <w:br w:type="page"/>
      </w:r>
    </w:p>
    <w:p w14:paraId="7DAA0348" w14:textId="619B0316" w:rsidR="000C564C" w:rsidRPr="000C564C" w:rsidRDefault="006B530C" w:rsidP="004F307F">
      <w:pPr>
        <w:pStyle w:val="Tableheading"/>
        <w:rPr>
          <w:lang w:val="en-AU"/>
        </w:rPr>
      </w:pPr>
      <w:bookmarkStart w:id="79" w:name="_Toc420320556"/>
      <w:r>
        <w:t xml:space="preserve">Table </w:t>
      </w:r>
      <w:r>
        <w:fldChar w:fldCharType="begin"/>
      </w:r>
      <w:r>
        <w:instrText xml:space="preserve"> SEQ Table \* ARABIC </w:instrText>
      </w:r>
      <w:r>
        <w:fldChar w:fldCharType="separate"/>
      </w:r>
      <w:r w:rsidR="00BD60CC">
        <w:rPr>
          <w:noProof/>
        </w:rPr>
        <w:t>6</w:t>
      </w:r>
      <w:r>
        <w:fldChar w:fldCharType="end"/>
      </w:r>
      <w:bookmarkEnd w:id="78"/>
      <w:r>
        <w:rPr>
          <w:lang w:val="en-AU"/>
        </w:rPr>
        <w:t xml:space="preserve"> </w:t>
      </w:r>
      <w:r w:rsidR="00F673E7">
        <w:rPr>
          <w:lang w:val="en-AU"/>
        </w:rPr>
        <w:t>Selected</w:t>
      </w:r>
      <w:r w:rsidR="000C564C" w:rsidRPr="000C564C">
        <w:rPr>
          <w:lang w:val="en-AU"/>
        </w:rPr>
        <w:t xml:space="preserve"> </w:t>
      </w:r>
      <w:r w:rsidR="00206FC6">
        <w:rPr>
          <w:lang w:val="en-AU"/>
        </w:rPr>
        <w:t>monitoring</w:t>
      </w:r>
      <w:r w:rsidR="00206FC6" w:rsidRPr="000C564C">
        <w:rPr>
          <w:lang w:val="en-AU"/>
        </w:rPr>
        <w:t xml:space="preserve"> bores</w:t>
      </w:r>
      <w:r w:rsidR="000C564C" w:rsidRPr="000C564C">
        <w:rPr>
          <w:lang w:val="en-AU"/>
        </w:rPr>
        <w:t xml:space="preserve"> in areas of high value groundwater asset (as indicated by GMAs and WSPAs)</w:t>
      </w:r>
      <w:bookmarkEnd w:id="79"/>
      <w:r w:rsidR="000C564C" w:rsidRPr="000C564C">
        <w:rPr>
          <w:lang w:val="en-AU"/>
        </w:rPr>
        <w:t xml:space="preserve">  </w:t>
      </w:r>
    </w:p>
    <w:tbl>
      <w:tblPr>
        <w:tblW w:w="9654" w:type="dxa"/>
        <w:tblInd w:w="93"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008"/>
        <w:gridCol w:w="1275"/>
        <w:gridCol w:w="2268"/>
        <w:gridCol w:w="1276"/>
        <w:gridCol w:w="3827"/>
      </w:tblGrid>
      <w:tr w:rsidR="00420831" w:rsidRPr="00200223" w14:paraId="7DAA034E" w14:textId="77777777" w:rsidTr="00C91A60">
        <w:trPr>
          <w:trHeight w:val="299"/>
        </w:trPr>
        <w:tc>
          <w:tcPr>
            <w:tcW w:w="1008" w:type="dxa"/>
            <w:tcBorders>
              <w:top w:val="nil"/>
              <w:bottom w:val="single" w:sz="4" w:space="0" w:color="FFFFFF"/>
              <w:right w:val="single" w:sz="4" w:space="0" w:color="FFFFFF"/>
            </w:tcBorders>
            <w:shd w:val="clear" w:color="auto" w:fill="005A97"/>
            <w:vAlign w:val="center"/>
          </w:tcPr>
          <w:p w14:paraId="7DAA0349" w14:textId="77777777" w:rsidR="00420831" w:rsidRPr="00200223" w:rsidRDefault="00420831" w:rsidP="00E63375">
            <w:pPr>
              <w:pStyle w:val="TableHeaderrow"/>
            </w:pPr>
            <w:r>
              <w:t>GCU</w:t>
            </w:r>
          </w:p>
        </w:tc>
        <w:tc>
          <w:tcPr>
            <w:tcW w:w="1275" w:type="dxa"/>
            <w:tcBorders>
              <w:top w:val="nil"/>
              <w:left w:val="single" w:sz="4" w:space="0" w:color="FFFFFF"/>
              <w:bottom w:val="single" w:sz="4" w:space="0" w:color="FFFFFF"/>
              <w:right w:val="single" w:sz="4" w:space="0" w:color="FFFFFF"/>
            </w:tcBorders>
            <w:shd w:val="clear" w:color="auto" w:fill="005A97"/>
            <w:noWrap/>
            <w:vAlign w:val="center"/>
            <w:hideMark/>
          </w:tcPr>
          <w:p w14:paraId="7DAA034A" w14:textId="77777777" w:rsidR="00420831" w:rsidRPr="00200223" w:rsidRDefault="00420831" w:rsidP="00E63375">
            <w:pPr>
              <w:pStyle w:val="TableHeaderrow"/>
            </w:pPr>
            <w:r w:rsidRPr="00200223">
              <w:t>GMA</w:t>
            </w:r>
            <w:r w:rsidRPr="00C946BB">
              <w:t>/WSPA</w:t>
            </w:r>
          </w:p>
        </w:tc>
        <w:tc>
          <w:tcPr>
            <w:tcW w:w="2268" w:type="dxa"/>
            <w:tcBorders>
              <w:top w:val="nil"/>
              <w:left w:val="single" w:sz="4" w:space="0" w:color="FFFFFF"/>
              <w:bottom w:val="single" w:sz="4" w:space="0" w:color="FFFFFF"/>
              <w:right w:val="single" w:sz="4" w:space="0" w:color="FFFFFF"/>
            </w:tcBorders>
            <w:shd w:val="clear" w:color="auto" w:fill="005A97"/>
            <w:vAlign w:val="center"/>
            <w:hideMark/>
          </w:tcPr>
          <w:p w14:paraId="7DAA034B" w14:textId="77777777" w:rsidR="00420831" w:rsidRPr="00200223" w:rsidRDefault="00420831" w:rsidP="00E63375">
            <w:pPr>
              <w:pStyle w:val="TableHeaderrow"/>
            </w:pPr>
            <w:r w:rsidRPr="00200223">
              <w:t>Target Aquifer</w:t>
            </w:r>
          </w:p>
        </w:tc>
        <w:tc>
          <w:tcPr>
            <w:tcW w:w="1276" w:type="dxa"/>
            <w:tcBorders>
              <w:top w:val="nil"/>
              <w:left w:val="single" w:sz="4" w:space="0" w:color="FFFFFF"/>
              <w:bottom w:val="single" w:sz="4" w:space="0" w:color="FFFFFF"/>
              <w:right w:val="single" w:sz="4" w:space="0" w:color="FFFFFF"/>
            </w:tcBorders>
            <w:shd w:val="clear" w:color="auto" w:fill="005A97"/>
            <w:noWrap/>
            <w:vAlign w:val="center"/>
            <w:hideMark/>
          </w:tcPr>
          <w:p w14:paraId="7DAA034C" w14:textId="77777777" w:rsidR="00420831" w:rsidRPr="00200223" w:rsidRDefault="00420831" w:rsidP="00E63375">
            <w:pPr>
              <w:pStyle w:val="TableHeaderrow"/>
            </w:pPr>
            <w:r>
              <w:t>Bore</w:t>
            </w:r>
          </w:p>
        </w:tc>
        <w:tc>
          <w:tcPr>
            <w:tcW w:w="3827" w:type="dxa"/>
            <w:tcBorders>
              <w:top w:val="nil"/>
              <w:left w:val="single" w:sz="4" w:space="0" w:color="FFFFFF"/>
              <w:bottom w:val="single" w:sz="4" w:space="0" w:color="FFFFFF"/>
            </w:tcBorders>
            <w:shd w:val="clear" w:color="auto" w:fill="005A97"/>
            <w:vAlign w:val="center"/>
          </w:tcPr>
          <w:p w14:paraId="7DAA034D" w14:textId="77777777" w:rsidR="00420831" w:rsidRPr="00200223" w:rsidRDefault="00420831" w:rsidP="00E63375">
            <w:pPr>
              <w:pStyle w:val="TableHeaderrow"/>
            </w:pPr>
            <w:r>
              <w:t>Justification</w:t>
            </w:r>
          </w:p>
        </w:tc>
      </w:tr>
      <w:tr w:rsidR="00420831" w:rsidRPr="00200223" w14:paraId="7DAA0354" w14:textId="77777777" w:rsidTr="00C91A60">
        <w:trPr>
          <w:trHeight w:val="299"/>
        </w:trPr>
        <w:tc>
          <w:tcPr>
            <w:tcW w:w="1008" w:type="dxa"/>
            <w:tcBorders>
              <w:top w:val="single" w:sz="4" w:space="0" w:color="FFFFFF"/>
            </w:tcBorders>
            <w:vAlign w:val="center"/>
          </w:tcPr>
          <w:p w14:paraId="7DAA034F" w14:textId="77777777" w:rsidR="00420831" w:rsidRPr="00C91A60" w:rsidRDefault="00420831" w:rsidP="00433765">
            <w:pPr>
              <w:pStyle w:val="Tablesmalltext"/>
              <w:rPr>
                <w:sz w:val="18"/>
                <w:szCs w:val="18"/>
              </w:rPr>
            </w:pPr>
            <w:r w:rsidRPr="00C91A60">
              <w:rPr>
                <w:sz w:val="18"/>
                <w:szCs w:val="18"/>
              </w:rPr>
              <w:t>Portland</w:t>
            </w:r>
          </w:p>
        </w:tc>
        <w:tc>
          <w:tcPr>
            <w:tcW w:w="1275" w:type="dxa"/>
            <w:tcBorders>
              <w:top w:val="single" w:sz="4" w:space="0" w:color="FFFFFF"/>
            </w:tcBorders>
            <w:shd w:val="clear" w:color="auto" w:fill="auto"/>
            <w:noWrap/>
            <w:vAlign w:val="center"/>
            <w:hideMark/>
          </w:tcPr>
          <w:p w14:paraId="7DAA0350" w14:textId="77777777" w:rsidR="00420831" w:rsidRPr="00C91A60" w:rsidRDefault="00420831" w:rsidP="00433765">
            <w:pPr>
              <w:pStyle w:val="Tablesmalltext"/>
              <w:rPr>
                <w:sz w:val="18"/>
                <w:szCs w:val="18"/>
              </w:rPr>
            </w:pPr>
            <w:r w:rsidRPr="00C91A60">
              <w:rPr>
                <w:sz w:val="18"/>
                <w:szCs w:val="18"/>
              </w:rPr>
              <w:t>Portland</w:t>
            </w:r>
          </w:p>
        </w:tc>
        <w:tc>
          <w:tcPr>
            <w:tcW w:w="2268" w:type="dxa"/>
            <w:tcBorders>
              <w:top w:val="single" w:sz="4" w:space="0" w:color="FFFFFF"/>
            </w:tcBorders>
            <w:shd w:val="clear" w:color="auto" w:fill="auto"/>
            <w:vAlign w:val="center"/>
            <w:hideMark/>
          </w:tcPr>
          <w:p w14:paraId="7DAA0351" w14:textId="77777777" w:rsidR="00420831" w:rsidRPr="00C91A60" w:rsidRDefault="000E7B2A" w:rsidP="00433765">
            <w:pPr>
              <w:pStyle w:val="Tablesmalltext"/>
              <w:rPr>
                <w:sz w:val="18"/>
                <w:szCs w:val="18"/>
              </w:rPr>
            </w:pPr>
            <w:r w:rsidRPr="00C91A60">
              <w:rPr>
                <w:rFonts w:eastAsia="Times New Roman" w:cs="Arial"/>
                <w:color w:val="000000"/>
                <w:sz w:val="18"/>
                <w:szCs w:val="18"/>
                <w:lang w:eastAsia="en-AU"/>
              </w:rPr>
              <w:t>Lower Tertiary Aquifer (111)</w:t>
            </w:r>
          </w:p>
        </w:tc>
        <w:tc>
          <w:tcPr>
            <w:tcW w:w="1276" w:type="dxa"/>
            <w:tcBorders>
              <w:top w:val="single" w:sz="4" w:space="0" w:color="FFFFFF"/>
            </w:tcBorders>
            <w:shd w:val="clear" w:color="auto" w:fill="auto"/>
            <w:noWrap/>
            <w:vAlign w:val="center"/>
            <w:hideMark/>
          </w:tcPr>
          <w:p w14:paraId="7DAA0352" w14:textId="77777777" w:rsidR="00420831" w:rsidRPr="00C91A60" w:rsidRDefault="00420831" w:rsidP="00433765">
            <w:pPr>
              <w:pStyle w:val="Tablesmalltext"/>
              <w:rPr>
                <w:sz w:val="18"/>
                <w:szCs w:val="18"/>
              </w:rPr>
            </w:pPr>
            <w:r w:rsidRPr="00C91A60">
              <w:rPr>
                <w:sz w:val="18"/>
                <w:szCs w:val="18"/>
              </w:rPr>
              <w:t>NA</w:t>
            </w:r>
          </w:p>
        </w:tc>
        <w:tc>
          <w:tcPr>
            <w:tcW w:w="3827" w:type="dxa"/>
            <w:tcBorders>
              <w:top w:val="single" w:sz="4" w:space="0" w:color="FFFFFF"/>
            </w:tcBorders>
            <w:vAlign w:val="center"/>
          </w:tcPr>
          <w:p w14:paraId="7DAA0353" w14:textId="77777777" w:rsidR="00420831" w:rsidRPr="00C91A60" w:rsidRDefault="00420831" w:rsidP="00433765">
            <w:pPr>
              <w:pStyle w:val="Tablesmalltext"/>
              <w:rPr>
                <w:sz w:val="18"/>
                <w:szCs w:val="18"/>
              </w:rPr>
            </w:pPr>
            <w:r w:rsidRPr="00C91A60">
              <w:rPr>
                <w:sz w:val="18"/>
                <w:szCs w:val="18"/>
              </w:rPr>
              <w:t xml:space="preserve">There are no SOBs monitoring the Dilwyn Formation aquifer in this GMA with suitable condition criteria. </w:t>
            </w:r>
          </w:p>
        </w:tc>
      </w:tr>
      <w:tr w:rsidR="00420831" w:rsidRPr="00200223" w14:paraId="7DAA035A" w14:textId="77777777" w:rsidTr="00C91A60">
        <w:trPr>
          <w:trHeight w:val="299"/>
        </w:trPr>
        <w:tc>
          <w:tcPr>
            <w:tcW w:w="1008" w:type="dxa"/>
            <w:vAlign w:val="center"/>
          </w:tcPr>
          <w:p w14:paraId="7DAA0355" w14:textId="77777777" w:rsidR="00420831" w:rsidRPr="00C91A60" w:rsidRDefault="00420831" w:rsidP="00433765">
            <w:pPr>
              <w:pStyle w:val="Tablesmalltext"/>
              <w:rPr>
                <w:sz w:val="18"/>
                <w:szCs w:val="18"/>
              </w:rPr>
            </w:pPr>
            <w:r w:rsidRPr="00C91A60">
              <w:rPr>
                <w:sz w:val="18"/>
                <w:szCs w:val="18"/>
              </w:rPr>
              <w:t>Portland</w:t>
            </w:r>
          </w:p>
        </w:tc>
        <w:tc>
          <w:tcPr>
            <w:tcW w:w="1275" w:type="dxa"/>
            <w:shd w:val="clear" w:color="auto" w:fill="auto"/>
            <w:noWrap/>
            <w:vAlign w:val="center"/>
            <w:hideMark/>
          </w:tcPr>
          <w:p w14:paraId="7DAA0356" w14:textId="77777777" w:rsidR="00420831" w:rsidRPr="00C91A60" w:rsidRDefault="00420831" w:rsidP="00433765">
            <w:pPr>
              <w:pStyle w:val="Tablesmalltext"/>
              <w:rPr>
                <w:sz w:val="18"/>
                <w:szCs w:val="18"/>
              </w:rPr>
            </w:pPr>
            <w:r w:rsidRPr="00C91A60">
              <w:rPr>
                <w:sz w:val="18"/>
                <w:szCs w:val="18"/>
              </w:rPr>
              <w:t>Condah</w:t>
            </w:r>
          </w:p>
        </w:tc>
        <w:tc>
          <w:tcPr>
            <w:tcW w:w="2268" w:type="dxa"/>
            <w:shd w:val="clear" w:color="auto" w:fill="auto"/>
            <w:vAlign w:val="center"/>
            <w:hideMark/>
          </w:tcPr>
          <w:p w14:paraId="7DAA0357" w14:textId="77777777" w:rsidR="00420831" w:rsidRPr="00C91A60" w:rsidRDefault="000E7B2A" w:rsidP="00433765">
            <w:pPr>
              <w:pStyle w:val="Tablesmalltext"/>
              <w:rPr>
                <w:sz w:val="18"/>
                <w:szCs w:val="18"/>
              </w:rPr>
            </w:pPr>
            <w:r w:rsidRPr="00C91A60">
              <w:rPr>
                <w:rFonts w:eastAsia="Times New Roman" w:cs="Arial"/>
                <w:color w:val="000000"/>
                <w:sz w:val="18"/>
                <w:szCs w:val="18"/>
                <w:lang w:eastAsia="en-AU"/>
              </w:rPr>
              <w:t>Lower Mid-Tertiary Aquifer (109)</w:t>
            </w:r>
          </w:p>
        </w:tc>
        <w:tc>
          <w:tcPr>
            <w:tcW w:w="1276" w:type="dxa"/>
            <w:shd w:val="clear" w:color="auto" w:fill="auto"/>
            <w:noWrap/>
            <w:vAlign w:val="center"/>
            <w:hideMark/>
          </w:tcPr>
          <w:p w14:paraId="7DAA0358" w14:textId="77777777" w:rsidR="00420831" w:rsidRPr="00C91A60" w:rsidRDefault="00420831" w:rsidP="00433765">
            <w:pPr>
              <w:pStyle w:val="Tablesmalltext"/>
              <w:rPr>
                <w:sz w:val="18"/>
                <w:szCs w:val="18"/>
              </w:rPr>
            </w:pPr>
            <w:r w:rsidRPr="00C91A60">
              <w:rPr>
                <w:sz w:val="18"/>
                <w:szCs w:val="18"/>
              </w:rPr>
              <w:t>122677*</w:t>
            </w:r>
          </w:p>
        </w:tc>
        <w:tc>
          <w:tcPr>
            <w:tcW w:w="3827" w:type="dxa"/>
            <w:vAlign w:val="center"/>
          </w:tcPr>
          <w:p w14:paraId="7DAA0359" w14:textId="77777777" w:rsidR="00420831" w:rsidRPr="00C91A60" w:rsidRDefault="000138D4" w:rsidP="00433765">
            <w:pPr>
              <w:pStyle w:val="Tablesmalltext"/>
              <w:rPr>
                <w:sz w:val="18"/>
                <w:szCs w:val="18"/>
              </w:rPr>
            </w:pPr>
            <w:r w:rsidRPr="00C91A60">
              <w:rPr>
                <w:rFonts w:cs="Arial"/>
                <w:sz w:val="18"/>
                <w:szCs w:val="18"/>
              </w:rPr>
              <w:t>Monitors the target aquifer (Clifton Fmn) in the Condah WSPA</w:t>
            </w:r>
          </w:p>
        </w:tc>
      </w:tr>
      <w:tr w:rsidR="000E7B2A" w:rsidRPr="00200223" w14:paraId="7DAA0360" w14:textId="77777777" w:rsidTr="00C91A60">
        <w:trPr>
          <w:trHeight w:val="299"/>
        </w:trPr>
        <w:tc>
          <w:tcPr>
            <w:tcW w:w="1008" w:type="dxa"/>
            <w:vAlign w:val="center"/>
          </w:tcPr>
          <w:p w14:paraId="7DAA035B" w14:textId="77777777" w:rsidR="000E7B2A" w:rsidRPr="00C91A60" w:rsidRDefault="000E7B2A" w:rsidP="00433765">
            <w:pPr>
              <w:pStyle w:val="Tablesmalltext"/>
              <w:rPr>
                <w:sz w:val="18"/>
                <w:szCs w:val="18"/>
              </w:rPr>
            </w:pPr>
            <w:r w:rsidRPr="00C91A60">
              <w:rPr>
                <w:sz w:val="18"/>
                <w:szCs w:val="18"/>
              </w:rPr>
              <w:t>Portland</w:t>
            </w:r>
          </w:p>
        </w:tc>
        <w:tc>
          <w:tcPr>
            <w:tcW w:w="1275" w:type="dxa"/>
            <w:shd w:val="clear" w:color="auto" w:fill="auto"/>
            <w:noWrap/>
            <w:vAlign w:val="center"/>
            <w:hideMark/>
          </w:tcPr>
          <w:p w14:paraId="7DAA035C" w14:textId="77777777" w:rsidR="000E7B2A" w:rsidRPr="00C91A60" w:rsidRDefault="000E7B2A" w:rsidP="00433765">
            <w:pPr>
              <w:pStyle w:val="Tablesmalltext"/>
              <w:rPr>
                <w:sz w:val="18"/>
                <w:szCs w:val="18"/>
              </w:rPr>
            </w:pPr>
            <w:r w:rsidRPr="00C91A60">
              <w:rPr>
                <w:sz w:val="18"/>
                <w:szCs w:val="18"/>
              </w:rPr>
              <w:t>Yangery</w:t>
            </w:r>
          </w:p>
        </w:tc>
        <w:tc>
          <w:tcPr>
            <w:tcW w:w="2268" w:type="dxa"/>
            <w:shd w:val="clear" w:color="auto" w:fill="auto"/>
            <w:vAlign w:val="center"/>
            <w:hideMark/>
          </w:tcPr>
          <w:p w14:paraId="7DAA035D" w14:textId="77777777" w:rsidR="000E7B2A" w:rsidRPr="00C91A60" w:rsidRDefault="000E7B2A" w:rsidP="00433765">
            <w:pPr>
              <w:rPr>
                <w:sz w:val="18"/>
                <w:szCs w:val="18"/>
              </w:rPr>
            </w:pPr>
            <w:r w:rsidRPr="00C91A60">
              <w:rPr>
                <w:rFonts w:cs="Arial"/>
                <w:color w:val="000000"/>
                <w:sz w:val="18"/>
                <w:szCs w:val="18"/>
              </w:rPr>
              <w:t>Upper Mid-Tertiary Aquifer (107)</w:t>
            </w:r>
          </w:p>
        </w:tc>
        <w:tc>
          <w:tcPr>
            <w:tcW w:w="1276" w:type="dxa"/>
            <w:shd w:val="clear" w:color="auto" w:fill="auto"/>
            <w:noWrap/>
            <w:vAlign w:val="center"/>
            <w:hideMark/>
          </w:tcPr>
          <w:p w14:paraId="7DAA035E" w14:textId="77777777" w:rsidR="000E7B2A" w:rsidRPr="00C91A60" w:rsidRDefault="000E7B2A" w:rsidP="00433765">
            <w:pPr>
              <w:pStyle w:val="Tablesmalltext"/>
              <w:rPr>
                <w:sz w:val="18"/>
                <w:szCs w:val="18"/>
              </w:rPr>
            </w:pPr>
            <w:r w:rsidRPr="00C91A60">
              <w:rPr>
                <w:sz w:val="18"/>
                <w:szCs w:val="18"/>
              </w:rPr>
              <w:t>141308</w:t>
            </w:r>
          </w:p>
        </w:tc>
        <w:tc>
          <w:tcPr>
            <w:tcW w:w="3827" w:type="dxa"/>
            <w:vAlign w:val="center"/>
          </w:tcPr>
          <w:p w14:paraId="7DAA035F" w14:textId="77777777" w:rsidR="000E7B2A" w:rsidRPr="00C91A60" w:rsidRDefault="000E7B2A" w:rsidP="00433765">
            <w:pPr>
              <w:pStyle w:val="Tablesmalltext"/>
              <w:rPr>
                <w:sz w:val="18"/>
                <w:szCs w:val="18"/>
              </w:rPr>
            </w:pPr>
            <w:r w:rsidRPr="00C91A60">
              <w:rPr>
                <w:sz w:val="18"/>
                <w:szCs w:val="18"/>
              </w:rPr>
              <w:t xml:space="preserve">Monitors the target aquifer in the Yangery WSPA. </w:t>
            </w:r>
          </w:p>
        </w:tc>
      </w:tr>
      <w:tr w:rsidR="000E7B2A" w:rsidRPr="00200223" w14:paraId="7DAA0366" w14:textId="77777777" w:rsidTr="00C91A60">
        <w:trPr>
          <w:trHeight w:val="299"/>
        </w:trPr>
        <w:tc>
          <w:tcPr>
            <w:tcW w:w="1008" w:type="dxa"/>
            <w:vAlign w:val="center"/>
          </w:tcPr>
          <w:p w14:paraId="7DAA0361" w14:textId="77777777" w:rsidR="000E7B2A" w:rsidRPr="00C91A60" w:rsidRDefault="000E7B2A" w:rsidP="00433765">
            <w:pPr>
              <w:pStyle w:val="Tablesmalltext"/>
              <w:rPr>
                <w:sz w:val="18"/>
                <w:szCs w:val="18"/>
              </w:rPr>
            </w:pPr>
            <w:r w:rsidRPr="00C91A60">
              <w:rPr>
                <w:sz w:val="18"/>
                <w:szCs w:val="18"/>
              </w:rPr>
              <w:t>Portland</w:t>
            </w:r>
          </w:p>
        </w:tc>
        <w:tc>
          <w:tcPr>
            <w:tcW w:w="1275" w:type="dxa"/>
            <w:shd w:val="clear" w:color="auto" w:fill="auto"/>
            <w:noWrap/>
            <w:vAlign w:val="center"/>
            <w:hideMark/>
          </w:tcPr>
          <w:p w14:paraId="7DAA0362" w14:textId="77777777" w:rsidR="000E7B2A" w:rsidRPr="00C91A60" w:rsidRDefault="000E7B2A" w:rsidP="00433765">
            <w:pPr>
              <w:pStyle w:val="Tablesmalltext"/>
              <w:rPr>
                <w:sz w:val="18"/>
                <w:szCs w:val="18"/>
              </w:rPr>
            </w:pPr>
            <w:r w:rsidRPr="00C91A60">
              <w:rPr>
                <w:sz w:val="18"/>
                <w:szCs w:val="18"/>
              </w:rPr>
              <w:t>Hawkesdale</w:t>
            </w:r>
          </w:p>
        </w:tc>
        <w:tc>
          <w:tcPr>
            <w:tcW w:w="2268" w:type="dxa"/>
            <w:shd w:val="clear" w:color="auto" w:fill="auto"/>
            <w:vAlign w:val="center"/>
            <w:hideMark/>
          </w:tcPr>
          <w:p w14:paraId="7DAA0363" w14:textId="77777777" w:rsidR="000E7B2A" w:rsidRPr="00C91A60" w:rsidRDefault="000E7B2A" w:rsidP="00433765">
            <w:pPr>
              <w:rPr>
                <w:sz w:val="18"/>
                <w:szCs w:val="18"/>
              </w:rPr>
            </w:pPr>
            <w:r w:rsidRPr="00C91A60">
              <w:rPr>
                <w:rFonts w:cs="Arial"/>
                <w:color w:val="000000"/>
                <w:sz w:val="18"/>
                <w:szCs w:val="18"/>
              </w:rPr>
              <w:t>Upper Mid-Tertiary Aquifer (107)</w:t>
            </w:r>
          </w:p>
        </w:tc>
        <w:tc>
          <w:tcPr>
            <w:tcW w:w="1276" w:type="dxa"/>
            <w:shd w:val="clear" w:color="auto" w:fill="auto"/>
            <w:noWrap/>
            <w:vAlign w:val="center"/>
          </w:tcPr>
          <w:p w14:paraId="7DAA0364" w14:textId="77777777" w:rsidR="000E7B2A" w:rsidRPr="00C91A60" w:rsidRDefault="000E7B2A" w:rsidP="00433765">
            <w:pPr>
              <w:pStyle w:val="Tablesmalltext"/>
              <w:rPr>
                <w:sz w:val="18"/>
                <w:szCs w:val="18"/>
              </w:rPr>
            </w:pPr>
            <w:r w:rsidRPr="00C91A60">
              <w:rPr>
                <w:sz w:val="18"/>
                <w:szCs w:val="18"/>
              </w:rPr>
              <w:t>111524*</w:t>
            </w:r>
          </w:p>
        </w:tc>
        <w:tc>
          <w:tcPr>
            <w:tcW w:w="3827" w:type="dxa"/>
            <w:shd w:val="clear" w:color="auto" w:fill="auto"/>
            <w:vAlign w:val="center"/>
          </w:tcPr>
          <w:p w14:paraId="7DAA0365" w14:textId="77777777" w:rsidR="000E7B2A" w:rsidRPr="00C91A60" w:rsidRDefault="000E7B2A" w:rsidP="00433765">
            <w:pPr>
              <w:pStyle w:val="Tablesmalltext"/>
              <w:rPr>
                <w:sz w:val="18"/>
                <w:szCs w:val="18"/>
              </w:rPr>
            </w:pPr>
            <w:r w:rsidRPr="00C91A60">
              <w:rPr>
                <w:rFonts w:cs="Arial"/>
                <w:sz w:val="18"/>
                <w:szCs w:val="18"/>
              </w:rPr>
              <w:t>Monitors the target aquifer (PCL) in the Hawkesdale GMA</w:t>
            </w:r>
          </w:p>
        </w:tc>
      </w:tr>
      <w:tr w:rsidR="00420831" w:rsidRPr="00200223" w14:paraId="7DAA036C" w14:textId="77777777" w:rsidTr="00C91A60">
        <w:trPr>
          <w:trHeight w:val="299"/>
        </w:trPr>
        <w:tc>
          <w:tcPr>
            <w:tcW w:w="1008" w:type="dxa"/>
            <w:vAlign w:val="center"/>
          </w:tcPr>
          <w:p w14:paraId="7DAA0367" w14:textId="77777777" w:rsidR="00420831" w:rsidRPr="00C91A60" w:rsidRDefault="00420831" w:rsidP="00433765">
            <w:pPr>
              <w:pStyle w:val="Tablesmalltext"/>
              <w:rPr>
                <w:sz w:val="18"/>
                <w:szCs w:val="18"/>
              </w:rPr>
            </w:pPr>
            <w:r w:rsidRPr="00C91A60">
              <w:rPr>
                <w:sz w:val="18"/>
                <w:szCs w:val="18"/>
              </w:rPr>
              <w:t>Portland</w:t>
            </w:r>
          </w:p>
        </w:tc>
        <w:tc>
          <w:tcPr>
            <w:tcW w:w="1275" w:type="dxa"/>
            <w:shd w:val="clear" w:color="auto" w:fill="auto"/>
            <w:noWrap/>
            <w:vAlign w:val="center"/>
            <w:hideMark/>
          </w:tcPr>
          <w:p w14:paraId="7DAA0368" w14:textId="77777777" w:rsidR="00420831" w:rsidRPr="00C91A60" w:rsidRDefault="00420831" w:rsidP="00433765">
            <w:pPr>
              <w:pStyle w:val="Tablesmalltext"/>
              <w:rPr>
                <w:sz w:val="18"/>
                <w:szCs w:val="18"/>
              </w:rPr>
            </w:pPr>
            <w:r w:rsidRPr="00C91A60">
              <w:rPr>
                <w:sz w:val="18"/>
                <w:szCs w:val="18"/>
              </w:rPr>
              <w:t>Heywood</w:t>
            </w:r>
          </w:p>
        </w:tc>
        <w:tc>
          <w:tcPr>
            <w:tcW w:w="2268" w:type="dxa"/>
            <w:shd w:val="clear" w:color="auto" w:fill="auto"/>
            <w:vAlign w:val="center"/>
            <w:hideMark/>
          </w:tcPr>
          <w:p w14:paraId="7DAA0369" w14:textId="77777777" w:rsidR="00420831" w:rsidRPr="00C91A60" w:rsidRDefault="00420831" w:rsidP="00433765">
            <w:pPr>
              <w:pStyle w:val="Tablesmalltext"/>
              <w:rPr>
                <w:sz w:val="18"/>
                <w:szCs w:val="18"/>
              </w:rPr>
            </w:pPr>
            <w:r w:rsidRPr="00C91A60">
              <w:rPr>
                <w:sz w:val="18"/>
                <w:szCs w:val="18"/>
              </w:rPr>
              <w:t>Newer Volcanics, Bridgewater and Whalers Bluff Formations and the Port Campbell Limestone Aquifer. (101, 104 and 107)</w:t>
            </w:r>
          </w:p>
        </w:tc>
        <w:tc>
          <w:tcPr>
            <w:tcW w:w="1276" w:type="dxa"/>
            <w:shd w:val="clear" w:color="auto" w:fill="auto"/>
            <w:noWrap/>
            <w:vAlign w:val="center"/>
          </w:tcPr>
          <w:p w14:paraId="7DAA036A" w14:textId="77777777" w:rsidR="00420831" w:rsidRPr="00C91A60" w:rsidRDefault="00420831" w:rsidP="00433765">
            <w:pPr>
              <w:pStyle w:val="Tablesmalltext"/>
              <w:rPr>
                <w:sz w:val="18"/>
                <w:szCs w:val="18"/>
              </w:rPr>
            </w:pPr>
            <w:r w:rsidRPr="00C91A60">
              <w:rPr>
                <w:sz w:val="18"/>
                <w:szCs w:val="18"/>
              </w:rPr>
              <w:t>S9037242-1</w:t>
            </w:r>
          </w:p>
        </w:tc>
        <w:tc>
          <w:tcPr>
            <w:tcW w:w="3827" w:type="dxa"/>
            <w:vAlign w:val="center"/>
          </w:tcPr>
          <w:p w14:paraId="7DAA036B" w14:textId="3F395ED0" w:rsidR="00420831" w:rsidRPr="00C91A60" w:rsidRDefault="00420831" w:rsidP="00857ACF">
            <w:pPr>
              <w:pStyle w:val="Tablesmalltext"/>
              <w:rPr>
                <w:sz w:val="18"/>
                <w:szCs w:val="18"/>
              </w:rPr>
            </w:pPr>
            <w:r w:rsidRPr="00C91A60">
              <w:rPr>
                <w:sz w:val="18"/>
                <w:szCs w:val="18"/>
              </w:rPr>
              <w:t xml:space="preserve">Bore included to provide information for the PCL aquifer in this GMA. </w:t>
            </w:r>
          </w:p>
        </w:tc>
      </w:tr>
    </w:tbl>
    <w:p w14:paraId="7DAA036D" w14:textId="1BB43B6C" w:rsidR="000C564C" w:rsidRDefault="000C564C" w:rsidP="00BA6593">
      <w:pPr>
        <w:pStyle w:val="Caption"/>
        <w:spacing w:after="200"/>
        <w:rPr>
          <w:lang w:val="en-AU"/>
        </w:rPr>
      </w:pPr>
      <w:r w:rsidRPr="000C564C">
        <w:rPr>
          <w:lang w:val="en-AU"/>
        </w:rPr>
        <w:t xml:space="preserve">*bores have already been included in the </w:t>
      </w:r>
      <w:r w:rsidR="00857ACF">
        <w:rPr>
          <w:lang w:val="en-AU"/>
        </w:rPr>
        <w:t xml:space="preserve">monitoring </w:t>
      </w:r>
      <w:r w:rsidRPr="000C564C">
        <w:rPr>
          <w:lang w:val="en-AU"/>
        </w:rPr>
        <w:t xml:space="preserve">network based on other selection criteria </w:t>
      </w:r>
    </w:p>
    <w:p w14:paraId="7DAA036F" w14:textId="77777777" w:rsidR="000C564C" w:rsidRPr="00C91A60" w:rsidRDefault="000E7B2A" w:rsidP="00C91A60">
      <w:pPr>
        <w:pStyle w:val="figurereturn"/>
      </w:pPr>
      <w:r w:rsidRPr="000E7B2A">
        <w:drawing>
          <wp:inline distT="0" distB="0" distL="0" distR="0" wp14:anchorId="7DAA0C4B" wp14:editId="7DAA0C4C">
            <wp:extent cx="5964865" cy="4146697"/>
            <wp:effectExtent l="19050" t="19050" r="17145" b="254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Otway_PortlandGMU2.png"/>
                    <pic:cNvPicPr/>
                  </pic:nvPicPr>
                  <pic:blipFill rotWithShape="1">
                    <a:blip r:embed="rId39">
                      <a:extLst>
                        <a:ext uri="{28A0092B-C50C-407E-A947-70E740481C1C}">
                          <a14:useLocalDpi xmlns:a14="http://schemas.microsoft.com/office/drawing/2010/main" val="0"/>
                        </a:ext>
                      </a:extLst>
                    </a:blip>
                    <a:srcRect l="1564" t="2211" r="870" b="1951"/>
                    <a:stretch/>
                  </pic:blipFill>
                  <pic:spPr bwMode="auto">
                    <a:xfrm>
                      <a:off x="0" y="0"/>
                      <a:ext cx="5971132" cy="415105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DAA0370" w14:textId="1FE56700" w:rsidR="000C564C" w:rsidRDefault="006B530C" w:rsidP="00D0375F">
      <w:pPr>
        <w:pStyle w:val="Figuretitle"/>
      </w:pPr>
      <w:bookmarkStart w:id="80" w:name="_Toc420327766"/>
      <w:r w:rsidRPr="000E7B2A">
        <w:t xml:space="preserve">Figure </w:t>
      </w:r>
      <w:r w:rsidR="00B91643">
        <w:fldChar w:fldCharType="begin"/>
      </w:r>
      <w:r w:rsidR="00B91643">
        <w:instrText xml:space="preserve"> SEQ Figure \* ARABIC </w:instrText>
      </w:r>
      <w:r w:rsidR="00B91643">
        <w:fldChar w:fldCharType="separate"/>
      </w:r>
      <w:r w:rsidR="00BD60CC">
        <w:rPr>
          <w:noProof/>
        </w:rPr>
        <w:t>15</w:t>
      </w:r>
      <w:r w:rsidR="00B91643">
        <w:rPr>
          <w:noProof/>
        </w:rPr>
        <w:fldChar w:fldCharType="end"/>
      </w:r>
      <w:r w:rsidRPr="000E7B2A">
        <w:t xml:space="preserve"> </w:t>
      </w:r>
      <w:r w:rsidR="000C564C" w:rsidRPr="000E7B2A">
        <w:t xml:space="preserve">GMAs and WSPAs and targeted </w:t>
      </w:r>
      <w:r w:rsidR="00EC356C">
        <w:t>monitoring</w:t>
      </w:r>
      <w:r w:rsidR="000C564C" w:rsidRPr="000E7B2A">
        <w:t xml:space="preserve"> bores (new selected bores based on this criteria indicated in blue)</w:t>
      </w:r>
      <w:bookmarkEnd w:id="80"/>
    </w:p>
    <w:p w14:paraId="7DAA0371" w14:textId="77777777" w:rsidR="000E7B2A" w:rsidRPr="000C564C" w:rsidRDefault="000E7B2A" w:rsidP="00D0375F">
      <w:pPr>
        <w:pStyle w:val="Figuretitle"/>
      </w:pPr>
    </w:p>
    <w:p w14:paraId="7DAA0372" w14:textId="01FF579B" w:rsidR="000C564C" w:rsidRPr="000C564C" w:rsidRDefault="000C564C" w:rsidP="00FC2A0F">
      <w:pPr>
        <w:pStyle w:val="Head3xxx"/>
        <w:ind w:left="851"/>
        <w:rPr>
          <w:lang w:val="en-AU"/>
        </w:rPr>
      </w:pPr>
      <w:r w:rsidRPr="000C564C">
        <w:rPr>
          <w:lang w:val="en-AU"/>
        </w:rPr>
        <w:t xml:space="preserve">Glenelg </w:t>
      </w:r>
      <w:r w:rsidR="00E87D28">
        <w:rPr>
          <w:lang w:val="en-AU"/>
        </w:rPr>
        <w:t>Groundwater Catchment Unit</w:t>
      </w:r>
    </w:p>
    <w:p w14:paraId="7DAA0373" w14:textId="531D3300" w:rsidR="000C564C" w:rsidRDefault="000C564C" w:rsidP="000C564C">
      <w:pPr>
        <w:rPr>
          <w:lang w:val="en-AU"/>
        </w:rPr>
      </w:pPr>
      <w:r w:rsidRPr="000C564C">
        <w:rPr>
          <w:lang w:val="en-AU"/>
        </w:rPr>
        <w:t>Within the Glenelg GCU there is a single WSPA –</w:t>
      </w:r>
      <w:r w:rsidR="006B530C">
        <w:rPr>
          <w:lang w:val="en-AU"/>
        </w:rPr>
        <w:t xml:space="preserve"> </w:t>
      </w:r>
      <w:r w:rsidRPr="000C564C">
        <w:rPr>
          <w:lang w:val="en-AU"/>
        </w:rPr>
        <w:t>the Glenelg, which represents groundwater sourced from aquifers at all depths. The target aquifers in this area however are the Port Campbell Limestone and the Dilwyn Formation (SRW, 2013).  Bores identified for inclusion in</w:t>
      </w:r>
      <w:r w:rsidR="006B530C">
        <w:rPr>
          <w:lang w:val="en-AU"/>
        </w:rPr>
        <w:t xml:space="preserve"> the network are summarised in </w:t>
      </w:r>
      <w:r w:rsidR="006B530C">
        <w:rPr>
          <w:lang w:val="en-AU"/>
        </w:rPr>
        <w:fldChar w:fldCharType="begin"/>
      </w:r>
      <w:r w:rsidR="006B530C">
        <w:rPr>
          <w:lang w:val="en-AU"/>
        </w:rPr>
        <w:instrText xml:space="preserve"> REF _Ref414006211 \h </w:instrText>
      </w:r>
      <w:r w:rsidR="006B530C">
        <w:rPr>
          <w:lang w:val="en-AU"/>
        </w:rPr>
      </w:r>
      <w:r w:rsidR="006B530C">
        <w:rPr>
          <w:lang w:val="en-AU"/>
        </w:rPr>
        <w:fldChar w:fldCharType="separate"/>
      </w:r>
      <w:r w:rsidR="00BD60CC">
        <w:t xml:space="preserve">Table </w:t>
      </w:r>
      <w:r w:rsidR="00BD60CC">
        <w:rPr>
          <w:noProof/>
        </w:rPr>
        <w:t>7</w:t>
      </w:r>
      <w:r w:rsidR="006B530C">
        <w:rPr>
          <w:lang w:val="en-AU"/>
        </w:rPr>
        <w:fldChar w:fldCharType="end"/>
      </w:r>
      <w:r w:rsidR="00107D85">
        <w:rPr>
          <w:lang w:val="en-AU"/>
        </w:rPr>
        <w:t xml:space="preserve"> and shown in Figure 16.</w:t>
      </w:r>
    </w:p>
    <w:p w14:paraId="7DAA0374" w14:textId="0EA81D69" w:rsidR="000C564C" w:rsidRPr="000C564C" w:rsidRDefault="006B530C" w:rsidP="004F307F">
      <w:pPr>
        <w:pStyle w:val="Tableheading"/>
        <w:rPr>
          <w:lang w:val="en-AU"/>
        </w:rPr>
      </w:pPr>
      <w:bookmarkStart w:id="81" w:name="_Ref414006211"/>
      <w:bookmarkStart w:id="82" w:name="_Toc420320557"/>
      <w:r>
        <w:t xml:space="preserve">Table </w:t>
      </w:r>
      <w:r>
        <w:fldChar w:fldCharType="begin"/>
      </w:r>
      <w:r>
        <w:instrText xml:space="preserve"> SEQ Table \* ARABIC </w:instrText>
      </w:r>
      <w:r>
        <w:fldChar w:fldCharType="separate"/>
      </w:r>
      <w:r w:rsidR="00BD60CC">
        <w:rPr>
          <w:noProof/>
        </w:rPr>
        <w:t>7</w:t>
      </w:r>
      <w:r>
        <w:fldChar w:fldCharType="end"/>
      </w:r>
      <w:bookmarkEnd w:id="81"/>
      <w:r>
        <w:rPr>
          <w:lang w:val="en-AU"/>
        </w:rPr>
        <w:t xml:space="preserve"> </w:t>
      </w:r>
      <w:r w:rsidR="00F673E7">
        <w:rPr>
          <w:lang w:val="en-AU"/>
        </w:rPr>
        <w:t>Selected</w:t>
      </w:r>
      <w:r w:rsidR="000C564C" w:rsidRPr="000C564C">
        <w:rPr>
          <w:lang w:val="en-AU"/>
        </w:rPr>
        <w:t xml:space="preserve"> </w:t>
      </w:r>
      <w:r w:rsidR="00857ACF">
        <w:rPr>
          <w:lang w:val="en-AU"/>
        </w:rPr>
        <w:t>monitoring</w:t>
      </w:r>
      <w:r w:rsidR="000C564C" w:rsidRPr="000C564C">
        <w:rPr>
          <w:lang w:val="en-AU"/>
        </w:rPr>
        <w:t xml:space="preserve"> bores in areas of high value groundwater asset (as indicated by GMAs and WSPAs)</w:t>
      </w:r>
      <w:bookmarkEnd w:id="82"/>
      <w:r w:rsidR="000C564C" w:rsidRPr="000C564C">
        <w:rPr>
          <w:lang w:val="en-AU"/>
        </w:rPr>
        <w:t xml:space="preserve">  </w:t>
      </w:r>
    </w:p>
    <w:tbl>
      <w:tblPr>
        <w:tblW w:w="9654" w:type="dxa"/>
        <w:tblInd w:w="93"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865"/>
        <w:gridCol w:w="1226"/>
        <w:gridCol w:w="1468"/>
        <w:gridCol w:w="1276"/>
        <w:gridCol w:w="4819"/>
      </w:tblGrid>
      <w:tr w:rsidR="00720DEB" w:rsidRPr="00797652" w14:paraId="7DAA037A" w14:textId="77777777" w:rsidTr="00720DEB">
        <w:trPr>
          <w:trHeight w:val="299"/>
          <w:tblHeader/>
        </w:trPr>
        <w:tc>
          <w:tcPr>
            <w:tcW w:w="865" w:type="dxa"/>
            <w:tcBorders>
              <w:top w:val="nil"/>
              <w:right w:val="single" w:sz="4" w:space="0" w:color="FFFFFF"/>
            </w:tcBorders>
            <w:shd w:val="clear" w:color="auto" w:fill="005A97"/>
            <w:vAlign w:val="center"/>
          </w:tcPr>
          <w:p w14:paraId="7DAA0375" w14:textId="77777777" w:rsidR="005E36DC" w:rsidRPr="00797652" w:rsidRDefault="005E36DC" w:rsidP="00E63375">
            <w:pPr>
              <w:pStyle w:val="TableHeaderrow"/>
            </w:pPr>
            <w:r w:rsidRPr="00797652">
              <w:t>GCU</w:t>
            </w:r>
          </w:p>
        </w:tc>
        <w:tc>
          <w:tcPr>
            <w:tcW w:w="1226" w:type="dxa"/>
            <w:tcBorders>
              <w:top w:val="nil"/>
              <w:left w:val="single" w:sz="4" w:space="0" w:color="FFFFFF"/>
              <w:right w:val="single" w:sz="4" w:space="0" w:color="FFFFFF"/>
            </w:tcBorders>
            <w:shd w:val="clear" w:color="auto" w:fill="005A97"/>
            <w:noWrap/>
            <w:vAlign w:val="center"/>
            <w:hideMark/>
          </w:tcPr>
          <w:p w14:paraId="7DAA0376" w14:textId="77777777" w:rsidR="005E36DC" w:rsidRPr="00797652" w:rsidRDefault="005E36DC" w:rsidP="00E63375">
            <w:pPr>
              <w:pStyle w:val="TableHeaderrow"/>
            </w:pPr>
            <w:r w:rsidRPr="00797652">
              <w:t>GMA/WSPA</w:t>
            </w:r>
          </w:p>
        </w:tc>
        <w:tc>
          <w:tcPr>
            <w:tcW w:w="1468" w:type="dxa"/>
            <w:tcBorders>
              <w:top w:val="nil"/>
              <w:left w:val="single" w:sz="4" w:space="0" w:color="FFFFFF"/>
              <w:right w:val="single" w:sz="4" w:space="0" w:color="FFFFFF"/>
            </w:tcBorders>
            <w:shd w:val="clear" w:color="auto" w:fill="005A97"/>
            <w:vAlign w:val="center"/>
            <w:hideMark/>
          </w:tcPr>
          <w:p w14:paraId="7DAA0377" w14:textId="77777777" w:rsidR="005E36DC" w:rsidRPr="00797652" w:rsidRDefault="005E36DC" w:rsidP="00E63375">
            <w:pPr>
              <w:pStyle w:val="TableHeaderrow"/>
            </w:pPr>
            <w:r w:rsidRPr="00797652">
              <w:t>Target Aquifer</w:t>
            </w:r>
          </w:p>
        </w:tc>
        <w:tc>
          <w:tcPr>
            <w:tcW w:w="1276" w:type="dxa"/>
            <w:tcBorders>
              <w:top w:val="nil"/>
              <w:left w:val="single" w:sz="4" w:space="0" w:color="FFFFFF"/>
              <w:right w:val="single" w:sz="4" w:space="0" w:color="FFFFFF"/>
            </w:tcBorders>
            <w:shd w:val="clear" w:color="auto" w:fill="005A97"/>
            <w:noWrap/>
            <w:vAlign w:val="center"/>
            <w:hideMark/>
          </w:tcPr>
          <w:p w14:paraId="7DAA0378" w14:textId="77777777" w:rsidR="005E36DC" w:rsidRPr="00797652" w:rsidRDefault="005E36DC" w:rsidP="00E63375">
            <w:pPr>
              <w:pStyle w:val="TableHeaderrow"/>
            </w:pPr>
            <w:r w:rsidRPr="00797652">
              <w:t>Bore</w:t>
            </w:r>
          </w:p>
        </w:tc>
        <w:tc>
          <w:tcPr>
            <w:tcW w:w="4819" w:type="dxa"/>
            <w:tcBorders>
              <w:top w:val="nil"/>
              <w:left w:val="single" w:sz="4" w:space="0" w:color="FFFFFF"/>
            </w:tcBorders>
            <w:shd w:val="clear" w:color="auto" w:fill="005A97"/>
            <w:vAlign w:val="center"/>
          </w:tcPr>
          <w:p w14:paraId="7DAA0379" w14:textId="77777777" w:rsidR="005E36DC" w:rsidRPr="00797652" w:rsidRDefault="005E36DC" w:rsidP="00E63375">
            <w:pPr>
              <w:pStyle w:val="TableHeaderrow"/>
            </w:pPr>
            <w:r w:rsidRPr="00797652">
              <w:t>Justification</w:t>
            </w:r>
          </w:p>
        </w:tc>
      </w:tr>
      <w:tr w:rsidR="005E36DC" w:rsidRPr="00720DEB" w14:paraId="7DAA0386" w14:textId="77777777" w:rsidTr="00720DEB">
        <w:trPr>
          <w:trHeight w:val="299"/>
        </w:trPr>
        <w:tc>
          <w:tcPr>
            <w:tcW w:w="865" w:type="dxa"/>
            <w:vAlign w:val="center"/>
          </w:tcPr>
          <w:p w14:paraId="7DAA037B" w14:textId="77777777" w:rsidR="005E36DC" w:rsidRPr="00720DEB" w:rsidRDefault="005E36DC" w:rsidP="006B530C">
            <w:pPr>
              <w:pStyle w:val="Tablesmalltext"/>
              <w:rPr>
                <w:sz w:val="18"/>
                <w:szCs w:val="18"/>
              </w:rPr>
            </w:pPr>
            <w:r w:rsidRPr="00720DEB">
              <w:rPr>
                <w:sz w:val="18"/>
                <w:szCs w:val="18"/>
              </w:rPr>
              <w:t>Glenelg</w:t>
            </w:r>
          </w:p>
        </w:tc>
        <w:tc>
          <w:tcPr>
            <w:tcW w:w="1226" w:type="dxa"/>
            <w:shd w:val="clear" w:color="auto" w:fill="auto"/>
            <w:noWrap/>
            <w:vAlign w:val="center"/>
            <w:hideMark/>
          </w:tcPr>
          <w:p w14:paraId="7DAA037C" w14:textId="77777777" w:rsidR="005E36DC" w:rsidRPr="00720DEB" w:rsidRDefault="005E36DC" w:rsidP="006B530C">
            <w:pPr>
              <w:pStyle w:val="Tablesmalltext"/>
              <w:rPr>
                <w:sz w:val="18"/>
                <w:szCs w:val="18"/>
              </w:rPr>
            </w:pPr>
            <w:r w:rsidRPr="00720DEB">
              <w:rPr>
                <w:sz w:val="18"/>
                <w:szCs w:val="18"/>
              </w:rPr>
              <w:t>Glenelg</w:t>
            </w:r>
          </w:p>
        </w:tc>
        <w:tc>
          <w:tcPr>
            <w:tcW w:w="1468" w:type="dxa"/>
            <w:shd w:val="clear" w:color="auto" w:fill="auto"/>
            <w:vAlign w:val="center"/>
            <w:hideMark/>
          </w:tcPr>
          <w:p w14:paraId="7DAA037D" w14:textId="77777777" w:rsidR="005E36DC" w:rsidRPr="00720DEB" w:rsidRDefault="000E7B2A" w:rsidP="006B530C">
            <w:pPr>
              <w:pStyle w:val="Tablesmalltext"/>
              <w:rPr>
                <w:sz w:val="18"/>
                <w:szCs w:val="18"/>
              </w:rPr>
            </w:pPr>
            <w:r w:rsidRPr="00720DEB">
              <w:rPr>
                <w:rFonts w:eastAsia="Times New Roman" w:cs="Arial"/>
                <w:color w:val="000000"/>
                <w:sz w:val="18"/>
                <w:szCs w:val="18"/>
                <w:lang w:eastAsia="en-AU"/>
              </w:rPr>
              <w:t xml:space="preserve">Upper Mid-Tertiary Aquifer (107) </w:t>
            </w:r>
            <w:r w:rsidR="005E36DC" w:rsidRPr="00720DEB">
              <w:rPr>
                <w:sz w:val="18"/>
                <w:szCs w:val="18"/>
              </w:rPr>
              <w:t xml:space="preserve">and </w:t>
            </w:r>
            <w:r w:rsidRPr="00720DEB">
              <w:rPr>
                <w:rFonts w:eastAsia="Times New Roman" w:cs="Arial"/>
                <w:color w:val="000000"/>
                <w:sz w:val="18"/>
                <w:szCs w:val="18"/>
                <w:lang w:eastAsia="en-AU"/>
              </w:rPr>
              <w:t>Lower Tertiary Aquifer (111)</w:t>
            </w:r>
          </w:p>
        </w:tc>
        <w:tc>
          <w:tcPr>
            <w:tcW w:w="1276" w:type="dxa"/>
            <w:shd w:val="clear" w:color="auto" w:fill="auto"/>
            <w:noWrap/>
            <w:vAlign w:val="center"/>
            <w:hideMark/>
          </w:tcPr>
          <w:p w14:paraId="7DAA037E" w14:textId="77777777" w:rsidR="005E36DC" w:rsidRPr="00720DEB" w:rsidRDefault="005E36DC" w:rsidP="006B530C">
            <w:pPr>
              <w:pStyle w:val="Tablesmalltext"/>
              <w:rPr>
                <w:sz w:val="18"/>
                <w:szCs w:val="18"/>
              </w:rPr>
            </w:pPr>
            <w:r w:rsidRPr="00720DEB">
              <w:rPr>
                <w:sz w:val="18"/>
                <w:szCs w:val="18"/>
              </w:rPr>
              <w:t>83446*</w:t>
            </w:r>
          </w:p>
          <w:p w14:paraId="7DAA037F" w14:textId="77777777" w:rsidR="005E36DC" w:rsidRPr="00720DEB" w:rsidRDefault="005E36DC" w:rsidP="006B530C">
            <w:pPr>
              <w:pStyle w:val="Tablesmalltext"/>
              <w:rPr>
                <w:sz w:val="18"/>
                <w:szCs w:val="18"/>
              </w:rPr>
            </w:pPr>
            <w:r w:rsidRPr="00720DEB">
              <w:rPr>
                <w:sz w:val="18"/>
                <w:szCs w:val="18"/>
              </w:rPr>
              <w:t>83447*</w:t>
            </w:r>
          </w:p>
          <w:p w14:paraId="7DAA0380" w14:textId="77777777" w:rsidR="005E36DC" w:rsidRPr="00720DEB" w:rsidRDefault="005E36DC" w:rsidP="006B530C">
            <w:pPr>
              <w:pStyle w:val="Tablesmalltext"/>
              <w:rPr>
                <w:sz w:val="18"/>
                <w:szCs w:val="18"/>
              </w:rPr>
            </w:pPr>
            <w:r w:rsidRPr="00720DEB">
              <w:rPr>
                <w:sz w:val="18"/>
                <w:szCs w:val="18"/>
              </w:rPr>
              <w:t>102621*</w:t>
            </w:r>
          </w:p>
          <w:p w14:paraId="7DAA0381" w14:textId="77777777" w:rsidR="005E36DC" w:rsidRPr="00720DEB" w:rsidRDefault="005E36DC" w:rsidP="006B530C">
            <w:pPr>
              <w:pStyle w:val="Tablesmalltext"/>
              <w:rPr>
                <w:sz w:val="18"/>
                <w:szCs w:val="18"/>
              </w:rPr>
            </w:pPr>
            <w:r w:rsidRPr="00720DEB">
              <w:rPr>
                <w:sz w:val="18"/>
                <w:szCs w:val="18"/>
              </w:rPr>
              <w:t>83729*</w:t>
            </w:r>
          </w:p>
        </w:tc>
        <w:tc>
          <w:tcPr>
            <w:tcW w:w="4819" w:type="dxa"/>
            <w:vAlign w:val="center"/>
          </w:tcPr>
          <w:p w14:paraId="7DAA0382" w14:textId="77777777" w:rsidR="00FC28A0" w:rsidRPr="00720DEB" w:rsidRDefault="00FC28A0" w:rsidP="00BA6593">
            <w:pPr>
              <w:pStyle w:val="Para0bullet"/>
              <w:numPr>
                <w:ilvl w:val="0"/>
                <w:numId w:val="20"/>
              </w:numPr>
              <w:tabs>
                <w:tab w:val="clear" w:pos="426"/>
                <w:tab w:val="left" w:pos="317"/>
              </w:tabs>
              <w:spacing w:after="60" w:line="200" w:lineRule="atLeast"/>
              <w:ind w:left="317"/>
              <w:rPr>
                <w:spacing w:val="-2"/>
                <w:sz w:val="18"/>
                <w:szCs w:val="18"/>
              </w:rPr>
            </w:pPr>
            <w:r w:rsidRPr="00720DEB">
              <w:rPr>
                <w:spacing w:val="-2"/>
                <w:sz w:val="18"/>
                <w:szCs w:val="18"/>
              </w:rPr>
              <w:t>Monitors the target aquifer (Dilwyn) in the Glenelg WSPA</w:t>
            </w:r>
          </w:p>
          <w:p w14:paraId="7DAA0383" w14:textId="77777777" w:rsidR="00FC28A0" w:rsidRPr="00720DEB" w:rsidRDefault="00FC28A0" w:rsidP="00BA6593">
            <w:pPr>
              <w:pStyle w:val="Para0bullet"/>
              <w:numPr>
                <w:ilvl w:val="0"/>
                <w:numId w:val="20"/>
              </w:numPr>
              <w:tabs>
                <w:tab w:val="clear" w:pos="426"/>
                <w:tab w:val="left" w:pos="317"/>
              </w:tabs>
              <w:spacing w:after="60" w:line="200" w:lineRule="atLeast"/>
              <w:ind w:left="317"/>
              <w:rPr>
                <w:spacing w:val="-2"/>
                <w:sz w:val="18"/>
                <w:szCs w:val="18"/>
              </w:rPr>
            </w:pPr>
            <w:r w:rsidRPr="00720DEB">
              <w:rPr>
                <w:spacing w:val="-2"/>
                <w:sz w:val="18"/>
                <w:szCs w:val="18"/>
              </w:rPr>
              <w:t xml:space="preserve">Monitors the target aquifer (PCL) in the Glenelg WSPA </w:t>
            </w:r>
          </w:p>
          <w:p w14:paraId="7DAA0384" w14:textId="77777777" w:rsidR="00FC28A0" w:rsidRPr="00720DEB" w:rsidRDefault="00A523BA" w:rsidP="00BA6593">
            <w:pPr>
              <w:pStyle w:val="Para0bullet"/>
              <w:numPr>
                <w:ilvl w:val="0"/>
                <w:numId w:val="20"/>
              </w:numPr>
              <w:tabs>
                <w:tab w:val="clear" w:pos="426"/>
                <w:tab w:val="left" w:pos="317"/>
              </w:tabs>
              <w:spacing w:after="60" w:line="200" w:lineRule="atLeast"/>
              <w:ind w:left="317"/>
              <w:rPr>
                <w:spacing w:val="-2"/>
                <w:sz w:val="18"/>
                <w:szCs w:val="18"/>
              </w:rPr>
            </w:pPr>
            <w:r w:rsidRPr="00720DEB">
              <w:rPr>
                <w:spacing w:val="-2"/>
                <w:sz w:val="18"/>
                <w:szCs w:val="18"/>
              </w:rPr>
              <w:t>Monitors the target aquifer (PCL) in the Glenelg WSPA</w:t>
            </w:r>
          </w:p>
          <w:p w14:paraId="7DAA0385" w14:textId="77777777" w:rsidR="005E36DC" w:rsidRPr="00720DEB" w:rsidRDefault="00A523BA" w:rsidP="00BA6593">
            <w:pPr>
              <w:pStyle w:val="Para0bullet"/>
              <w:numPr>
                <w:ilvl w:val="0"/>
                <w:numId w:val="20"/>
              </w:numPr>
              <w:tabs>
                <w:tab w:val="clear" w:pos="426"/>
                <w:tab w:val="left" w:pos="317"/>
              </w:tabs>
              <w:spacing w:after="60" w:line="200" w:lineRule="atLeast"/>
              <w:ind w:left="317"/>
              <w:rPr>
                <w:sz w:val="18"/>
                <w:szCs w:val="18"/>
              </w:rPr>
            </w:pPr>
            <w:r w:rsidRPr="00720DEB">
              <w:rPr>
                <w:spacing w:val="-2"/>
                <w:sz w:val="18"/>
                <w:szCs w:val="18"/>
              </w:rPr>
              <w:t>Monitors the target aquifer (PCL) in the Glenelg WSPA</w:t>
            </w:r>
          </w:p>
        </w:tc>
      </w:tr>
      <w:tr w:rsidR="005E36DC" w:rsidRPr="00720DEB" w14:paraId="7DAA038D" w14:textId="77777777" w:rsidTr="00720DEB">
        <w:trPr>
          <w:trHeight w:val="299"/>
        </w:trPr>
        <w:tc>
          <w:tcPr>
            <w:tcW w:w="865" w:type="dxa"/>
            <w:vAlign w:val="center"/>
          </w:tcPr>
          <w:p w14:paraId="7DAA0387" w14:textId="77777777" w:rsidR="005E36DC" w:rsidRPr="00720DEB" w:rsidRDefault="005E36DC" w:rsidP="006B530C">
            <w:pPr>
              <w:pStyle w:val="Tablesmalltext"/>
              <w:rPr>
                <w:sz w:val="18"/>
                <w:szCs w:val="18"/>
              </w:rPr>
            </w:pPr>
            <w:r w:rsidRPr="00720DEB">
              <w:rPr>
                <w:sz w:val="18"/>
                <w:szCs w:val="18"/>
              </w:rPr>
              <w:t>Glenelg</w:t>
            </w:r>
          </w:p>
        </w:tc>
        <w:tc>
          <w:tcPr>
            <w:tcW w:w="1226" w:type="dxa"/>
            <w:shd w:val="clear" w:color="auto" w:fill="auto"/>
            <w:noWrap/>
            <w:vAlign w:val="center"/>
            <w:hideMark/>
          </w:tcPr>
          <w:p w14:paraId="7DAA0388" w14:textId="77777777" w:rsidR="005E36DC" w:rsidRPr="00720DEB" w:rsidRDefault="005E36DC" w:rsidP="006B530C">
            <w:pPr>
              <w:pStyle w:val="Tablesmalltext"/>
              <w:rPr>
                <w:sz w:val="18"/>
                <w:szCs w:val="18"/>
              </w:rPr>
            </w:pPr>
            <w:r w:rsidRPr="00720DEB">
              <w:rPr>
                <w:sz w:val="18"/>
                <w:szCs w:val="18"/>
              </w:rPr>
              <w:t>Glenelg</w:t>
            </w:r>
          </w:p>
        </w:tc>
        <w:tc>
          <w:tcPr>
            <w:tcW w:w="1468" w:type="dxa"/>
            <w:shd w:val="clear" w:color="auto" w:fill="auto"/>
            <w:vAlign w:val="center"/>
            <w:hideMark/>
          </w:tcPr>
          <w:p w14:paraId="7DAA0389" w14:textId="77777777" w:rsidR="005E36DC" w:rsidRPr="00720DEB" w:rsidRDefault="00433765" w:rsidP="006B530C">
            <w:pPr>
              <w:pStyle w:val="Tablesmalltext"/>
              <w:rPr>
                <w:sz w:val="18"/>
                <w:szCs w:val="18"/>
              </w:rPr>
            </w:pPr>
            <w:r w:rsidRPr="00720DEB">
              <w:rPr>
                <w:rFonts w:eastAsia="Times New Roman" w:cs="Arial"/>
                <w:color w:val="000000"/>
                <w:sz w:val="18"/>
                <w:szCs w:val="18"/>
                <w:lang w:eastAsia="en-AU"/>
              </w:rPr>
              <w:t>Quaternary Aquifer (100</w:t>
            </w:r>
            <w:r w:rsidR="000E7B2A" w:rsidRPr="00720DEB">
              <w:rPr>
                <w:rFonts w:eastAsia="Times New Roman" w:cs="Arial"/>
                <w:color w:val="000000"/>
                <w:sz w:val="18"/>
                <w:szCs w:val="18"/>
                <w:lang w:eastAsia="en-AU"/>
              </w:rPr>
              <w:t xml:space="preserve">) </w:t>
            </w:r>
            <w:r w:rsidR="000E7B2A" w:rsidRPr="00720DEB">
              <w:rPr>
                <w:sz w:val="18"/>
                <w:szCs w:val="18"/>
              </w:rPr>
              <w:t xml:space="preserve">and </w:t>
            </w:r>
            <w:r w:rsidR="000E7B2A" w:rsidRPr="00720DEB">
              <w:rPr>
                <w:rFonts w:eastAsia="Times New Roman" w:cs="Arial"/>
                <w:color w:val="000000"/>
                <w:sz w:val="18"/>
                <w:szCs w:val="18"/>
                <w:lang w:eastAsia="en-AU"/>
              </w:rPr>
              <w:t>Lower Tertiary Aquifer (111)</w:t>
            </w:r>
          </w:p>
        </w:tc>
        <w:tc>
          <w:tcPr>
            <w:tcW w:w="1276" w:type="dxa"/>
            <w:shd w:val="clear" w:color="auto" w:fill="auto"/>
            <w:noWrap/>
            <w:vAlign w:val="center"/>
            <w:hideMark/>
          </w:tcPr>
          <w:p w14:paraId="7DAA038A" w14:textId="77777777" w:rsidR="005E36DC" w:rsidRPr="00720DEB" w:rsidRDefault="005E36DC" w:rsidP="006B530C">
            <w:pPr>
              <w:pStyle w:val="Tablesmalltext"/>
              <w:rPr>
                <w:sz w:val="18"/>
                <w:szCs w:val="18"/>
              </w:rPr>
            </w:pPr>
            <w:r w:rsidRPr="00720DEB">
              <w:rPr>
                <w:sz w:val="18"/>
                <w:szCs w:val="18"/>
              </w:rPr>
              <w:t>82347 (111)</w:t>
            </w:r>
          </w:p>
          <w:p w14:paraId="7DAA038B" w14:textId="77777777" w:rsidR="005E36DC" w:rsidRPr="00720DEB" w:rsidRDefault="005E36DC" w:rsidP="006B530C">
            <w:pPr>
              <w:pStyle w:val="Tablesmalltext"/>
              <w:rPr>
                <w:sz w:val="18"/>
                <w:szCs w:val="18"/>
              </w:rPr>
            </w:pPr>
            <w:r w:rsidRPr="00720DEB">
              <w:rPr>
                <w:sz w:val="18"/>
                <w:szCs w:val="18"/>
              </w:rPr>
              <w:t>S61557-4 (100)</w:t>
            </w:r>
          </w:p>
        </w:tc>
        <w:tc>
          <w:tcPr>
            <w:tcW w:w="4819" w:type="dxa"/>
            <w:vAlign w:val="center"/>
          </w:tcPr>
          <w:p w14:paraId="7DAA038C" w14:textId="77777777" w:rsidR="005E36DC" w:rsidRPr="00720DEB" w:rsidRDefault="005E36DC" w:rsidP="006B530C">
            <w:pPr>
              <w:pStyle w:val="Tablesmalltext"/>
              <w:rPr>
                <w:sz w:val="18"/>
                <w:szCs w:val="18"/>
              </w:rPr>
            </w:pPr>
            <w:r w:rsidRPr="00720DEB">
              <w:rPr>
                <w:sz w:val="18"/>
                <w:szCs w:val="18"/>
              </w:rPr>
              <w:t xml:space="preserve">Bores will monitor the Dilwyn Formation Aquifer and the watertable aquifer and will inform groundwater chemistry of multiple aquifers at one site and allow for interpretation of potential mixing. </w:t>
            </w:r>
          </w:p>
        </w:tc>
      </w:tr>
    </w:tbl>
    <w:p w14:paraId="7DAA038E" w14:textId="2143775F" w:rsidR="000C564C" w:rsidRDefault="000C564C" w:rsidP="00BA6593">
      <w:pPr>
        <w:pStyle w:val="Caption"/>
        <w:spacing w:after="200"/>
        <w:rPr>
          <w:lang w:val="en-AU"/>
        </w:rPr>
      </w:pPr>
      <w:r w:rsidRPr="000C564C">
        <w:rPr>
          <w:lang w:val="en-AU"/>
        </w:rPr>
        <w:t xml:space="preserve">*bores have already been included in the </w:t>
      </w:r>
      <w:r w:rsidR="00857ACF">
        <w:rPr>
          <w:lang w:val="en-AU"/>
        </w:rPr>
        <w:t xml:space="preserve">monitoring </w:t>
      </w:r>
      <w:r w:rsidRPr="000C564C">
        <w:rPr>
          <w:lang w:val="en-AU"/>
        </w:rPr>
        <w:t xml:space="preserve">network based on other selection criteria </w:t>
      </w:r>
    </w:p>
    <w:p w14:paraId="7DAA0390" w14:textId="154FF127" w:rsidR="000C564C" w:rsidRPr="000C564C" w:rsidRDefault="0084308A" w:rsidP="00720DEB">
      <w:pPr>
        <w:pStyle w:val="figurereturn"/>
      </w:pPr>
      <w:r>
        <w:drawing>
          <wp:inline distT="0" distB="0" distL="0" distR="0" wp14:anchorId="3C3D07CE" wp14:editId="6E051159">
            <wp:extent cx="6120130" cy="4156609"/>
            <wp:effectExtent l="19050" t="19050" r="13970" b="15875"/>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4156609"/>
                    </a:xfrm>
                    <a:prstGeom prst="rect">
                      <a:avLst/>
                    </a:prstGeom>
                    <a:noFill/>
                    <a:ln>
                      <a:solidFill>
                        <a:schemeClr val="accent1"/>
                      </a:solidFill>
                    </a:ln>
                  </pic:spPr>
                </pic:pic>
              </a:graphicData>
            </a:graphic>
          </wp:inline>
        </w:drawing>
      </w:r>
    </w:p>
    <w:p w14:paraId="7DAA0392" w14:textId="5E173D8F" w:rsidR="00433765" w:rsidRPr="00BA6593" w:rsidRDefault="006B530C" w:rsidP="00D0375F">
      <w:pPr>
        <w:pStyle w:val="Figuretitle"/>
      </w:pPr>
      <w:bookmarkStart w:id="83" w:name="_Toc420327767"/>
      <w:r w:rsidRPr="00433765">
        <w:t xml:space="preserve">Figure </w:t>
      </w:r>
      <w:r w:rsidR="00B91643">
        <w:fldChar w:fldCharType="begin"/>
      </w:r>
      <w:r w:rsidR="00B91643">
        <w:instrText xml:space="preserve"> SEQ Figure \* ARABIC </w:instrText>
      </w:r>
      <w:r w:rsidR="00B91643">
        <w:fldChar w:fldCharType="separate"/>
      </w:r>
      <w:r w:rsidR="00BD60CC">
        <w:rPr>
          <w:noProof/>
        </w:rPr>
        <w:t>16</w:t>
      </w:r>
      <w:r w:rsidR="00B91643">
        <w:rPr>
          <w:noProof/>
        </w:rPr>
        <w:fldChar w:fldCharType="end"/>
      </w:r>
      <w:r w:rsidRPr="00433765">
        <w:t xml:space="preserve"> </w:t>
      </w:r>
      <w:r w:rsidR="000C564C" w:rsidRPr="00433765">
        <w:t xml:space="preserve">GMAs and WSPAs and targeted </w:t>
      </w:r>
      <w:r w:rsidR="00EC356C">
        <w:t>monitoring</w:t>
      </w:r>
      <w:r w:rsidR="000C564C" w:rsidRPr="00433765">
        <w:t xml:space="preserve"> bores (new selected bores based on this criteria indicated in blue)</w:t>
      </w:r>
      <w:bookmarkEnd w:id="83"/>
      <w:r w:rsidR="000C564C" w:rsidRPr="000C564C">
        <w:t xml:space="preserve"> </w:t>
      </w:r>
    </w:p>
    <w:p w14:paraId="7DAA0393" w14:textId="44A9D81F" w:rsidR="000C564C" w:rsidRPr="000C564C" w:rsidRDefault="00107D85" w:rsidP="005E36DC">
      <w:pPr>
        <w:pStyle w:val="Head2xx"/>
      </w:pPr>
      <w:bookmarkStart w:id="84" w:name="_Toc420327724"/>
      <w:r>
        <w:t>Naturally o</w:t>
      </w:r>
      <w:r w:rsidR="000C564C" w:rsidRPr="000C564C">
        <w:t xml:space="preserve">ccurring </w:t>
      </w:r>
      <w:r>
        <w:t>h</w:t>
      </w:r>
      <w:r w:rsidR="000C564C" w:rsidRPr="000C564C">
        <w:t xml:space="preserve">ydrocarbon </w:t>
      </w:r>
      <w:r>
        <w:t>s</w:t>
      </w:r>
      <w:r w:rsidR="000C564C" w:rsidRPr="000C564C">
        <w:t>ites and potential vertical migration</w:t>
      </w:r>
      <w:bookmarkEnd w:id="84"/>
    </w:p>
    <w:p w14:paraId="7DAA0394" w14:textId="323904F2" w:rsidR="007C7C94" w:rsidRDefault="000C564C">
      <w:pPr>
        <w:rPr>
          <w:rFonts w:cs="Arial"/>
          <w:bCs/>
          <w:color w:val="005A97"/>
          <w:sz w:val="26"/>
          <w:szCs w:val="26"/>
        </w:rPr>
      </w:pPr>
      <w:r w:rsidRPr="000C564C">
        <w:rPr>
          <w:lang w:val="en-AU"/>
        </w:rPr>
        <w:t xml:space="preserve">The monitoring program </w:t>
      </w:r>
      <w:r w:rsidR="006F0A17">
        <w:rPr>
          <w:lang w:val="en-AU"/>
        </w:rPr>
        <w:t>aimed to</w:t>
      </w:r>
      <w:r w:rsidRPr="000C564C">
        <w:rPr>
          <w:lang w:val="en-AU"/>
        </w:rPr>
        <w:t xml:space="preserve"> target observation bores in the locations identified in the literature review as areas of naturally occurring hydrocarbon presence and also areas where the overlying aquitards are thin and there is an increased risk of vertical migration of hydrocarbons. </w:t>
      </w:r>
      <w:r w:rsidR="00107D85" w:rsidRPr="000C564C">
        <w:rPr>
          <w:lang w:val="en-AU"/>
        </w:rPr>
        <w:t>Bores identified for inclusion in</w:t>
      </w:r>
      <w:r w:rsidR="00107D85">
        <w:rPr>
          <w:lang w:val="en-AU"/>
        </w:rPr>
        <w:t xml:space="preserve"> the network are summarised in </w:t>
      </w:r>
      <w:r w:rsidR="007C1677">
        <w:rPr>
          <w:lang w:val="en-AU"/>
        </w:rPr>
        <w:t>Table 8</w:t>
      </w:r>
      <w:r w:rsidR="00107D85">
        <w:rPr>
          <w:lang w:val="en-AU"/>
        </w:rPr>
        <w:t xml:space="preserve"> and shown in Figure 17.</w:t>
      </w:r>
    </w:p>
    <w:p w14:paraId="7DAA0395" w14:textId="77777777" w:rsidR="000C564C" w:rsidRPr="000C564C" w:rsidRDefault="006B530C" w:rsidP="004F307F">
      <w:pPr>
        <w:pStyle w:val="Tableheading"/>
        <w:rPr>
          <w:lang w:val="en-AU"/>
        </w:rPr>
      </w:pPr>
      <w:bookmarkStart w:id="85" w:name="_Toc420320558"/>
      <w:r>
        <w:t xml:space="preserve">Table </w:t>
      </w:r>
      <w:r>
        <w:fldChar w:fldCharType="begin"/>
      </w:r>
      <w:r>
        <w:instrText xml:space="preserve"> SEQ Table \* ARABIC </w:instrText>
      </w:r>
      <w:r>
        <w:fldChar w:fldCharType="separate"/>
      </w:r>
      <w:r w:rsidR="00BD60CC">
        <w:rPr>
          <w:noProof/>
        </w:rPr>
        <w:t>8</w:t>
      </w:r>
      <w:r>
        <w:fldChar w:fldCharType="end"/>
      </w:r>
      <w:r w:rsidR="000C564C" w:rsidRPr="000C564C">
        <w:rPr>
          <w:lang w:val="en-AU"/>
        </w:rPr>
        <w:t xml:space="preserve"> Summary of intersection between areas identified as potential hydrocarbon occurrenc</w:t>
      </w:r>
      <w:r w:rsidR="00F673E7">
        <w:rPr>
          <w:lang w:val="en-AU"/>
        </w:rPr>
        <w:t>e and selected</w:t>
      </w:r>
      <w:r w:rsidR="005E36DC">
        <w:rPr>
          <w:lang w:val="en-AU"/>
        </w:rPr>
        <w:t xml:space="preserve"> monitoring bores</w:t>
      </w:r>
      <w:bookmarkEnd w:id="85"/>
    </w:p>
    <w:tbl>
      <w:tblPr>
        <w:tblW w:w="9874" w:type="dxa"/>
        <w:tblInd w:w="78" w:type="dxa"/>
        <w:tblBorders>
          <w:bottom w:val="single" w:sz="4" w:space="0" w:color="005A97"/>
          <w:insideH w:val="single" w:sz="4" w:space="0" w:color="005A97"/>
          <w:insideV w:val="single" w:sz="4" w:space="0" w:color="005A97"/>
        </w:tblBorders>
        <w:tblLayout w:type="fixed"/>
        <w:tblLook w:val="0000" w:firstRow="0" w:lastRow="0" w:firstColumn="0" w:lastColumn="0" w:noHBand="0" w:noVBand="0"/>
      </w:tblPr>
      <w:tblGrid>
        <w:gridCol w:w="3149"/>
        <w:gridCol w:w="1276"/>
        <w:gridCol w:w="5449"/>
      </w:tblGrid>
      <w:tr w:rsidR="005E36DC" w:rsidRPr="003C57B5" w14:paraId="7DAA0399" w14:textId="77777777" w:rsidTr="00720DEB">
        <w:trPr>
          <w:trHeight w:val="228"/>
          <w:tblHeader/>
        </w:trPr>
        <w:tc>
          <w:tcPr>
            <w:tcW w:w="3149" w:type="dxa"/>
            <w:tcBorders>
              <w:top w:val="nil"/>
              <w:right w:val="single" w:sz="4" w:space="0" w:color="FFFFFF"/>
            </w:tcBorders>
            <w:shd w:val="clear" w:color="auto" w:fill="005A97"/>
          </w:tcPr>
          <w:p w14:paraId="7DAA0396" w14:textId="77777777" w:rsidR="005E36DC" w:rsidRPr="003C57B5" w:rsidRDefault="005E36DC" w:rsidP="00E63375">
            <w:pPr>
              <w:pStyle w:val="TableHeaderrow"/>
            </w:pPr>
            <w:r w:rsidRPr="003C57B5">
              <w:t>Area</w:t>
            </w:r>
          </w:p>
        </w:tc>
        <w:tc>
          <w:tcPr>
            <w:tcW w:w="1276" w:type="dxa"/>
            <w:tcBorders>
              <w:top w:val="nil"/>
              <w:left w:val="single" w:sz="4" w:space="0" w:color="FFFFFF"/>
              <w:right w:val="single" w:sz="4" w:space="0" w:color="FFFFFF"/>
            </w:tcBorders>
            <w:shd w:val="clear" w:color="auto" w:fill="005A97"/>
          </w:tcPr>
          <w:p w14:paraId="7DAA0397" w14:textId="77777777" w:rsidR="005E36DC" w:rsidRPr="003C57B5" w:rsidRDefault="005E36DC" w:rsidP="00E63375">
            <w:pPr>
              <w:pStyle w:val="TableHeaderrow"/>
            </w:pPr>
            <w:r w:rsidRPr="003C57B5">
              <w:t>Bore</w:t>
            </w:r>
          </w:p>
        </w:tc>
        <w:tc>
          <w:tcPr>
            <w:tcW w:w="5449" w:type="dxa"/>
            <w:tcBorders>
              <w:top w:val="nil"/>
              <w:left w:val="single" w:sz="4" w:space="0" w:color="FFFFFF"/>
            </w:tcBorders>
            <w:shd w:val="clear" w:color="auto" w:fill="005A97"/>
          </w:tcPr>
          <w:p w14:paraId="7DAA0398" w14:textId="77777777" w:rsidR="005E36DC" w:rsidRPr="003C57B5" w:rsidRDefault="005E36DC" w:rsidP="00E63375">
            <w:pPr>
              <w:pStyle w:val="TableHeaderrow"/>
            </w:pPr>
            <w:r w:rsidRPr="003C57B5">
              <w:t xml:space="preserve">Justification </w:t>
            </w:r>
          </w:p>
        </w:tc>
      </w:tr>
      <w:tr w:rsidR="005E36DC" w:rsidRPr="003C57B5" w14:paraId="7DAA039E" w14:textId="77777777" w:rsidTr="00720DEB">
        <w:trPr>
          <w:trHeight w:val="228"/>
        </w:trPr>
        <w:tc>
          <w:tcPr>
            <w:tcW w:w="3149" w:type="dxa"/>
          </w:tcPr>
          <w:p w14:paraId="7DAA039A" w14:textId="77777777" w:rsidR="005E36DC" w:rsidRPr="00720DEB" w:rsidRDefault="005E36DC" w:rsidP="006B530C">
            <w:pPr>
              <w:pStyle w:val="Tablesmalltext"/>
              <w:rPr>
                <w:sz w:val="18"/>
                <w:szCs w:val="18"/>
              </w:rPr>
            </w:pPr>
            <w:r w:rsidRPr="00720DEB">
              <w:rPr>
                <w:sz w:val="18"/>
                <w:szCs w:val="18"/>
              </w:rPr>
              <w:t>The Cretaceous aged sediments of the Sherbrook Group (113) in the Port Campbell Embayment</w:t>
            </w:r>
          </w:p>
        </w:tc>
        <w:tc>
          <w:tcPr>
            <w:tcW w:w="1276" w:type="dxa"/>
          </w:tcPr>
          <w:p w14:paraId="7DAA039B" w14:textId="77777777" w:rsidR="005E36DC" w:rsidRPr="00720DEB" w:rsidRDefault="005E36DC" w:rsidP="006B530C">
            <w:pPr>
              <w:pStyle w:val="Tablesmalltext"/>
              <w:rPr>
                <w:sz w:val="18"/>
                <w:szCs w:val="18"/>
              </w:rPr>
            </w:pPr>
            <w:r w:rsidRPr="00720DEB">
              <w:rPr>
                <w:sz w:val="18"/>
                <w:szCs w:val="18"/>
              </w:rPr>
              <w:t>115872*</w:t>
            </w:r>
          </w:p>
          <w:p w14:paraId="7DAA039C" w14:textId="77777777" w:rsidR="005E36DC" w:rsidRPr="00720DEB" w:rsidRDefault="005E36DC" w:rsidP="006B530C">
            <w:pPr>
              <w:pStyle w:val="Tablesmalltext"/>
              <w:rPr>
                <w:sz w:val="18"/>
                <w:szCs w:val="18"/>
              </w:rPr>
            </w:pPr>
            <w:r w:rsidRPr="00720DEB">
              <w:rPr>
                <w:sz w:val="18"/>
                <w:szCs w:val="18"/>
              </w:rPr>
              <w:t>113467*</w:t>
            </w:r>
          </w:p>
        </w:tc>
        <w:tc>
          <w:tcPr>
            <w:tcW w:w="5449" w:type="dxa"/>
          </w:tcPr>
          <w:p w14:paraId="7DAA039D" w14:textId="77777777" w:rsidR="005E36DC" w:rsidRPr="00720DEB" w:rsidRDefault="005E36DC" w:rsidP="006B530C">
            <w:pPr>
              <w:pStyle w:val="Tablesmalltext"/>
              <w:rPr>
                <w:sz w:val="18"/>
                <w:szCs w:val="18"/>
              </w:rPr>
            </w:pPr>
            <w:r w:rsidRPr="00720DEB">
              <w:rPr>
                <w:sz w:val="18"/>
                <w:szCs w:val="18"/>
              </w:rPr>
              <w:t xml:space="preserve">There are no SOBs monitoring the 113 aquifer. Two bores overlying this formation (i.e. the 111 aquifer) have already been included in the program. </w:t>
            </w:r>
          </w:p>
        </w:tc>
      </w:tr>
      <w:tr w:rsidR="005E36DC" w:rsidRPr="003C57B5" w14:paraId="7DAA03A3" w14:textId="77777777" w:rsidTr="00720DEB">
        <w:trPr>
          <w:trHeight w:val="703"/>
        </w:trPr>
        <w:tc>
          <w:tcPr>
            <w:tcW w:w="3149" w:type="dxa"/>
          </w:tcPr>
          <w:p w14:paraId="7DAA039F" w14:textId="77777777" w:rsidR="005E36DC" w:rsidRPr="00720DEB" w:rsidRDefault="005E36DC" w:rsidP="006B530C">
            <w:pPr>
              <w:pStyle w:val="Tablesmalltext"/>
              <w:rPr>
                <w:sz w:val="18"/>
                <w:szCs w:val="18"/>
              </w:rPr>
            </w:pPr>
            <w:r w:rsidRPr="00720DEB">
              <w:rPr>
                <w:sz w:val="18"/>
                <w:szCs w:val="18"/>
              </w:rPr>
              <w:t xml:space="preserve">The Wangerrip Group (111) in the Port Campbell Embayment with particular hot spots in the Port Campbell area </w:t>
            </w:r>
          </w:p>
        </w:tc>
        <w:tc>
          <w:tcPr>
            <w:tcW w:w="1276" w:type="dxa"/>
          </w:tcPr>
          <w:p w14:paraId="7DAA03A0" w14:textId="77777777" w:rsidR="005E36DC" w:rsidRPr="00720DEB" w:rsidRDefault="005E36DC" w:rsidP="006B530C">
            <w:pPr>
              <w:pStyle w:val="Tablesmalltext"/>
              <w:rPr>
                <w:sz w:val="18"/>
                <w:szCs w:val="18"/>
              </w:rPr>
            </w:pPr>
            <w:r w:rsidRPr="00720DEB">
              <w:rPr>
                <w:sz w:val="18"/>
                <w:szCs w:val="18"/>
              </w:rPr>
              <w:t>115872*</w:t>
            </w:r>
          </w:p>
          <w:p w14:paraId="7DAA03A1" w14:textId="77777777" w:rsidR="005E36DC" w:rsidRPr="00720DEB" w:rsidRDefault="005E36DC" w:rsidP="006B530C">
            <w:pPr>
              <w:pStyle w:val="Tablesmalltext"/>
              <w:rPr>
                <w:sz w:val="18"/>
                <w:szCs w:val="18"/>
                <w:highlight w:val="yellow"/>
              </w:rPr>
            </w:pPr>
            <w:r w:rsidRPr="00720DEB">
              <w:rPr>
                <w:sz w:val="18"/>
                <w:szCs w:val="18"/>
              </w:rPr>
              <w:t>113467*</w:t>
            </w:r>
          </w:p>
        </w:tc>
        <w:tc>
          <w:tcPr>
            <w:tcW w:w="5449" w:type="dxa"/>
          </w:tcPr>
          <w:p w14:paraId="7DAA03A2" w14:textId="77777777" w:rsidR="005E36DC" w:rsidRPr="00720DEB" w:rsidRDefault="005E36DC" w:rsidP="006B530C">
            <w:pPr>
              <w:pStyle w:val="Tablesmalltext"/>
              <w:rPr>
                <w:sz w:val="18"/>
                <w:szCs w:val="18"/>
              </w:rPr>
            </w:pPr>
            <w:r w:rsidRPr="00720DEB">
              <w:rPr>
                <w:sz w:val="18"/>
                <w:szCs w:val="18"/>
              </w:rPr>
              <w:t xml:space="preserve">These Wangerrip Group (111) bores are the closest suitable SOBs to the Port Campbell locality. </w:t>
            </w:r>
          </w:p>
        </w:tc>
      </w:tr>
      <w:tr w:rsidR="005E36DC" w:rsidRPr="003C57B5" w14:paraId="7DAA03A7" w14:textId="77777777" w:rsidTr="00720DEB">
        <w:trPr>
          <w:trHeight w:val="468"/>
        </w:trPr>
        <w:tc>
          <w:tcPr>
            <w:tcW w:w="3149" w:type="dxa"/>
          </w:tcPr>
          <w:p w14:paraId="7DAA03A4" w14:textId="77777777" w:rsidR="005E36DC" w:rsidRPr="00720DEB" w:rsidRDefault="005E36DC" w:rsidP="006B530C">
            <w:pPr>
              <w:pStyle w:val="Tablesmalltext"/>
              <w:rPr>
                <w:sz w:val="18"/>
                <w:szCs w:val="18"/>
              </w:rPr>
            </w:pPr>
            <w:r w:rsidRPr="00720DEB">
              <w:rPr>
                <w:sz w:val="18"/>
                <w:szCs w:val="18"/>
              </w:rPr>
              <w:t>Sherbrook Group (113) and Wangerrip Group (111) in the Portland Trough.</w:t>
            </w:r>
          </w:p>
        </w:tc>
        <w:tc>
          <w:tcPr>
            <w:tcW w:w="1276" w:type="dxa"/>
          </w:tcPr>
          <w:p w14:paraId="7DAA03A5" w14:textId="77777777" w:rsidR="005E36DC" w:rsidRPr="00720DEB" w:rsidRDefault="005E36DC" w:rsidP="006B530C">
            <w:pPr>
              <w:pStyle w:val="Tablesmalltext"/>
              <w:rPr>
                <w:sz w:val="18"/>
                <w:szCs w:val="18"/>
              </w:rPr>
            </w:pPr>
            <w:r w:rsidRPr="00720DEB">
              <w:rPr>
                <w:sz w:val="18"/>
                <w:szCs w:val="18"/>
              </w:rPr>
              <w:t>NA</w:t>
            </w:r>
          </w:p>
        </w:tc>
        <w:tc>
          <w:tcPr>
            <w:tcW w:w="5449" w:type="dxa"/>
          </w:tcPr>
          <w:p w14:paraId="7DAA03A6" w14:textId="77777777" w:rsidR="005E36DC" w:rsidRPr="00720DEB" w:rsidRDefault="005E36DC" w:rsidP="006B530C">
            <w:pPr>
              <w:pStyle w:val="Tablesmalltext"/>
              <w:rPr>
                <w:sz w:val="18"/>
                <w:szCs w:val="18"/>
              </w:rPr>
            </w:pPr>
            <w:r w:rsidRPr="00720DEB">
              <w:rPr>
                <w:sz w:val="18"/>
                <w:szCs w:val="18"/>
              </w:rPr>
              <w:t xml:space="preserve">There are no SOBs monitoring these units in the Portland Trough. Only SOBs with poor condition codes exist in this area. </w:t>
            </w:r>
          </w:p>
        </w:tc>
      </w:tr>
      <w:tr w:rsidR="005E36DC" w:rsidRPr="003C57B5" w14:paraId="7DAA03AC" w14:textId="77777777" w:rsidTr="00720DEB">
        <w:trPr>
          <w:trHeight w:val="458"/>
        </w:trPr>
        <w:tc>
          <w:tcPr>
            <w:tcW w:w="3149" w:type="dxa"/>
          </w:tcPr>
          <w:p w14:paraId="7DAA03A8" w14:textId="77777777" w:rsidR="005E36DC" w:rsidRPr="00720DEB" w:rsidRDefault="005E36DC" w:rsidP="006B530C">
            <w:pPr>
              <w:pStyle w:val="Tablesmalltext"/>
              <w:rPr>
                <w:sz w:val="18"/>
                <w:szCs w:val="18"/>
              </w:rPr>
            </w:pPr>
            <w:r w:rsidRPr="00720DEB">
              <w:rPr>
                <w:sz w:val="18"/>
                <w:szCs w:val="18"/>
              </w:rPr>
              <w:t>Glenelg – area of thin / absent aquitard</w:t>
            </w:r>
          </w:p>
        </w:tc>
        <w:tc>
          <w:tcPr>
            <w:tcW w:w="1276" w:type="dxa"/>
          </w:tcPr>
          <w:p w14:paraId="7DAA03A9" w14:textId="77777777" w:rsidR="005E36DC" w:rsidRPr="00720DEB" w:rsidRDefault="005E36DC" w:rsidP="006B530C">
            <w:pPr>
              <w:pStyle w:val="Tablesmalltext"/>
              <w:rPr>
                <w:sz w:val="18"/>
                <w:szCs w:val="18"/>
              </w:rPr>
            </w:pPr>
            <w:r w:rsidRPr="00720DEB">
              <w:rPr>
                <w:sz w:val="18"/>
                <w:szCs w:val="18"/>
              </w:rPr>
              <w:t>83446 (111)*</w:t>
            </w:r>
          </w:p>
          <w:p w14:paraId="7DAA03AA" w14:textId="77777777" w:rsidR="005E36DC" w:rsidRPr="00720DEB" w:rsidRDefault="005E36DC" w:rsidP="006B530C">
            <w:pPr>
              <w:pStyle w:val="Tablesmalltext"/>
              <w:rPr>
                <w:sz w:val="18"/>
                <w:szCs w:val="18"/>
                <w:highlight w:val="yellow"/>
              </w:rPr>
            </w:pPr>
            <w:r w:rsidRPr="00720DEB">
              <w:rPr>
                <w:sz w:val="18"/>
                <w:szCs w:val="18"/>
              </w:rPr>
              <w:t>83447 (107)*</w:t>
            </w:r>
          </w:p>
        </w:tc>
        <w:tc>
          <w:tcPr>
            <w:tcW w:w="5449" w:type="dxa"/>
          </w:tcPr>
          <w:p w14:paraId="7DAA03AB" w14:textId="77777777" w:rsidR="005E36DC" w:rsidRPr="00720DEB" w:rsidRDefault="005E36DC" w:rsidP="006B530C">
            <w:pPr>
              <w:pStyle w:val="Tablesmalltext"/>
              <w:rPr>
                <w:sz w:val="18"/>
                <w:szCs w:val="18"/>
              </w:rPr>
            </w:pPr>
            <w:r w:rsidRPr="00720DEB">
              <w:rPr>
                <w:sz w:val="18"/>
                <w:szCs w:val="18"/>
              </w:rPr>
              <w:t xml:space="preserve">This nested site represents </w:t>
            </w:r>
            <w:r w:rsidR="002E4CB3" w:rsidRPr="00720DEB">
              <w:rPr>
                <w:sz w:val="18"/>
                <w:szCs w:val="18"/>
              </w:rPr>
              <w:t>a</w:t>
            </w:r>
            <w:r w:rsidRPr="00720DEB">
              <w:rPr>
                <w:sz w:val="18"/>
                <w:szCs w:val="18"/>
              </w:rPr>
              <w:t xml:space="preserve"> Wangerrip Group (111) bore and an overlying Limestone bore (107). These units straddle the marl aquitards and hence this nested site will provide information regarding aquifer chemistry where the marl is absent/thin. </w:t>
            </w:r>
          </w:p>
        </w:tc>
      </w:tr>
      <w:tr w:rsidR="005E36DC" w:rsidRPr="003C57B5" w14:paraId="7DAA03B0" w14:textId="77777777" w:rsidTr="00720DEB">
        <w:trPr>
          <w:trHeight w:val="458"/>
        </w:trPr>
        <w:tc>
          <w:tcPr>
            <w:tcW w:w="3149" w:type="dxa"/>
          </w:tcPr>
          <w:p w14:paraId="7DAA03AD" w14:textId="77777777" w:rsidR="005E36DC" w:rsidRPr="00720DEB" w:rsidRDefault="005E36DC" w:rsidP="006B530C">
            <w:pPr>
              <w:pStyle w:val="Tablesmalltext"/>
              <w:rPr>
                <w:sz w:val="18"/>
                <w:szCs w:val="18"/>
              </w:rPr>
            </w:pPr>
            <w:r w:rsidRPr="00720DEB">
              <w:rPr>
                <w:sz w:val="18"/>
                <w:szCs w:val="18"/>
              </w:rPr>
              <w:t>Hopkins-Corangamite  – area of thin / absent aquitard</w:t>
            </w:r>
          </w:p>
        </w:tc>
        <w:tc>
          <w:tcPr>
            <w:tcW w:w="1276" w:type="dxa"/>
          </w:tcPr>
          <w:p w14:paraId="7DAA03AE" w14:textId="77777777" w:rsidR="005E36DC" w:rsidRPr="00720DEB" w:rsidRDefault="005E36DC" w:rsidP="006B530C">
            <w:pPr>
              <w:pStyle w:val="Tablesmalltext"/>
              <w:rPr>
                <w:sz w:val="18"/>
                <w:szCs w:val="18"/>
                <w:highlight w:val="yellow"/>
              </w:rPr>
            </w:pPr>
            <w:r w:rsidRPr="00720DEB">
              <w:rPr>
                <w:sz w:val="18"/>
                <w:szCs w:val="18"/>
              </w:rPr>
              <w:t>NA</w:t>
            </w:r>
          </w:p>
        </w:tc>
        <w:tc>
          <w:tcPr>
            <w:tcW w:w="5449" w:type="dxa"/>
          </w:tcPr>
          <w:p w14:paraId="7DAA03AF" w14:textId="77777777" w:rsidR="005E36DC" w:rsidRPr="00720DEB" w:rsidRDefault="005E36DC" w:rsidP="006B530C">
            <w:pPr>
              <w:pStyle w:val="Tablesmalltext"/>
              <w:rPr>
                <w:sz w:val="18"/>
                <w:szCs w:val="18"/>
              </w:rPr>
            </w:pPr>
            <w:r w:rsidRPr="00720DEB">
              <w:rPr>
                <w:sz w:val="18"/>
                <w:szCs w:val="18"/>
              </w:rPr>
              <w:t xml:space="preserve">Although there is a significant density of SOBs in this area, all bores monitor the Wangerrip (111) aquifer and there are no sites with a shallow nested bore. Hence a recommendation has not been made in this area, as a shallow aquifer bore was the target.   </w:t>
            </w:r>
          </w:p>
        </w:tc>
      </w:tr>
    </w:tbl>
    <w:p w14:paraId="7DAA03B1" w14:textId="2B26281E" w:rsidR="000C564C" w:rsidRDefault="000C564C" w:rsidP="006B530C">
      <w:pPr>
        <w:pStyle w:val="Caption"/>
        <w:rPr>
          <w:lang w:val="en-AU"/>
        </w:rPr>
      </w:pPr>
      <w:r w:rsidRPr="000C564C">
        <w:rPr>
          <w:lang w:val="en-AU"/>
        </w:rPr>
        <w:t xml:space="preserve">*bores have already been included in the </w:t>
      </w:r>
      <w:r w:rsidR="00857ACF">
        <w:rPr>
          <w:lang w:val="en-AU"/>
        </w:rPr>
        <w:t xml:space="preserve">monitoring </w:t>
      </w:r>
      <w:r w:rsidRPr="000C564C">
        <w:rPr>
          <w:lang w:val="en-AU"/>
        </w:rPr>
        <w:t>network ba</w:t>
      </w:r>
      <w:r w:rsidR="006B530C">
        <w:rPr>
          <w:lang w:val="en-AU"/>
        </w:rPr>
        <w:t>sed on other selection criteria</w:t>
      </w:r>
    </w:p>
    <w:p w14:paraId="7DAA03B2" w14:textId="77777777" w:rsidR="006B530C" w:rsidRPr="006B530C" w:rsidRDefault="006B530C" w:rsidP="006B530C">
      <w:pPr>
        <w:rPr>
          <w:lang w:val="en-AU"/>
        </w:rPr>
      </w:pPr>
    </w:p>
    <w:p w14:paraId="7DAA03B3" w14:textId="21EF173B" w:rsidR="005E36DC" w:rsidRPr="00720DEB" w:rsidRDefault="0084308A" w:rsidP="00720DEB">
      <w:pPr>
        <w:pStyle w:val="figurereturn"/>
      </w:pPr>
      <w:r>
        <w:drawing>
          <wp:inline distT="0" distB="0" distL="0" distR="0" wp14:anchorId="2FDC9CA8" wp14:editId="7801E20F">
            <wp:extent cx="6120130" cy="4154861"/>
            <wp:effectExtent l="19050" t="19050" r="13970" b="17145"/>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4154861"/>
                    </a:xfrm>
                    <a:prstGeom prst="rect">
                      <a:avLst/>
                    </a:prstGeom>
                    <a:noFill/>
                    <a:ln>
                      <a:solidFill>
                        <a:schemeClr val="accent1"/>
                      </a:solidFill>
                    </a:ln>
                  </pic:spPr>
                </pic:pic>
              </a:graphicData>
            </a:graphic>
          </wp:inline>
        </w:drawing>
      </w:r>
    </w:p>
    <w:p w14:paraId="7DAA03B4" w14:textId="77777777" w:rsidR="000C564C" w:rsidRPr="000C564C" w:rsidRDefault="006B530C" w:rsidP="00D0375F">
      <w:pPr>
        <w:pStyle w:val="Figuretitle"/>
      </w:pPr>
      <w:bookmarkStart w:id="86" w:name="_Toc420327768"/>
      <w:r>
        <w:t xml:space="preserve">Figure </w:t>
      </w:r>
      <w:r w:rsidR="00B91643">
        <w:fldChar w:fldCharType="begin"/>
      </w:r>
      <w:r w:rsidR="00B91643">
        <w:instrText xml:space="preserve"> SEQ Figure \* ARABIC </w:instrText>
      </w:r>
      <w:r w:rsidR="00B91643">
        <w:fldChar w:fldCharType="separate"/>
      </w:r>
      <w:r w:rsidR="00BD60CC">
        <w:rPr>
          <w:noProof/>
        </w:rPr>
        <w:t>17</w:t>
      </w:r>
      <w:r w:rsidR="00B91643">
        <w:rPr>
          <w:noProof/>
        </w:rPr>
        <w:fldChar w:fldCharType="end"/>
      </w:r>
      <w:r>
        <w:t xml:space="preserve"> </w:t>
      </w:r>
      <w:r w:rsidR="000C564C" w:rsidRPr="000C564C">
        <w:t>Areas identified in literature review</w:t>
      </w:r>
      <w:bookmarkEnd w:id="86"/>
      <w:r w:rsidR="00CA6D0C">
        <w:br/>
      </w:r>
    </w:p>
    <w:p w14:paraId="7DAA03B5" w14:textId="2AD991EC" w:rsidR="000C564C" w:rsidRPr="000C564C" w:rsidRDefault="000C564C" w:rsidP="005E36DC">
      <w:pPr>
        <w:pStyle w:val="Head2xx"/>
      </w:pPr>
      <w:bookmarkStart w:id="87" w:name="_Toc420327725"/>
      <w:r w:rsidRPr="000C564C">
        <w:t xml:space="preserve">Nested </w:t>
      </w:r>
      <w:r w:rsidR="00FC2A0F">
        <w:t>s</w:t>
      </w:r>
      <w:r w:rsidR="00FC2A0F" w:rsidRPr="000C564C">
        <w:t>ites</w:t>
      </w:r>
      <w:bookmarkEnd w:id="87"/>
    </w:p>
    <w:p w14:paraId="7DAA03B6" w14:textId="6329BC33" w:rsidR="000C564C" w:rsidRPr="000C564C" w:rsidRDefault="000C564C" w:rsidP="000C564C">
      <w:pPr>
        <w:rPr>
          <w:lang w:val="en-AU"/>
        </w:rPr>
      </w:pPr>
      <w:r w:rsidRPr="000C564C">
        <w:rPr>
          <w:lang w:val="en-AU"/>
        </w:rPr>
        <w:t xml:space="preserve">Targeting nested bore sites for inclusion in the </w:t>
      </w:r>
      <w:r w:rsidR="00857ACF">
        <w:rPr>
          <w:lang w:val="en-AU"/>
        </w:rPr>
        <w:t xml:space="preserve">monitoring </w:t>
      </w:r>
      <w:r w:rsidRPr="000C564C">
        <w:rPr>
          <w:lang w:val="en-AU"/>
        </w:rPr>
        <w:t xml:space="preserve">network </w:t>
      </w:r>
      <w:r w:rsidR="006F0A17">
        <w:rPr>
          <w:lang w:val="en-AU"/>
        </w:rPr>
        <w:t xml:space="preserve">assists </w:t>
      </w:r>
      <w:r w:rsidRPr="000C564C">
        <w:rPr>
          <w:lang w:val="en-AU"/>
        </w:rPr>
        <w:t xml:space="preserve">in the aquifer characterisation process and </w:t>
      </w:r>
      <w:r w:rsidR="006F0A17">
        <w:rPr>
          <w:lang w:val="en-AU"/>
        </w:rPr>
        <w:t xml:space="preserve">also </w:t>
      </w:r>
      <w:r w:rsidRPr="000C564C">
        <w:rPr>
          <w:lang w:val="en-AU"/>
        </w:rPr>
        <w:t>inform</w:t>
      </w:r>
      <w:r w:rsidR="006F0A17">
        <w:rPr>
          <w:lang w:val="en-AU"/>
        </w:rPr>
        <w:t>s</w:t>
      </w:r>
      <w:r w:rsidRPr="000C564C">
        <w:rPr>
          <w:lang w:val="en-AU"/>
        </w:rPr>
        <w:t xml:space="preserve"> the potential for mixing of groundwater from multiple aquifers. Any future natural gas investigations will target deep aquifers that underlie the aquifers that are currently used extensively for private groundwater extraction purposes (e.g. irrigation, stock and domestic) and by the environment (e.g. GDEs). Hence, understanding the amount of connection between the deep and shallow aquifers is important and this can potentially be informed by interpreting groundwater chemistry information for multiple aquifers at a single site (i.e. at a nested site). </w:t>
      </w:r>
    </w:p>
    <w:p w14:paraId="390E08F5" w14:textId="343A72F7" w:rsidR="00720DEB" w:rsidRDefault="000C564C" w:rsidP="00720DEB">
      <w:pPr>
        <w:rPr>
          <w:lang w:val="en-AU"/>
        </w:rPr>
      </w:pPr>
      <w:r w:rsidRPr="00B672B7">
        <w:rPr>
          <w:lang w:val="en-AU"/>
        </w:rPr>
        <w:t xml:space="preserve">A review has been undertaken to identify the nested sites in the </w:t>
      </w:r>
      <w:r w:rsidRPr="007C1677">
        <w:rPr>
          <w:lang w:val="en-AU"/>
        </w:rPr>
        <w:t xml:space="preserve">Otway </w:t>
      </w:r>
      <w:r w:rsidR="00E87D28" w:rsidRPr="007C1677">
        <w:rPr>
          <w:lang w:val="en-AU"/>
        </w:rPr>
        <w:t>region</w:t>
      </w:r>
      <w:r w:rsidRPr="00B672B7">
        <w:rPr>
          <w:lang w:val="en-AU"/>
        </w:rPr>
        <w:t xml:space="preserve">. A total of 47 sites remained after the poor condition bores were removed from the dataset and the nested sites that appeared to monitor the same aquifer were also removed. </w:t>
      </w:r>
      <w:r w:rsidR="00B672B7" w:rsidRPr="00B672B7">
        <w:rPr>
          <w:lang w:val="en-AU"/>
        </w:rPr>
        <w:t>Three</w:t>
      </w:r>
      <w:r w:rsidRPr="00B672B7">
        <w:rPr>
          <w:lang w:val="en-AU"/>
        </w:rPr>
        <w:t xml:space="preserve"> of these sites were already included in the program from previous selection criteria. </w:t>
      </w:r>
      <w:r w:rsidR="00E41194" w:rsidRPr="00B672B7">
        <w:rPr>
          <w:lang w:val="en-AU"/>
        </w:rPr>
        <w:fldChar w:fldCharType="begin"/>
      </w:r>
      <w:r w:rsidR="00E41194" w:rsidRPr="00B672B7">
        <w:rPr>
          <w:lang w:val="en-AU"/>
        </w:rPr>
        <w:instrText xml:space="preserve"> REF _Ref414006420 \h </w:instrText>
      </w:r>
      <w:r w:rsidR="000B596F" w:rsidRPr="00B672B7">
        <w:rPr>
          <w:lang w:val="en-AU"/>
        </w:rPr>
        <w:instrText xml:space="preserve"> \* MERGEFORMAT </w:instrText>
      </w:r>
      <w:r w:rsidR="00E41194" w:rsidRPr="00B672B7">
        <w:rPr>
          <w:lang w:val="en-AU"/>
        </w:rPr>
      </w:r>
      <w:r w:rsidR="00E41194" w:rsidRPr="00B672B7">
        <w:rPr>
          <w:lang w:val="en-AU"/>
        </w:rPr>
        <w:fldChar w:fldCharType="separate"/>
      </w:r>
      <w:r w:rsidR="00BD60CC" w:rsidRPr="00B672B7">
        <w:t xml:space="preserve">Figure </w:t>
      </w:r>
      <w:r w:rsidR="00BD60CC">
        <w:rPr>
          <w:noProof/>
        </w:rPr>
        <w:t>18</w:t>
      </w:r>
      <w:r w:rsidR="00E41194" w:rsidRPr="00B672B7">
        <w:rPr>
          <w:lang w:val="en-AU"/>
        </w:rPr>
        <w:fldChar w:fldCharType="end"/>
      </w:r>
      <w:r w:rsidR="00E41194" w:rsidRPr="00B672B7">
        <w:rPr>
          <w:lang w:val="en-AU"/>
        </w:rPr>
        <w:t xml:space="preserve"> </w:t>
      </w:r>
      <w:r w:rsidRPr="00B672B7">
        <w:rPr>
          <w:lang w:val="en-AU"/>
        </w:rPr>
        <w:t xml:space="preserve">shows the distribution of the nested sites (coloured by nested aquifers) and also shows the location of the Ramsar listed western district wetlands. Three additional nested sites of bores have been included in the </w:t>
      </w:r>
      <w:r w:rsidR="00857ACF">
        <w:rPr>
          <w:lang w:val="en-AU"/>
        </w:rPr>
        <w:t xml:space="preserve">monitoring </w:t>
      </w:r>
      <w:r w:rsidRPr="00B672B7">
        <w:rPr>
          <w:lang w:val="en-AU"/>
        </w:rPr>
        <w:t>program. One site has been included so that the potential for mixing of groundwater between aquifers that straddle the Gellibrand Marl aquitard can be</w:t>
      </w:r>
      <w:r w:rsidRPr="000C564C">
        <w:rPr>
          <w:lang w:val="en-AU"/>
        </w:rPr>
        <w:t xml:space="preserve"> compared in an area where the marl is significantly thick (this site) and absent (the Glenelg nested site). The other two sites focus around two important Ramsar listed wetlands. </w:t>
      </w:r>
      <w:r w:rsidR="00B672B7">
        <w:rPr>
          <w:lang w:val="en-AU"/>
        </w:rPr>
        <w:t>The nested sites are summarised</w:t>
      </w:r>
      <w:r w:rsidR="00CE7376">
        <w:rPr>
          <w:lang w:val="en-AU"/>
        </w:rPr>
        <w:t xml:space="preserve"> in Table 9.</w:t>
      </w:r>
      <w:r w:rsidR="00B672B7">
        <w:rPr>
          <w:lang w:val="en-AU"/>
        </w:rPr>
        <w:t xml:space="preserve"> </w:t>
      </w:r>
      <w:bookmarkStart w:id="88" w:name="_Ref414006450"/>
      <w:bookmarkStart w:id="89" w:name="_Toc420320559"/>
    </w:p>
    <w:p w14:paraId="54CB1450" w14:textId="77777777" w:rsidR="00720DEB" w:rsidRDefault="00720DEB">
      <w:pPr>
        <w:rPr>
          <w:lang w:val="en-AU"/>
        </w:rPr>
      </w:pPr>
      <w:r>
        <w:rPr>
          <w:lang w:val="en-AU"/>
        </w:rPr>
        <w:br w:type="page"/>
      </w:r>
    </w:p>
    <w:p w14:paraId="7DAA03B8" w14:textId="46EBFD6C" w:rsidR="000C564C" w:rsidRPr="000C564C" w:rsidRDefault="00E41194" w:rsidP="004F307F">
      <w:pPr>
        <w:pStyle w:val="Tableheading"/>
        <w:rPr>
          <w:lang w:val="en-AU"/>
        </w:rPr>
      </w:pPr>
      <w:r>
        <w:t xml:space="preserve">Table </w:t>
      </w:r>
      <w:r>
        <w:fldChar w:fldCharType="begin"/>
      </w:r>
      <w:r>
        <w:instrText xml:space="preserve"> SEQ Table \* ARABIC </w:instrText>
      </w:r>
      <w:r>
        <w:fldChar w:fldCharType="separate"/>
      </w:r>
      <w:r w:rsidR="00BD60CC">
        <w:rPr>
          <w:noProof/>
        </w:rPr>
        <w:t>9</w:t>
      </w:r>
      <w:r>
        <w:fldChar w:fldCharType="end"/>
      </w:r>
      <w:bookmarkEnd w:id="88"/>
      <w:r>
        <w:rPr>
          <w:lang w:val="en-AU"/>
        </w:rPr>
        <w:t xml:space="preserve"> </w:t>
      </w:r>
      <w:r w:rsidR="000C564C" w:rsidRPr="000C564C">
        <w:rPr>
          <w:lang w:val="en-AU"/>
        </w:rPr>
        <w:t>Summary of nested sites targeting well recogn</w:t>
      </w:r>
      <w:r w:rsidR="005E36DC">
        <w:rPr>
          <w:lang w:val="en-AU"/>
        </w:rPr>
        <w:t xml:space="preserve">ised assets in the Otway </w:t>
      </w:r>
      <w:r w:rsidR="00E87D28">
        <w:rPr>
          <w:lang w:val="en-AU"/>
        </w:rPr>
        <w:t>region</w:t>
      </w:r>
      <w:bookmarkEnd w:id="89"/>
      <w:r w:rsidR="005E36DC">
        <w:rPr>
          <w:lang w:val="en-AU"/>
        </w:rPr>
        <w:t xml:space="preserve"> </w:t>
      </w:r>
    </w:p>
    <w:tbl>
      <w:tblPr>
        <w:tblW w:w="9796" w:type="dxa"/>
        <w:tblInd w:w="93"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134"/>
        <w:gridCol w:w="2992"/>
        <w:gridCol w:w="5670"/>
      </w:tblGrid>
      <w:tr w:rsidR="005E36DC" w:rsidRPr="00797652" w14:paraId="7DAA03BC" w14:textId="77777777" w:rsidTr="001B31B0">
        <w:trPr>
          <w:trHeight w:val="299"/>
        </w:trPr>
        <w:tc>
          <w:tcPr>
            <w:tcW w:w="1134" w:type="dxa"/>
            <w:tcBorders>
              <w:top w:val="nil"/>
              <w:right w:val="single" w:sz="4" w:space="0" w:color="FFFFFF"/>
            </w:tcBorders>
            <w:shd w:val="clear" w:color="auto" w:fill="005A97"/>
            <w:noWrap/>
            <w:vAlign w:val="center"/>
            <w:hideMark/>
          </w:tcPr>
          <w:p w14:paraId="7DAA03B9" w14:textId="77777777" w:rsidR="005E36DC" w:rsidRPr="00797652" w:rsidRDefault="005E36DC" w:rsidP="00E63375">
            <w:pPr>
              <w:pStyle w:val="TableHeaderrow"/>
            </w:pPr>
            <w:r>
              <w:t>Bore</w:t>
            </w:r>
          </w:p>
        </w:tc>
        <w:tc>
          <w:tcPr>
            <w:tcW w:w="2992" w:type="dxa"/>
            <w:tcBorders>
              <w:top w:val="nil"/>
              <w:left w:val="single" w:sz="4" w:space="0" w:color="FFFFFF"/>
              <w:right w:val="single" w:sz="4" w:space="0" w:color="FFFFFF"/>
            </w:tcBorders>
            <w:shd w:val="clear" w:color="auto" w:fill="005A97"/>
            <w:vAlign w:val="center"/>
            <w:hideMark/>
          </w:tcPr>
          <w:p w14:paraId="7DAA03BA" w14:textId="77777777" w:rsidR="005E36DC" w:rsidRPr="00797652" w:rsidRDefault="005E36DC" w:rsidP="00E63375">
            <w:pPr>
              <w:pStyle w:val="TableHeaderrow"/>
            </w:pPr>
            <w:r w:rsidRPr="00797652">
              <w:t>Target Aquifer</w:t>
            </w:r>
          </w:p>
        </w:tc>
        <w:tc>
          <w:tcPr>
            <w:tcW w:w="5670" w:type="dxa"/>
            <w:tcBorders>
              <w:top w:val="nil"/>
              <w:left w:val="single" w:sz="4" w:space="0" w:color="FFFFFF"/>
            </w:tcBorders>
            <w:shd w:val="clear" w:color="auto" w:fill="005A97"/>
            <w:vAlign w:val="center"/>
          </w:tcPr>
          <w:p w14:paraId="7DAA03BB" w14:textId="77777777" w:rsidR="005E36DC" w:rsidRPr="00797652" w:rsidRDefault="005E36DC" w:rsidP="00E63375">
            <w:pPr>
              <w:pStyle w:val="TableHeaderrow"/>
            </w:pPr>
            <w:r w:rsidRPr="00797652">
              <w:t>Justification</w:t>
            </w:r>
          </w:p>
        </w:tc>
      </w:tr>
      <w:tr w:rsidR="000138D4" w:rsidRPr="001B31B0" w14:paraId="7DAA03C1" w14:textId="77777777" w:rsidTr="001B31B0">
        <w:trPr>
          <w:trHeight w:val="299"/>
        </w:trPr>
        <w:tc>
          <w:tcPr>
            <w:tcW w:w="1134" w:type="dxa"/>
            <w:shd w:val="clear" w:color="auto" w:fill="auto"/>
            <w:noWrap/>
            <w:vAlign w:val="center"/>
          </w:tcPr>
          <w:p w14:paraId="7DAA03BD" w14:textId="77777777" w:rsidR="000138D4" w:rsidRPr="001B31B0" w:rsidRDefault="000138D4" w:rsidP="00E41194">
            <w:pPr>
              <w:pStyle w:val="Tablesmalltext"/>
              <w:rPr>
                <w:sz w:val="18"/>
                <w:szCs w:val="18"/>
              </w:rPr>
            </w:pPr>
            <w:r w:rsidRPr="001B31B0">
              <w:rPr>
                <w:sz w:val="18"/>
                <w:szCs w:val="18"/>
              </w:rPr>
              <w:t>111524</w:t>
            </w:r>
            <w:r w:rsidR="00B672B7" w:rsidRPr="001B31B0">
              <w:rPr>
                <w:sz w:val="18"/>
                <w:szCs w:val="18"/>
              </w:rPr>
              <w:t>*</w:t>
            </w:r>
          </w:p>
          <w:p w14:paraId="7DAA03BE" w14:textId="77777777" w:rsidR="000138D4" w:rsidRPr="001B31B0" w:rsidRDefault="000138D4" w:rsidP="00E41194">
            <w:pPr>
              <w:pStyle w:val="Tablesmalltext"/>
              <w:rPr>
                <w:sz w:val="18"/>
                <w:szCs w:val="18"/>
              </w:rPr>
            </w:pPr>
            <w:r w:rsidRPr="001B31B0">
              <w:rPr>
                <w:sz w:val="18"/>
                <w:szCs w:val="18"/>
              </w:rPr>
              <w:t>111525</w:t>
            </w:r>
            <w:r w:rsidR="00B672B7" w:rsidRPr="001B31B0">
              <w:rPr>
                <w:sz w:val="18"/>
                <w:szCs w:val="18"/>
              </w:rPr>
              <w:t>*</w:t>
            </w:r>
          </w:p>
        </w:tc>
        <w:tc>
          <w:tcPr>
            <w:tcW w:w="2992" w:type="dxa"/>
            <w:shd w:val="clear" w:color="auto" w:fill="auto"/>
            <w:vAlign w:val="center"/>
          </w:tcPr>
          <w:p w14:paraId="7DAA03BF" w14:textId="77777777" w:rsidR="000138D4" w:rsidRPr="001B31B0" w:rsidRDefault="000138D4" w:rsidP="00E41194">
            <w:pPr>
              <w:pStyle w:val="Tablesmalltext"/>
              <w:rPr>
                <w:sz w:val="18"/>
                <w:szCs w:val="18"/>
              </w:rPr>
            </w:pPr>
            <w:r w:rsidRPr="001B31B0">
              <w:rPr>
                <w:rFonts w:eastAsia="Times New Roman" w:cs="Arial"/>
                <w:color w:val="000000"/>
                <w:sz w:val="18"/>
                <w:szCs w:val="18"/>
                <w:lang w:eastAsia="en-AU"/>
              </w:rPr>
              <w:t>Upper Mid-Tertiary Aquifer (107) and Upper Tertiary/Quaternary Basalt Aquifer (101)</w:t>
            </w:r>
          </w:p>
        </w:tc>
        <w:tc>
          <w:tcPr>
            <w:tcW w:w="5670" w:type="dxa"/>
            <w:vAlign w:val="center"/>
          </w:tcPr>
          <w:p w14:paraId="7DAA03C0" w14:textId="77777777" w:rsidR="000138D4" w:rsidRPr="001B31B0" w:rsidRDefault="000138D4" w:rsidP="00C87ACC">
            <w:pPr>
              <w:pStyle w:val="Tablesmallbullet"/>
              <w:rPr>
                <w:sz w:val="18"/>
                <w:szCs w:val="18"/>
              </w:rPr>
            </w:pPr>
            <w:r w:rsidRPr="001B31B0">
              <w:rPr>
                <w:sz w:val="18"/>
                <w:szCs w:val="18"/>
              </w:rPr>
              <w:t>Nested site will inform groundwater chemistry of multiple aquifers at one site and allow for interpretation of potential mixing.</w:t>
            </w:r>
          </w:p>
        </w:tc>
      </w:tr>
      <w:tr w:rsidR="005E36DC" w:rsidRPr="001B31B0" w14:paraId="7DAA03C7" w14:textId="77777777" w:rsidTr="001B31B0">
        <w:trPr>
          <w:trHeight w:val="299"/>
        </w:trPr>
        <w:tc>
          <w:tcPr>
            <w:tcW w:w="1134" w:type="dxa"/>
            <w:shd w:val="clear" w:color="auto" w:fill="auto"/>
            <w:noWrap/>
            <w:vAlign w:val="center"/>
            <w:hideMark/>
          </w:tcPr>
          <w:p w14:paraId="7DAA03C2" w14:textId="77777777" w:rsidR="005E36DC" w:rsidRPr="001B31B0" w:rsidRDefault="005E36DC" w:rsidP="00E41194">
            <w:pPr>
              <w:pStyle w:val="Tablesmalltext"/>
              <w:rPr>
                <w:sz w:val="18"/>
                <w:szCs w:val="18"/>
              </w:rPr>
            </w:pPr>
            <w:r w:rsidRPr="001B31B0">
              <w:rPr>
                <w:sz w:val="18"/>
                <w:szCs w:val="18"/>
              </w:rPr>
              <w:t>111787</w:t>
            </w:r>
          </w:p>
          <w:p w14:paraId="7DAA03C3" w14:textId="77777777" w:rsidR="005E36DC" w:rsidRPr="001B31B0" w:rsidRDefault="005E36DC" w:rsidP="00E41194">
            <w:pPr>
              <w:pStyle w:val="Tablesmalltext"/>
              <w:rPr>
                <w:sz w:val="18"/>
                <w:szCs w:val="18"/>
              </w:rPr>
            </w:pPr>
            <w:r w:rsidRPr="001B31B0">
              <w:rPr>
                <w:sz w:val="18"/>
                <w:szCs w:val="18"/>
              </w:rPr>
              <w:t>111786</w:t>
            </w:r>
          </w:p>
        </w:tc>
        <w:tc>
          <w:tcPr>
            <w:tcW w:w="2992" w:type="dxa"/>
            <w:shd w:val="clear" w:color="auto" w:fill="auto"/>
            <w:vAlign w:val="center"/>
            <w:hideMark/>
          </w:tcPr>
          <w:p w14:paraId="7DAA03C4" w14:textId="77777777" w:rsidR="005E36DC" w:rsidRPr="001B31B0" w:rsidRDefault="005E36DC" w:rsidP="00E41194">
            <w:pPr>
              <w:pStyle w:val="Tablesmalltext"/>
              <w:rPr>
                <w:sz w:val="18"/>
                <w:szCs w:val="18"/>
              </w:rPr>
            </w:pPr>
            <w:r w:rsidRPr="001B31B0">
              <w:rPr>
                <w:sz w:val="18"/>
                <w:szCs w:val="18"/>
              </w:rPr>
              <w:t>Watertable aquifer (101 Newer Volcanics) and Dilwyn Formation (111)</w:t>
            </w:r>
          </w:p>
        </w:tc>
        <w:tc>
          <w:tcPr>
            <w:tcW w:w="5670" w:type="dxa"/>
            <w:vAlign w:val="center"/>
          </w:tcPr>
          <w:p w14:paraId="7DAA03C5" w14:textId="77777777" w:rsidR="005E36DC" w:rsidRPr="001B31B0" w:rsidRDefault="005E36DC" w:rsidP="00333B5A">
            <w:pPr>
              <w:pStyle w:val="Para0bullet"/>
              <w:numPr>
                <w:ilvl w:val="0"/>
                <w:numId w:val="20"/>
              </w:numPr>
              <w:tabs>
                <w:tab w:val="clear" w:pos="426"/>
                <w:tab w:val="left" w:pos="317"/>
              </w:tabs>
              <w:spacing w:after="60" w:line="200" w:lineRule="atLeast"/>
              <w:ind w:left="317"/>
              <w:rPr>
                <w:sz w:val="18"/>
                <w:szCs w:val="18"/>
              </w:rPr>
            </w:pPr>
            <w:r w:rsidRPr="001B31B0">
              <w:rPr>
                <w:sz w:val="18"/>
                <w:szCs w:val="18"/>
              </w:rPr>
              <w:t xml:space="preserve">Nested site located in the vicinity of the Lake Murdeduke Ramsar listed site. </w:t>
            </w:r>
          </w:p>
          <w:p w14:paraId="7DAA03C6" w14:textId="77777777" w:rsidR="005E36DC" w:rsidRPr="001B31B0" w:rsidRDefault="005E36DC" w:rsidP="00333B5A">
            <w:pPr>
              <w:pStyle w:val="Para0bullet"/>
              <w:numPr>
                <w:ilvl w:val="0"/>
                <w:numId w:val="20"/>
              </w:numPr>
              <w:tabs>
                <w:tab w:val="clear" w:pos="426"/>
                <w:tab w:val="left" w:pos="317"/>
              </w:tabs>
              <w:spacing w:after="60" w:line="200" w:lineRule="atLeast"/>
              <w:ind w:left="317"/>
              <w:rPr>
                <w:sz w:val="18"/>
                <w:szCs w:val="18"/>
              </w:rPr>
            </w:pPr>
            <w:r w:rsidRPr="001B31B0">
              <w:rPr>
                <w:sz w:val="18"/>
                <w:szCs w:val="18"/>
              </w:rPr>
              <w:t>Nested site will inform groundwater chemistry of multiple aquifers at one site and allow for interpretation of potential mixing.</w:t>
            </w:r>
          </w:p>
        </w:tc>
      </w:tr>
      <w:tr w:rsidR="00FC28A0" w:rsidRPr="001B31B0" w14:paraId="7DAA03CD" w14:textId="77777777" w:rsidTr="001B31B0">
        <w:trPr>
          <w:trHeight w:val="299"/>
        </w:trPr>
        <w:tc>
          <w:tcPr>
            <w:tcW w:w="1134" w:type="dxa"/>
            <w:shd w:val="clear" w:color="auto" w:fill="auto"/>
            <w:noWrap/>
            <w:vAlign w:val="center"/>
          </w:tcPr>
          <w:p w14:paraId="7DAA03C8" w14:textId="77777777" w:rsidR="00FC28A0" w:rsidRPr="001B31B0" w:rsidRDefault="00FC28A0" w:rsidP="00E41194">
            <w:pPr>
              <w:pStyle w:val="Tablesmalltext"/>
              <w:rPr>
                <w:sz w:val="18"/>
                <w:szCs w:val="18"/>
              </w:rPr>
            </w:pPr>
            <w:r w:rsidRPr="001B31B0">
              <w:rPr>
                <w:sz w:val="18"/>
                <w:szCs w:val="18"/>
              </w:rPr>
              <w:t>83446</w:t>
            </w:r>
            <w:r w:rsidR="00B672B7" w:rsidRPr="001B31B0">
              <w:rPr>
                <w:sz w:val="18"/>
                <w:szCs w:val="18"/>
              </w:rPr>
              <w:t>*</w:t>
            </w:r>
          </w:p>
          <w:p w14:paraId="7DAA03C9" w14:textId="77777777" w:rsidR="00FC28A0" w:rsidRPr="001B31B0" w:rsidRDefault="00FC28A0" w:rsidP="00E41194">
            <w:pPr>
              <w:pStyle w:val="Tablesmalltext"/>
              <w:rPr>
                <w:sz w:val="18"/>
                <w:szCs w:val="18"/>
              </w:rPr>
            </w:pPr>
            <w:r w:rsidRPr="001B31B0">
              <w:rPr>
                <w:sz w:val="18"/>
                <w:szCs w:val="18"/>
              </w:rPr>
              <w:t>83447</w:t>
            </w:r>
            <w:r w:rsidR="00B672B7" w:rsidRPr="001B31B0">
              <w:rPr>
                <w:sz w:val="18"/>
                <w:szCs w:val="18"/>
              </w:rPr>
              <w:t>*</w:t>
            </w:r>
          </w:p>
        </w:tc>
        <w:tc>
          <w:tcPr>
            <w:tcW w:w="2992" w:type="dxa"/>
            <w:shd w:val="clear" w:color="auto" w:fill="auto"/>
            <w:vAlign w:val="center"/>
          </w:tcPr>
          <w:p w14:paraId="7DAA03CA" w14:textId="77777777" w:rsidR="00FC28A0" w:rsidRPr="001B31B0" w:rsidRDefault="00FC28A0" w:rsidP="00E41194">
            <w:pPr>
              <w:pStyle w:val="Tablesmalltext"/>
              <w:rPr>
                <w:rFonts w:eastAsia="Times New Roman" w:cs="Arial"/>
                <w:color w:val="000000"/>
                <w:sz w:val="18"/>
                <w:szCs w:val="18"/>
                <w:lang w:eastAsia="en-AU"/>
              </w:rPr>
            </w:pPr>
            <w:r w:rsidRPr="001B31B0">
              <w:rPr>
                <w:rFonts w:eastAsia="Times New Roman" w:cs="Arial"/>
                <w:color w:val="000000"/>
                <w:sz w:val="18"/>
                <w:szCs w:val="18"/>
                <w:lang w:eastAsia="en-AU"/>
              </w:rPr>
              <w:t>Lower Tertiary Aquifer (111)</w:t>
            </w:r>
          </w:p>
          <w:p w14:paraId="7DAA03CB" w14:textId="77777777" w:rsidR="00FC28A0" w:rsidRPr="001B31B0" w:rsidRDefault="00FC28A0" w:rsidP="00E41194">
            <w:pPr>
              <w:pStyle w:val="Tablesmalltext"/>
              <w:rPr>
                <w:sz w:val="18"/>
                <w:szCs w:val="18"/>
              </w:rPr>
            </w:pPr>
            <w:r w:rsidRPr="001B31B0">
              <w:rPr>
                <w:rFonts w:eastAsia="Times New Roman" w:cs="Arial"/>
                <w:color w:val="000000"/>
                <w:sz w:val="18"/>
                <w:szCs w:val="18"/>
                <w:lang w:eastAsia="en-AU"/>
              </w:rPr>
              <w:t>Upper Mid-Tertiary Aquifer (107)</w:t>
            </w:r>
          </w:p>
        </w:tc>
        <w:tc>
          <w:tcPr>
            <w:tcW w:w="5670" w:type="dxa"/>
            <w:vAlign w:val="center"/>
          </w:tcPr>
          <w:p w14:paraId="7DAA03CC" w14:textId="77777777" w:rsidR="00FC28A0" w:rsidRPr="001B31B0" w:rsidRDefault="00FC28A0" w:rsidP="00333B5A">
            <w:pPr>
              <w:pStyle w:val="Para0bullet"/>
              <w:numPr>
                <w:ilvl w:val="0"/>
                <w:numId w:val="20"/>
              </w:numPr>
              <w:tabs>
                <w:tab w:val="clear" w:pos="426"/>
                <w:tab w:val="left" w:pos="317"/>
              </w:tabs>
              <w:spacing w:after="60" w:line="200" w:lineRule="atLeast"/>
              <w:ind w:left="317"/>
              <w:rPr>
                <w:sz w:val="18"/>
                <w:szCs w:val="18"/>
              </w:rPr>
            </w:pPr>
            <w:r w:rsidRPr="001B31B0">
              <w:rPr>
                <w:sz w:val="18"/>
                <w:szCs w:val="18"/>
              </w:rPr>
              <w:t>Nested site will inform groundwater chemistry of multiple aquifers at one site and allow for interpretation of potential mixing. Also located in an area where the aquitard is thin/absent</w:t>
            </w:r>
          </w:p>
        </w:tc>
      </w:tr>
      <w:tr w:rsidR="005E36DC" w:rsidRPr="001B31B0" w14:paraId="7DAA03D3" w14:textId="77777777" w:rsidTr="001B31B0">
        <w:trPr>
          <w:trHeight w:val="299"/>
        </w:trPr>
        <w:tc>
          <w:tcPr>
            <w:tcW w:w="1134" w:type="dxa"/>
            <w:shd w:val="clear" w:color="auto" w:fill="auto"/>
            <w:noWrap/>
            <w:vAlign w:val="center"/>
            <w:hideMark/>
          </w:tcPr>
          <w:p w14:paraId="7DAA03CE" w14:textId="77777777" w:rsidR="005E36DC" w:rsidRPr="001B31B0" w:rsidRDefault="005E36DC" w:rsidP="00E41194">
            <w:pPr>
              <w:pStyle w:val="Tablesmalltext"/>
              <w:rPr>
                <w:sz w:val="18"/>
                <w:szCs w:val="18"/>
              </w:rPr>
            </w:pPr>
            <w:r w:rsidRPr="001B31B0">
              <w:rPr>
                <w:sz w:val="18"/>
                <w:szCs w:val="18"/>
              </w:rPr>
              <w:t>110985</w:t>
            </w:r>
          </w:p>
          <w:p w14:paraId="7DAA03CF" w14:textId="77777777" w:rsidR="005E36DC" w:rsidRPr="001B31B0" w:rsidRDefault="005E36DC" w:rsidP="00E41194">
            <w:pPr>
              <w:pStyle w:val="Tablesmalltext"/>
              <w:rPr>
                <w:sz w:val="18"/>
                <w:szCs w:val="18"/>
              </w:rPr>
            </w:pPr>
            <w:r w:rsidRPr="001B31B0">
              <w:rPr>
                <w:sz w:val="18"/>
                <w:szCs w:val="18"/>
              </w:rPr>
              <w:t>110984</w:t>
            </w:r>
          </w:p>
        </w:tc>
        <w:tc>
          <w:tcPr>
            <w:tcW w:w="2992" w:type="dxa"/>
            <w:shd w:val="clear" w:color="auto" w:fill="auto"/>
            <w:vAlign w:val="center"/>
            <w:hideMark/>
          </w:tcPr>
          <w:p w14:paraId="7DAA03D0" w14:textId="77777777" w:rsidR="005E36DC" w:rsidRPr="001B31B0" w:rsidRDefault="005E36DC" w:rsidP="00E41194">
            <w:pPr>
              <w:pStyle w:val="Tablesmalltext"/>
              <w:rPr>
                <w:sz w:val="18"/>
                <w:szCs w:val="18"/>
              </w:rPr>
            </w:pPr>
            <w:r w:rsidRPr="001B31B0">
              <w:rPr>
                <w:sz w:val="18"/>
                <w:szCs w:val="18"/>
              </w:rPr>
              <w:t xml:space="preserve">Watertable aquifer (101 Newer Volcanics) and Whalers Bluff/Hanson Plain Sand (104) </w:t>
            </w:r>
          </w:p>
        </w:tc>
        <w:tc>
          <w:tcPr>
            <w:tcW w:w="5670" w:type="dxa"/>
            <w:vAlign w:val="center"/>
          </w:tcPr>
          <w:p w14:paraId="7DAA03D1" w14:textId="77777777" w:rsidR="005E36DC" w:rsidRPr="001B31B0" w:rsidRDefault="005E36DC" w:rsidP="00333B5A">
            <w:pPr>
              <w:pStyle w:val="Para0bullet"/>
              <w:numPr>
                <w:ilvl w:val="0"/>
                <w:numId w:val="20"/>
              </w:numPr>
              <w:tabs>
                <w:tab w:val="clear" w:pos="426"/>
                <w:tab w:val="left" w:pos="317"/>
              </w:tabs>
              <w:spacing w:after="60" w:line="200" w:lineRule="atLeast"/>
              <w:ind w:left="317"/>
              <w:rPr>
                <w:sz w:val="18"/>
                <w:szCs w:val="18"/>
              </w:rPr>
            </w:pPr>
            <w:r w:rsidRPr="001B31B0">
              <w:rPr>
                <w:sz w:val="18"/>
                <w:szCs w:val="18"/>
              </w:rPr>
              <w:t>Nested site located in the vicinity of the Lake Corangamite Ramsar listed site.</w:t>
            </w:r>
          </w:p>
          <w:p w14:paraId="7DAA03D2" w14:textId="77777777" w:rsidR="005E36DC" w:rsidRPr="001B31B0" w:rsidRDefault="005E36DC" w:rsidP="00333B5A">
            <w:pPr>
              <w:pStyle w:val="Para0bullet"/>
              <w:numPr>
                <w:ilvl w:val="0"/>
                <w:numId w:val="20"/>
              </w:numPr>
              <w:tabs>
                <w:tab w:val="clear" w:pos="426"/>
                <w:tab w:val="left" w:pos="317"/>
              </w:tabs>
              <w:spacing w:after="60" w:line="200" w:lineRule="atLeast"/>
              <w:ind w:left="317"/>
              <w:rPr>
                <w:sz w:val="18"/>
                <w:szCs w:val="18"/>
              </w:rPr>
            </w:pPr>
            <w:r w:rsidRPr="001B31B0">
              <w:rPr>
                <w:sz w:val="18"/>
                <w:szCs w:val="18"/>
              </w:rPr>
              <w:t>Nested site will inform groundwater chemistry of multiple aquifers at one site and allow for interpretation of potential mixing.</w:t>
            </w:r>
          </w:p>
        </w:tc>
      </w:tr>
      <w:tr w:rsidR="00B672B7" w:rsidRPr="001B31B0" w14:paraId="7DAA03D9" w14:textId="77777777" w:rsidTr="001B31B0">
        <w:trPr>
          <w:trHeight w:val="299"/>
        </w:trPr>
        <w:tc>
          <w:tcPr>
            <w:tcW w:w="1134" w:type="dxa"/>
            <w:shd w:val="clear" w:color="auto" w:fill="auto"/>
            <w:noWrap/>
            <w:vAlign w:val="center"/>
          </w:tcPr>
          <w:p w14:paraId="7DAA03D4" w14:textId="77777777" w:rsidR="00B672B7" w:rsidRPr="001B31B0" w:rsidRDefault="00B672B7" w:rsidP="00F673E7">
            <w:pPr>
              <w:pStyle w:val="Tablesmalltext"/>
              <w:rPr>
                <w:sz w:val="18"/>
                <w:szCs w:val="18"/>
              </w:rPr>
            </w:pPr>
            <w:r w:rsidRPr="001B31B0">
              <w:rPr>
                <w:sz w:val="18"/>
                <w:szCs w:val="18"/>
              </w:rPr>
              <w:t>141307</w:t>
            </w:r>
          </w:p>
          <w:p w14:paraId="7DAA03D5" w14:textId="77777777" w:rsidR="00B672B7" w:rsidRPr="001B31B0" w:rsidRDefault="00B672B7" w:rsidP="00F673E7">
            <w:pPr>
              <w:pStyle w:val="Tablesmalltext"/>
              <w:rPr>
                <w:sz w:val="18"/>
                <w:szCs w:val="18"/>
              </w:rPr>
            </w:pPr>
            <w:r w:rsidRPr="001B31B0">
              <w:rPr>
                <w:sz w:val="18"/>
                <w:szCs w:val="18"/>
              </w:rPr>
              <w:t>141308*</w:t>
            </w:r>
          </w:p>
        </w:tc>
        <w:tc>
          <w:tcPr>
            <w:tcW w:w="2992" w:type="dxa"/>
            <w:shd w:val="clear" w:color="auto" w:fill="auto"/>
            <w:vAlign w:val="center"/>
          </w:tcPr>
          <w:p w14:paraId="7DAA03D6" w14:textId="77777777" w:rsidR="00B672B7" w:rsidRPr="001B31B0" w:rsidRDefault="00B672B7" w:rsidP="00B672B7">
            <w:pPr>
              <w:spacing w:after="0" w:line="240" w:lineRule="auto"/>
              <w:rPr>
                <w:rFonts w:cs="Arial"/>
                <w:color w:val="000000"/>
                <w:sz w:val="18"/>
                <w:szCs w:val="18"/>
              </w:rPr>
            </w:pPr>
            <w:r w:rsidRPr="001B31B0">
              <w:rPr>
                <w:rFonts w:cs="Arial"/>
                <w:color w:val="000000"/>
                <w:sz w:val="18"/>
                <w:szCs w:val="18"/>
              </w:rPr>
              <w:t>Upper Tertiary/Quaternary Basalt Aquifer (101)</w:t>
            </w:r>
          </w:p>
          <w:p w14:paraId="7DAA03D7" w14:textId="77777777" w:rsidR="00B672B7" w:rsidRPr="001B31B0" w:rsidRDefault="00B672B7" w:rsidP="00F673E7">
            <w:pPr>
              <w:pStyle w:val="Tablesmalltext"/>
              <w:rPr>
                <w:sz w:val="18"/>
                <w:szCs w:val="18"/>
                <w:lang w:val="en-GB"/>
              </w:rPr>
            </w:pPr>
            <w:r w:rsidRPr="001B31B0">
              <w:rPr>
                <w:rFonts w:eastAsia="Times New Roman" w:cs="Arial"/>
                <w:color w:val="000000"/>
                <w:sz w:val="18"/>
                <w:szCs w:val="18"/>
                <w:lang w:eastAsia="en-AU"/>
              </w:rPr>
              <w:t>Upper Mid-Tertiary Aquifer (107)</w:t>
            </w:r>
          </w:p>
        </w:tc>
        <w:tc>
          <w:tcPr>
            <w:tcW w:w="5670" w:type="dxa"/>
            <w:vAlign w:val="center"/>
          </w:tcPr>
          <w:p w14:paraId="7DAA03D8" w14:textId="77777777" w:rsidR="00B672B7" w:rsidRPr="001B31B0" w:rsidRDefault="00B672B7" w:rsidP="00333B5A">
            <w:pPr>
              <w:pStyle w:val="Para0bullet"/>
              <w:numPr>
                <w:ilvl w:val="0"/>
                <w:numId w:val="20"/>
              </w:numPr>
              <w:tabs>
                <w:tab w:val="clear" w:pos="426"/>
                <w:tab w:val="left" w:pos="317"/>
              </w:tabs>
              <w:spacing w:after="60" w:line="200" w:lineRule="atLeast"/>
              <w:ind w:left="317"/>
              <w:rPr>
                <w:sz w:val="18"/>
                <w:szCs w:val="18"/>
              </w:rPr>
            </w:pPr>
            <w:r w:rsidRPr="001B31B0">
              <w:rPr>
                <w:sz w:val="18"/>
                <w:szCs w:val="18"/>
              </w:rPr>
              <w:t>Bores will monitor the high value PCL aquifer and the watertable aquifer (101 Newer Volcanics) and will inform groundwater chemistry of multiple aquifers at one site and allow for interpretation of potential mixing.</w:t>
            </w:r>
          </w:p>
        </w:tc>
      </w:tr>
      <w:tr w:rsidR="00B672B7" w:rsidRPr="001B31B0" w14:paraId="7DAA03DF" w14:textId="77777777" w:rsidTr="001B31B0">
        <w:trPr>
          <w:trHeight w:val="299"/>
        </w:trPr>
        <w:tc>
          <w:tcPr>
            <w:tcW w:w="1134" w:type="dxa"/>
            <w:shd w:val="clear" w:color="auto" w:fill="auto"/>
            <w:noWrap/>
            <w:vAlign w:val="center"/>
          </w:tcPr>
          <w:p w14:paraId="7DAA03DA" w14:textId="77777777" w:rsidR="00B672B7" w:rsidRPr="001B31B0" w:rsidRDefault="00B672B7" w:rsidP="00F673E7">
            <w:pPr>
              <w:pStyle w:val="Tablesmalltext"/>
              <w:rPr>
                <w:sz w:val="18"/>
                <w:szCs w:val="18"/>
              </w:rPr>
            </w:pPr>
            <w:r w:rsidRPr="001B31B0">
              <w:rPr>
                <w:sz w:val="18"/>
                <w:szCs w:val="18"/>
              </w:rPr>
              <w:t>82347*</w:t>
            </w:r>
          </w:p>
          <w:p w14:paraId="7DAA03DB" w14:textId="77777777" w:rsidR="00B672B7" w:rsidRPr="001B31B0" w:rsidRDefault="00B672B7" w:rsidP="00F673E7">
            <w:pPr>
              <w:pStyle w:val="Tablesmalltext"/>
              <w:rPr>
                <w:sz w:val="18"/>
                <w:szCs w:val="18"/>
              </w:rPr>
            </w:pPr>
            <w:r w:rsidRPr="001B31B0">
              <w:rPr>
                <w:sz w:val="18"/>
                <w:szCs w:val="18"/>
              </w:rPr>
              <w:t>S61557-4*</w:t>
            </w:r>
          </w:p>
        </w:tc>
        <w:tc>
          <w:tcPr>
            <w:tcW w:w="2992" w:type="dxa"/>
            <w:shd w:val="clear" w:color="auto" w:fill="auto"/>
            <w:vAlign w:val="center"/>
          </w:tcPr>
          <w:p w14:paraId="7DAA03DC" w14:textId="77777777" w:rsidR="00B672B7" w:rsidRPr="001B31B0" w:rsidRDefault="00B672B7" w:rsidP="00F673E7">
            <w:pPr>
              <w:pStyle w:val="Tablesmalltext"/>
              <w:rPr>
                <w:rFonts w:eastAsia="Times New Roman" w:cs="Arial"/>
                <w:color w:val="000000"/>
                <w:sz w:val="18"/>
                <w:szCs w:val="18"/>
                <w:lang w:eastAsia="en-AU"/>
              </w:rPr>
            </w:pPr>
            <w:r w:rsidRPr="001B31B0">
              <w:rPr>
                <w:rFonts w:eastAsia="Times New Roman" w:cs="Arial"/>
                <w:color w:val="000000"/>
                <w:sz w:val="18"/>
                <w:szCs w:val="18"/>
                <w:lang w:eastAsia="en-AU"/>
              </w:rPr>
              <w:t>Lower Tertiary Aquifer (111)</w:t>
            </w:r>
          </w:p>
          <w:p w14:paraId="7DAA03DD" w14:textId="77777777" w:rsidR="00B672B7" w:rsidRPr="001B31B0" w:rsidRDefault="00B672B7" w:rsidP="00F673E7">
            <w:pPr>
              <w:pStyle w:val="Tablesmalltext"/>
              <w:rPr>
                <w:sz w:val="18"/>
                <w:szCs w:val="18"/>
              </w:rPr>
            </w:pPr>
            <w:r w:rsidRPr="001B31B0">
              <w:rPr>
                <w:rFonts w:eastAsia="Times New Roman" w:cs="Arial"/>
                <w:color w:val="000000"/>
                <w:sz w:val="18"/>
                <w:szCs w:val="18"/>
                <w:lang w:eastAsia="en-AU"/>
              </w:rPr>
              <w:t>Quaternary Aquifer (100)</w:t>
            </w:r>
          </w:p>
        </w:tc>
        <w:tc>
          <w:tcPr>
            <w:tcW w:w="5670" w:type="dxa"/>
            <w:vAlign w:val="center"/>
          </w:tcPr>
          <w:p w14:paraId="7DAA03DE" w14:textId="77777777" w:rsidR="00B672B7" w:rsidRPr="001B31B0" w:rsidRDefault="00B672B7" w:rsidP="00333B5A">
            <w:pPr>
              <w:pStyle w:val="Para0bullet"/>
              <w:numPr>
                <w:ilvl w:val="0"/>
                <w:numId w:val="20"/>
              </w:numPr>
              <w:tabs>
                <w:tab w:val="clear" w:pos="426"/>
                <w:tab w:val="left" w:pos="317"/>
              </w:tabs>
              <w:spacing w:after="60" w:line="200" w:lineRule="atLeast"/>
              <w:ind w:left="317"/>
              <w:rPr>
                <w:sz w:val="18"/>
                <w:szCs w:val="18"/>
              </w:rPr>
            </w:pPr>
            <w:r w:rsidRPr="001B31B0">
              <w:rPr>
                <w:sz w:val="18"/>
                <w:szCs w:val="18"/>
              </w:rPr>
              <w:t>Bores will monitor the Dilwyn Formation Aquifer and the watertable aquifer and will inform groundwater chemistry of multiple aquifers at one site and allow for interpretation of potential mixing.</w:t>
            </w:r>
          </w:p>
        </w:tc>
      </w:tr>
    </w:tbl>
    <w:p w14:paraId="7DAA03E0" w14:textId="77777777" w:rsidR="00E41194" w:rsidRDefault="00E41194">
      <w:r>
        <w:br w:type="page"/>
      </w:r>
    </w:p>
    <w:p w14:paraId="7DAA03E1" w14:textId="77777777" w:rsidR="005E36DC" w:rsidRPr="001B31B0" w:rsidRDefault="009D3782" w:rsidP="001B31B0">
      <w:pPr>
        <w:pStyle w:val="figurereturn"/>
      </w:pPr>
      <w:r>
        <w:drawing>
          <wp:inline distT="0" distB="0" distL="0" distR="0" wp14:anchorId="7DAA0C51" wp14:editId="7DAA0C52">
            <wp:extent cx="6151418" cy="4244256"/>
            <wp:effectExtent l="19050" t="19050" r="20955" b="23495"/>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Otway_NestedSites2.png"/>
                    <pic:cNvPicPr/>
                  </pic:nvPicPr>
                  <pic:blipFill rotWithShape="1">
                    <a:blip r:embed="rId42">
                      <a:extLst>
                        <a:ext uri="{28A0092B-C50C-407E-A947-70E740481C1C}">
                          <a14:useLocalDpi xmlns:a14="http://schemas.microsoft.com/office/drawing/2010/main" val="0"/>
                        </a:ext>
                      </a:extLst>
                    </a:blip>
                    <a:srcRect l="1913" t="2948" r="1043" b="2443"/>
                    <a:stretch/>
                  </pic:blipFill>
                  <pic:spPr bwMode="auto">
                    <a:xfrm>
                      <a:off x="0" y="0"/>
                      <a:ext cx="6148203" cy="424203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DAA03E2" w14:textId="49B4E878" w:rsidR="000C564C" w:rsidRPr="000C564C" w:rsidRDefault="00E41194" w:rsidP="00D0375F">
      <w:pPr>
        <w:pStyle w:val="Figuretitle"/>
      </w:pPr>
      <w:bookmarkStart w:id="90" w:name="_Ref414006420"/>
      <w:bookmarkStart w:id="91" w:name="_Toc420327769"/>
      <w:r w:rsidRPr="00B672B7">
        <w:t xml:space="preserve">Figure </w:t>
      </w:r>
      <w:r w:rsidR="00B91643">
        <w:fldChar w:fldCharType="begin"/>
      </w:r>
      <w:r w:rsidR="00B91643">
        <w:instrText xml:space="preserve"> SEQ Figure \* ARABIC </w:instrText>
      </w:r>
      <w:r w:rsidR="00B91643">
        <w:fldChar w:fldCharType="separate"/>
      </w:r>
      <w:r w:rsidR="00BD60CC">
        <w:rPr>
          <w:noProof/>
        </w:rPr>
        <w:t>18</w:t>
      </w:r>
      <w:r w:rsidR="00B91643">
        <w:rPr>
          <w:noProof/>
        </w:rPr>
        <w:fldChar w:fldCharType="end"/>
      </w:r>
      <w:bookmarkEnd w:id="90"/>
      <w:r w:rsidRPr="00B672B7">
        <w:t xml:space="preserve"> </w:t>
      </w:r>
      <w:r w:rsidR="000C564C" w:rsidRPr="00B672B7">
        <w:t xml:space="preserve">Nested SOB sites across the Otway </w:t>
      </w:r>
      <w:r w:rsidR="00E87D28">
        <w:t>region</w:t>
      </w:r>
      <w:r w:rsidR="000C564C" w:rsidRPr="00B672B7">
        <w:t xml:space="preserve"> </w:t>
      </w:r>
      <w:r w:rsidR="00B672B7" w:rsidRPr="00B672B7">
        <w:t xml:space="preserve">selected for inclusion in </w:t>
      </w:r>
      <w:r w:rsidR="000C564C" w:rsidRPr="00B672B7">
        <w:t xml:space="preserve">the </w:t>
      </w:r>
      <w:r w:rsidR="00857ACF">
        <w:t xml:space="preserve">monitoring </w:t>
      </w:r>
      <w:r w:rsidR="000C564C" w:rsidRPr="00B672B7">
        <w:t>program</w:t>
      </w:r>
      <w:bookmarkEnd w:id="91"/>
      <w:r w:rsidR="00CA6D0C">
        <w:br/>
      </w:r>
    </w:p>
    <w:p w14:paraId="7DAA03E3" w14:textId="10D08B06" w:rsidR="000C564C" w:rsidRPr="000C564C" w:rsidRDefault="00F673E7" w:rsidP="005E36DC">
      <w:pPr>
        <w:pStyle w:val="Head2xx"/>
      </w:pPr>
      <w:bookmarkStart w:id="92" w:name="_Toc420327726"/>
      <w:r>
        <w:t>Summary of selected</w:t>
      </w:r>
      <w:r w:rsidR="000C564C" w:rsidRPr="000C564C">
        <w:t xml:space="preserve"> </w:t>
      </w:r>
      <w:r w:rsidR="00857ACF">
        <w:t xml:space="preserve">monitoring </w:t>
      </w:r>
      <w:r w:rsidR="000C564C" w:rsidRPr="000C564C">
        <w:t>network</w:t>
      </w:r>
      <w:bookmarkEnd w:id="92"/>
    </w:p>
    <w:p w14:paraId="7DAA03E4" w14:textId="35730BC3" w:rsidR="000C564C" w:rsidRPr="000C564C" w:rsidRDefault="00E41194" w:rsidP="000C564C">
      <w:pPr>
        <w:rPr>
          <w:lang w:val="en-AU"/>
        </w:rPr>
      </w:pPr>
      <w:r>
        <w:rPr>
          <w:lang w:val="en-AU"/>
        </w:rPr>
        <w:fldChar w:fldCharType="begin"/>
      </w:r>
      <w:r>
        <w:rPr>
          <w:lang w:val="en-AU"/>
        </w:rPr>
        <w:instrText xml:space="preserve"> REF _Ref414006749 \h </w:instrText>
      </w:r>
      <w:r>
        <w:rPr>
          <w:lang w:val="en-AU"/>
        </w:rPr>
      </w:r>
      <w:r>
        <w:rPr>
          <w:lang w:val="en-AU"/>
        </w:rPr>
        <w:fldChar w:fldCharType="separate"/>
      </w:r>
      <w:r w:rsidR="00BD60CC">
        <w:t xml:space="preserve">Table </w:t>
      </w:r>
      <w:r w:rsidR="00BD60CC">
        <w:rPr>
          <w:noProof/>
        </w:rPr>
        <w:t>10</w:t>
      </w:r>
      <w:r>
        <w:rPr>
          <w:lang w:val="en-AU"/>
        </w:rPr>
        <w:fldChar w:fldCharType="end"/>
      </w:r>
      <w:r>
        <w:rPr>
          <w:lang w:val="en-AU"/>
        </w:rPr>
        <w:t xml:space="preserve"> </w:t>
      </w:r>
      <w:r w:rsidR="000C564C" w:rsidRPr="000C564C">
        <w:rPr>
          <w:lang w:val="en-AU"/>
        </w:rPr>
        <w:t>pr</w:t>
      </w:r>
      <w:r w:rsidR="00F673E7">
        <w:rPr>
          <w:lang w:val="en-AU"/>
        </w:rPr>
        <w:t>ovides a summary of the selected</w:t>
      </w:r>
      <w:r w:rsidR="000C564C" w:rsidRPr="000C564C">
        <w:rPr>
          <w:lang w:val="en-AU"/>
        </w:rPr>
        <w:t xml:space="preserve"> bores for the Otway </w:t>
      </w:r>
      <w:r w:rsidR="00EC356C">
        <w:rPr>
          <w:lang w:val="en-AU"/>
        </w:rPr>
        <w:t>monitoring</w:t>
      </w:r>
      <w:r w:rsidR="000C564C" w:rsidRPr="000C564C">
        <w:rPr>
          <w:lang w:val="en-AU"/>
        </w:rPr>
        <w:t xml:space="preserve"> network. A total of 3</w:t>
      </w:r>
      <w:r w:rsidR="000B596F">
        <w:rPr>
          <w:lang w:val="en-AU"/>
        </w:rPr>
        <w:t>0</w:t>
      </w:r>
      <w:r w:rsidR="000C564C" w:rsidRPr="000C564C">
        <w:rPr>
          <w:lang w:val="en-AU"/>
        </w:rPr>
        <w:t xml:space="preserve"> bores </w:t>
      </w:r>
      <w:r w:rsidR="006F0A17">
        <w:rPr>
          <w:lang w:val="en-AU"/>
        </w:rPr>
        <w:t>were</w:t>
      </w:r>
      <w:r w:rsidR="000C564C" w:rsidRPr="000C564C">
        <w:rPr>
          <w:lang w:val="en-AU"/>
        </w:rPr>
        <w:t xml:space="preserve"> </w:t>
      </w:r>
      <w:r w:rsidR="000B596F">
        <w:rPr>
          <w:lang w:val="en-AU"/>
        </w:rPr>
        <w:t xml:space="preserve">selected for inclusion in the </w:t>
      </w:r>
      <w:r w:rsidR="00857ACF">
        <w:rPr>
          <w:lang w:val="en-AU"/>
        </w:rPr>
        <w:t xml:space="preserve">monitoring </w:t>
      </w:r>
      <w:r w:rsidR="000B596F">
        <w:rPr>
          <w:lang w:val="en-AU"/>
        </w:rPr>
        <w:t>program</w:t>
      </w:r>
      <w:r w:rsidR="00BE5B9A">
        <w:rPr>
          <w:lang w:val="en-AU"/>
        </w:rPr>
        <w:t>.</w:t>
      </w:r>
      <w:r w:rsidR="000B596F">
        <w:rPr>
          <w:lang w:val="en-AU"/>
        </w:rPr>
        <w:t xml:space="preserve"> These bores </w:t>
      </w:r>
      <w:r w:rsidR="006F0A17">
        <w:rPr>
          <w:lang w:val="en-AU"/>
        </w:rPr>
        <w:t>were</w:t>
      </w:r>
      <w:r w:rsidR="000B596F">
        <w:rPr>
          <w:lang w:val="en-AU"/>
        </w:rPr>
        <w:t xml:space="preserve"> selected because they meet one or more of the following selection criteria: </w:t>
      </w:r>
    </w:p>
    <w:p w14:paraId="7DAA03E5" w14:textId="563C429A" w:rsidR="000C564C" w:rsidRPr="00D5530F" w:rsidRDefault="000C564C" w:rsidP="00D5530F">
      <w:pPr>
        <w:pStyle w:val="Bullet1"/>
        <w:numPr>
          <w:ilvl w:val="0"/>
          <w:numId w:val="2"/>
        </w:numPr>
        <w:tabs>
          <w:tab w:val="clear" w:pos="1260"/>
          <w:tab w:val="num" w:pos="426"/>
          <w:tab w:val="num" w:pos="851"/>
        </w:tabs>
        <w:ind w:left="426" w:hanging="426"/>
      </w:pPr>
      <w:r w:rsidRPr="00D5530F">
        <w:t xml:space="preserve">located in a prospectivity area and near a high value </w:t>
      </w:r>
      <w:r w:rsidR="00A94D5B">
        <w:t xml:space="preserve">groundwater dependent ecosystems </w:t>
      </w:r>
    </w:p>
    <w:p w14:paraId="7DAA03E6" w14:textId="20F44705" w:rsidR="000C564C" w:rsidRPr="00D5530F" w:rsidRDefault="000C564C" w:rsidP="00D5530F">
      <w:pPr>
        <w:pStyle w:val="Bullet1"/>
        <w:numPr>
          <w:ilvl w:val="0"/>
          <w:numId w:val="2"/>
        </w:numPr>
        <w:tabs>
          <w:tab w:val="clear" w:pos="1260"/>
          <w:tab w:val="num" w:pos="426"/>
          <w:tab w:val="num" w:pos="851"/>
        </w:tabs>
        <w:ind w:left="426" w:hanging="426"/>
      </w:pPr>
      <w:r w:rsidRPr="00D5530F">
        <w:t>monitors the target aquifer in a proclaimed groundwater area</w:t>
      </w:r>
    </w:p>
    <w:p w14:paraId="7DAA03E7" w14:textId="400D720C" w:rsidR="000C564C" w:rsidRPr="00D5530F" w:rsidRDefault="000C564C" w:rsidP="00D5530F">
      <w:pPr>
        <w:pStyle w:val="Bullet1"/>
        <w:numPr>
          <w:ilvl w:val="0"/>
          <w:numId w:val="2"/>
        </w:numPr>
        <w:tabs>
          <w:tab w:val="clear" w:pos="1260"/>
          <w:tab w:val="num" w:pos="426"/>
          <w:tab w:val="num" w:pos="851"/>
        </w:tabs>
        <w:ind w:left="426" w:hanging="426"/>
      </w:pPr>
      <w:r w:rsidRPr="00D5530F">
        <w:t xml:space="preserve">monitors the watertable aquifer near a high value </w:t>
      </w:r>
      <w:r w:rsidR="00A94D5B">
        <w:t xml:space="preserve">groundwater dependent ecosystems </w:t>
      </w:r>
    </w:p>
    <w:p w14:paraId="7DAA03E8" w14:textId="2507E50A" w:rsidR="000C564C" w:rsidRPr="00D5530F" w:rsidRDefault="000C564C" w:rsidP="00D5530F">
      <w:pPr>
        <w:pStyle w:val="Bullet1"/>
        <w:numPr>
          <w:ilvl w:val="0"/>
          <w:numId w:val="2"/>
        </w:numPr>
        <w:tabs>
          <w:tab w:val="clear" w:pos="1260"/>
          <w:tab w:val="num" w:pos="426"/>
          <w:tab w:val="num" w:pos="851"/>
        </w:tabs>
        <w:ind w:left="426" w:hanging="426"/>
      </w:pPr>
      <w:r w:rsidRPr="00D5530F">
        <w:t>targets areas identified in literature review</w:t>
      </w:r>
    </w:p>
    <w:p w14:paraId="7DAA03E9" w14:textId="50AFCE12" w:rsidR="000C564C" w:rsidRPr="00D5530F" w:rsidRDefault="000C564C" w:rsidP="00D5530F">
      <w:pPr>
        <w:pStyle w:val="Bullet1"/>
        <w:numPr>
          <w:ilvl w:val="0"/>
          <w:numId w:val="2"/>
        </w:numPr>
        <w:tabs>
          <w:tab w:val="clear" w:pos="1260"/>
          <w:tab w:val="num" w:pos="426"/>
          <w:tab w:val="num" w:pos="851"/>
        </w:tabs>
        <w:ind w:left="426" w:hanging="426"/>
      </w:pPr>
      <w:r w:rsidRPr="00D5530F">
        <w:t>includes a nested site</w:t>
      </w:r>
    </w:p>
    <w:p w14:paraId="7DAA03EA" w14:textId="03816D8C" w:rsidR="00DF5A02" w:rsidRPr="00D5530F" w:rsidRDefault="000C564C" w:rsidP="001B31B0">
      <w:pPr>
        <w:pStyle w:val="B110after"/>
      </w:pPr>
      <w:r w:rsidRPr="00D5530F">
        <w:t>located near a Ramsar listed site</w:t>
      </w:r>
      <w:r w:rsidR="00DF5A02" w:rsidRPr="00D5530F">
        <w:t>.</w:t>
      </w:r>
    </w:p>
    <w:p w14:paraId="7DAA03EB" w14:textId="6ECB03E6" w:rsidR="005E36DC" w:rsidRPr="009D3782" w:rsidRDefault="00DF5A02" w:rsidP="00DF5A02">
      <w:pPr>
        <w:rPr>
          <w:lang w:val="en-AU"/>
        </w:rPr>
      </w:pPr>
      <w:r>
        <w:rPr>
          <w:lang w:val="en-AU"/>
        </w:rPr>
        <w:t xml:space="preserve">Upon review of the final set of </w:t>
      </w:r>
      <w:r w:rsidR="00857ACF">
        <w:rPr>
          <w:lang w:val="en-AU"/>
        </w:rPr>
        <w:t>monitoring</w:t>
      </w:r>
      <w:r>
        <w:rPr>
          <w:lang w:val="en-AU"/>
        </w:rPr>
        <w:t xml:space="preserve"> bores, a single additional bore </w:t>
      </w:r>
      <w:r w:rsidR="00976706">
        <w:rPr>
          <w:lang w:val="en-AU"/>
        </w:rPr>
        <w:t xml:space="preserve">(69455) </w:t>
      </w:r>
      <w:r>
        <w:rPr>
          <w:lang w:val="en-AU"/>
        </w:rPr>
        <w:t xml:space="preserve">was incorporated. This is the only State Observation Bore in the Otway Basin constructed into the Mesozoic and Palaeozoic Bedrock aquifer. Although this bore did not meet any of the selection criteria listed above, it was included to provide groundwater chemistry information for the primary target aquifers in the </w:t>
      </w:r>
      <w:r w:rsidR="00E87D28">
        <w:rPr>
          <w:lang w:val="en-AU"/>
        </w:rPr>
        <w:t>region</w:t>
      </w:r>
      <w:r>
        <w:rPr>
          <w:lang w:val="en-AU"/>
        </w:rPr>
        <w:t xml:space="preserve">. </w:t>
      </w:r>
      <w:r w:rsidR="00BE5B9A">
        <w:rPr>
          <w:lang w:val="en-AU"/>
        </w:rPr>
        <w:t>The network is show</w:t>
      </w:r>
      <w:r w:rsidR="00976706">
        <w:rPr>
          <w:lang w:val="en-AU"/>
        </w:rPr>
        <w:t>n</w:t>
      </w:r>
      <w:r w:rsidR="00BE5B9A">
        <w:rPr>
          <w:lang w:val="en-AU"/>
        </w:rPr>
        <w:t xml:space="preserve"> in </w:t>
      </w:r>
      <w:r w:rsidR="00BE5B9A">
        <w:rPr>
          <w:lang w:val="en-AU"/>
        </w:rPr>
        <w:fldChar w:fldCharType="begin"/>
      </w:r>
      <w:r w:rsidR="00BE5B9A">
        <w:rPr>
          <w:lang w:val="en-AU"/>
        </w:rPr>
        <w:instrText xml:space="preserve"> REF _Ref414006674 \h </w:instrText>
      </w:r>
      <w:r w:rsidR="00BE5B9A">
        <w:rPr>
          <w:lang w:val="en-AU"/>
        </w:rPr>
      </w:r>
      <w:r w:rsidR="00BE5B9A">
        <w:rPr>
          <w:lang w:val="en-AU"/>
        </w:rPr>
        <w:fldChar w:fldCharType="separate"/>
      </w:r>
      <w:r w:rsidR="00BD60CC" w:rsidRPr="00711D60">
        <w:t xml:space="preserve">Figure </w:t>
      </w:r>
      <w:r w:rsidR="00BD60CC">
        <w:rPr>
          <w:noProof/>
        </w:rPr>
        <w:t>19</w:t>
      </w:r>
      <w:r w:rsidR="00BE5B9A">
        <w:rPr>
          <w:lang w:val="en-AU"/>
        </w:rPr>
        <w:fldChar w:fldCharType="end"/>
      </w:r>
      <w:r w:rsidR="00976706">
        <w:rPr>
          <w:lang w:val="en-AU"/>
        </w:rPr>
        <w:t xml:space="preserve"> and summary comments provided in Table 10.</w:t>
      </w:r>
      <w:r w:rsidR="00BE5B9A">
        <w:rPr>
          <w:lang w:val="en-AU"/>
        </w:rPr>
        <w:t xml:space="preserve"> </w:t>
      </w:r>
      <w:r>
        <w:rPr>
          <w:lang w:val="en-AU"/>
        </w:rPr>
        <w:t xml:space="preserve"> </w:t>
      </w:r>
      <w:r w:rsidR="009D3782" w:rsidRPr="009D3782">
        <w:rPr>
          <w:lang w:val="en-AU"/>
        </w:rPr>
        <w:t xml:space="preserve"> </w:t>
      </w:r>
    </w:p>
    <w:p w14:paraId="7DAA03EC" w14:textId="77777777" w:rsidR="000B596F" w:rsidRDefault="000B596F" w:rsidP="000C564C">
      <w:pPr>
        <w:rPr>
          <w:lang w:val="en-AU"/>
        </w:rPr>
        <w:sectPr w:rsidR="000B596F" w:rsidSect="0063692F">
          <w:headerReference w:type="default" r:id="rId43"/>
          <w:headerReference w:type="first" r:id="rId44"/>
          <w:pgSz w:w="11906" w:h="16838" w:code="9"/>
          <w:pgMar w:top="2268" w:right="1134" w:bottom="1276" w:left="1134" w:header="567" w:footer="567" w:gutter="0"/>
          <w:cols w:space="708"/>
          <w:titlePg/>
          <w:docGrid w:linePitch="360"/>
        </w:sectPr>
      </w:pPr>
    </w:p>
    <w:p w14:paraId="7DAA03ED" w14:textId="651FE653" w:rsidR="000C564C" w:rsidRPr="000C564C" w:rsidRDefault="0084308A" w:rsidP="001B31B0">
      <w:pPr>
        <w:pStyle w:val="figurereturn"/>
      </w:pPr>
      <w:r w:rsidRPr="001B31B0">
        <w:drawing>
          <wp:inline distT="0" distB="0" distL="0" distR="0" wp14:anchorId="4A0900A8" wp14:editId="167F3FDF">
            <wp:extent cx="7984355" cy="5426816"/>
            <wp:effectExtent l="19050" t="19050" r="17145" b="2159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993790" cy="5433229"/>
                    </a:xfrm>
                    <a:prstGeom prst="rect">
                      <a:avLst/>
                    </a:prstGeom>
                    <a:noFill/>
                    <a:ln>
                      <a:solidFill>
                        <a:schemeClr val="accent1"/>
                      </a:solidFill>
                    </a:ln>
                  </pic:spPr>
                </pic:pic>
              </a:graphicData>
            </a:graphic>
          </wp:inline>
        </w:drawing>
      </w:r>
    </w:p>
    <w:p w14:paraId="7DAA03EE" w14:textId="64C80CC2" w:rsidR="005E36DC" w:rsidRDefault="00E41194" w:rsidP="00D0375F">
      <w:pPr>
        <w:pStyle w:val="Figuretitle"/>
        <w:sectPr w:rsidR="005E36DC" w:rsidSect="0078722D">
          <w:headerReference w:type="first" r:id="rId46"/>
          <w:pgSz w:w="16838" w:h="11906" w:orient="landscape" w:code="9"/>
          <w:pgMar w:top="1701" w:right="1134" w:bottom="1276" w:left="1134" w:header="567" w:footer="567" w:gutter="0"/>
          <w:cols w:space="708"/>
          <w:titlePg/>
          <w:docGrid w:linePitch="360"/>
        </w:sectPr>
      </w:pPr>
      <w:bookmarkStart w:id="93" w:name="_Ref414006674"/>
      <w:bookmarkStart w:id="94" w:name="_Toc420327770"/>
      <w:r w:rsidRPr="00711D60">
        <w:t xml:space="preserve">Figure </w:t>
      </w:r>
      <w:r w:rsidR="00B91643">
        <w:fldChar w:fldCharType="begin"/>
      </w:r>
      <w:r w:rsidR="00B91643">
        <w:instrText xml:space="preserve"> SEQ Figure \* ARABIC </w:instrText>
      </w:r>
      <w:r w:rsidR="00B91643">
        <w:fldChar w:fldCharType="separate"/>
      </w:r>
      <w:r w:rsidR="00BD60CC">
        <w:rPr>
          <w:noProof/>
        </w:rPr>
        <w:t>19</w:t>
      </w:r>
      <w:r w:rsidR="00B91643">
        <w:rPr>
          <w:noProof/>
        </w:rPr>
        <w:fldChar w:fldCharType="end"/>
      </w:r>
      <w:bookmarkEnd w:id="93"/>
      <w:r w:rsidRPr="00711D60">
        <w:t xml:space="preserve"> </w:t>
      </w:r>
      <w:r w:rsidR="00F673E7">
        <w:t xml:space="preserve">Selected </w:t>
      </w:r>
      <w:r w:rsidR="00857ACF">
        <w:t xml:space="preserve">monitoring </w:t>
      </w:r>
      <w:r w:rsidR="005E36DC" w:rsidRPr="00711D60">
        <w:t xml:space="preserve">network for the Otway </w:t>
      </w:r>
      <w:r w:rsidR="00E87D28">
        <w:t>region</w:t>
      </w:r>
      <w:bookmarkEnd w:id="94"/>
    </w:p>
    <w:p w14:paraId="7DAA03EF" w14:textId="7DDDBCD2" w:rsidR="000C564C" w:rsidRDefault="00E41194" w:rsidP="004F307F">
      <w:pPr>
        <w:pStyle w:val="Tableheading"/>
        <w:rPr>
          <w:lang w:val="en-AU"/>
        </w:rPr>
      </w:pPr>
      <w:bookmarkStart w:id="95" w:name="_Ref414006749"/>
      <w:bookmarkStart w:id="96" w:name="_Toc420320560"/>
      <w:r>
        <w:t xml:space="preserve">Table </w:t>
      </w:r>
      <w:r>
        <w:fldChar w:fldCharType="begin"/>
      </w:r>
      <w:r>
        <w:instrText xml:space="preserve"> SEQ Table \* ARABIC </w:instrText>
      </w:r>
      <w:r>
        <w:fldChar w:fldCharType="separate"/>
      </w:r>
      <w:r w:rsidR="00BD60CC">
        <w:rPr>
          <w:noProof/>
        </w:rPr>
        <w:t>10</w:t>
      </w:r>
      <w:r>
        <w:fldChar w:fldCharType="end"/>
      </w:r>
      <w:bookmarkEnd w:id="95"/>
      <w:r>
        <w:rPr>
          <w:lang w:val="en-AU"/>
        </w:rPr>
        <w:t xml:space="preserve"> </w:t>
      </w:r>
      <w:r w:rsidR="00F673E7">
        <w:rPr>
          <w:lang w:val="en-AU"/>
        </w:rPr>
        <w:t>Summary of selected</w:t>
      </w:r>
      <w:r w:rsidR="000C564C" w:rsidRPr="000C564C">
        <w:rPr>
          <w:lang w:val="en-AU"/>
        </w:rPr>
        <w:t xml:space="preserve"> bores for the Otway </w:t>
      </w:r>
      <w:r w:rsidR="00857ACF">
        <w:rPr>
          <w:lang w:val="en-AU"/>
        </w:rPr>
        <w:t xml:space="preserve">monitoring </w:t>
      </w:r>
      <w:r w:rsidR="000C564C" w:rsidRPr="000C564C">
        <w:rPr>
          <w:lang w:val="en-AU"/>
        </w:rPr>
        <w:t>network</w:t>
      </w:r>
      <w:bookmarkEnd w:id="96"/>
    </w:p>
    <w:tbl>
      <w:tblPr>
        <w:tblW w:w="9961" w:type="dxa"/>
        <w:tblInd w:w="120"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264"/>
        <w:gridCol w:w="1777"/>
        <w:gridCol w:w="7087"/>
      </w:tblGrid>
      <w:tr w:rsidR="00BE5B9A" w:rsidRPr="00342640" w14:paraId="7DAA03F3" w14:textId="77777777" w:rsidTr="00E3598E">
        <w:trPr>
          <w:trHeight w:val="270"/>
          <w:tblHeader/>
        </w:trPr>
        <w:tc>
          <w:tcPr>
            <w:tcW w:w="1264" w:type="dxa"/>
            <w:tcBorders>
              <w:top w:val="nil"/>
              <w:right w:val="single" w:sz="4" w:space="0" w:color="FFFFFF"/>
            </w:tcBorders>
            <w:shd w:val="clear" w:color="auto" w:fill="005A97"/>
            <w:noWrap/>
            <w:vAlign w:val="center"/>
            <w:hideMark/>
          </w:tcPr>
          <w:p w14:paraId="7DAA03F0" w14:textId="77777777" w:rsidR="00BE5B9A" w:rsidRPr="00BE5B9A" w:rsidRDefault="00BE5B9A" w:rsidP="00E63375">
            <w:pPr>
              <w:pStyle w:val="TableHeaderrow"/>
            </w:pPr>
            <w:r w:rsidRPr="00BE5B9A">
              <w:t>Bore</w:t>
            </w:r>
          </w:p>
        </w:tc>
        <w:tc>
          <w:tcPr>
            <w:tcW w:w="1610" w:type="dxa"/>
            <w:tcBorders>
              <w:top w:val="nil"/>
              <w:left w:val="single" w:sz="4" w:space="0" w:color="FFFFFF"/>
              <w:right w:val="single" w:sz="4" w:space="0" w:color="FFFFFF"/>
            </w:tcBorders>
            <w:shd w:val="clear" w:color="auto" w:fill="005A97"/>
            <w:noWrap/>
            <w:vAlign w:val="center"/>
            <w:hideMark/>
          </w:tcPr>
          <w:p w14:paraId="7DAA03F1" w14:textId="77777777" w:rsidR="00BE5B9A" w:rsidRPr="00BE5B9A" w:rsidRDefault="00BE5B9A" w:rsidP="00E63375">
            <w:pPr>
              <w:pStyle w:val="TableHeaderrow"/>
            </w:pPr>
            <w:r w:rsidRPr="00BE5B9A">
              <w:t>Aquifer Monitored</w:t>
            </w:r>
          </w:p>
        </w:tc>
        <w:tc>
          <w:tcPr>
            <w:tcW w:w="7087" w:type="dxa"/>
            <w:tcBorders>
              <w:top w:val="nil"/>
              <w:left w:val="single" w:sz="4" w:space="0" w:color="FFFFFF"/>
            </w:tcBorders>
            <w:shd w:val="clear" w:color="auto" w:fill="005A97"/>
            <w:noWrap/>
            <w:vAlign w:val="center"/>
            <w:hideMark/>
          </w:tcPr>
          <w:p w14:paraId="7DAA03F2" w14:textId="5CAEA1F5" w:rsidR="00BE5B9A" w:rsidRPr="00BE5B9A" w:rsidRDefault="00BE5B9A" w:rsidP="00E63375">
            <w:pPr>
              <w:pStyle w:val="TableHeaderrow"/>
            </w:pPr>
            <w:r w:rsidRPr="00BE5B9A">
              <w:t xml:space="preserve">Justification for inclusion in the </w:t>
            </w:r>
            <w:r w:rsidR="00857ACF">
              <w:t xml:space="preserve">monitoring </w:t>
            </w:r>
            <w:r w:rsidRPr="00BE5B9A">
              <w:t>network</w:t>
            </w:r>
          </w:p>
        </w:tc>
      </w:tr>
      <w:tr w:rsidR="00BE5B9A" w:rsidRPr="00342640" w14:paraId="7DAA03F9" w14:textId="77777777" w:rsidTr="00E3598E">
        <w:trPr>
          <w:trHeight w:val="561"/>
        </w:trPr>
        <w:tc>
          <w:tcPr>
            <w:tcW w:w="1264" w:type="dxa"/>
            <w:shd w:val="clear" w:color="auto" w:fill="auto"/>
            <w:noWrap/>
            <w:vAlign w:val="center"/>
            <w:hideMark/>
          </w:tcPr>
          <w:p w14:paraId="7DAA03F4"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111524</w:t>
            </w:r>
          </w:p>
        </w:tc>
        <w:tc>
          <w:tcPr>
            <w:tcW w:w="1610" w:type="dxa"/>
            <w:shd w:val="clear" w:color="auto" w:fill="auto"/>
            <w:noWrap/>
            <w:vAlign w:val="center"/>
            <w:hideMark/>
          </w:tcPr>
          <w:p w14:paraId="7DAA03F5"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Mid-Tertiary Aquifer (107)</w:t>
            </w:r>
          </w:p>
        </w:tc>
        <w:tc>
          <w:tcPr>
            <w:tcW w:w="7087" w:type="dxa"/>
            <w:shd w:val="clear" w:color="auto" w:fill="auto"/>
            <w:noWrap/>
            <w:vAlign w:val="center"/>
          </w:tcPr>
          <w:p w14:paraId="7DAA03F6"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area of prospectivity and high value rivers and wetlands </w:t>
            </w:r>
          </w:p>
          <w:p w14:paraId="7DAA03F7"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Monitors the target aquifer (PCL) in the Hawkesdale GMA  </w:t>
            </w:r>
          </w:p>
          <w:p w14:paraId="7DAA03F8"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Nested with 111525 and will inform groundwater chemistry of multiple aquifers at one site and allow for interpretation of potential mixing.</w:t>
            </w:r>
          </w:p>
        </w:tc>
      </w:tr>
      <w:tr w:rsidR="00BE5B9A" w:rsidRPr="00342640" w14:paraId="7DAA03FF" w14:textId="77777777" w:rsidTr="00E3598E">
        <w:trPr>
          <w:trHeight w:val="822"/>
        </w:trPr>
        <w:tc>
          <w:tcPr>
            <w:tcW w:w="1264" w:type="dxa"/>
            <w:shd w:val="clear" w:color="auto" w:fill="auto"/>
            <w:noWrap/>
            <w:vAlign w:val="center"/>
            <w:hideMark/>
          </w:tcPr>
          <w:p w14:paraId="7DAA03FA"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111525</w:t>
            </w:r>
          </w:p>
        </w:tc>
        <w:tc>
          <w:tcPr>
            <w:tcW w:w="1610" w:type="dxa"/>
            <w:shd w:val="clear" w:color="auto" w:fill="auto"/>
            <w:noWrap/>
            <w:vAlign w:val="center"/>
            <w:hideMark/>
          </w:tcPr>
          <w:p w14:paraId="7DAA03FB"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Tertiary/Quaternary Basalt Aquifer (101)</w:t>
            </w:r>
          </w:p>
        </w:tc>
        <w:tc>
          <w:tcPr>
            <w:tcW w:w="7087" w:type="dxa"/>
            <w:shd w:val="clear" w:color="auto" w:fill="auto"/>
            <w:noWrap/>
            <w:vAlign w:val="center"/>
          </w:tcPr>
          <w:p w14:paraId="7DAA03FC"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Located in the area of prospectivity and high value rivers and wetlands</w:t>
            </w:r>
          </w:p>
          <w:p w14:paraId="7DAA03FD"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Monitors the watertable aquifer in the vicinity of environmental assets </w:t>
            </w:r>
          </w:p>
          <w:p w14:paraId="7DAA03FE"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Nested with 111524 and will inform groundwater chemistry of multiple aquifers at one site and allow for interpretation of potential mixing.</w:t>
            </w:r>
          </w:p>
        </w:tc>
      </w:tr>
      <w:tr w:rsidR="00BE5B9A" w:rsidRPr="00342640" w14:paraId="7DAA0406" w14:textId="77777777" w:rsidTr="00E3598E">
        <w:trPr>
          <w:trHeight w:val="1273"/>
        </w:trPr>
        <w:tc>
          <w:tcPr>
            <w:tcW w:w="1264" w:type="dxa"/>
            <w:shd w:val="clear" w:color="auto" w:fill="auto"/>
            <w:noWrap/>
            <w:vAlign w:val="center"/>
            <w:hideMark/>
          </w:tcPr>
          <w:p w14:paraId="7DAA0400"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83446</w:t>
            </w:r>
          </w:p>
        </w:tc>
        <w:tc>
          <w:tcPr>
            <w:tcW w:w="1610" w:type="dxa"/>
            <w:shd w:val="clear" w:color="auto" w:fill="auto"/>
            <w:noWrap/>
            <w:vAlign w:val="center"/>
            <w:hideMark/>
          </w:tcPr>
          <w:p w14:paraId="7DAA0401"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Lower Tertiary Aquifer (111)</w:t>
            </w:r>
          </w:p>
        </w:tc>
        <w:tc>
          <w:tcPr>
            <w:tcW w:w="7087" w:type="dxa"/>
            <w:shd w:val="clear" w:color="auto" w:fill="auto"/>
            <w:noWrap/>
            <w:vAlign w:val="center"/>
          </w:tcPr>
          <w:p w14:paraId="7DAA0402"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Located in the area of prospectivity and high value rivers and wetlands (including wetlands protected by the Directory of Important Wetlands)</w:t>
            </w:r>
          </w:p>
          <w:p w14:paraId="7DAA0403"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Monitors the target aquifer (Dilwyn) in the Glenelg WSPA </w:t>
            </w:r>
          </w:p>
          <w:p w14:paraId="7DAA0404"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Nested with 83447 and will inform groundwater chemistry of multiple aquifers at one site and allow for interpretation of potential mixing. </w:t>
            </w:r>
          </w:p>
          <w:p w14:paraId="7DAA0405"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Also located in an area where the aquitard is thin/absent</w:t>
            </w:r>
          </w:p>
        </w:tc>
      </w:tr>
      <w:tr w:rsidR="00BE5B9A" w:rsidRPr="00342640" w14:paraId="7DAA040D" w14:textId="77777777" w:rsidTr="00E3598E">
        <w:trPr>
          <w:trHeight w:val="1222"/>
        </w:trPr>
        <w:tc>
          <w:tcPr>
            <w:tcW w:w="1264" w:type="dxa"/>
            <w:shd w:val="clear" w:color="auto" w:fill="auto"/>
            <w:noWrap/>
            <w:vAlign w:val="center"/>
            <w:hideMark/>
          </w:tcPr>
          <w:p w14:paraId="7DAA0407"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83447</w:t>
            </w:r>
          </w:p>
        </w:tc>
        <w:tc>
          <w:tcPr>
            <w:tcW w:w="1610" w:type="dxa"/>
            <w:shd w:val="clear" w:color="auto" w:fill="auto"/>
            <w:noWrap/>
            <w:vAlign w:val="center"/>
            <w:hideMark/>
          </w:tcPr>
          <w:p w14:paraId="7DAA0408"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Mid-Tertiary Aquifer (107)</w:t>
            </w:r>
          </w:p>
        </w:tc>
        <w:tc>
          <w:tcPr>
            <w:tcW w:w="7087" w:type="dxa"/>
            <w:shd w:val="clear" w:color="auto" w:fill="auto"/>
            <w:noWrap/>
            <w:vAlign w:val="center"/>
          </w:tcPr>
          <w:p w14:paraId="7DAA0409"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Located in the area of prospectivity and high value rivers and wetlands</w:t>
            </w:r>
          </w:p>
          <w:p w14:paraId="7DAA040A"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Monitors the target aquifer (PCL) in the Glenelg WSPA </w:t>
            </w:r>
          </w:p>
          <w:p w14:paraId="7DAA040B"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Nested with 83446 and will inform groundwater chemistry of multiple aquifers at one site and allow for interpretation of potential mixing.  </w:t>
            </w:r>
          </w:p>
          <w:p w14:paraId="7DAA040C"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Also located in an area where the aquitard is thin/absent</w:t>
            </w:r>
          </w:p>
        </w:tc>
      </w:tr>
      <w:tr w:rsidR="00BE5B9A" w:rsidRPr="00342640" w14:paraId="7DAA0411" w14:textId="77777777" w:rsidTr="00E3598E">
        <w:trPr>
          <w:trHeight w:val="270"/>
        </w:trPr>
        <w:tc>
          <w:tcPr>
            <w:tcW w:w="1264" w:type="dxa"/>
            <w:shd w:val="clear" w:color="auto" w:fill="auto"/>
            <w:noWrap/>
            <w:vAlign w:val="center"/>
            <w:hideMark/>
          </w:tcPr>
          <w:p w14:paraId="7DAA040E"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111787</w:t>
            </w:r>
          </w:p>
        </w:tc>
        <w:tc>
          <w:tcPr>
            <w:tcW w:w="1610" w:type="dxa"/>
            <w:shd w:val="clear" w:color="auto" w:fill="auto"/>
            <w:noWrap/>
            <w:vAlign w:val="center"/>
            <w:hideMark/>
          </w:tcPr>
          <w:p w14:paraId="7DAA040F"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Tertiary/Quaternary Basalt Aquifer (101)</w:t>
            </w:r>
          </w:p>
        </w:tc>
        <w:tc>
          <w:tcPr>
            <w:tcW w:w="7087" w:type="dxa"/>
            <w:shd w:val="clear" w:color="auto" w:fill="auto"/>
            <w:noWrap/>
            <w:vAlign w:val="center"/>
          </w:tcPr>
          <w:p w14:paraId="7DAA0410"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Nested site located in the vicinity of the Lake Murdeduke Ramsar listed site. Nested with 111786 and will inform groundwater chemistry of multiple aquifers at one site and allow for interpretation of potential mixing</w:t>
            </w:r>
          </w:p>
        </w:tc>
      </w:tr>
      <w:tr w:rsidR="00BE5B9A" w:rsidRPr="00342640" w14:paraId="7DAA0415" w14:textId="77777777" w:rsidTr="00E3598E">
        <w:trPr>
          <w:trHeight w:val="270"/>
        </w:trPr>
        <w:tc>
          <w:tcPr>
            <w:tcW w:w="1264" w:type="dxa"/>
            <w:shd w:val="clear" w:color="auto" w:fill="auto"/>
            <w:noWrap/>
            <w:vAlign w:val="center"/>
            <w:hideMark/>
          </w:tcPr>
          <w:p w14:paraId="7DAA0412"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111786</w:t>
            </w:r>
          </w:p>
        </w:tc>
        <w:tc>
          <w:tcPr>
            <w:tcW w:w="1610" w:type="dxa"/>
            <w:shd w:val="clear" w:color="auto" w:fill="auto"/>
            <w:noWrap/>
            <w:vAlign w:val="center"/>
            <w:hideMark/>
          </w:tcPr>
          <w:p w14:paraId="7DAA0413"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Lower Tertiary Aquifer (111)</w:t>
            </w:r>
          </w:p>
        </w:tc>
        <w:tc>
          <w:tcPr>
            <w:tcW w:w="7087" w:type="dxa"/>
            <w:shd w:val="clear" w:color="auto" w:fill="auto"/>
            <w:noWrap/>
            <w:vAlign w:val="center"/>
          </w:tcPr>
          <w:p w14:paraId="7DAA0414"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Nested site located in the vicinity of the Lake Murdeduke Ramsar listed site.   Nested with 111787 and will inform groundwater chemistry of multiple aquifers at one site and allow for interpretation of potential mixing.</w:t>
            </w:r>
          </w:p>
        </w:tc>
      </w:tr>
      <w:tr w:rsidR="00BE5B9A" w:rsidRPr="00342640" w14:paraId="7DAA041A" w14:textId="77777777" w:rsidTr="00E3598E">
        <w:trPr>
          <w:trHeight w:val="377"/>
        </w:trPr>
        <w:tc>
          <w:tcPr>
            <w:tcW w:w="1264" w:type="dxa"/>
            <w:shd w:val="clear" w:color="auto" w:fill="auto"/>
            <w:noWrap/>
            <w:vAlign w:val="center"/>
            <w:hideMark/>
          </w:tcPr>
          <w:p w14:paraId="7DAA0416"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110985</w:t>
            </w:r>
          </w:p>
        </w:tc>
        <w:tc>
          <w:tcPr>
            <w:tcW w:w="1610" w:type="dxa"/>
            <w:shd w:val="clear" w:color="auto" w:fill="auto"/>
            <w:noWrap/>
            <w:vAlign w:val="center"/>
            <w:hideMark/>
          </w:tcPr>
          <w:p w14:paraId="7DAA0417"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Tertiary/Quaternary Basalt Aquifer (101)</w:t>
            </w:r>
          </w:p>
        </w:tc>
        <w:tc>
          <w:tcPr>
            <w:tcW w:w="7087" w:type="dxa"/>
            <w:shd w:val="clear" w:color="auto" w:fill="auto"/>
            <w:noWrap/>
            <w:vAlign w:val="center"/>
          </w:tcPr>
          <w:p w14:paraId="7DAA0418"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Nested site located in the vicinity of the Lake Corangamite Ramsar listed site.</w:t>
            </w:r>
          </w:p>
          <w:p w14:paraId="7DAA0419"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Nested with 110984 and will inform groundwater chemistry of multiple aquifers at one site and allow for interpretation of potential mixing.</w:t>
            </w:r>
          </w:p>
        </w:tc>
      </w:tr>
      <w:tr w:rsidR="00BE5B9A" w:rsidRPr="00342640" w14:paraId="7DAA041F" w14:textId="77777777" w:rsidTr="00E3598E">
        <w:trPr>
          <w:trHeight w:val="720"/>
        </w:trPr>
        <w:tc>
          <w:tcPr>
            <w:tcW w:w="1264" w:type="dxa"/>
            <w:shd w:val="clear" w:color="auto" w:fill="auto"/>
            <w:noWrap/>
            <w:vAlign w:val="center"/>
            <w:hideMark/>
          </w:tcPr>
          <w:p w14:paraId="7DAA041B"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110984</w:t>
            </w:r>
          </w:p>
        </w:tc>
        <w:tc>
          <w:tcPr>
            <w:tcW w:w="1610" w:type="dxa"/>
            <w:shd w:val="clear" w:color="auto" w:fill="auto"/>
            <w:noWrap/>
            <w:vAlign w:val="center"/>
            <w:hideMark/>
          </w:tcPr>
          <w:p w14:paraId="7DAA041C"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Tertiary Aquifer (marine) (104)</w:t>
            </w:r>
          </w:p>
        </w:tc>
        <w:tc>
          <w:tcPr>
            <w:tcW w:w="7087" w:type="dxa"/>
            <w:shd w:val="clear" w:color="auto" w:fill="auto"/>
            <w:noWrap/>
            <w:vAlign w:val="center"/>
          </w:tcPr>
          <w:p w14:paraId="7DAA041D"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Nested site located in the vicinity of the Lake Corangamite Ramsar listed site.</w:t>
            </w:r>
          </w:p>
          <w:p w14:paraId="7DAA041E"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Nested with 110985 and will inform groundwater chemistry of multiple aquifers at one site and allow for interpretation of potential mixing.</w:t>
            </w:r>
          </w:p>
        </w:tc>
      </w:tr>
      <w:tr w:rsidR="00BE5B9A" w:rsidRPr="00342640" w14:paraId="7DAA0424" w14:textId="77777777" w:rsidTr="00E3598E">
        <w:trPr>
          <w:trHeight w:val="653"/>
        </w:trPr>
        <w:tc>
          <w:tcPr>
            <w:tcW w:w="1264" w:type="dxa"/>
            <w:shd w:val="clear" w:color="auto" w:fill="auto"/>
            <w:noWrap/>
            <w:vAlign w:val="center"/>
            <w:hideMark/>
          </w:tcPr>
          <w:p w14:paraId="7DAA0420"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122677</w:t>
            </w:r>
          </w:p>
        </w:tc>
        <w:tc>
          <w:tcPr>
            <w:tcW w:w="1610" w:type="dxa"/>
            <w:shd w:val="clear" w:color="auto" w:fill="auto"/>
            <w:noWrap/>
            <w:vAlign w:val="center"/>
            <w:hideMark/>
          </w:tcPr>
          <w:p w14:paraId="7DAA0421"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Lower Mid-Tertiary Aquifer (109)</w:t>
            </w:r>
          </w:p>
        </w:tc>
        <w:tc>
          <w:tcPr>
            <w:tcW w:w="7087" w:type="dxa"/>
            <w:shd w:val="clear" w:color="auto" w:fill="auto"/>
            <w:noWrap/>
            <w:vAlign w:val="center"/>
          </w:tcPr>
          <w:p w14:paraId="7DAA0422"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adjacent to the area of prospectivity and high value rivers and wetlands   </w:t>
            </w:r>
          </w:p>
          <w:p w14:paraId="7DAA0423"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Monitors the target aquifer (Clifton Fmn) in the Condah WSPA</w:t>
            </w:r>
          </w:p>
        </w:tc>
      </w:tr>
      <w:tr w:rsidR="00BE5B9A" w:rsidRPr="00342640" w14:paraId="7DAA0429" w14:textId="77777777" w:rsidTr="00E3598E">
        <w:trPr>
          <w:trHeight w:val="67"/>
        </w:trPr>
        <w:tc>
          <w:tcPr>
            <w:tcW w:w="1264" w:type="dxa"/>
            <w:shd w:val="clear" w:color="auto" w:fill="auto"/>
            <w:noWrap/>
            <w:vAlign w:val="center"/>
            <w:hideMark/>
          </w:tcPr>
          <w:p w14:paraId="7DAA0425"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115872</w:t>
            </w:r>
          </w:p>
        </w:tc>
        <w:tc>
          <w:tcPr>
            <w:tcW w:w="1610" w:type="dxa"/>
            <w:shd w:val="clear" w:color="auto" w:fill="auto"/>
            <w:noWrap/>
            <w:vAlign w:val="center"/>
            <w:hideMark/>
          </w:tcPr>
          <w:p w14:paraId="7DAA0426"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Lower Tertiary Aquifer (111)</w:t>
            </w:r>
          </w:p>
        </w:tc>
        <w:tc>
          <w:tcPr>
            <w:tcW w:w="7087" w:type="dxa"/>
            <w:shd w:val="clear" w:color="auto" w:fill="auto"/>
            <w:noWrap/>
            <w:vAlign w:val="center"/>
          </w:tcPr>
          <w:p w14:paraId="7DAA0427"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area of prospectivity and high value rivers and wetlands </w:t>
            </w:r>
          </w:p>
          <w:p w14:paraId="7DAA0428"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Monitors the target aquifer (Dilwyn Formation) in the Paaratte GMA</w:t>
            </w:r>
          </w:p>
        </w:tc>
      </w:tr>
      <w:tr w:rsidR="00BE5B9A" w:rsidRPr="00342640" w14:paraId="7DAA042E" w14:textId="77777777" w:rsidTr="00E3598E">
        <w:trPr>
          <w:trHeight w:val="460"/>
        </w:trPr>
        <w:tc>
          <w:tcPr>
            <w:tcW w:w="1264" w:type="dxa"/>
            <w:shd w:val="clear" w:color="auto" w:fill="auto"/>
            <w:noWrap/>
            <w:vAlign w:val="center"/>
            <w:hideMark/>
          </w:tcPr>
          <w:p w14:paraId="7DAA042A"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113467</w:t>
            </w:r>
          </w:p>
        </w:tc>
        <w:tc>
          <w:tcPr>
            <w:tcW w:w="1610" w:type="dxa"/>
            <w:shd w:val="clear" w:color="auto" w:fill="auto"/>
            <w:noWrap/>
            <w:vAlign w:val="center"/>
            <w:hideMark/>
          </w:tcPr>
          <w:p w14:paraId="7DAA042B"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Lower Tertiary Aquifer (111)</w:t>
            </w:r>
          </w:p>
        </w:tc>
        <w:tc>
          <w:tcPr>
            <w:tcW w:w="7087" w:type="dxa"/>
            <w:shd w:val="clear" w:color="auto" w:fill="auto"/>
            <w:noWrap/>
            <w:vAlign w:val="center"/>
          </w:tcPr>
          <w:p w14:paraId="7DAA042C"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area of prospectivity and high value rivers and wetlands  </w:t>
            </w:r>
          </w:p>
          <w:p w14:paraId="7DAA042D"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Monitors the target aquifer (Dilwyn Formation) in the Paaratte GMA</w:t>
            </w:r>
          </w:p>
        </w:tc>
      </w:tr>
      <w:tr w:rsidR="00BE5B9A" w:rsidRPr="00342640" w14:paraId="7DAA0433" w14:textId="77777777" w:rsidTr="00E3598E">
        <w:trPr>
          <w:cantSplit/>
          <w:trHeight w:val="64"/>
        </w:trPr>
        <w:tc>
          <w:tcPr>
            <w:tcW w:w="1264" w:type="dxa"/>
            <w:shd w:val="clear" w:color="auto" w:fill="auto"/>
            <w:noWrap/>
            <w:vAlign w:val="center"/>
            <w:hideMark/>
          </w:tcPr>
          <w:p w14:paraId="7DAA042F"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54925</w:t>
            </w:r>
          </w:p>
        </w:tc>
        <w:tc>
          <w:tcPr>
            <w:tcW w:w="1610" w:type="dxa"/>
            <w:shd w:val="clear" w:color="auto" w:fill="auto"/>
            <w:noWrap/>
            <w:vAlign w:val="center"/>
            <w:hideMark/>
          </w:tcPr>
          <w:p w14:paraId="7DAA0430"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Tertiary/Quaternary Basalt Aquifer (101)</w:t>
            </w:r>
          </w:p>
        </w:tc>
        <w:tc>
          <w:tcPr>
            <w:tcW w:w="7087" w:type="dxa"/>
            <w:shd w:val="clear" w:color="auto" w:fill="auto"/>
            <w:noWrap/>
            <w:vAlign w:val="center"/>
          </w:tcPr>
          <w:p w14:paraId="7DAA0431"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area of prospectivity and high value rivers and wetlands  </w:t>
            </w:r>
          </w:p>
          <w:p w14:paraId="7DAA0432"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Monitors the watertable aquifer</w:t>
            </w:r>
          </w:p>
        </w:tc>
      </w:tr>
      <w:tr w:rsidR="00BE5B9A" w:rsidRPr="00342640" w14:paraId="7DAA0438" w14:textId="77777777" w:rsidTr="00E3598E">
        <w:trPr>
          <w:trHeight w:val="64"/>
        </w:trPr>
        <w:tc>
          <w:tcPr>
            <w:tcW w:w="1264" w:type="dxa"/>
            <w:shd w:val="clear" w:color="auto" w:fill="auto"/>
            <w:noWrap/>
            <w:vAlign w:val="center"/>
            <w:hideMark/>
          </w:tcPr>
          <w:p w14:paraId="7DAA0434"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142660</w:t>
            </w:r>
          </w:p>
        </w:tc>
        <w:tc>
          <w:tcPr>
            <w:tcW w:w="1610" w:type="dxa"/>
            <w:shd w:val="clear" w:color="auto" w:fill="auto"/>
            <w:noWrap/>
            <w:vAlign w:val="center"/>
            <w:hideMark/>
          </w:tcPr>
          <w:p w14:paraId="7DAA0435"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Tertiary/Quaternary Basalt Aquifer (101)</w:t>
            </w:r>
          </w:p>
        </w:tc>
        <w:tc>
          <w:tcPr>
            <w:tcW w:w="7087" w:type="dxa"/>
            <w:shd w:val="clear" w:color="auto" w:fill="auto"/>
            <w:noWrap/>
            <w:vAlign w:val="center"/>
          </w:tcPr>
          <w:p w14:paraId="7DAA0436"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area of prospectivity and high value rivers and wetlands (including RAMSAR wetland site Lake Corangamite) </w:t>
            </w:r>
          </w:p>
          <w:p w14:paraId="7DAA0437"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Monitors the target aquifer (Newer Volcanics) in the Warrion WSPA</w:t>
            </w:r>
          </w:p>
        </w:tc>
      </w:tr>
      <w:tr w:rsidR="00BE5B9A" w:rsidRPr="00342640" w14:paraId="7DAA043D" w14:textId="77777777" w:rsidTr="00E3598E">
        <w:trPr>
          <w:trHeight w:val="64"/>
        </w:trPr>
        <w:tc>
          <w:tcPr>
            <w:tcW w:w="1264" w:type="dxa"/>
            <w:shd w:val="clear" w:color="auto" w:fill="auto"/>
            <w:noWrap/>
            <w:vAlign w:val="center"/>
            <w:hideMark/>
          </w:tcPr>
          <w:p w14:paraId="7DAA0439"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141241</w:t>
            </w:r>
          </w:p>
        </w:tc>
        <w:tc>
          <w:tcPr>
            <w:tcW w:w="1610" w:type="dxa"/>
            <w:shd w:val="clear" w:color="auto" w:fill="auto"/>
            <w:noWrap/>
            <w:vAlign w:val="center"/>
            <w:hideMark/>
          </w:tcPr>
          <w:p w14:paraId="7DAA043A"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Mid-Tertiary Aquifer (107)</w:t>
            </w:r>
          </w:p>
        </w:tc>
        <w:tc>
          <w:tcPr>
            <w:tcW w:w="7087" w:type="dxa"/>
            <w:shd w:val="clear" w:color="auto" w:fill="auto"/>
            <w:noWrap/>
            <w:vAlign w:val="center"/>
          </w:tcPr>
          <w:p w14:paraId="7DAA043B"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area of prospectivity and high value rivers and wetlands </w:t>
            </w:r>
          </w:p>
          <w:p w14:paraId="7DAA043C"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Monitors the target aquifer (PCL) in the Nullawarre WSPA</w:t>
            </w:r>
          </w:p>
        </w:tc>
      </w:tr>
      <w:tr w:rsidR="00BE5B9A" w:rsidRPr="00342640" w14:paraId="7DAA0442" w14:textId="77777777" w:rsidTr="00E3598E">
        <w:trPr>
          <w:trHeight w:val="64"/>
        </w:trPr>
        <w:tc>
          <w:tcPr>
            <w:tcW w:w="1264" w:type="dxa"/>
            <w:shd w:val="clear" w:color="auto" w:fill="auto"/>
            <w:noWrap/>
            <w:vAlign w:val="center"/>
            <w:hideMark/>
          </w:tcPr>
          <w:p w14:paraId="7DAA043E"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S61557-2</w:t>
            </w:r>
          </w:p>
        </w:tc>
        <w:tc>
          <w:tcPr>
            <w:tcW w:w="1610" w:type="dxa"/>
            <w:shd w:val="clear" w:color="auto" w:fill="auto"/>
            <w:noWrap/>
            <w:vAlign w:val="center"/>
            <w:hideMark/>
          </w:tcPr>
          <w:p w14:paraId="7DAA043F"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Quaternary Aquifer (100)</w:t>
            </w:r>
          </w:p>
        </w:tc>
        <w:tc>
          <w:tcPr>
            <w:tcW w:w="7087" w:type="dxa"/>
            <w:shd w:val="clear" w:color="auto" w:fill="auto"/>
            <w:noWrap/>
            <w:vAlign w:val="center"/>
          </w:tcPr>
          <w:p w14:paraId="7DAA0440"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area of prospectivity and high value rivers and wetlands. </w:t>
            </w:r>
          </w:p>
          <w:p w14:paraId="7DAA0441"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Including the Directory of Important Wetland ‘McCallums Swamp’ Monitors the watertable aquifer</w:t>
            </w:r>
          </w:p>
        </w:tc>
      </w:tr>
      <w:tr w:rsidR="00BE5B9A" w:rsidRPr="00342640" w14:paraId="7DAA0447" w14:textId="77777777" w:rsidTr="00E3598E">
        <w:trPr>
          <w:trHeight w:val="400"/>
        </w:trPr>
        <w:tc>
          <w:tcPr>
            <w:tcW w:w="1264" w:type="dxa"/>
            <w:shd w:val="clear" w:color="auto" w:fill="auto"/>
            <w:noWrap/>
            <w:vAlign w:val="center"/>
            <w:hideMark/>
          </w:tcPr>
          <w:p w14:paraId="7DAA0443"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102621</w:t>
            </w:r>
          </w:p>
        </w:tc>
        <w:tc>
          <w:tcPr>
            <w:tcW w:w="1610" w:type="dxa"/>
            <w:shd w:val="clear" w:color="auto" w:fill="auto"/>
            <w:noWrap/>
            <w:vAlign w:val="center"/>
            <w:hideMark/>
          </w:tcPr>
          <w:p w14:paraId="7DAA0444"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Mid-Tertiary Aquifer (107)</w:t>
            </w:r>
          </w:p>
        </w:tc>
        <w:tc>
          <w:tcPr>
            <w:tcW w:w="7087" w:type="dxa"/>
            <w:shd w:val="clear" w:color="auto" w:fill="auto"/>
            <w:noWrap/>
            <w:vAlign w:val="center"/>
          </w:tcPr>
          <w:p w14:paraId="7DAA0445"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area of prospectivity and high value rivers and wetlands </w:t>
            </w:r>
          </w:p>
          <w:p w14:paraId="7DAA0446"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Monitors the target aquifer (PCL) in the Glenelg WSPA</w:t>
            </w:r>
          </w:p>
        </w:tc>
      </w:tr>
      <w:tr w:rsidR="00BE5B9A" w:rsidRPr="00342640" w14:paraId="7DAA044C" w14:textId="77777777" w:rsidTr="00E3598E">
        <w:trPr>
          <w:trHeight w:val="64"/>
        </w:trPr>
        <w:tc>
          <w:tcPr>
            <w:tcW w:w="1264" w:type="dxa"/>
            <w:shd w:val="clear" w:color="auto" w:fill="auto"/>
            <w:noWrap/>
            <w:vAlign w:val="center"/>
            <w:hideMark/>
          </w:tcPr>
          <w:p w14:paraId="7DAA0448"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83729</w:t>
            </w:r>
          </w:p>
        </w:tc>
        <w:tc>
          <w:tcPr>
            <w:tcW w:w="1610" w:type="dxa"/>
            <w:shd w:val="clear" w:color="auto" w:fill="auto"/>
            <w:noWrap/>
            <w:vAlign w:val="center"/>
            <w:hideMark/>
          </w:tcPr>
          <w:p w14:paraId="7DAA0449"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Mid-Tertiary Aquifer (107)</w:t>
            </w:r>
          </w:p>
        </w:tc>
        <w:tc>
          <w:tcPr>
            <w:tcW w:w="7087" w:type="dxa"/>
            <w:shd w:val="clear" w:color="auto" w:fill="auto"/>
            <w:noWrap/>
            <w:vAlign w:val="center"/>
          </w:tcPr>
          <w:p w14:paraId="7DAA044A"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area of prospectivity and high value rivers and wetlands </w:t>
            </w:r>
          </w:p>
          <w:p w14:paraId="7DAA044B"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Monitors the target aquifer (PCL) in the Glenelg WSPA</w:t>
            </w:r>
          </w:p>
        </w:tc>
      </w:tr>
      <w:tr w:rsidR="00BE5B9A" w:rsidRPr="00342640" w14:paraId="7DAA0452" w14:textId="77777777" w:rsidTr="00E3598E">
        <w:trPr>
          <w:trHeight w:val="64"/>
        </w:trPr>
        <w:tc>
          <w:tcPr>
            <w:tcW w:w="1264" w:type="dxa"/>
            <w:shd w:val="clear" w:color="auto" w:fill="auto"/>
            <w:noWrap/>
            <w:vAlign w:val="center"/>
            <w:hideMark/>
          </w:tcPr>
          <w:p w14:paraId="7DAA044D"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S61557-3</w:t>
            </w:r>
          </w:p>
        </w:tc>
        <w:tc>
          <w:tcPr>
            <w:tcW w:w="1610" w:type="dxa"/>
            <w:shd w:val="clear" w:color="auto" w:fill="auto"/>
            <w:noWrap/>
            <w:vAlign w:val="center"/>
            <w:hideMark/>
          </w:tcPr>
          <w:p w14:paraId="7DAA044E"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Quaternary Aquifer (100)</w:t>
            </w:r>
          </w:p>
        </w:tc>
        <w:tc>
          <w:tcPr>
            <w:tcW w:w="7087" w:type="dxa"/>
            <w:shd w:val="clear" w:color="auto" w:fill="auto"/>
            <w:noWrap/>
            <w:vAlign w:val="center"/>
          </w:tcPr>
          <w:p w14:paraId="7DAA044F"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area of prospectivity and high value rivers and wetlands. </w:t>
            </w:r>
          </w:p>
          <w:p w14:paraId="7DAA0450"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Including Directory of Important Wetlands (Mundi-Selkirk Wetlands) and the Glenelg River    </w:t>
            </w:r>
          </w:p>
          <w:p w14:paraId="7DAA0451"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Monitors the watertable aquifer </w:t>
            </w:r>
          </w:p>
        </w:tc>
      </w:tr>
      <w:tr w:rsidR="00BE5B9A" w:rsidRPr="00342640" w14:paraId="7DAA0458" w14:textId="77777777" w:rsidTr="00E3598E">
        <w:trPr>
          <w:trHeight w:val="585"/>
        </w:trPr>
        <w:tc>
          <w:tcPr>
            <w:tcW w:w="1264" w:type="dxa"/>
            <w:shd w:val="clear" w:color="auto" w:fill="auto"/>
            <w:noWrap/>
            <w:vAlign w:val="center"/>
            <w:hideMark/>
          </w:tcPr>
          <w:p w14:paraId="7DAA0453"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S61557-1</w:t>
            </w:r>
          </w:p>
        </w:tc>
        <w:tc>
          <w:tcPr>
            <w:tcW w:w="1610" w:type="dxa"/>
            <w:shd w:val="clear" w:color="auto" w:fill="auto"/>
            <w:noWrap/>
            <w:vAlign w:val="center"/>
            <w:hideMark/>
          </w:tcPr>
          <w:p w14:paraId="7DAA0454"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Quaternary Aquifer (100)</w:t>
            </w:r>
          </w:p>
        </w:tc>
        <w:tc>
          <w:tcPr>
            <w:tcW w:w="7087" w:type="dxa"/>
            <w:shd w:val="clear" w:color="auto" w:fill="auto"/>
            <w:noWrap/>
            <w:vAlign w:val="center"/>
          </w:tcPr>
          <w:p w14:paraId="7DAA0455"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area of prospectivity and high value rivers and wetlands. </w:t>
            </w:r>
          </w:p>
          <w:p w14:paraId="7DAA0456"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Including Directory of Important Wetlands (Mundi-Selkirk Wetlands, Pig Swamp and Lake Mundi) </w:t>
            </w:r>
          </w:p>
          <w:p w14:paraId="7DAA0457"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Monitors the watertable aquifer</w:t>
            </w:r>
          </w:p>
        </w:tc>
      </w:tr>
      <w:tr w:rsidR="00BE5B9A" w:rsidRPr="00342640" w14:paraId="7DAA045F" w14:textId="77777777" w:rsidTr="00E3598E">
        <w:trPr>
          <w:trHeight w:val="659"/>
        </w:trPr>
        <w:tc>
          <w:tcPr>
            <w:tcW w:w="1264" w:type="dxa"/>
            <w:shd w:val="clear" w:color="auto" w:fill="auto"/>
            <w:noWrap/>
            <w:vAlign w:val="center"/>
            <w:hideMark/>
          </w:tcPr>
          <w:p w14:paraId="7DAA0459"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141307</w:t>
            </w:r>
          </w:p>
        </w:tc>
        <w:tc>
          <w:tcPr>
            <w:tcW w:w="1610" w:type="dxa"/>
            <w:shd w:val="clear" w:color="auto" w:fill="auto"/>
            <w:noWrap/>
            <w:vAlign w:val="center"/>
            <w:hideMark/>
          </w:tcPr>
          <w:p w14:paraId="7DAA045A"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Tertiary/Quaternary Basalt Aquifer (101)</w:t>
            </w:r>
          </w:p>
          <w:p w14:paraId="7DAA045B" w14:textId="77777777" w:rsidR="00BE5B9A" w:rsidRPr="001B31B0" w:rsidRDefault="00BE5B9A" w:rsidP="00BE5B9A">
            <w:pPr>
              <w:ind w:firstLine="720"/>
              <w:rPr>
                <w:rFonts w:cs="Arial"/>
                <w:sz w:val="18"/>
                <w:szCs w:val="18"/>
              </w:rPr>
            </w:pPr>
          </w:p>
        </w:tc>
        <w:tc>
          <w:tcPr>
            <w:tcW w:w="7087" w:type="dxa"/>
            <w:shd w:val="clear" w:color="auto" w:fill="auto"/>
            <w:noWrap/>
            <w:vAlign w:val="center"/>
          </w:tcPr>
          <w:p w14:paraId="7DAA045C"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Yangery WSPA.  </w:t>
            </w:r>
          </w:p>
          <w:p w14:paraId="7DAA045D"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Nested with 141308. </w:t>
            </w:r>
          </w:p>
          <w:p w14:paraId="7DAA045E"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Bores will monitor the high value PCL aquifer and the watertable aquifer (101 Newer Volcanics) and will inform groundwater chemistry of multiple aquifers at one site and allow for interpretation of potential mixing. </w:t>
            </w:r>
          </w:p>
        </w:tc>
      </w:tr>
      <w:tr w:rsidR="00BE5B9A" w:rsidRPr="00342640" w14:paraId="7DAA0464" w14:textId="77777777" w:rsidTr="00E3598E">
        <w:trPr>
          <w:trHeight w:val="778"/>
        </w:trPr>
        <w:tc>
          <w:tcPr>
            <w:tcW w:w="1264" w:type="dxa"/>
            <w:shd w:val="clear" w:color="auto" w:fill="auto"/>
            <w:noWrap/>
            <w:vAlign w:val="center"/>
            <w:hideMark/>
          </w:tcPr>
          <w:p w14:paraId="7DAA0460"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141308</w:t>
            </w:r>
          </w:p>
        </w:tc>
        <w:tc>
          <w:tcPr>
            <w:tcW w:w="1610" w:type="dxa"/>
            <w:shd w:val="clear" w:color="auto" w:fill="auto"/>
            <w:noWrap/>
            <w:vAlign w:val="center"/>
            <w:hideMark/>
          </w:tcPr>
          <w:p w14:paraId="7DAA0461"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Mid-Tertiary Aquifer (107)</w:t>
            </w:r>
          </w:p>
        </w:tc>
        <w:tc>
          <w:tcPr>
            <w:tcW w:w="7087" w:type="dxa"/>
            <w:shd w:val="clear" w:color="auto" w:fill="auto"/>
            <w:noWrap/>
            <w:vAlign w:val="center"/>
          </w:tcPr>
          <w:p w14:paraId="7DAA0462"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Yangery WSPA.  Nested with 141307. </w:t>
            </w:r>
          </w:p>
          <w:p w14:paraId="7DAA0463"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Bores will monitor the high value PCL aquifer and the watertable aquifer (101 Newer Volcanics) and will inform groundwater chemistry of multiple aquifers at one site and allow for interpretation of potential mixing. </w:t>
            </w:r>
          </w:p>
        </w:tc>
      </w:tr>
      <w:tr w:rsidR="00BE5B9A" w:rsidRPr="00342640" w14:paraId="7DAA0469" w14:textId="77777777" w:rsidTr="00E3598E">
        <w:trPr>
          <w:trHeight w:val="979"/>
        </w:trPr>
        <w:tc>
          <w:tcPr>
            <w:tcW w:w="1264" w:type="dxa"/>
            <w:shd w:val="clear" w:color="auto" w:fill="auto"/>
            <w:noWrap/>
            <w:vAlign w:val="center"/>
            <w:hideMark/>
          </w:tcPr>
          <w:p w14:paraId="7DAA0465"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82347</w:t>
            </w:r>
          </w:p>
        </w:tc>
        <w:tc>
          <w:tcPr>
            <w:tcW w:w="1610" w:type="dxa"/>
            <w:shd w:val="clear" w:color="auto" w:fill="auto"/>
            <w:noWrap/>
            <w:vAlign w:val="center"/>
            <w:hideMark/>
          </w:tcPr>
          <w:p w14:paraId="7DAA0466"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Lower Tertiary Aquifer (111)</w:t>
            </w:r>
          </w:p>
        </w:tc>
        <w:tc>
          <w:tcPr>
            <w:tcW w:w="7087" w:type="dxa"/>
            <w:shd w:val="clear" w:color="auto" w:fill="auto"/>
            <w:noWrap/>
            <w:vAlign w:val="center"/>
          </w:tcPr>
          <w:p w14:paraId="7DAA0467"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Glenelg WSPA.  Nested with S61557-4. </w:t>
            </w:r>
          </w:p>
          <w:p w14:paraId="7DAA0468"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Bores will monitor the Dilwyn Formation Aquifer and the watertable aquifer and will inform groundwater chemistry of multiple aquifers at one site and allow for interpretation of potential mixing. </w:t>
            </w:r>
          </w:p>
        </w:tc>
      </w:tr>
      <w:tr w:rsidR="00BE5B9A" w:rsidRPr="00342640" w14:paraId="7DAA046E" w14:textId="77777777" w:rsidTr="00E3598E">
        <w:trPr>
          <w:trHeight w:val="838"/>
        </w:trPr>
        <w:tc>
          <w:tcPr>
            <w:tcW w:w="1264" w:type="dxa"/>
            <w:shd w:val="clear" w:color="auto" w:fill="auto"/>
            <w:noWrap/>
            <w:vAlign w:val="center"/>
            <w:hideMark/>
          </w:tcPr>
          <w:p w14:paraId="7DAA046A"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S61557-4</w:t>
            </w:r>
          </w:p>
        </w:tc>
        <w:tc>
          <w:tcPr>
            <w:tcW w:w="1610" w:type="dxa"/>
            <w:shd w:val="clear" w:color="auto" w:fill="auto"/>
            <w:noWrap/>
            <w:vAlign w:val="center"/>
            <w:hideMark/>
          </w:tcPr>
          <w:p w14:paraId="7DAA046B"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Quaternary Aquifer (100)</w:t>
            </w:r>
          </w:p>
        </w:tc>
        <w:tc>
          <w:tcPr>
            <w:tcW w:w="7087" w:type="dxa"/>
            <w:shd w:val="clear" w:color="auto" w:fill="auto"/>
            <w:noWrap/>
            <w:vAlign w:val="center"/>
          </w:tcPr>
          <w:p w14:paraId="7DAA046C"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Located in the Glenelg WSPA.  Nested with 82347. </w:t>
            </w:r>
          </w:p>
          <w:p w14:paraId="7DAA046D" w14:textId="473146E3"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Bores will monitor the Dilwyn Formation Aquifer and the watertable aquifer and will inform groundwater chemistry of multiple aquifers at one site and allow for interpretation of potential mixing</w:t>
            </w:r>
            <w:r w:rsidR="00976706" w:rsidRPr="001B31B0">
              <w:rPr>
                <w:sz w:val="18"/>
                <w:szCs w:val="18"/>
              </w:rPr>
              <w:t>.</w:t>
            </w:r>
          </w:p>
        </w:tc>
      </w:tr>
      <w:tr w:rsidR="00BE5B9A" w:rsidRPr="00342640" w14:paraId="7DAA0473" w14:textId="77777777" w:rsidTr="00E3598E">
        <w:trPr>
          <w:trHeight w:val="64"/>
        </w:trPr>
        <w:tc>
          <w:tcPr>
            <w:tcW w:w="1264" w:type="dxa"/>
            <w:shd w:val="clear" w:color="auto" w:fill="auto"/>
            <w:noWrap/>
            <w:vAlign w:val="center"/>
            <w:hideMark/>
          </w:tcPr>
          <w:p w14:paraId="7DAA046F"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S9037242-1</w:t>
            </w:r>
          </w:p>
        </w:tc>
        <w:tc>
          <w:tcPr>
            <w:tcW w:w="1610" w:type="dxa"/>
            <w:shd w:val="clear" w:color="auto" w:fill="auto"/>
            <w:noWrap/>
            <w:vAlign w:val="center"/>
            <w:hideMark/>
          </w:tcPr>
          <w:p w14:paraId="7DAA0470"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Mid-Tertiary Aquifer (107)</w:t>
            </w:r>
          </w:p>
        </w:tc>
        <w:tc>
          <w:tcPr>
            <w:tcW w:w="7087" w:type="dxa"/>
            <w:shd w:val="clear" w:color="auto" w:fill="auto"/>
            <w:noWrap/>
            <w:vAlign w:val="center"/>
          </w:tcPr>
          <w:p w14:paraId="7DAA0471"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Heywood GMA. </w:t>
            </w:r>
          </w:p>
          <w:p w14:paraId="7DAA0472" w14:textId="1EFFA4A5"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Bore included to provide </w:t>
            </w:r>
            <w:r w:rsidR="00857ACF" w:rsidRPr="001B31B0">
              <w:rPr>
                <w:sz w:val="18"/>
                <w:szCs w:val="18"/>
              </w:rPr>
              <w:t>monitoring</w:t>
            </w:r>
            <w:r w:rsidRPr="001B31B0">
              <w:rPr>
                <w:sz w:val="18"/>
                <w:szCs w:val="18"/>
              </w:rPr>
              <w:t xml:space="preserve"> information for the PCL aquifer in the Heywood GMA. </w:t>
            </w:r>
          </w:p>
        </w:tc>
      </w:tr>
      <w:tr w:rsidR="00BE5B9A" w:rsidRPr="00342640" w14:paraId="7DAA0478" w14:textId="77777777" w:rsidTr="00E3598E">
        <w:trPr>
          <w:trHeight w:val="497"/>
        </w:trPr>
        <w:tc>
          <w:tcPr>
            <w:tcW w:w="1264" w:type="dxa"/>
            <w:shd w:val="clear" w:color="auto" w:fill="auto"/>
            <w:noWrap/>
            <w:vAlign w:val="center"/>
            <w:hideMark/>
          </w:tcPr>
          <w:p w14:paraId="7DAA0474"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75070</w:t>
            </w:r>
          </w:p>
        </w:tc>
        <w:tc>
          <w:tcPr>
            <w:tcW w:w="1610" w:type="dxa"/>
            <w:shd w:val="clear" w:color="auto" w:fill="auto"/>
            <w:noWrap/>
            <w:vAlign w:val="center"/>
            <w:hideMark/>
          </w:tcPr>
          <w:p w14:paraId="7DAA0475"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Lower Tertiary Aquifer (111)</w:t>
            </w:r>
          </w:p>
        </w:tc>
        <w:tc>
          <w:tcPr>
            <w:tcW w:w="7087" w:type="dxa"/>
            <w:shd w:val="clear" w:color="auto" w:fill="auto"/>
            <w:noWrap/>
            <w:vAlign w:val="center"/>
          </w:tcPr>
          <w:p w14:paraId="7DAA0476"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Newlingrook GMA. Closest bore monitoring the Dilwyn Formation to the prospectivity area. </w:t>
            </w:r>
          </w:p>
          <w:p w14:paraId="7DAA0477"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No nested sites to present alternative option. </w:t>
            </w:r>
          </w:p>
        </w:tc>
      </w:tr>
      <w:tr w:rsidR="00BE5B9A" w:rsidRPr="00342640" w14:paraId="7DAA047D" w14:textId="77777777" w:rsidTr="00E3598E">
        <w:trPr>
          <w:trHeight w:val="337"/>
        </w:trPr>
        <w:tc>
          <w:tcPr>
            <w:tcW w:w="1264" w:type="dxa"/>
            <w:shd w:val="clear" w:color="auto" w:fill="auto"/>
            <w:noWrap/>
            <w:vAlign w:val="center"/>
            <w:hideMark/>
          </w:tcPr>
          <w:p w14:paraId="7DAA0479"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89040</w:t>
            </w:r>
          </w:p>
        </w:tc>
        <w:tc>
          <w:tcPr>
            <w:tcW w:w="1610" w:type="dxa"/>
            <w:shd w:val="clear" w:color="auto" w:fill="auto"/>
            <w:noWrap/>
            <w:vAlign w:val="center"/>
            <w:hideMark/>
          </w:tcPr>
          <w:p w14:paraId="7DAA047A"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Upper Tertiary/Quaternary Basalt Aquifer (101)</w:t>
            </w:r>
          </w:p>
        </w:tc>
        <w:tc>
          <w:tcPr>
            <w:tcW w:w="7087" w:type="dxa"/>
            <w:shd w:val="clear" w:color="auto" w:fill="auto"/>
            <w:noWrap/>
            <w:vAlign w:val="center"/>
          </w:tcPr>
          <w:p w14:paraId="7DAA047B"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Only available SOB in the Colongulac GMA. </w:t>
            </w:r>
          </w:p>
          <w:p w14:paraId="7DAA047C"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No nested sites to present alternative option. </w:t>
            </w:r>
          </w:p>
        </w:tc>
      </w:tr>
      <w:tr w:rsidR="00BE5B9A" w:rsidRPr="00342640" w14:paraId="7DAA0482" w14:textId="77777777" w:rsidTr="00E3598E">
        <w:trPr>
          <w:trHeight w:val="557"/>
        </w:trPr>
        <w:tc>
          <w:tcPr>
            <w:tcW w:w="1264" w:type="dxa"/>
            <w:shd w:val="clear" w:color="auto" w:fill="auto"/>
            <w:noWrap/>
            <w:vAlign w:val="center"/>
            <w:hideMark/>
          </w:tcPr>
          <w:p w14:paraId="7DAA047E"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114169</w:t>
            </w:r>
          </w:p>
        </w:tc>
        <w:tc>
          <w:tcPr>
            <w:tcW w:w="1610" w:type="dxa"/>
            <w:shd w:val="clear" w:color="auto" w:fill="auto"/>
            <w:noWrap/>
            <w:vAlign w:val="center"/>
            <w:hideMark/>
          </w:tcPr>
          <w:p w14:paraId="7DAA047F" w14:textId="77777777" w:rsidR="00BE5B9A" w:rsidRPr="001B31B0" w:rsidRDefault="00BE5B9A" w:rsidP="00BE5B9A">
            <w:pPr>
              <w:spacing w:after="0" w:line="240" w:lineRule="auto"/>
              <w:rPr>
                <w:rFonts w:cs="Arial"/>
                <w:color w:val="000000"/>
                <w:sz w:val="18"/>
                <w:szCs w:val="18"/>
              </w:rPr>
            </w:pPr>
            <w:r w:rsidRPr="001B31B0">
              <w:rPr>
                <w:rFonts w:cs="Arial"/>
                <w:color w:val="000000"/>
                <w:sz w:val="18"/>
                <w:szCs w:val="18"/>
              </w:rPr>
              <w:t>Lower Tertiary Aquifer (111)</w:t>
            </w:r>
          </w:p>
        </w:tc>
        <w:tc>
          <w:tcPr>
            <w:tcW w:w="7087" w:type="dxa"/>
            <w:shd w:val="clear" w:color="auto" w:fill="auto"/>
            <w:noWrap/>
            <w:vAlign w:val="center"/>
          </w:tcPr>
          <w:p w14:paraId="7DAA0480"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Gellibrand GMU. </w:t>
            </w:r>
          </w:p>
          <w:p w14:paraId="7DAA0481" w14:textId="77777777"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No nested sites to present alternative option. </w:t>
            </w:r>
          </w:p>
        </w:tc>
      </w:tr>
      <w:tr w:rsidR="00BE5B9A" w:rsidRPr="00342640" w14:paraId="7DAA0487" w14:textId="77777777" w:rsidTr="00E3598E">
        <w:trPr>
          <w:trHeight w:val="500"/>
        </w:trPr>
        <w:tc>
          <w:tcPr>
            <w:tcW w:w="1264" w:type="dxa"/>
            <w:shd w:val="clear" w:color="auto" w:fill="auto"/>
            <w:noWrap/>
            <w:vAlign w:val="center"/>
            <w:hideMark/>
          </w:tcPr>
          <w:p w14:paraId="7DAA0483" w14:textId="77777777" w:rsidR="00BE5B9A" w:rsidRPr="001B31B0" w:rsidRDefault="00BE5B9A" w:rsidP="00BE5B9A">
            <w:pPr>
              <w:spacing w:after="0"/>
              <w:rPr>
                <w:rFonts w:cs="Arial"/>
                <w:color w:val="000000"/>
                <w:sz w:val="18"/>
                <w:szCs w:val="18"/>
              </w:rPr>
            </w:pPr>
            <w:r w:rsidRPr="001B31B0">
              <w:rPr>
                <w:rFonts w:cs="Arial"/>
                <w:color w:val="000000"/>
                <w:sz w:val="18"/>
                <w:szCs w:val="18"/>
              </w:rPr>
              <w:t>141242</w:t>
            </w:r>
          </w:p>
        </w:tc>
        <w:tc>
          <w:tcPr>
            <w:tcW w:w="1610" w:type="dxa"/>
            <w:shd w:val="clear" w:color="auto" w:fill="auto"/>
            <w:noWrap/>
            <w:vAlign w:val="center"/>
            <w:hideMark/>
          </w:tcPr>
          <w:p w14:paraId="7DAA0484" w14:textId="77777777" w:rsidR="00BE5B9A" w:rsidRPr="001B31B0" w:rsidRDefault="00BE5B9A" w:rsidP="00BE5B9A">
            <w:pPr>
              <w:spacing w:after="0"/>
              <w:rPr>
                <w:rFonts w:cs="Arial"/>
                <w:color w:val="000000"/>
                <w:sz w:val="18"/>
                <w:szCs w:val="18"/>
              </w:rPr>
            </w:pPr>
            <w:r w:rsidRPr="001B31B0">
              <w:rPr>
                <w:rFonts w:cs="Arial"/>
                <w:color w:val="000000"/>
                <w:sz w:val="18"/>
                <w:szCs w:val="18"/>
              </w:rPr>
              <w:t>Upper Mid-Tertiary Aquifer (107)</w:t>
            </w:r>
          </w:p>
        </w:tc>
        <w:tc>
          <w:tcPr>
            <w:tcW w:w="7087" w:type="dxa"/>
            <w:shd w:val="clear" w:color="auto" w:fill="auto"/>
            <w:vAlign w:val="center"/>
          </w:tcPr>
          <w:p w14:paraId="7DAA0485" w14:textId="4B5B4DAE"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Located in the area of prospectivity and high value rivers and wetlands</w:t>
            </w:r>
            <w:r w:rsidR="00976706" w:rsidRPr="001B31B0">
              <w:rPr>
                <w:sz w:val="18"/>
                <w:szCs w:val="18"/>
              </w:rPr>
              <w:t>.</w:t>
            </w:r>
            <w:r w:rsidRPr="001B31B0">
              <w:rPr>
                <w:sz w:val="18"/>
                <w:szCs w:val="18"/>
              </w:rPr>
              <w:t xml:space="preserve"> </w:t>
            </w:r>
          </w:p>
          <w:p w14:paraId="7DAA0486" w14:textId="21761DA0"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Monitors the target aquifer (PCL) in the Nullawarre WSPA</w:t>
            </w:r>
            <w:r w:rsidR="00976706" w:rsidRPr="001B31B0">
              <w:rPr>
                <w:sz w:val="18"/>
                <w:szCs w:val="18"/>
              </w:rPr>
              <w:t>.</w:t>
            </w:r>
          </w:p>
        </w:tc>
      </w:tr>
      <w:tr w:rsidR="00BE5B9A" w:rsidRPr="00342640" w14:paraId="7DAA048B" w14:textId="77777777" w:rsidTr="00E3598E">
        <w:trPr>
          <w:trHeight w:val="64"/>
        </w:trPr>
        <w:tc>
          <w:tcPr>
            <w:tcW w:w="1264" w:type="dxa"/>
            <w:shd w:val="clear" w:color="auto" w:fill="auto"/>
            <w:noWrap/>
            <w:vAlign w:val="center"/>
            <w:hideMark/>
          </w:tcPr>
          <w:p w14:paraId="7DAA0488" w14:textId="77777777" w:rsidR="00BE5B9A" w:rsidRPr="001B31B0" w:rsidRDefault="00BE5B9A" w:rsidP="00BE5B9A">
            <w:pPr>
              <w:spacing w:after="0"/>
              <w:rPr>
                <w:rFonts w:cs="Arial"/>
                <w:color w:val="000000"/>
                <w:sz w:val="18"/>
                <w:szCs w:val="18"/>
              </w:rPr>
            </w:pPr>
            <w:r w:rsidRPr="001B31B0">
              <w:rPr>
                <w:rFonts w:cs="Arial"/>
                <w:color w:val="000000"/>
                <w:sz w:val="18"/>
                <w:szCs w:val="18"/>
              </w:rPr>
              <w:t>114167</w:t>
            </w:r>
          </w:p>
        </w:tc>
        <w:tc>
          <w:tcPr>
            <w:tcW w:w="1610" w:type="dxa"/>
            <w:shd w:val="clear" w:color="auto" w:fill="auto"/>
            <w:noWrap/>
            <w:vAlign w:val="center"/>
            <w:hideMark/>
          </w:tcPr>
          <w:p w14:paraId="7DAA0489" w14:textId="77777777" w:rsidR="00BE5B9A" w:rsidRPr="001B31B0" w:rsidRDefault="00BE5B9A" w:rsidP="00BE5B9A">
            <w:pPr>
              <w:spacing w:after="0"/>
              <w:rPr>
                <w:rFonts w:cs="Arial"/>
                <w:color w:val="000000"/>
                <w:sz w:val="18"/>
                <w:szCs w:val="18"/>
              </w:rPr>
            </w:pPr>
            <w:r w:rsidRPr="001B31B0">
              <w:rPr>
                <w:rFonts w:cs="Arial"/>
                <w:color w:val="000000"/>
                <w:sz w:val="18"/>
                <w:szCs w:val="18"/>
              </w:rPr>
              <w:t>Lower Tertiary Aquifer (111)</w:t>
            </w:r>
          </w:p>
        </w:tc>
        <w:tc>
          <w:tcPr>
            <w:tcW w:w="7087" w:type="dxa"/>
            <w:shd w:val="clear" w:color="auto" w:fill="auto"/>
            <w:vAlign w:val="center"/>
          </w:tcPr>
          <w:p w14:paraId="7DAA048A" w14:textId="2793FC1F" w:rsidR="00BE5B9A" w:rsidRPr="001B31B0" w:rsidRDefault="00206FC6" w:rsidP="0078434D">
            <w:pPr>
              <w:pStyle w:val="Para0bullet"/>
              <w:numPr>
                <w:ilvl w:val="0"/>
                <w:numId w:val="20"/>
              </w:numPr>
              <w:tabs>
                <w:tab w:val="clear" w:pos="426"/>
                <w:tab w:val="left" w:pos="317"/>
              </w:tabs>
              <w:ind w:left="317" w:hanging="284"/>
              <w:rPr>
                <w:sz w:val="18"/>
                <w:szCs w:val="18"/>
              </w:rPr>
            </w:pPr>
            <w:r w:rsidRPr="001B31B0">
              <w:rPr>
                <w:sz w:val="18"/>
                <w:szCs w:val="18"/>
              </w:rPr>
              <w:t>Monitors the target aquifer (Dilwyn Formation) in the Gerangamete GMA.</w:t>
            </w:r>
          </w:p>
        </w:tc>
      </w:tr>
      <w:tr w:rsidR="00BE5B9A" w:rsidRPr="0073640E" w14:paraId="7DAA048F" w14:textId="77777777" w:rsidTr="00E3598E">
        <w:trPr>
          <w:trHeight w:val="424"/>
        </w:trPr>
        <w:tc>
          <w:tcPr>
            <w:tcW w:w="1264" w:type="dxa"/>
            <w:shd w:val="clear" w:color="auto" w:fill="auto"/>
            <w:noWrap/>
            <w:vAlign w:val="center"/>
            <w:hideMark/>
          </w:tcPr>
          <w:p w14:paraId="7DAA048C" w14:textId="77777777" w:rsidR="00BE5B9A" w:rsidRPr="001B31B0" w:rsidRDefault="00BE5B9A" w:rsidP="00BE5B9A">
            <w:pPr>
              <w:spacing w:after="0"/>
              <w:rPr>
                <w:rFonts w:cs="Arial"/>
                <w:color w:val="000000"/>
                <w:sz w:val="18"/>
                <w:szCs w:val="18"/>
              </w:rPr>
            </w:pPr>
            <w:r w:rsidRPr="001B31B0">
              <w:rPr>
                <w:rFonts w:cs="Arial"/>
                <w:color w:val="000000"/>
                <w:sz w:val="18"/>
                <w:szCs w:val="18"/>
              </w:rPr>
              <w:t>69455</w:t>
            </w:r>
          </w:p>
        </w:tc>
        <w:tc>
          <w:tcPr>
            <w:tcW w:w="1610" w:type="dxa"/>
            <w:shd w:val="clear" w:color="auto" w:fill="auto"/>
            <w:noWrap/>
            <w:vAlign w:val="center"/>
            <w:hideMark/>
          </w:tcPr>
          <w:p w14:paraId="7DAA048D" w14:textId="2865CC7E" w:rsidR="00BE5B9A" w:rsidRPr="001B31B0" w:rsidRDefault="00BE5B9A" w:rsidP="00BE5B9A">
            <w:pPr>
              <w:spacing w:after="0"/>
              <w:rPr>
                <w:rFonts w:cs="Arial"/>
                <w:color w:val="000000"/>
                <w:sz w:val="18"/>
                <w:szCs w:val="18"/>
              </w:rPr>
            </w:pPr>
            <w:r w:rsidRPr="001B31B0">
              <w:rPr>
                <w:rFonts w:cs="Arial"/>
                <w:color w:val="000000"/>
                <w:sz w:val="18"/>
                <w:szCs w:val="18"/>
              </w:rPr>
              <w:t xml:space="preserve">Mesozoic and </w:t>
            </w:r>
            <w:r w:rsidR="00206FC6" w:rsidRPr="001B31B0">
              <w:rPr>
                <w:rFonts w:cs="Arial"/>
                <w:color w:val="000000"/>
                <w:sz w:val="18"/>
                <w:szCs w:val="18"/>
              </w:rPr>
              <w:t>Palaeozoic</w:t>
            </w:r>
            <w:r w:rsidRPr="001B31B0">
              <w:rPr>
                <w:rFonts w:cs="Arial"/>
                <w:color w:val="000000"/>
                <w:sz w:val="18"/>
                <w:szCs w:val="18"/>
              </w:rPr>
              <w:t xml:space="preserve"> Bedrock (114)</w:t>
            </w:r>
          </w:p>
        </w:tc>
        <w:tc>
          <w:tcPr>
            <w:tcW w:w="7087" w:type="dxa"/>
            <w:shd w:val="clear" w:color="auto" w:fill="auto"/>
            <w:vAlign w:val="center"/>
          </w:tcPr>
          <w:p w14:paraId="7DAA048E" w14:textId="1F947231" w:rsidR="00BE5B9A" w:rsidRPr="001B31B0" w:rsidRDefault="00BE5B9A" w:rsidP="0078434D">
            <w:pPr>
              <w:pStyle w:val="Para0bullet"/>
              <w:numPr>
                <w:ilvl w:val="0"/>
                <w:numId w:val="20"/>
              </w:numPr>
              <w:tabs>
                <w:tab w:val="clear" w:pos="426"/>
                <w:tab w:val="left" w:pos="317"/>
              </w:tabs>
              <w:ind w:left="317" w:hanging="284"/>
              <w:rPr>
                <w:sz w:val="18"/>
                <w:szCs w:val="18"/>
              </w:rPr>
            </w:pPr>
            <w:r w:rsidRPr="001B31B0">
              <w:rPr>
                <w:sz w:val="18"/>
                <w:szCs w:val="18"/>
              </w:rPr>
              <w:t xml:space="preserve">Only SOB available that monitors the Mesozoic </w:t>
            </w:r>
            <w:r w:rsidR="00206FC6" w:rsidRPr="001B31B0">
              <w:rPr>
                <w:sz w:val="18"/>
                <w:szCs w:val="18"/>
              </w:rPr>
              <w:t>Palaeozoic</w:t>
            </w:r>
            <w:r w:rsidRPr="001B31B0">
              <w:rPr>
                <w:sz w:val="18"/>
                <w:szCs w:val="18"/>
              </w:rPr>
              <w:t xml:space="preserve"> bedrock</w:t>
            </w:r>
            <w:r w:rsidR="00976706" w:rsidRPr="001B31B0">
              <w:rPr>
                <w:sz w:val="18"/>
                <w:szCs w:val="18"/>
              </w:rPr>
              <w:t>.</w:t>
            </w:r>
          </w:p>
        </w:tc>
      </w:tr>
    </w:tbl>
    <w:p w14:paraId="7DAA0490" w14:textId="77777777" w:rsidR="00F673E7" w:rsidRDefault="00F673E7" w:rsidP="00954C75">
      <w:pPr>
        <w:rPr>
          <w:lang w:val="en-US" w:eastAsia="en-US"/>
        </w:rPr>
      </w:pPr>
      <w:r>
        <w:br w:type="page"/>
      </w:r>
    </w:p>
    <w:p w14:paraId="7DAA0491" w14:textId="77777777" w:rsidR="000C564C" w:rsidRPr="000C564C" w:rsidRDefault="00492534" w:rsidP="005E36DC">
      <w:pPr>
        <w:pStyle w:val="Head1x"/>
      </w:pPr>
      <w:bookmarkStart w:id="97" w:name="_Toc420327727"/>
      <w:r>
        <w:t>Sampling method</w:t>
      </w:r>
      <w:bookmarkEnd w:id="97"/>
    </w:p>
    <w:p w14:paraId="7DAA0492" w14:textId="1F7B33D9" w:rsidR="000C564C" w:rsidRPr="000C564C" w:rsidRDefault="00A83284" w:rsidP="000C564C">
      <w:pPr>
        <w:rPr>
          <w:lang w:val="en-AU"/>
        </w:rPr>
      </w:pPr>
      <w:r>
        <w:rPr>
          <w:lang w:val="en-AU"/>
        </w:rPr>
        <w:t>S</w:t>
      </w:r>
      <w:r w:rsidR="000C564C" w:rsidRPr="000C564C">
        <w:rPr>
          <w:lang w:val="en-AU"/>
        </w:rPr>
        <w:t>ampling of groundwater and gas from DE</w:t>
      </w:r>
      <w:r w:rsidR="001F4AE4">
        <w:rPr>
          <w:lang w:val="en-AU"/>
        </w:rPr>
        <w:t>LWP</w:t>
      </w:r>
      <w:r w:rsidR="000C564C" w:rsidRPr="000C564C">
        <w:rPr>
          <w:lang w:val="en-AU"/>
        </w:rPr>
        <w:t xml:space="preserve"> monitoring bores was co</w:t>
      </w:r>
      <w:r w:rsidR="006F0A17">
        <w:rPr>
          <w:lang w:val="en-AU"/>
        </w:rPr>
        <w:t xml:space="preserve">nducted by HydroTerra personnel, </w:t>
      </w:r>
      <w:r w:rsidR="000C564C" w:rsidRPr="000C564C">
        <w:rPr>
          <w:lang w:val="en-AU"/>
        </w:rPr>
        <w:t xml:space="preserve">subcontracted by Jacobs. </w:t>
      </w:r>
    </w:p>
    <w:p w14:paraId="7DAA0493" w14:textId="77777777" w:rsidR="000C564C" w:rsidRPr="000C564C" w:rsidRDefault="000C564C" w:rsidP="000C564C">
      <w:pPr>
        <w:rPr>
          <w:lang w:val="en-AU"/>
        </w:rPr>
      </w:pPr>
      <w:r w:rsidRPr="000C564C">
        <w:rPr>
          <w:lang w:val="en-AU"/>
        </w:rPr>
        <w:t>All groundwater purging, sampling and manual water level monitoring activities undertaken by HydroTerra were completed under their Standard Operating Procedure (SOP) for Groundwater Sampling, a copy of which is included in Appendix A. The SOP includes a detailed methodology for the following activities:</w:t>
      </w:r>
    </w:p>
    <w:p w14:paraId="7DAA0494"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Field instrument calibration: instruments were routinely checked for calibration at the start and end of the day in accordance with equipment procedures.</w:t>
      </w:r>
    </w:p>
    <w:p w14:paraId="7DAA0495"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Water level monitoring.</w:t>
      </w:r>
    </w:p>
    <w:p w14:paraId="7DAA0496"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Water quality monitoring: field parameters were routinely monitored during purging.</w:t>
      </w:r>
    </w:p>
    <w:p w14:paraId="7DAA0497"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 xml:space="preserve">Water sample collection: water samples were collected once field parameter stabilisation was achieved (three consecutive readings within 10%). Groundwater samples were collected into approved ALS Environmental supplied glass containers. </w:t>
      </w:r>
    </w:p>
    <w:p w14:paraId="7DAA0498"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Handling, storage and Chain of Custody procedures for collected samples: groundwater samples, including QA/QC samples, were stored on ice between the bore and delivery to the laboratory.</w:t>
      </w:r>
    </w:p>
    <w:p w14:paraId="7DAA0499" w14:textId="77777777" w:rsidR="000C564C" w:rsidRPr="00D5530F" w:rsidRDefault="000C564C" w:rsidP="00D5530F">
      <w:pPr>
        <w:pStyle w:val="Bullet1"/>
        <w:numPr>
          <w:ilvl w:val="0"/>
          <w:numId w:val="2"/>
        </w:numPr>
        <w:tabs>
          <w:tab w:val="clear" w:pos="1260"/>
          <w:tab w:val="num" w:pos="426"/>
          <w:tab w:val="num" w:pos="851"/>
        </w:tabs>
        <w:ind w:left="426" w:hanging="426"/>
      </w:pPr>
      <w:r w:rsidRPr="00D5530F">
        <w:t>Gas sampling was conducted in accordance with HydroTerra’s technical work instruction for Collection of Dissolved Gas and Groundwater Samples from Coal Seam, included in Appendix B. The instruction includes a detailed methodology for the following activities:</w:t>
      </w:r>
    </w:p>
    <w:p w14:paraId="7DAA049A" w14:textId="77777777" w:rsidR="000C564C" w:rsidRPr="00176D80" w:rsidRDefault="000C564C" w:rsidP="001B31B0">
      <w:pPr>
        <w:pStyle w:val="Bullet2"/>
      </w:pPr>
      <w:r w:rsidRPr="00176D80">
        <w:t>Gas monitoring: gas was monitored onsite using a gas analyser.</w:t>
      </w:r>
    </w:p>
    <w:p w14:paraId="7DAA049B" w14:textId="5EA76038" w:rsidR="000C564C" w:rsidRPr="00BA6593" w:rsidRDefault="000C564C" w:rsidP="001B31B0">
      <w:pPr>
        <w:pStyle w:val="Bullet2"/>
      </w:pPr>
      <w:r w:rsidRPr="00BA6593">
        <w:t xml:space="preserve">Gas sample collection: when all the groundwater sample containers required for analysis were filled, a gas sample was collected. Gas samples were collected into ALS Environmental supplied summa </w:t>
      </w:r>
      <w:r w:rsidR="00206FC6" w:rsidRPr="00BA6593">
        <w:t>canisters</w:t>
      </w:r>
      <w:r w:rsidRPr="00BA6593">
        <w:t>.</w:t>
      </w:r>
    </w:p>
    <w:p w14:paraId="7DAA049C" w14:textId="77777777" w:rsidR="000C564C" w:rsidRPr="00176D80" w:rsidRDefault="000C564C" w:rsidP="001B31B0">
      <w:pPr>
        <w:pStyle w:val="Bullet2"/>
        <w:spacing w:after="200"/>
      </w:pPr>
      <w:r w:rsidRPr="00BA6593">
        <w:t>Handling, storage and Chain of Custody procedures for collected samples.</w:t>
      </w:r>
    </w:p>
    <w:p w14:paraId="7DAA049D" w14:textId="77777777" w:rsidR="000C564C" w:rsidRPr="000C564C" w:rsidRDefault="000C564C" w:rsidP="000C564C">
      <w:pPr>
        <w:rPr>
          <w:lang w:val="en-AU"/>
        </w:rPr>
      </w:pPr>
      <w:r w:rsidRPr="000C564C">
        <w:rPr>
          <w:lang w:val="en-AU"/>
        </w:rPr>
        <w:t>Samples were collected using a low flow pump installed at depth, which pumped water to the surface. Water was diverted into two lines – one for measurement of field parameters, one for water sample and gas sample collection. A flow diagram of the sampling lines is shown in</w:t>
      </w:r>
      <w:r w:rsidR="00D101CE">
        <w:rPr>
          <w:lang w:val="en-AU"/>
        </w:rPr>
        <w:t xml:space="preserve"> </w:t>
      </w:r>
      <w:r w:rsidR="00D101CE">
        <w:rPr>
          <w:lang w:val="en-AU"/>
        </w:rPr>
        <w:fldChar w:fldCharType="begin"/>
      </w:r>
      <w:r w:rsidR="00D101CE">
        <w:rPr>
          <w:lang w:val="en-AU"/>
        </w:rPr>
        <w:instrText xml:space="preserve"> REF _Ref414008131 \h </w:instrText>
      </w:r>
      <w:r w:rsidR="00D101CE">
        <w:rPr>
          <w:lang w:val="en-AU"/>
        </w:rPr>
      </w:r>
      <w:r w:rsidR="00D101CE">
        <w:rPr>
          <w:lang w:val="en-AU"/>
        </w:rPr>
        <w:fldChar w:fldCharType="separate"/>
      </w:r>
      <w:r w:rsidR="00BD60CC">
        <w:t xml:space="preserve">Figure </w:t>
      </w:r>
      <w:r w:rsidR="00BD60CC">
        <w:rPr>
          <w:noProof/>
        </w:rPr>
        <w:t>20</w:t>
      </w:r>
      <w:r w:rsidR="00D101CE">
        <w:rPr>
          <w:lang w:val="en-AU"/>
        </w:rPr>
        <w:fldChar w:fldCharType="end"/>
      </w:r>
      <w:r w:rsidRPr="000C564C">
        <w:rPr>
          <w:lang w:val="en-AU"/>
        </w:rPr>
        <w:t>. Pump installation, operation and maintenance were conducted in accordance with HydroTerra’s technical work instruction for Solinst 408 Double Valve Pump Deployment and Operation, included in Appendix C.</w:t>
      </w:r>
    </w:p>
    <w:p w14:paraId="7DAA049E" w14:textId="77777777" w:rsidR="000C564C" w:rsidRPr="000C564C" w:rsidRDefault="000C564C" w:rsidP="000C564C">
      <w:pPr>
        <w:rPr>
          <w:lang w:val="en-AU"/>
        </w:rPr>
      </w:pPr>
      <w:r w:rsidRPr="000C564C">
        <w:rPr>
          <w:lang w:val="en-AU"/>
        </w:rPr>
        <w:t xml:space="preserve">Between bore sites, all equipment was decontaminated to prevent cross-contamination between bores and samples. Equipment was decontaminated by rinsing with tap water, chemical detergent, tap water and then de-ionised water. The methodology used by HydroTerra personnel is described in full in Appendix A. </w:t>
      </w:r>
    </w:p>
    <w:p w14:paraId="7DAA049F" w14:textId="77777777" w:rsidR="000C564C" w:rsidRPr="000C564C" w:rsidRDefault="000C564C" w:rsidP="000C564C">
      <w:pPr>
        <w:rPr>
          <w:lang w:val="en-AU"/>
        </w:rPr>
      </w:pPr>
    </w:p>
    <w:p w14:paraId="7DAA04A0" w14:textId="77777777" w:rsidR="000C564C" w:rsidRPr="000C564C" w:rsidRDefault="005E36DC" w:rsidP="001B31B0">
      <w:pPr>
        <w:pStyle w:val="figurereturn"/>
      </w:pPr>
      <w:r w:rsidRPr="005B0504">
        <w:drawing>
          <wp:inline distT="0" distB="0" distL="0" distR="0" wp14:anchorId="7DAA0C55" wp14:editId="743C1501">
            <wp:extent cx="5645402" cy="4133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50047" cy="4137251"/>
                    </a:xfrm>
                    <a:prstGeom prst="rect">
                      <a:avLst/>
                    </a:prstGeom>
                    <a:noFill/>
                    <a:ln>
                      <a:noFill/>
                    </a:ln>
                  </pic:spPr>
                </pic:pic>
              </a:graphicData>
            </a:graphic>
          </wp:inline>
        </w:drawing>
      </w:r>
    </w:p>
    <w:p w14:paraId="7DAA04A1" w14:textId="77777777" w:rsidR="000C564C" w:rsidRDefault="00D101CE" w:rsidP="00D0375F">
      <w:pPr>
        <w:pStyle w:val="Figuretitle"/>
      </w:pPr>
      <w:bookmarkStart w:id="98" w:name="_Ref414008131"/>
      <w:bookmarkStart w:id="99" w:name="_Toc420327771"/>
      <w:r>
        <w:t xml:space="preserve">Figure </w:t>
      </w:r>
      <w:r w:rsidR="00B91643">
        <w:fldChar w:fldCharType="begin"/>
      </w:r>
      <w:r w:rsidR="00B91643">
        <w:instrText xml:space="preserve"> SEQ Figure \* ARABIC </w:instrText>
      </w:r>
      <w:r w:rsidR="00B91643">
        <w:fldChar w:fldCharType="separate"/>
      </w:r>
      <w:r w:rsidR="00BD60CC">
        <w:rPr>
          <w:noProof/>
        </w:rPr>
        <w:t>20</w:t>
      </w:r>
      <w:r w:rsidR="00B91643">
        <w:rPr>
          <w:noProof/>
        </w:rPr>
        <w:fldChar w:fldCharType="end"/>
      </w:r>
      <w:bookmarkEnd w:id="98"/>
      <w:r>
        <w:t xml:space="preserve"> </w:t>
      </w:r>
      <w:r w:rsidR="000C564C" w:rsidRPr="000C564C">
        <w:t>Flow diagram showing water sample collection, field parameter measurement and gas sample collection</w:t>
      </w:r>
      <w:bookmarkEnd w:id="99"/>
    </w:p>
    <w:p w14:paraId="746EC18A" w14:textId="77777777" w:rsidR="00413AA7" w:rsidRDefault="00413AA7" w:rsidP="001B31B0">
      <w:pPr>
        <w:pStyle w:val="figurereturn"/>
      </w:pPr>
      <w:r>
        <w:drawing>
          <wp:inline distT="0" distB="0" distL="0" distR="0" wp14:anchorId="29E0C1EB" wp14:editId="509732EA">
            <wp:extent cx="4591050" cy="3443526"/>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06.JPG"/>
                    <pic:cNvPicPr/>
                  </pic:nvPicPr>
                  <pic:blipFill>
                    <a:blip r:embed="rId48">
                      <a:extLst>
                        <a:ext uri="{28A0092B-C50C-407E-A947-70E740481C1C}">
                          <a14:useLocalDpi xmlns:a14="http://schemas.microsoft.com/office/drawing/2010/main" val="0"/>
                        </a:ext>
                      </a:extLst>
                    </a:blip>
                    <a:stretch>
                      <a:fillRect/>
                    </a:stretch>
                  </pic:blipFill>
                  <pic:spPr>
                    <a:xfrm>
                      <a:off x="0" y="0"/>
                      <a:ext cx="4589775" cy="3442570"/>
                    </a:xfrm>
                    <a:prstGeom prst="rect">
                      <a:avLst/>
                    </a:prstGeom>
                  </pic:spPr>
                </pic:pic>
              </a:graphicData>
            </a:graphic>
          </wp:inline>
        </w:drawing>
      </w:r>
    </w:p>
    <w:p w14:paraId="5803B2AF" w14:textId="39CB64E1" w:rsidR="00413AA7" w:rsidRDefault="00413AA7" w:rsidP="00D0375F">
      <w:pPr>
        <w:pStyle w:val="Figuretitle"/>
      </w:pPr>
      <w:bookmarkStart w:id="100" w:name="_Toc420327772"/>
      <w:r>
        <w:t xml:space="preserve">Figure </w:t>
      </w:r>
      <w:r w:rsidR="00B91643">
        <w:fldChar w:fldCharType="begin"/>
      </w:r>
      <w:r w:rsidR="00B91643">
        <w:instrText xml:space="preserve"> SEQ Figure \* ARABIC </w:instrText>
      </w:r>
      <w:r w:rsidR="00B91643">
        <w:fldChar w:fldCharType="separate"/>
      </w:r>
      <w:r w:rsidR="00BD60CC">
        <w:rPr>
          <w:noProof/>
        </w:rPr>
        <w:t>21</w:t>
      </w:r>
      <w:r w:rsidR="00B91643">
        <w:rPr>
          <w:noProof/>
        </w:rPr>
        <w:fldChar w:fldCharType="end"/>
      </w:r>
      <w:r>
        <w:t xml:space="preserve"> Example </w:t>
      </w:r>
      <w:r w:rsidR="00976706">
        <w:t xml:space="preserve">of </w:t>
      </w:r>
      <w:r>
        <w:t>gas collection and sampling procedure in the field</w:t>
      </w:r>
      <w:bookmarkEnd w:id="100"/>
    </w:p>
    <w:p w14:paraId="689F5B1C" w14:textId="77777777" w:rsidR="00413AA7" w:rsidRDefault="00413AA7" w:rsidP="001B31B0">
      <w:pPr>
        <w:pStyle w:val="figurereturn"/>
      </w:pPr>
      <w:r>
        <w:drawing>
          <wp:inline distT="0" distB="0" distL="0" distR="0" wp14:anchorId="683756A3" wp14:editId="2E03AA12">
            <wp:extent cx="5591175" cy="745509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57.JPG"/>
                    <pic:cNvPicPr/>
                  </pic:nvPicPr>
                  <pic:blipFill>
                    <a:blip r:embed="rId49">
                      <a:extLst>
                        <a:ext uri="{28A0092B-C50C-407E-A947-70E740481C1C}">
                          <a14:useLocalDpi xmlns:a14="http://schemas.microsoft.com/office/drawing/2010/main" val="0"/>
                        </a:ext>
                      </a:extLst>
                    </a:blip>
                    <a:stretch>
                      <a:fillRect/>
                    </a:stretch>
                  </pic:blipFill>
                  <pic:spPr>
                    <a:xfrm>
                      <a:off x="0" y="0"/>
                      <a:ext cx="5587117" cy="7449683"/>
                    </a:xfrm>
                    <a:prstGeom prst="rect">
                      <a:avLst/>
                    </a:prstGeom>
                  </pic:spPr>
                </pic:pic>
              </a:graphicData>
            </a:graphic>
          </wp:inline>
        </w:drawing>
      </w:r>
    </w:p>
    <w:p w14:paraId="4477255A" w14:textId="4AE9DA30" w:rsidR="00413AA7" w:rsidRDefault="00413AA7" w:rsidP="00D0375F">
      <w:pPr>
        <w:pStyle w:val="Figuretitle"/>
      </w:pPr>
      <w:bookmarkStart w:id="101" w:name="_Toc420327773"/>
      <w:r>
        <w:t xml:space="preserve">Figure </w:t>
      </w:r>
      <w:r w:rsidR="00B91643">
        <w:fldChar w:fldCharType="begin"/>
      </w:r>
      <w:r w:rsidR="00B91643">
        <w:instrText xml:space="preserve"> SEQ Figure \* ARABIC </w:instrText>
      </w:r>
      <w:r w:rsidR="00B91643">
        <w:fldChar w:fldCharType="separate"/>
      </w:r>
      <w:r w:rsidR="00BD60CC">
        <w:rPr>
          <w:noProof/>
        </w:rPr>
        <w:t>22</w:t>
      </w:r>
      <w:r w:rsidR="00B91643">
        <w:rPr>
          <w:noProof/>
        </w:rPr>
        <w:fldChar w:fldCharType="end"/>
      </w:r>
      <w:r>
        <w:t xml:space="preserve"> Example</w:t>
      </w:r>
      <w:r w:rsidR="00976706">
        <w:t xml:space="preserve"> of</w:t>
      </w:r>
      <w:r>
        <w:t xml:space="preserve"> gas collection and sampling procedure in the field</w:t>
      </w:r>
      <w:bookmarkEnd w:id="101"/>
    </w:p>
    <w:p w14:paraId="58E215E4" w14:textId="77777777" w:rsidR="00413AA7" w:rsidRDefault="00413AA7" w:rsidP="00D0375F">
      <w:pPr>
        <w:pStyle w:val="Figuretitle"/>
      </w:pPr>
    </w:p>
    <w:p w14:paraId="66D7B229" w14:textId="77777777" w:rsidR="00413AA7" w:rsidRPr="000C564C" w:rsidRDefault="00413AA7" w:rsidP="00D0375F">
      <w:pPr>
        <w:pStyle w:val="Figuretitle"/>
      </w:pPr>
    </w:p>
    <w:p w14:paraId="78713D4E" w14:textId="77777777" w:rsidR="009E3B1C" w:rsidRDefault="009E3B1C" w:rsidP="009E3B1C">
      <w:pPr>
        <w:pStyle w:val="Head2xx"/>
      </w:pPr>
      <w:bookmarkStart w:id="102" w:name="_Toc420327728"/>
      <w:r>
        <w:t>Reporting of gas concentrations</w:t>
      </w:r>
      <w:bookmarkEnd w:id="102"/>
    </w:p>
    <w:p w14:paraId="2B49C516" w14:textId="30D15222" w:rsidR="009E3B1C" w:rsidRDefault="009E3B1C" w:rsidP="009E3B1C">
      <w:r>
        <w:t xml:space="preserve">Unlike water samples, the mass of a particular analyte in a gas sample is dependent on the pressure and temperature of the sample.  For this reason, the laboratory reports the following parameters in the methane analysis of gas samples collected in </w:t>
      </w:r>
      <w:r w:rsidR="00F73D6A">
        <w:t xml:space="preserve">summa </w:t>
      </w:r>
      <w:r w:rsidR="00206FC6">
        <w:t>canisters</w:t>
      </w:r>
      <w:r>
        <w:t>:</w:t>
      </w:r>
    </w:p>
    <w:p w14:paraId="481A981C" w14:textId="42D635DE" w:rsidR="009E3B1C" w:rsidRDefault="000178E8" w:rsidP="009E3B1C">
      <w:pPr>
        <w:pStyle w:val="ListParagraph"/>
        <w:numPr>
          <w:ilvl w:val="0"/>
          <w:numId w:val="56"/>
        </w:numPr>
        <w:ind w:left="426" w:hanging="426"/>
      </w:pPr>
      <w:r>
        <w:t xml:space="preserve">concentration </w:t>
      </w:r>
      <w:r w:rsidR="009E3B1C">
        <w:t>of methane (in mg/m</w:t>
      </w:r>
      <w:r w:rsidR="009E3B1C" w:rsidRPr="007F1541">
        <w:rPr>
          <w:vertAlign w:val="superscript"/>
        </w:rPr>
        <w:t>3</w:t>
      </w:r>
      <w:r w:rsidR="009E3B1C">
        <w:t>)</w:t>
      </w:r>
    </w:p>
    <w:p w14:paraId="3F4A5013" w14:textId="2EDD4ACF" w:rsidR="009E3B1C" w:rsidRDefault="000178E8" w:rsidP="009E3B1C">
      <w:pPr>
        <w:pStyle w:val="ListParagraph"/>
        <w:numPr>
          <w:ilvl w:val="0"/>
          <w:numId w:val="56"/>
        </w:numPr>
        <w:ind w:left="426" w:hanging="426"/>
      </w:pPr>
      <w:r>
        <w:t xml:space="preserve">molar </w:t>
      </w:r>
      <w:r w:rsidR="009E3B1C">
        <w:t>percentage of methane (as Mol %)</w:t>
      </w:r>
    </w:p>
    <w:p w14:paraId="20EEC3F1" w14:textId="7A8BB3C6" w:rsidR="009E3B1C" w:rsidRDefault="000178E8" w:rsidP="009E3B1C">
      <w:pPr>
        <w:pStyle w:val="ListParagraph"/>
        <w:numPr>
          <w:ilvl w:val="0"/>
          <w:numId w:val="56"/>
        </w:numPr>
        <w:ind w:left="426" w:hanging="426"/>
      </w:pPr>
      <w:r>
        <w:t xml:space="preserve">pressure </w:t>
      </w:r>
      <w:r w:rsidR="009E3B1C">
        <w:t>as received (in kPa)</w:t>
      </w:r>
    </w:p>
    <w:p w14:paraId="02DFC2A1" w14:textId="5C7CA532" w:rsidR="009E3B1C" w:rsidRDefault="000178E8" w:rsidP="009E3B1C">
      <w:pPr>
        <w:pStyle w:val="ListParagraph"/>
        <w:numPr>
          <w:ilvl w:val="0"/>
          <w:numId w:val="56"/>
        </w:numPr>
        <w:ind w:left="426" w:hanging="426"/>
      </w:pPr>
      <w:r>
        <w:t xml:space="preserve">pressure </w:t>
      </w:r>
      <w:r w:rsidR="009E3B1C">
        <w:t>– Laboratory Atmosphere (in kPa)</w:t>
      </w:r>
    </w:p>
    <w:p w14:paraId="5D3A584D" w14:textId="34DA4927" w:rsidR="009E3B1C" w:rsidRDefault="000178E8" w:rsidP="009E3B1C">
      <w:pPr>
        <w:pStyle w:val="ListParagraph"/>
        <w:numPr>
          <w:ilvl w:val="0"/>
          <w:numId w:val="56"/>
        </w:numPr>
        <w:ind w:left="426" w:hanging="426"/>
      </w:pPr>
      <w:r>
        <w:t xml:space="preserve">temperature </w:t>
      </w:r>
      <w:r w:rsidR="009E3B1C">
        <w:t xml:space="preserve">as received (as </w:t>
      </w:r>
      <w:r w:rsidR="009E3B1C" w:rsidRPr="007F1541">
        <w:rPr>
          <w:vertAlign w:val="superscript"/>
        </w:rPr>
        <w:t>o</w:t>
      </w:r>
      <w:r w:rsidR="009E3B1C">
        <w:t>C)</w:t>
      </w:r>
      <w:r>
        <w:t>.</w:t>
      </w:r>
    </w:p>
    <w:p w14:paraId="225A7C8F" w14:textId="77777777" w:rsidR="009E3B1C" w:rsidRDefault="009E3B1C" w:rsidP="009E3B1C">
      <w:r>
        <w:t xml:space="preserve">The concentration of methane in the gas samples cannot be easily combined with the concentration of methane in water samples collected from the same bore.  Therefore, the two results are reported separately in this study.  </w:t>
      </w:r>
    </w:p>
    <w:p w14:paraId="7DAA04A2" w14:textId="72C1CA2B" w:rsidR="005E36DC" w:rsidRDefault="005E36DC">
      <w:pPr>
        <w:rPr>
          <w:lang w:val="en-AU"/>
        </w:rPr>
      </w:pPr>
    </w:p>
    <w:p w14:paraId="2BA26965" w14:textId="77777777" w:rsidR="00FC2A0F" w:rsidRDefault="00FC2A0F" w:rsidP="00E63375">
      <w:pPr>
        <w:rPr>
          <w:lang w:val="en-US" w:eastAsia="en-US"/>
        </w:rPr>
      </w:pPr>
      <w:r>
        <w:br w:type="page"/>
      </w:r>
    </w:p>
    <w:p w14:paraId="7DAA04A3" w14:textId="665A6224" w:rsidR="000C564C" w:rsidRPr="000C564C" w:rsidRDefault="000C564C" w:rsidP="005E36DC">
      <w:pPr>
        <w:pStyle w:val="Head1x"/>
      </w:pPr>
      <w:bookmarkStart w:id="103" w:name="_Toc420327729"/>
      <w:r w:rsidRPr="000C564C">
        <w:t xml:space="preserve">Quality </w:t>
      </w:r>
      <w:r w:rsidR="00966ED4" w:rsidRPr="000C564C">
        <w:t>control and quality assurance</w:t>
      </w:r>
      <w:bookmarkEnd w:id="103"/>
    </w:p>
    <w:p w14:paraId="7DAA04A4" w14:textId="76A79553" w:rsidR="000C564C" w:rsidRPr="000C564C" w:rsidRDefault="00F73033" w:rsidP="005E36DC">
      <w:pPr>
        <w:pStyle w:val="Head2xx"/>
      </w:pPr>
      <w:bookmarkStart w:id="104" w:name="_Toc420327730"/>
      <w:r>
        <w:t xml:space="preserve">Quality control and quality assurance </w:t>
      </w:r>
      <w:r w:rsidR="000C564C" w:rsidRPr="000C564C">
        <w:t>types</w:t>
      </w:r>
      <w:bookmarkEnd w:id="104"/>
    </w:p>
    <w:p w14:paraId="7DAA04A5" w14:textId="77051CA4" w:rsidR="000C564C" w:rsidRPr="000C564C" w:rsidRDefault="000C564C" w:rsidP="00D101CE">
      <w:pPr>
        <w:rPr>
          <w:lang w:val="en-AU"/>
        </w:rPr>
      </w:pPr>
      <w:r w:rsidRPr="000C564C">
        <w:rPr>
          <w:lang w:val="en-AU"/>
        </w:rPr>
        <w:t xml:space="preserve">Water quality sampling from all bores included in this </w:t>
      </w:r>
      <w:r w:rsidR="00857ACF">
        <w:rPr>
          <w:lang w:val="en-AU"/>
        </w:rPr>
        <w:t>monitoring</w:t>
      </w:r>
      <w:r w:rsidRPr="000C564C">
        <w:rPr>
          <w:lang w:val="en-AU"/>
        </w:rPr>
        <w:t xml:space="preserve"> program was undertaken in accordance with Hydroterra standard operating procedures (as described in Section 4), EPA guidelines ‘A Guide to Groundwater Sampling’ (2000) and Australian Standard AS/NZS 5667.11 (1998). The following QA/QC samples were collected as part of the monitoring program:</w:t>
      </w:r>
    </w:p>
    <w:p w14:paraId="7DAA04A6" w14:textId="77777777" w:rsidR="000C564C" w:rsidRPr="005E36DC" w:rsidRDefault="000C564C" w:rsidP="00D101CE">
      <w:pPr>
        <w:pStyle w:val="Heading4"/>
        <w:rPr>
          <w:lang w:val="en-AU"/>
        </w:rPr>
      </w:pPr>
      <w:r w:rsidRPr="005E36DC">
        <w:rPr>
          <w:lang w:val="en-AU"/>
        </w:rPr>
        <w:t>Duplicate sample (also known as an intra-lab sample)</w:t>
      </w:r>
    </w:p>
    <w:p w14:paraId="7DAA04A7" w14:textId="77777777" w:rsidR="000C564C" w:rsidRPr="000C564C" w:rsidRDefault="000C564C" w:rsidP="00D101CE">
      <w:pPr>
        <w:rPr>
          <w:lang w:val="en-AU"/>
        </w:rPr>
      </w:pPr>
      <w:r w:rsidRPr="000C564C">
        <w:rPr>
          <w:lang w:val="en-AU"/>
        </w:rPr>
        <w:t>One duplicate sample was collected for every thirty samples collected. To collect a duplicate sample, water collected from the selected bore was separated into three bottle sets – one as the ‘primary’ sample, one as the ‘duplicate’ and one as the ‘triplicate’. The purpose of a ‘duplicate’ sample is to validate the consistency of the sampling technique and laboratory analysis procedures. To assess results, the relative percentage difference (RPD) between the duplicate and primary is calculated for each analyte where observed concentration is greater than five times the Limit of Reporting (LOR) and compared to acceptance criteria.</w:t>
      </w:r>
    </w:p>
    <w:p w14:paraId="7DAA04A8" w14:textId="77777777" w:rsidR="000C564C" w:rsidRPr="005E36DC" w:rsidRDefault="000C564C" w:rsidP="00D101CE">
      <w:pPr>
        <w:pStyle w:val="Heading4"/>
        <w:rPr>
          <w:lang w:val="en-AU"/>
        </w:rPr>
      </w:pPr>
      <w:r w:rsidRPr="005E36DC">
        <w:rPr>
          <w:lang w:val="en-AU"/>
        </w:rPr>
        <w:t>Triplicate sample (also known as an inter-lab sample)</w:t>
      </w:r>
    </w:p>
    <w:p w14:paraId="7DAA04A9" w14:textId="77777777" w:rsidR="000C564C" w:rsidRPr="000C564C" w:rsidRDefault="000C564C" w:rsidP="00D101CE">
      <w:pPr>
        <w:rPr>
          <w:lang w:val="en-AU"/>
        </w:rPr>
      </w:pPr>
      <w:r w:rsidRPr="000C564C">
        <w:rPr>
          <w:lang w:val="en-AU"/>
        </w:rPr>
        <w:t>One triplicate sample was collected for every thirty samples collected. The triplicate was collected at the sam</w:t>
      </w:r>
      <w:r w:rsidR="00F63938">
        <w:rPr>
          <w:lang w:val="en-AU"/>
        </w:rPr>
        <w:t>e site as the duplicate sample.</w:t>
      </w:r>
      <w:r w:rsidRPr="000C564C">
        <w:rPr>
          <w:lang w:val="en-AU"/>
        </w:rPr>
        <w:t xml:space="preserve"> To collect a triplicate sample, water collected from the selected bore was separated into three bottle sets – one as the ‘primary’ sample, one as the ‘duplicate’ and one as the ‘triplicate’. The purpose of a ‘triplicate’ sample is to validate the results and analysis procedure of the primary lab. To assess results, the RPD between the duplicate and triplicate is calculated for each analyte where observed concentration is greater than five times the LOR and compared to acceptance criteria.</w:t>
      </w:r>
    </w:p>
    <w:p w14:paraId="7DAA04AA" w14:textId="77777777" w:rsidR="000C564C" w:rsidRPr="005E36DC" w:rsidRDefault="000C564C" w:rsidP="00D101CE">
      <w:pPr>
        <w:pStyle w:val="Heading4"/>
        <w:rPr>
          <w:lang w:val="en-AU"/>
        </w:rPr>
      </w:pPr>
      <w:r w:rsidRPr="005E36DC">
        <w:rPr>
          <w:lang w:val="en-AU"/>
        </w:rPr>
        <w:t>Field blank</w:t>
      </w:r>
    </w:p>
    <w:p w14:paraId="7DAA04AB" w14:textId="71A3E400" w:rsidR="000C564C" w:rsidRPr="000C564C" w:rsidRDefault="000C564C" w:rsidP="00D101CE">
      <w:pPr>
        <w:rPr>
          <w:lang w:val="en-AU"/>
        </w:rPr>
      </w:pPr>
      <w:r w:rsidRPr="000C564C">
        <w:rPr>
          <w:lang w:val="en-AU"/>
        </w:rPr>
        <w:t xml:space="preserve">One field blank was collected for every thirty samples collected. The purpose of the field blank is to validate the onsite sampling method. Sample bottles were filled with </w:t>
      </w:r>
      <w:r w:rsidR="00206FC6" w:rsidRPr="000C564C">
        <w:rPr>
          <w:lang w:val="en-AU"/>
        </w:rPr>
        <w:t>deionised</w:t>
      </w:r>
      <w:r w:rsidRPr="000C564C">
        <w:rPr>
          <w:lang w:val="en-AU"/>
        </w:rPr>
        <w:t xml:space="preserve"> water using the same method as filling bottles with groundwater. This include</w:t>
      </w:r>
      <w:r w:rsidR="000178E8">
        <w:rPr>
          <w:lang w:val="en-AU"/>
        </w:rPr>
        <w:t>s</w:t>
      </w:r>
      <w:r w:rsidRPr="000C564C">
        <w:rPr>
          <w:lang w:val="en-AU"/>
        </w:rPr>
        <w:t xml:space="preserve"> field filtration, where required. If all tested analytes for the field blank are returned with results below detection levels, then the onsite sampling technique is verified.</w:t>
      </w:r>
    </w:p>
    <w:p w14:paraId="7DAA04AC" w14:textId="77777777" w:rsidR="000C564C" w:rsidRPr="00F63938" w:rsidRDefault="000C564C" w:rsidP="00D101CE">
      <w:pPr>
        <w:pStyle w:val="Heading4"/>
        <w:rPr>
          <w:lang w:val="en-AU"/>
        </w:rPr>
      </w:pPr>
      <w:r w:rsidRPr="00F63938">
        <w:rPr>
          <w:lang w:val="en-AU"/>
        </w:rPr>
        <w:t>Transport blank (also known as trip blank)</w:t>
      </w:r>
    </w:p>
    <w:p w14:paraId="7DAA04AD" w14:textId="5A0576E2" w:rsidR="00F63938" w:rsidRDefault="000C564C" w:rsidP="00D101CE">
      <w:pPr>
        <w:rPr>
          <w:lang w:val="en-AU"/>
        </w:rPr>
      </w:pPr>
      <w:r w:rsidRPr="000C564C">
        <w:rPr>
          <w:lang w:val="en-AU"/>
        </w:rPr>
        <w:t xml:space="preserve">The purpose of a transport blank is to detect any sample contamination that may occur during transportation, namely in the form of volatile organics. A transport blank consists of a vial filled with </w:t>
      </w:r>
      <w:r w:rsidR="00206FC6" w:rsidRPr="000C564C">
        <w:rPr>
          <w:lang w:val="en-AU"/>
        </w:rPr>
        <w:t>deionised</w:t>
      </w:r>
      <w:r w:rsidRPr="000C564C">
        <w:rPr>
          <w:lang w:val="en-AU"/>
        </w:rPr>
        <w:t xml:space="preserve"> water that is stored in the esky by the laboratory. The vial remains in the esky during the field program and is not removed until the esky and samples </w:t>
      </w:r>
      <w:r w:rsidR="000178E8">
        <w:rPr>
          <w:lang w:val="en-AU"/>
        </w:rPr>
        <w:t>are</w:t>
      </w:r>
      <w:r w:rsidR="000178E8" w:rsidRPr="000C564C">
        <w:rPr>
          <w:lang w:val="en-AU"/>
        </w:rPr>
        <w:t xml:space="preserve"> </w:t>
      </w:r>
      <w:r w:rsidRPr="000C564C">
        <w:rPr>
          <w:lang w:val="en-AU"/>
        </w:rPr>
        <w:t>returned to the laboratory. If no contamination has occurred during transport, then the transport blank will return results below detection limits for all analytes tested.</w:t>
      </w:r>
    </w:p>
    <w:p w14:paraId="56554532" w14:textId="77777777" w:rsidR="00FC2A0F" w:rsidRDefault="00FC2A0F">
      <w:pPr>
        <w:rPr>
          <w:rFonts w:cs="Arial"/>
          <w:color w:val="AEC12D" w:themeColor="text2"/>
          <w:sz w:val="32"/>
          <w:szCs w:val="32"/>
          <w:lang w:val="en-AU" w:eastAsia="en-US"/>
        </w:rPr>
      </w:pPr>
      <w:r>
        <w:br w:type="page"/>
      </w:r>
    </w:p>
    <w:p w14:paraId="7DAA04AF" w14:textId="1B3EE148" w:rsidR="000C564C" w:rsidRPr="000C564C" w:rsidRDefault="000C564C" w:rsidP="005E36DC">
      <w:pPr>
        <w:pStyle w:val="Head2xx"/>
      </w:pPr>
      <w:bookmarkStart w:id="105" w:name="_Toc420327731"/>
      <w:r w:rsidRPr="000C564C">
        <w:t>Acceptance criteria for quality control samples</w:t>
      </w:r>
      <w:bookmarkEnd w:id="105"/>
    </w:p>
    <w:p w14:paraId="7DAA04B0" w14:textId="77777777" w:rsidR="000C564C" w:rsidRPr="000C564C" w:rsidRDefault="000C564C" w:rsidP="000C564C">
      <w:pPr>
        <w:rPr>
          <w:lang w:val="en-AU"/>
        </w:rPr>
      </w:pPr>
      <w:r w:rsidRPr="000C564C">
        <w:rPr>
          <w:lang w:val="en-AU"/>
        </w:rPr>
        <w:t xml:space="preserve">The calculation for RPD for quality control samples follows the methodology outlined in AS 4482.1-2005 (sampling at contaminated sites). Acceptance criteria used in this assessment are outlined in </w:t>
      </w:r>
      <w:r w:rsidR="00D101CE">
        <w:rPr>
          <w:lang w:val="en-AU"/>
        </w:rPr>
        <w:fldChar w:fldCharType="begin"/>
      </w:r>
      <w:r w:rsidR="00D101CE">
        <w:rPr>
          <w:lang w:val="en-AU"/>
        </w:rPr>
        <w:instrText xml:space="preserve"> REF _Ref414008210 \h </w:instrText>
      </w:r>
      <w:r w:rsidR="00D101CE">
        <w:rPr>
          <w:lang w:val="en-AU"/>
        </w:rPr>
      </w:r>
      <w:r w:rsidR="00D101CE">
        <w:rPr>
          <w:lang w:val="en-AU"/>
        </w:rPr>
        <w:fldChar w:fldCharType="separate"/>
      </w:r>
      <w:r w:rsidR="00BD60CC">
        <w:t xml:space="preserve">Table </w:t>
      </w:r>
      <w:r w:rsidR="00BD60CC">
        <w:rPr>
          <w:noProof/>
        </w:rPr>
        <w:t>11</w:t>
      </w:r>
      <w:r w:rsidR="00D101CE">
        <w:rPr>
          <w:lang w:val="en-AU"/>
        </w:rPr>
        <w:fldChar w:fldCharType="end"/>
      </w:r>
      <w:r w:rsidR="00D101CE">
        <w:rPr>
          <w:lang w:val="en-AU"/>
        </w:rPr>
        <w:t>.</w:t>
      </w:r>
    </w:p>
    <w:p w14:paraId="7DAA04B1" w14:textId="77777777" w:rsidR="000C564C" w:rsidRPr="000C564C" w:rsidRDefault="00D101CE" w:rsidP="004F307F">
      <w:pPr>
        <w:pStyle w:val="Tableheading"/>
        <w:rPr>
          <w:lang w:val="en-AU"/>
        </w:rPr>
      </w:pPr>
      <w:bookmarkStart w:id="106" w:name="_Ref414008210"/>
      <w:bookmarkStart w:id="107" w:name="_Toc420320561"/>
      <w:r>
        <w:t xml:space="preserve">Table </w:t>
      </w:r>
      <w:r>
        <w:fldChar w:fldCharType="begin"/>
      </w:r>
      <w:r>
        <w:instrText xml:space="preserve"> SEQ Table \* ARABIC </w:instrText>
      </w:r>
      <w:r>
        <w:fldChar w:fldCharType="separate"/>
      </w:r>
      <w:r w:rsidR="00BD60CC">
        <w:rPr>
          <w:noProof/>
        </w:rPr>
        <w:t>11</w:t>
      </w:r>
      <w:r>
        <w:fldChar w:fldCharType="end"/>
      </w:r>
      <w:bookmarkEnd w:id="106"/>
      <w:r>
        <w:rPr>
          <w:lang w:val="en-AU"/>
        </w:rPr>
        <w:t xml:space="preserve"> </w:t>
      </w:r>
      <w:r w:rsidR="000C564C" w:rsidRPr="000C564C">
        <w:rPr>
          <w:lang w:val="en-AU"/>
        </w:rPr>
        <w:t>Acceptance criteria for QA/QC samples</w:t>
      </w:r>
      <w:bookmarkEnd w:id="107"/>
    </w:p>
    <w:tbl>
      <w:tblPr>
        <w:tblStyle w:val="Table2"/>
        <w:tblW w:w="0" w:type="auto"/>
        <w:tblInd w:w="108"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477"/>
        <w:gridCol w:w="8212"/>
      </w:tblGrid>
      <w:tr w:rsidR="005E36DC" w:rsidRPr="00E63375" w14:paraId="7DAA04B4" w14:textId="77777777" w:rsidTr="00E63375">
        <w:trPr>
          <w:cnfStyle w:val="100000000000" w:firstRow="1" w:lastRow="0" w:firstColumn="0" w:lastColumn="0" w:oddVBand="0" w:evenVBand="0" w:oddHBand="0" w:evenHBand="0" w:firstRowFirstColumn="0" w:firstRowLastColumn="0" w:lastRowFirstColumn="0" w:lastRowLastColumn="0"/>
          <w:cantSplit/>
          <w:tblHeader/>
        </w:trPr>
        <w:tc>
          <w:tcPr>
            <w:tcW w:w="0" w:type="auto"/>
            <w:tcBorders>
              <w:top w:val="nil"/>
              <w:bottom w:val="single" w:sz="4" w:space="0" w:color="FFFFFF"/>
              <w:right w:val="single" w:sz="4" w:space="0" w:color="FFFFFF"/>
            </w:tcBorders>
            <w:shd w:val="clear" w:color="auto" w:fill="005A97"/>
          </w:tcPr>
          <w:p w14:paraId="7DAA04B2" w14:textId="77777777" w:rsidR="005E36DC" w:rsidRPr="00E63375" w:rsidRDefault="005E36DC" w:rsidP="00E63375">
            <w:pPr>
              <w:pStyle w:val="TableHeaderrow"/>
              <w:rPr>
                <w:b/>
              </w:rPr>
            </w:pPr>
            <w:r w:rsidRPr="00E63375">
              <w:rPr>
                <w:b/>
              </w:rPr>
              <w:t>QA/QC sample</w:t>
            </w:r>
          </w:p>
        </w:tc>
        <w:tc>
          <w:tcPr>
            <w:tcW w:w="8212" w:type="dxa"/>
            <w:tcBorders>
              <w:top w:val="nil"/>
              <w:left w:val="single" w:sz="4" w:space="0" w:color="FFFFFF"/>
              <w:bottom w:val="single" w:sz="4" w:space="0" w:color="FFFFFF"/>
            </w:tcBorders>
            <w:shd w:val="clear" w:color="auto" w:fill="005A97"/>
          </w:tcPr>
          <w:p w14:paraId="7DAA04B3" w14:textId="77777777" w:rsidR="005E36DC" w:rsidRPr="00E63375" w:rsidRDefault="005E36DC" w:rsidP="00E63375">
            <w:pPr>
              <w:pStyle w:val="TableHeaderrow"/>
              <w:rPr>
                <w:b/>
              </w:rPr>
            </w:pPr>
            <w:r w:rsidRPr="00E63375">
              <w:rPr>
                <w:b/>
              </w:rPr>
              <w:t xml:space="preserve">Typical RPD for QA/QC sample where observed concentration is greater than five time LOR </w:t>
            </w:r>
            <w:r w:rsidRPr="00E63375">
              <w:rPr>
                <w:b/>
              </w:rPr>
              <w:br/>
              <w:t>(see Notes 1 and 2)</w:t>
            </w:r>
          </w:p>
        </w:tc>
      </w:tr>
      <w:tr w:rsidR="005E36DC" w14:paraId="7DAA04B7" w14:textId="77777777" w:rsidTr="00E63375">
        <w:trPr>
          <w:cantSplit/>
        </w:trPr>
        <w:tc>
          <w:tcPr>
            <w:tcW w:w="0" w:type="auto"/>
            <w:tcBorders>
              <w:top w:val="single" w:sz="4" w:space="0" w:color="FFFFFF"/>
            </w:tcBorders>
            <w:vAlign w:val="center"/>
          </w:tcPr>
          <w:p w14:paraId="7DAA04B5" w14:textId="77777777" w:rsidR="005E36DC" w:rsidRPr="00E63375" w:rsidRDefault="005E36DC" w:rsidP="00D101CE">
            <w:pPr>
              <w:pStyle w:val="Tablesmalltext"/>
              <w:rPr>
                <w:sz w:val="18"/>
                <w:szCs w:val="18"/>
              </w:rPr>
            </w:pPr>
            <w:r w:rsidRPr="00E63375">
              <w:rPr>
                <w:sz w:val="18"/>
                <w:szCs w:val="18"/>
              </w:rPr>
              <w:t>Duplicate</w:t>
            </w:r>
          </w:p>
        </w:tc>
        <w:tc>
          <w:tcPr>
            <w:tcW w:w="8212" w:type="dxa"/>
            <w:tcBorders>
              <w:top w:val="single" w:sz="4" w:space="0" w:color="FFFFFF"/>
            </w:tcBorders>
            <w:vAlign w:val="center"/>
          </w:tcPr>
          <w:p w14:paraId="7DAA04B6" w14:textId="77777777" w:rsidR="005E36DC" w:rsidRPr="00E63375" w:rsidRDefault="005E36DC" w:rsidP="00D101CE">
            <w:pPr>
              <w:pStyle w:val="Tablesmalltext"/>
              <w:rPr>
                <w:sz w:val="18"/>
                <w:szCs w:val="18"/>
              </w:rPr>
            </w:pPr>
            <w:r w:rsidRPr="00E63375">
              <w:rPr>
                <w:sz w:val="18"/>
                <w:szCs w:val="18"/>
              </w:rPr>
              <w:t>30% - 40% of mean concentration of analyte.</w:t>
            </w:r>
            <w:r w:rsidRPr="00E63375">
              <w:rPr>
                <w:sz w:val="18"/>
                <w:szCs w:val="18"/>
              </w:rPr>
              <w:br/>
              <w:t>See Note 3.</w:t>
            </w:r>
          </w:p>
        </w:tc>
      </w:tr>
      <w:tr w:rsidR="005E36DC" w14:paraId="7DAA04BA" w14:textId="77777777" w:rsidTr="00E63375">
        <w:trPr>
          <w:cantSplit/>
        </w:trPr>
        <w:tc>
          <w:tcPr>
            <w:tcW w:w="0" w:type="auto"/>
            <w:vAlign w:val="center"/>
          </w:tcPr>
          <w:p w14:paraId="7DAA04B8" w14:textId="77777777" w:rsidR="005E36DC" w:rsidRPr="00E63375" w:rsidRDefault="005E36DC" w:rsidP="00D101CE">
            <w:pPr>
              <w:pStyle w:val="Tablesmalltext"/>
              <w:rPr>
                <w:sz w:val="18"/>
                <w:szCs w:val="18"/>
              </w:rPr>
            </w:pPr>
            <w:r w:rsidRPr="00E63375">
              <w:rPr>
                <w:sz w:val="18"/>
                <w:szCs w:val="18"/>
              </w:rPr>
              <w:t>Triplicate</w:t>
            </w:r>
          </w:p>
        </w:tc>
        <w:tc>
          <w:tcPr>
            <w:tcW w:w="8212" w:type="dxa"/>
            <w:vAlign w:val="center"/>
          </w:tcPr>
          <w:p w14:paraId="7DAA04B9" w14:textId="77777777" w:rsidR="005E36DC" w:rsidRPr="00E63375" w:rsidRDefault="005E36DC" w:rsidP="00D101CE">
            <w:pPr>
              <w:pStyle w:val="Tablesmalltext"/>
              <w:rPr>
                <w:sz w:val="18"/>
                <w:szCs w:val="18"/>
              </w:rPr>
            </w:pPr>
            <w:r w:rsidRPr="00E63375">
              <w:rPr>
                <w:sz w:val="18"/>
                <w:szCs w:val="18"/>
              </w:rPr>
              <w:t>30% - 50% of mean concentration of analyte determined by both laboratories.</w:t>
            </w:r>
            <w:r w:rsidRPr="00E63375">
              <w:rPr>
                <w:sz w:val="18"/>
                <w:szCs w:val="18"/>
              </w:rPr>
              <w:br/>
              <w:t>See Note 3.</w:t>
            </w:r>
          </w:p>
        </w:tc>
      </w:tr>
    </w:tbl>
    <w:p w14:paraId="7DAA04BB" w14:textId="77777777" w:rsidR="005E36DC" w:rsidRDefault="005E36DC" w:rsidP="000C564C">
      <w:pPr>
        <w:rPr>
          <w:lang w:val="en-AU"/>
        </w:rPr>
      </w:pPr>
    </w:p>
    <w:p w14:paraId="7DAA04BC" w14:textId="77777777" w:rsidR="000C564C" w:rsidRPr="000C564C" w:rsidRDefault="000C564C" w:rsidP="00C609AB">
      <w:pPr>
        <w:rPr>
          <w:lang w:val="en-AU"/>
        </w:rPr>
      </w:pPr>
      <w:r w:rsidRPr="000C564C">
        <w:rPr>
          <w:lang w:val="en-AU"/>
        </w:rPr>
        <w:t>Notes:</w:t>
      </w:r>
    </w:p>
    <w:p w14:paraId="7DAA04BD" w14:textId="77777777" w:rsidR="000C564C" w:rsidRPr="008D0183" w:rsidRDefault="008D0183" w:rsidP="00827246">
      <w:pPr>
        <w:pStyle w:val="Bullet1"/>
        <w:numPr>
          <w:ilvl w:val="0"/>
          <w:numId w:val="8"/>
        </w:numPr>
        <w:rPr>
          <w:lang w:val="en-AU"/>
        </w:rPr>
      </w:pPr>
      <m:oMath>
        <m:r>
          <w:rPr>
            <w:rFonts w:ascii="Cambria Math" w:hAnsi="Cambria Math"/>
          </w:rPr>
          <m:t>Relative</m:t>
        </m:r>
        <m:r>
          <m:rPr>
            <m:sty m:val="p"/>
          </m:rPr>
          <w:rPr>
            <w:rFonts w:ascii="Cambria Math" w:hAnsi="Cambria Math"/>
          </w:rPr>
          <m:t xml:space="preserve"> </m:t>
        </m:r>
        <m:r>
          <w:rPr>
            <w:rFonts w:ascii="Cambria Math" w:hAnsi="Cambria Math"/>
          </w:rPr>
          <m:t>Percentage</m:t>
        </m:r>
        <m:r>
          <m:rPr>
            <m:sty m:val="p"/>
          </m:rPr>
          <w:rPr>
            <w:rFonts w:ascii="Cambria Math" w:hAnsi="Cambria Math"/>
          </w:rPr>
          <m:t xml:space="preserve"> </m:t>
        </m:r>
        <m:r>
          <w:rPr>
            <w:rFonts w:ascii="Cambria Math" w:hAnsi="Cambria Math"/>
          </w:rPr>
          <m:t>Difference</m:t>
        </m:r>
        <m:r>
          <m:rPr>
            <m:sty m:val="p"/>
          </m:rPr>
          <w:rPr>
            <w:rFonts w:ascii="Cambria Math" w:hAnsi="Cambria Math"/>
          </w:rPr>
          <m:t xml:space="preserve"> </m:t>
        </m:r>
        <m:r>
          <w:rPr>
            <w:rFonts w:ascii="Cambria Math" w:hAnsi="Cambria Math"/>
          </w:rPr>
          <m:t>RPD</m:t>
        </m:r>
        <m:r>
          <m:rPr>
            <m:sty m:val="p"/>
          </m:rPr>
          <w:rPr>
            <w:rFonts w:ascii="Cambria Math" w:hAnsi="Cambria Math"/>
          </w:rPr>
          <m:t>=</m:t>
        </m:r>
        <m:f>
          <m:fPr>
            <m:ctrlPr>
              <w:rPr>
                <w:rFonts w:ascii="Cambria Math" w:hAnsi="Cambria Math"/>
              </w:rPr>
            </m:ctrlPr>
          </m:fPr>
          <m:num>
            <m:r>
              <w:rPr>
                <w:rFonts w:ascii="Cambria Math" w:hAnsi="Cambria Math"/>
              </w:rPr>
              <m:t>Result</m:t>
            </m:r>
            <m:r>
              <m:rPr>
                <m:sty m:val="p"/>
              </m:rPr>
              <w:rPr>
                <w:rFonts w:ascii="Cambria Math" w:hAnsi="Cambria Math"/>
              </w:rPr>
              <m:t xml:space="preserve"> </m:t>
            </m:r>
            <m:r>
              <w:rPr>
                <w:rFonts w:ascii="Cambria Math" w:hAnsi="Cambria Math"/>
              </w:rPr>
              <m:t>No</m:t>
            </m:r>
            <m:r>
              <m:rPr>
                <m:sty m:val="p"/>
              </m:rPr>
              <w:rPr>
                <w:rFonts w:ascii="Cambria Math" w:hAnsi="Cambria Math"/>
              </w:rPr>
              <m:t>. 1-</m:t>
            </m:r>
            <m:r>
              <w:rPr>
                <w:rFonts w:ascii="Cambria Math" w:hAnsi="Cambria Math"/>
              </w:rPr>
              <m:t>Result</m:t>
            </m:r>
            <m:r>
              <m:rPr>
                <m:sty m:val="p"/>
              </m:rPr>
              <w:rPr>
                <w:rFonts w:ascii="Cambria Math" w:hAnsi="Cambria Math"/>
              </w:rPr>
              <m:t xml:space="preserve"> </m:t>
            </m:r>
            <m:r>
              <w:rPr>
                <w:rFonts w:ascii="Cambria Math" w:hAnsi="Cambria Math"/>
              </w:rPr>
              <m:t>No</m:t>
            </m:r>
            <m:r>
              <m:rPr>
                <m:sty m:val="p"/>
              </m:rPr>
              <w:rPr>
                <w:rFonts w:ascii="Cambria Math" w:hAnsi="Cambria Math"/>
              </w:rPr>
              <m:t>. 2</m:t>
            </m:r>
          </m:num>
          <m:den>
            <m:r>
              <w:rPr>
                <w:rFonts w:ascii="Cambria Math" w:hAnsi="Cambria Math"/>
              </w:rPr>
              <m:t>Mean</m:t>
            </m:r>
            <m:r>
              <m:rPr>
                <m:sty m:val="p"/>
              </m:rPr>
              <w:rPr>
                <w:rFonts w:ascii="Cambria Math" w:hAnsi="Cambria Math"/>
              </w:rPr>
              <m:t xml:space="preserve"> </m:t>
            </m:r>
            <m:r>
              <w:rPr>
                <w:rFonts w:ascii="Cambria Math" w:hAnsi="Cambria Math"/>
              </w:rPr>
              <m:t>result</m:t>
            </m:r>
          </m:den>
        </m:f>
        <m:r>
          <m:rPr>
            <m:sty m:val="p"/>
          </m:rPr>
          <w:rPr>
            <w:rFonts w:ascii="Cambria Math" w:hAnsi="Cambria Math"/>
          </w:rPr>
          <m:t>×100</m:t>
        </m:r>
      </m:oMath>
    </w:p>
    <w:p w14:paraId="7DAA04BE" w14:textId="77777777" w:rsidR="000C564C" w:rsidRPr="008D0183" w:rsidRDefault="000C564C" w:rsidP="00827246">
      <w:pPr>
        <w:pStyle w:val="Bullet1"/>
        <w:numPr>
          <w:ilvl w:val="0"/>
          <w:numId w:val="8"/>
        </w:numPr>
        <w:rPr>
          <w:lang w:val="en-AU"/>
        </w:rPr>
      </w:pPr>
      <w:r w:rsidRPr="008D0183">
        <w:rPr>
          <w:lang w:val="en-AU"/>
        </w:rPr>
        <w:t>The significance of RPD of results should be evaluated on the basis of sampling technique, sample variability, absolute concentration relative to criteria and laboratory performance.</w:t>
      </w:r>
    </w:p>
    <w:p w14:paraId="7DAA04BF" w14:textId="77777777" w:rsidR="000C564C" w:rsidRDefault="000C564C" w:rsidP="00827246">
      <w:pPr>
        <w:pStyle w:val="Bullet1"/>
        <w:numPr>
          <w:ilvl w:val="0"/>
          <w:numId w:val="8"/>
        </w:numPr>
        <w:rPr>
          <w:lang w:val="en-AU"/>
        </w:rPr>
      </w:pPr>
      <w:r w:rsidRPr="008D0183">
        <w:rPr>
          <w:lang w:val="en-AU"/>
        </w:rPr>
        <w:t>This variation can be expected to be higher for organic analysis then for inorganics, and for low concentration of analytes.</w:t>
      </w:r>
    </w:p>
    <w:p w14:paraId="393B3B80" w14:textId="5329AF8B" w:rsidR="00F73D6A" w:rsidRPr="008D0183" w:rsidRDefault="00F73D6A" w:rsidP="00827246">
      <w:pPr>
        <w:pStyle w:val="Bullet1"/>
        <w:numPr>
          <w:ilvl w:val="0"/>
          <w:numId w:val="8"/>
        </w:numPr>
        <w:rPr>
          <w:lang w:val="en-AU"/>
        </w:rPr>
      </w:pPr>
      <w:r>
        <w:rPr>
          <w:lang w:val="en-AU"/>
        </w:rPr>
        <w:t>Cation and Anion balance</w:t>
      </w:r>
      <w:r w:rsidR="000178E8">
        <w:rPr>
          <w:lang w:val="en-AU"/>
        </w:rPr>
        <w:t>.</w:t>
      </w:r>
      <w:r w:rsidR="00C7710A">
        <w:rPr>
          <w:lang w:val="en-AU"/>
        </w:rPr>
        <w:br/>
      </w:r>
    </w:p>
    <w:p w14:paraId="7DAA04C0" w14:textId="247A7FE6" w:rsidR="000C564C" w:rsidRPr="000C564C" w:rsidRDefault="00F73033" w:rsidP="008D0183">
      <w:pPr>
        <w:pStyle w:val="Head2xx"/>
      </w:pPr>
      <w:bookmarkStart w:id="108" w:name="_Toc420327732"/>
      <w:r>
        <w:t xml:space="preserve">Quality control and quality assurance </w:t>
      </w:r>
      <w:r w:rsidR="000C564C" w:rsidRPr="000C564C">
        <w:t>assessment</w:t>
      </w:r>
      <w:bookmarkEnd w:id="108"/>
    </w:p>
    <w:p w14:paraId="7DAA04C1" w14:textId="77777777" w:rsidR="00E77E62" w:rsidRDefault="00E77E62" w:rsidP="00FC2A0F">
      <w:pPr>
        <w:pStyle w:val="Head3xxx"/>
        <w:ind w:left="851"/>
      </w:pPr>
      <w:r w:rsidRPr="00E77E62">
        <w:t>Primary</w:t>
      </w:r>
      <w:r>
        <w:t>, duplicate and triplicate samples</w:t>
      </w:r>
    </w:p>
    <w:p w14:paraId="7DAA04C2" w14:textId="77777777" w:rsidR="00E77E62" w:rsidRDefault="00E77E62" w:rsidP="002102AA">
      <w:r w:rsidRPr="00487FCC">
        <w:t xml:space="preserve">The RPD has been calculated for the QA/QC samples shown in </w:t>
      </w:r>
      <w:r w:rsidRPr="00BA6593">
        <w:fldChar w:fldCharType="begin"/>
      </w:r>
      <w:r w:rsidRPr="00BA6593">
        <w:instrText xml:space="preserve"> REF _Ref414622421 \h </w:instrText>
      </w:r>
      <w:r w:rsidR="00345FB6" w:rsidRPr="00BA6593">
        <w:instrText xml:space="preserve"> \* MERGEFORMAT </w:instrText>
      </w:r>
      <w:r w:rsidRPr="00BA6593">
        <w:fldChar w:fldCharType="separate"/>
      </w:r>
      <w:r w:rsidR="00BD60CC">
        <w:t xml:space="preserve">Table </w:t>
      </w:r>
      <w:r w:rsidR="00BD60CC">
        <w:rPr>
          <w:noProof/>
        </w:rPr>
        <w:t>12</w:t>
      </w:r>
      <w:r w:rsidRPr="00BA6593">
        <w:fldChar w:fldCharType="end"/>
      </w:r>
      <w:r w:rsidRPr="00BA6593">
        <w:t>.</w:t>
      </w:r>
    </w:p>
    <w:p w14:paraId="7DAA04C3" w14:textId="77777777" w:rsidR="00E77E62" w:rsidRDefault="00E77E62" w:rsidP="004F307F">
      <w:pPr>
        <w:pStyle w:val="Tableheading"/>
      </w:pPr>
      <w:bookmarkStart w:id="109" w:name="_Ref414622421"/>
      <w:bookmarkStart w:id="110" w:name="_Toc420320562"/>
      <w:r>
        <w:t xml:space="preserve">Table </w:t>
      </w:r>
      <w:r>
        <w:fldChar w:fldCharType="begin"/>
      </w:r>
      <w:r>
        <w:instrText xml:space="preserve"> SEQ Table \* ARABIC \s 1 </w:instrText>
      </w:r>
      <w:r>
        <w:fldChar w:fldCharType="separate"/>
      </w:r>
      <w:r w:rsidR="00BD60CC">
        <w:rPr>
          <w:noProof/>
        </w:rPr>
        <w:t>12</w:t>
      </w:r>
      <w:r>
        <w:fldChar w:fldCharType="end"/>
      </w:r>
      <w:bookmarkEnd w:id="109"/>
      <w:r>
        <w:t xml:space="preserve"> QA/QC samples</w:t>
      </w:r>
      <w:bookmarkEnd w:id="110"/>
    </w:p>
    <w:tbl>
      <w:tblPr>
        <w:tblStyle w:val="Table1"/>
        <w:tblW w:w="0" w:type="auto"/>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3211"/>
        <w:gridCol w:w="3211"/>
        <w:gridCol w:w="3212"/>
      </w:tblGrid>
      <w:tr w:rsidR="00E77E62" w:rsidRPr="00E63375" w14:paraId="7DAA04C7" w14:textId="77777777" w:rsidTr="00E633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1" w:type="dxa"/>
            <w:tcBorders>
              <w:top w:val="nil"/>
              <w:right w:val="single" w:sz="4" w:space="0" w:color="FFFFFF"/>
            </w:tcBorders>
            <w:shd w:val="clear" w:color="auto" w:fill="005A97"/>
          </w:tcPr>
          <w:p w14:paraId="7DAA04C4" w14:textId="77777777" w:rsidR="00E77E62" w:rsidRPr="00E63375" w:rsidRDefault="00E77E62" w:rsidP="00E63375">
            <w:pPr>
              <w:pStyle w:val="TableHeaderrow"/>
              <w:rPr>
                <w:b/>
              </w:rPr>
            </w:pPr>
            <w:r w:rsidRPr="00E63375">
              <w:rPr>
                <w:b/>
              </w:rPr>
              <w:t>Primary</w:t>
            </w:r>
          </w:p>
        </w:tc>
        <w:tc>
          <w:tcPr>
            <w:tcW w:w="3211" w:type="dxa"/>
            <w:tcBorders>
              <w:top w:val="nil"/>
              <w:left w:val="single" w:sz="4" w:space="0" w:color="FFFFFF"/>
              <w:right w:val="single" w:sz="4" w:space="0" w:color="FFFFFF"/>
            </w:tcBorders>
            <w:shd w:val="clear" w:color="auto" w:fill="005A97"/>
          </w:tcPr>
          <w:p w14:paraId="7DAA04C5" w14:textId="77777777" w:rsidR="00E77E62" w:rsidRPr="00E63375" w:rsidRDefault="00E77E62" w:rsidP="00E63375">
            <w:pPr>
              <w:pStyle w:val="TableHeaderrow"/>
              <w:cnfStyle w:val="100000000000" w:firstRow="1" w:lastRow="0" w:firstColumn="0" w:lastColumn="0" w:oddVBand="0" w:evenVBand="0" w:oddHBand="0" w:evenHBand="0" w:firstRowFirstColumn="0" w:firstRowLastColumn="0" w:lastRowFirstColumn="0" w:lastRowLastColumn="0"/>
              <w:rPr>
                <w:b/>
              </w:rPr>
            </w:pPr>
            <w:r w:rsidRPr="00E63375">
              <w:rPr>
                <w:b/>
              </w:rPr>
              <w:t>Duplicate</w:t>
            </w:r>
          </w:p>
        </w:tc>
        <w:tc>
          <w:tcPr>
            <w:tcW w:w="3212" w:type="dxa"/>
            <w:tcBorders>
              <w:top w:val="nil"/>
              <w:left w:val="single" w:sz="4" w:space="0" w:color="FFFFFF"/>
            </w:tcBorders>
            <w:shd w:val="clear" w:color="auto" w:fill="005A97"/>
          </w:tcPr>
          <w:p w14:paraId="7DAA04C6" w14:textId="77777777" w:rsidR="00E77E62" w:rsidRPr="00E63375" w:rsidRDefault="00E77E62" w:rsidP="00E63375">
            <w:pPr>
              <w:pStyle w:val="TableHeaderrow"/>
              <w:cnfStyle w:val="100000000000" w:firstRow="1" w:lastRow="0" w:firstColumn="0" w:lastColumn="0" w:oddVBand="0" w:evenVBand="0" w:oddHBand="0" w:evenHBand="0" w:firstRowFirstColumn="0" w:firstRowLastColumn="0" w:lastRowFirstColumn="0" w:lastRowLastColumn="0"/>
              <w:rPr>
                <w:b/>
              </w:rPr>
            </w:pPr>
            <w:r w:rsidRPr="00E63375">
              <w:rPr>
                <w:b/>
              </w:rPr>
              <w:t>Triplicate</w:t>
            </w:r>
          </w:p>
        </w:tc>
      </w:tr>
      <w:tr w:rsidR="00E77E62" w:rsidRPr="00E63375" w14:paraId="7DAA04CB" w14:textId="77777777" w:rsidTr="00E63375">
        <w:tc>
          <w:tcPr>
            <w:cnfStyle w:val="001000000000" w:firstRow="0" w:lastRow="0" w:firstColumn="1" w:lastColumn="0" w:oddVBand="0" w:evenVBand="0" w:oddHBand="0" w:evenHBand="0" w:firstRowFirstColumn="0" w:firstRowLastColumn="0" w:lastRowFirstColumn="0" w:lastRowLastColumn="0"/>
            <w:tcW w:w="3211" w:type="dxa"/>
            <w:shd w:val="clear" w:color="auto" w:fill="auto"/>
          </w:tcPr>
          <w:p w14:paraId="7DAA04C8" w14:textId="77777777" w:rsidR="00E77E62" w:rsidRPr="00E63375" w:rsidRDefault="00E77E62" w:rsidP="00F673E7">
            <w:pPr>
              <w:pStyle w:val="Tablesmalltext"/>
              <w:rPr>
                <w:sz w:val="18"/>
                <w:szCs w:val="18"/>
              </w:rPr>
            </w:pPr>
            <w:r w:rsidRPr="00E63375">
              <w:rPr>
                <w:sz w:val="18"/>
                <w:szCs w:val="18"/>
              </w:rPr>
              <w:t>110984</w:t>
            </w:r>
          </w:p>
        </w:tc>
        <w:tc>
          <w:tcPr>
            <w:tcW w:w="3211" w:type="dxa"/>
          </w:tcPr>
          <w:p w14:paraId="7DAA04C9" w14:textId="77777777" w:rsidR="00E77E62" w:rsidRPr="00E63375"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E63375">
              <w:rPr>
                <w:sz w:val="18"/>
                <w:szCs w:val="18"/>
              </w:rPr>
              <w:t>QA02</w:t>
            </w:r>
          </w:p>
        </w:tc>
        <w:tc>
          <w:tcPr>
            <w:tcW w:w="3212" w:type="dxa"/>
          </w:tcPr>
          <w:p w14:paraId="7DAA04CA" w14:textId="77777777" w:rsidR="00E77E62" w:rsidRPr="00E63375"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E63375">
              <w:rPr>
                <w:sz w:val="18"/>
                <w:szCs w:val="18"/>
              </w:rPr>
              <w:t>QA03</w:t>
            </w:r>
          </w:p>
        </w:tc>
      </w:tr>
      <w:tr w:rsidR="00E77E62" w:rsidRPr="00E63375" w14:paraId="7DAA04CF" w14:textId="77777777" w:rsidTr="00E63375">
        <w:tc>
          <w:tcPr>
            <w:cnfStyle w:val="001000000000" w:firstRow="0" w:lastRow="0" w:firstColumn="1" w:lastColumn="0" w:oddVBand="0" w:evenVBand="0" w:oddHBand="0" w:evenHBand="0" w:firstRowFirstColumn="0" w:firstRowLastColumn="0" w:lastRowFirstColumn="0" w:lastRowLastColumn="0"/>
            <w:tcW w:w="3211" w:type="dxa"/>
            <w:shd w:val="clear" w:color="auto" w:fill="auto"/>
          </w:tcPr>
          <w:p w14:paraId="7DAA04CC" w14:textId="77777777" w:rsidR="00E77E62" w:rsidRPr="00E63375" w:rsidRDefault="00E77E62" w:rsidP="00F673E7">
            <w:pPr>
              <w:pStyle w:val="Tablesmalltext"/>
              <w:rPr>
                <w:sz w:val="18"/>
                <w:szCs w:val="18"/>
              </w:rPr>
            </w:pPr>
            <w:r w:rsidRPr="00E63375">
              <w:rPr>
                <w:sz w:val="18"/>
                <w:szCs w:val="18"/>
              </w:rPr>
              <w:t>114169</w:t>
            </w:r>
          </w:p>
        </w:tc>
        <w:tc>
          <w:tcPr>
            <w:tcW w:w="3211" w:type="dxa"/>
          </w:tcPr>
          <w:p w14:paraId="7DAA04CD" w14:textId="77777777" w:rsidR="00E77E62" w:rsidRPr="00E63375"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E63375">
              <w:rPr>
                <w:sz w:val="18"/>
                <w:szCs w:val="18"/>
              </w:rPr>
              <w:t>QA01</w:t>
            </w:r>
          </w:p>
        </w:tc>
        <w:tc>
          <w:tcPr>
            <w:tcW w:w="3212" w:type="dxa"/>
          </w:tcPr>
          <w:p w14:paraId="7DAA04CE" w14:textId="77777777" w:rsidR="00E77E62" w:rsidRPr="00E63375"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E63375">
              <w:rPr>
                <w:sz w:val="18"/>
                <w:szCs w:val="18"/>
              </w:rPr>
              <w:t>-</w:t>
            </w:r>
          </w:p>
        </w:tc>
      </w:tr>
    </w:tbl>
    <w:p w14:paraId="7DAA04D0" w14:textId="15DB3C4A" w:rsidR="00E77E62" w:rsidRDefault="00E77E62" w:rsidP="00E77E62">
      <w:pPr>
        <w:pStyle w:val="Para0"/>
      </w:pPr>
      <w:r w:rsidRPr="00487FCC">
        <w:t>The laborato</w:t>
      </w:r>
      <w:r w:rsidRPr="00BA6593">
        <w:t>ry results and calculation of RPD are shown in</w:t>
      </w:r>
      <w:r w:rsidR="00F673E7">
        <w:t xml:space="preserve"> </w:t>
      </w:r>
    </w:p>
    <w:p w14:paraId="7DAA04D2" w14:textId="25E51107" w:rsidR="00E77E62" w:rsidRPr="009E3B1C" w:rsidRDefault="00787C30" w:rsidP="009E3B1C">
      <w:pPr>
        <w:rPr>
          <w:rFonts w:cs="Arial"/>
          <w:b/>
          <w:bCs/>
        </w:rPr>
      </w:pPr>
      <w:r>
        <w:t xml:space="preserve">Table 13 </w:t>
      </w:r>
      <w:r w:rsidR="00E77E62">
        <w:t>described the anomalies (duplicate RPD&gt;40% and triplicate RPD&gt;50%) identified through QA/QC assessment.</w:t>
      </w:r>
      <w:r w:rsidR="00CA6D0C">
        <w:br/>
      </w:r>
    </w:p>
    <w:p w14:paraId="1CCBE73D" w14:textId="77777777" w:rsidR="00C7710A" w:rsidRDefault="00C7710A">
      <w:pPr>
        <w:rPr>
          <w:rFonts w:cs="Arial"/>
          <w:b/>
          <w:bCs/>
        </w:rPr>
      </w:pPr>
      <w:bookmarkStart w:id="111" w:name="_Ref414622455"/>
      <w:r>
        <w:br w:type="page"/>
      </w:r>
    </w:p>
    <w:p w14:paraId="7DAA04D3" w14:textId="01405A11" w:rsidR="00E77E62" w:rsidRDefault="00E77E62" w:rsidP="004F307F">
      <w:pPr>
        <w:pStyle w:val="Tableheading"/>
      </w:pPr>
      <w:bookmarkStart w:id="112" w:name="_Toc420320563"/>
      <w:r>
        <w:t xml:space="preserve">Table </w:t>
      </w:r>
      <w:r>
        <w:fldChar w:fldCharType="begin"/>
      </w:r>
      <w:r>
        <w:instrText xml:space="preserve"> SEQ Table \* ARABIC \s 1 </w:instrText>
      </w:r>
      <w:r>
        <w:fldChar w:fldCharType="separate"/>
      </w:r>
      <w:r w:rsidR="00BD60CC">
        <w:rPr>
          <w:noProof/>
        </w:rPr>
        <w:t>13</w:t>
      </w:r>
      <w:r>
        <w:fldChar w:fldCharType="end"/>
      </w:r>
      <w:bookmarkEnd w:id="111"/>
      <w:r w:rsidR="00F673E7">
        <w:t xml:space="preserve">: </w:t>
      </w:r>
      <w:r>
        <w:t>Anomalies determined through QA/QC assessment</w:t>
      </w:r>
      <w:bookmarkEnd w:id="112"/>
    </w:p>
    <w:tbl>
      <w:tblPr>
        <w:tblStyle w:val="Table1"/>
        <w:tblW w:w="0" w:type="auto"/>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2122"/>
        <w:gridCol w:w="2126"/>
        <w:gridCol w:w="5386"/>
      </w:tblGrid>
      <w:tr w:rsidR="00E77E62" w14:paraId="7DAA04D7" w14:textId="77777777" w:rsidTr="002102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Borders>
              <w:top w:val="nil"/>
              <w:right w:val="single" w:sz="4" w:space="0" w:color="FFFFFF"/>
            </w:tcBorders>
            <w:shd w:val="clear" w:color="auto" w:fill="005A97"/>
          </w:tcPr>
          <w:p w14:paraId="7DAA04D4" w14:textId="77777777" w:rsidR="00E77E62" w:rsidRDefault="00E77E62" w:rsidP="002102AA">
            <w:pPr>
              <w:pStyle w:val="TableHeaderrow"/>
            </w:pPr>
            <w:r>
              <w:t>Sample</w:t>
            </w:r>
          </w:p>
        </w:tc>
        <w:tc>
          <w:tcPr>
            <w:tcW w:w="2126" w:type="dxa"/>
            <w:tcBorders>
              <w:top w:val="nil"/>
              <w:left w:val="single" w:sz="4" w:space="0" w:color="FFFFFF"/>
              <w:right w:val="single" w:sz="4" w:space="0" w:color="FFFFFF"/>
            </w:tcBorders>
            <w:shd w:val="clear" w:color="auto" w:fill="005A97"/>
          </w:tcPr>
          <w:p w14:paraId="7DAA04D5" w14:textId="77777777" w:rsidR="00E77E62" w:rsidRDefault="00E77E62" w:rsidP="002102AA">
            <w:pPr>
              <w:pStyle w:val="TableHeaderrow"/>
              <w:cnfStyle w:val="100000000000" w:firstRow="1" w:lastRow="0" w:firstColumn="0" w:lastColumn="0" w:oddVBand="0" w:evenVBand="0" w:oddHBand="0" w:evenHBand="0" w:firstRowFirstColumn="0" w:firstRowLastColumn="0" w:lastRowFirstColumn="0" w:lastRowLastColumn="0"/>
            </w:pPr>
            <w:r>
              <w:t>%RPD and analyte</w:t>
            </w:r>
          </w:p>
        </w:tc>
        <w:tc>
          <w:tcPr>
            <w:tcW w:w="5386" w:type="dxa"/>
            <w:tcBorders>
              <w:top w:val="nil"/>
              <w:left w:val="single" w:sz="4" w:space="0" w:color="FFFFFF"/>
            </w:tcBorders>
            <w:shd w:val="clear" w:color="auto" w:fill="005A97"/>
          </w:tcPr>
          <w:p w14:paraId="7DAA04D6" w14:textId="77777777" w:rsidR="00E77E62" w:rsidRDefault="00E77E62" w:rsidP="002102AA">
            <w:pPr>
              <w:pStyle w:val="TableHeaderrow"/>
              <w:cnfStyle w:val="100000000000" w:firstRow="1" w:lastRow="0" w:firstColumn="0" w:lastColumn="0" w:oddVBand="0" w:evenVBand="0" w:oddHBand="0" w:evenHBand="0" w:firstRowFirstColumn="0" w:firstRowLastColumn="0" w:lastRowFirstColumn="0" w:lastRowLastColumn="0"/>
            </w:pPr>
            <w:r>
              <w:t>Comment</w:t>
            </w:r>
          </w:p>
        </w:tc>
      </w:tr>
      <w:tr w:rsidR="00E77E62" w:rsidRPr="002102AA" w14:paraId="7DAA04DB" w14:textId="77777777" w:rsidTr="002102AA">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7DAA04D8" w14:textId="77777777" w:rsidR="00E77E62" w:rsidRPr="002102AA" w:rsidRDefault="00E77E62" w:rsidP="00F673E7">
            <w:pPr>
              <w:pStyle w:val="Tablesmalltext"/>
              <w:rPr>
                <w:sz w:val="18"/>
                <w:szCs w:val="18"/>
              </w:rPr>
            </w:pPr>
            <w:r w:rsidRPr="002102AA">
              <w:rPr>
                <w:sz w:val="18"/>
                <w:szCs w:val="18"/>
              </w:rPr>
              <w:t>QA03</w:t>
            </w:r>
            <w:r w:rsidRPr="002102AA">
              <w:rPr>
                <w:sz w:val="18"/>
                <w:szCs w:val="18"/>
              </w:rPr>
              <w:br/>
              <w:t>Triplicate of 110984</w:t>
            </w:r>
          </w:p>
        </w:tc>
        <w:tc>
          <w:tcPr>
            <w:tcW w:w="2126" w:type="dxa"/>
          </w:tcPr>
          <w:p w14:paraId="7DAA04D9" w14:textId="77777777" w:rsidR="00E77E62" w:rsidRPr="002102AA"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199.7 for Total Nitrogen</w:t>
            </w:r>
          </w:p>
        </w:tc>
        <w:tc>
          <w:tcPr>
            <w:tcW w:w="5386" w:type="dxa"/>
          </w:tcPr>
          <w:p w14:paraId="7DAA04DA" w14:textId="77777777" w:rsidR="00E77E62" w:rsidRPr="002102AA"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All other duplicate and triplicate RPD results are within acceptable limits. Hence, this result is expected to be laboratory error.</w:t>
            </w:r>
          </w:p>
        </w:tc>
      </w:tr>
      <w:tr w:rsidR="00E77E62" w:rsidRPr="002102AA" w14:paraId="7DAA04E0" w14:textId="77777777" w:rsidTr="002102AA">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7DAA04DC" w14:textId="77777777" w:rsidR="00E77E62" w:rsidRPr="002102AA" w:rsidRDefault="00E77E62" w:rsidP="00F673E7">
            <w:pPr>
              <w:pStyle w:val="Tablesmalltext"/>
              <w:rPr>
                <w:sz w:val="18"/>
                <w:szCs w:val="18"/>
              </w:rPr>
            </w:pPr>
            <w:r w:rsidRPr="002102AA">
              <w:rPr>
                <w:sz w:val="18"/>
                <w:szCs w:val="18"/>
              </w:rPr>
              <w:t>QA01</w:t>
            </w:r>
          </w:p>
          <w:p w14:paraId="7DAA04DD" w14:textId="77777777" w:rsidR="00E77E62" w:rsidRPr="002102AA" w:rsidRDefault="00E77E62" w:rsidP="00F673E7">
            <w:pPr>
              <w:pStyle w:val="Tablesmalltext"/>
              <w:rPr>
                <w:sz w:val="18"/>
                <w:szCs w:val="18"/>
              </w:rPr>
            </w:pPr>
            <w:r w:rsidRPr="002102AA">
              <w:rPr>
                <w:sz w:val="18"/>
                <w:szCs w:val="18"/>
              </w:rPr>
              <w:t>Duplicate of 114169</w:t>
            </w:r>
          </w:p>
        </w:tc>
        <w:tc>
          <w:tcPr>
            <w:tcW w:w="2126" w:type="dxa"/>
          </w:tcPr>
          <w:p w14:paraId="7DAA04DE" w14:textId="77777777" w:rsidR="00E77E62" w:rsidRPr="002102AA"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168.85 for ionic balance</w:t>
            </w:r>
          </w:p>
        </w:tc>
        <w:tc>
          <w:tcPr>
            <w:tcW w:w="5386" w:type="dxa"/>
          </w:tcPr>
          <w:p w14:paraId="7DAA04DF" w14:textId="77777777" w:rsidR="00E77E62" w:rsidRPr="002102AA"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Difference in ionic balance not considered significant as major cation and anion results were within RPD limits.</w:t>
            </w:r>
          </w:p>
        </w:tc>
      </w:tr>
      <w:tr w:rsidR="00E77E62" w:rsidRPr="002102AA" w14:paraId="7DAA04E6" w14:textId="77777777" w:rsidTr="002102AA">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7DAA04E1" w14:textId="77777777" w:rsidR="00E77E62" w:rsidRPr="002102AA" w:rsidRDefault="00E77E62" w:rsidP="00F673E7">
            <w:pPr>
              <w:pStyle w:val="Tablesmalltext"/>
              <w:rPr>
                <w:sz w:val="18"/>
                <w:szCs w:val="18"/>
              </w:rPr>
            </w:pPr>
            <w:r w:rsidRPr="002102AA">
              <w:rPr>
                <w:sz w:val="18"/>
                <w:szCs w:val="18"/>
              </w:rPr>
              <w:t>QA01</w:t>
            </w:r>
          </w:p>
          <w:p w14:paraId="7DAA04E2" w14:textId="77777777" w:rsidR="00E77E62" w:rsidRPr="002102AA" w:rsidRDefault="00E77E62" w:rsidP="00F673E7">
            <w:pPr>
              <w:pStyle w:val="Tablesmalltext"/>
              <w:rPr>
                <w:sz w:val="18"/>
                <w:szCs w:val="18"/>
              </w:rPr>
            </w:pPr>
            <w:r w:rsidRPr="002102AA">
              <w:rPr>
                <w:sz w:val="18"/>
                <w:szCs w:val="18"/>
              </w:rPr>
              <w:t>Duplicate of 114169</w:t>
            </w:r>
          </w:p>
        </w:tc>
        <w:tc>
          <w:tcPr>
            <w:tcW w:w="2126" w:type="dxa"/>
          </w:tcPr>
          <w:p w14:paraId="7DAA04E3" w14:textId="77777777" w:rsidR="00E77E62" w:rsidRPr="002102AA"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124.64 for sulphate</w:t>
            </w:r>
          </w:p>
        </w:tc>
        <w:tc>
          <w:tcPr>
            <w:tcW w:w="5386" w:type="dxa"/>
          </w:tcPr>
          <w:p w14:paraId="7DAA04E4" w14:textId="77777777" w:rsidR="00E77E62" w:rsidRPr="002102AA"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Both the primary and duplicate were re-analysed by the laboratory following re-preparation.</w:t>
            </w:r>
          </w:p>
          <w:p w14:paraId="7DAA04E5" w14:textId="77777777" w:rsidR="00E77E62" w:rsidRPr="002102AA"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Actual difference between results not considered significant.</w:t>
            </w:r>
          </w:p>
        </w:tc>
      </w:tr>
      <w:tr w:rsidR="00E77E62" w:rsidRPr="002102AA" w14:paraId="7DAA04EC" w14:textId="77777777" w:rsidTr="002102AA">
        <w:tc>
          <w:tcPr>
            <w:cnfStyle w:val="001000000000" w:firstRow="0" w:lastRow="0" w:firstColumn="1" w:lastColumn="0" w:oddVBand="0" w:evenVBand="0" w:oddHBand="0" w:evenHBand="0" w:firstRowFirstColumn="0" w:firstRowLastColumn="0" w:lastRowFirstColumn="0" w:lastRowLastColumn="0"/>
            <w:tcW w:w="2122" w:type="dxa"/>
            <w:shd w:val="clear" w:color="auto" w:fill="auto"/>
          </w:tcPr>
          <w:p w14:paraId="7DAA04E7" w14:textId="77777777" w:rsidR="00E77E62" w:rsidRPr="002102AA" w:rsidRDefault="00E77E62" w:rsidP="00F673E7">
            <w:pPr>
              <w:pStyle w:val="Tablesmalltext"/>
              <w:rPr>
                <w:sz w:val="18"/>
                <w:szCs w:val="18"/>
              </w:rPr>
            </w:pPr>
            <w:r w:rsidRPr="002102AA">
              <w:rPr>
                <w:sz w:val="18"/>
                <w:szCs w:val="18"/>
              </w:rPr>
              <w:t>QA01</w:t>
            </w:r>
          </w:p>
          <w:p w14:paraId="7DAA04E8" w14:textId="77777777" w:rsidR="00E77E62" w:rsidRPr="002102AA" w:rsidRDefault="00E77E62" w:rsidP="00F673E7">
            <w:pPr>
              <w:pStyle w:val="Tablesmalltext"/>
              <w:rPr>
                <w:sz w:val="18"/>
                <w:szCs w:val="18"/>
              </w:rPr>
            </w:pPr>
            <w:r w:rsidRPr="002102AA">
              <w:rPr>
                <w:sz w:val="18"/>
                <w:szCs w:val="18"/>
              </w:rPr>
              <w:t>Duplicate of 114169</w:t>
            </w:r>
          </w:p>
        </w:tc>
        <w:tc>
          <w:tcPr>
            <w:tcW w:w="2126" w:type="dxa"/>
          </w:tcPr>
          <w:p w14:paraId="7DAA04E9" w14:textId="77777777" w:rsidR="00E77E62" w:rsidRPr="002102AA"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77.68 for TDS</w:t>
            </w:r>
          </w:p>
        </w:tc>
        <w:tc>
          <w:tcPr>
            <w:tcW w:w="5386" w:type="dxa"/>
          </w:tcPr>
          <w:p w14:paraId="7DAA04EA" w14:textId="77777777" w:rsidR="00E77E62" w:rsidRPr="002102AA"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Both the primary and duplicate were re-analysed by the laboratory following re-preparation.</w:t>
            </w:r>
          </w:p>
          <w:p w14:paraId="7DAA04EB" w14:textId="77777777" w:rsidR="00E77E62" w:rsidRPr="002102AA" w:rsidRDefault="00E77E62" w:rsidP="00F673E7">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 xml:space="preserve">Actual difference between results not significant. </w:t>
            </w:r>
          </w:p>
        </w:tc>
      </w:tr>
    </w:tbl>
    <w:p w14:paraId="7DAA04EE" w14:textId="77777777" w:rsidR="00E77E62" w:rsidRDefault="00E77E62" w:rsidP="00C7710A">
      <w:pPr>
        <w:pStyle w:val="Head3xxx"/>
        <w:ind w:left="851"/>
      </w:pPr>
      <w:r>
        <w:t>Rinsates</w:t>
      </w:r>
    </w:p>
    <w:p w14:paraId="7DAA04EF" w14:textId="6BC56F5B" w:rsidR="00E77E62" w:rsidRPr="00F20032" w:rsidRDefault="00E77E62" w:rsidP="002102AA">
      <w:r>
        <w:t xml:space="preserve">Two rinsate samples were collected following bore sampling and decontamination of equipment. All results indicate that decontamination methods were satisfactory. </w:t>
      </w:r>
    </w:p>
    <w:p w14:paraId="7DAA04F0" w14:textId="77777777" w:rsidR="00E77E62" w:rsidRDefault="00E77E62" w:rsidP="00C7710A">
      <w:pPr>
        <w:pStyle w:val="Head3xxx"/>
        <w:ind w:left="851"/>
      </w:pPr>
      <w:r>
        <w:t>Trip blanks</w:t>
      </w:r>
    </w:p>
    <w:p w14:paraId="7DAA04F1" w14:textId="43029DFB" w:rsidR="00E77E62" w:rsidRDefault="00E77E62" w:rsidP="002102AA">
      <w:r>
        <w:t>Trip blanks were included in all eskies. All results are below detection limits and as such, contamination during transport is considered unlikely.</w:t>
      </w:r>
    </w:p>
    <w:p w14:paraId="7DAA04F2" w14:textId="77777777" w:rsidR="00E77E62" w:rsidRDefault="00E77E62" w:rsidP="00E77E62">
      <w:pPr>
        <w:pStyle w:val="Para0"/>
        <w:sectPr w:rsidR="00E77E62" w:rsidSect="0078722D">
          <w:headerReference w:type="even" r:id="rId50"/>
          <w:footerReference w:type="even" r:id="rId51"/>
          <w:headerReference w:type="first" r:id="rId52"/>
          <w:footerReference w:type="first" r:id="rId53"/>
          <w:pgSz w:w="11906" w:h="16838" w:code="9"/>
          <w:pgMar w:top="2268" w:right="1134" w:bottom="1276" w:left="1134" w:header="567" w:footer="567" w:gutter="0"/>
          <w:cols w:space="0"/>
          <w:formProt w:val="0"/>
          <w:docGrid w:linePitch="360"/>
        </w:sectPr>
      </w:pPr>
    </w:p>
    <w:p w14:paraId="7DAA04F3" w14:textId="6AF5D8CA" w:rsidR="000C564C" w:rsidRPr="000C564C" w:rsidRDefault="000C564C" w:rsidP="00E77E62">
      <w:pPr>
        <w:pStyle w:val="Head1x"/>
      </w:pPr>
      <w:bookmarkStart w:id="113" w:name="_Toc420327733"/>
      <w:r w:rsidRPr="000C564C">
        <w:t xml:space="preserve">Groundwater </w:t>
      </w:r>
      <w:r w:rsidR="00C7710A" w:rsidRPr="000C564C">
        <w:t xml:space="preserve">sampling – summary </w:t>
      </w:r>
      <w:r w:rsidR="007C452E">
        <w:br/>
      </w:r>
      <w:r w:rsidR="00C7710A" w:rsidRPr="000C564C">
        <w:t>of results</w:t>
      </w:r>
      <w:bookmarkEnd w:id="113"/>
    </w:p>
    <w:p w14:paraId="7DAA04F4" w14:textId="3615F56C" w:rsidR="000C564C" w:rsidRPr="000C564C" w:rsidRDefault="000C564C" w:rsidP="000C564C">
      <w:pPr>
        <w:rPr>
          <w:lang w:val="en-AU"/>
        </w:rPr>
      </w:pPr>
      <w:r w:rsidRPr="000C564C">
        <w:rPr>
          <w:lang w:val="en-AU"/>
        </w:rPr>
        <w:t xml:space="preserve">A total of 30 bores were sampled in the Otway </w:t>
      </w:r>
      <w:r w:rsidR="00E87D28">
        <w:rPr>
          <w:lang w:val="en-AU"/>
        </w:rPr>
        <w:t>region</w:t>
      </w:r>
      <w:r w:rsidRPr="000C564C">
        <w:rPr>
          <w:lang w:val="en-AU"/>
        </w:rPr>
        <w:t>. The bores were sampled between 19</w:t>
      </w:r>
      <w:r w:rsidRPr="00F63938">
        <w:rPr>
          <w:vertAlign w:val="superscript"/>
          <w:lang w:val="en-AU"/>
        </w:rPr>
        <w:t>th</w:t>
      </w:r>
      <w:r w:rsidR="00F63938">
        <w:rPr>
          <w:lang w:val="en-AU"/>
        </w:rPr>
        <w:t xml:space="preserve"> </w:t>
      </w:r>
      <w:r w:rsidRPr="000C564C">
        <w:rPr>
          <w:lang w:val="en-AU"/>
        </w:rPr>
        <w:t xml:space="preserve">January </w:t>
      </w:r>
      <w:r w:rsidR="00D81285">
        <w:rPr>
          <w:lang w:val="en-AU"/>
        </w:rPr>
        <w:br/>
      </w:r>
      <w:r w:rsidRPr="000C564C">
        <w:rPr>
          <w:lang w:val="en-AU"/>
        </w:rPr>
        <w:t>2015 and 29</w:t>
      </w:r>
      <w:r w:rsidRPr="00F63938">
        <w:rPr>
          <w:vertAlign w:val="superscript"/>
          <w:lang w:val="en-AU"/>
        </w:rPr>
        <w:t>th</w:t>
      </w:r>
      <w:r w:rsidRPr="000C564C">
        <w:rPr>
          <w:lang w:val="en-AU"/>
        </w:rPr>
        <w:t xml:space="preserve"> January 2015. The chemistry results as obtained from ALS Environmental are included in Appendix D. This </w:t>
      </w:r>
      <w:r w:rsidR="006F0A17">
        <w:rPr>
          <w:lang w:val="en-AU"/>
        </w:rPr>
        <w:t>chapter</w:t>
      </w:r>
      <w:r w:rsidRPr="000C564C">
        <w:rPr>
          <w:lang w:val="en-AU"/>
        </w:rPr>
        <w:t xml:space="preserve"> presents a summary of the results. </w:t>
      </w:r>
    </w:p>
    <w:p w14:paraId="7DAA04F5" w14:textId="523102C5" w:rsidR="000C564C" w:rsidRPr="000C564C" w:rsidRDefault="00206FC6" w:rsidP="008D0183">
      <w:pPr>
        <w:pStyle w:val="Head2xx"/>
      </w:pPr>
      <w:bookmarkStart w:id="114" w:name="_Toc420327734"/>
      <w:r w:rsidRPr="000C564C">
        <w:t>Semi volatile</w:t>
      </w:r>
      <w:r w:rsidR="00F73033">
        <w:t xml:space="preserve"> organic c</w:t>
      </w:r>
      <w:r w:rsidR="000C564C" w:rsidRPr="000C564C">
        <w:t>ompounds</w:t>
      </w:r>
      <w:bookmarkEnd w:id="114"/>
    </w:p>
    <w:p w14:paraId="7DAA04F6" w14:textId="037509B4" w:rsidR="000C564C" w:rsidRPr="000C564C" w:rsidRDefault="00206FC6" w:rsidP="000C564C">
      <w:pPr>
        <w:rPr>
          <w:lang w:val="en-AU"/>
        </w:rPr>
      </w:pPr>
      <w:r w:rsidRPr="000C564C">
        <w:rPr>
          <w:lang w:val="en-AU"/>
        </w:rPr>
        <w:t>Semi volatile</w:t>
      </w:r>
      <w:r w:rsidR="000C564C" w:rsidRPr="000C564C">
        <w:rPr>
          <w:lang w:val="en-AU"/>
        </w:rPr>
        <w:t xml:space="preserve"> Organic Compounds (SVOCs) include organic compounds that vaporise under normal </w:t>
      </w:r>
      <w:r w:rsidR="00D81285">
        <w:rPr>
          <w:lang w:val="en-AU"/>
        </w:rPr>
        <w:br/>
      </w:r>
      <w:r w:rsidR="000C564C" w:rsidRPr="000C564C">
        <w:rPr>
          <w:lang w:val="en-AU"/>
        </w:rPr>
        <w:t>pressure and temperature conditions. Seven SVOCs were analysed</w:t>
      </w:r>
      <w:r w:rsidR="00365B68">
        <w:rPr>
          <w:lang w:val="en-AU"/>
        </w:rPr>
        <w:t xml:space="preserve"> in water samples</w:t>
      </w:r>
      <w:r w:rsidR="000C564C" w:rsidRPr="000C564C">
        <w:rPr>
          <w:lang w:val="en-AU"/>
        </w:rPr>
        <w:t>, including</w:t>
      </w:r>
      <w:r w:rsidR="000178E8">
        <w:rPr>
          <w:lang w:val="en-AU"/>
        </w:rPr>
        <w:t>:</w:t>
      </w:r>
      <w:r w:rsidR="000C564C" w:rsidRPr="000C564C">
        <w:rPr>
          <w:lang w:val="en-AU"/>
        </w:rPr>
        <w:t xml:space="preserve"> butane, butene, propane, propene, ethane, ethene and methane. Only dissolved methane was detected in the sampled bores. </w:t>
      </w:r>
    </w:p>
    <w:p w14:paraId="4779F045" w14:textId="1916B10B" w:rsidR="00365B68" w:rsidRPr="00D5530F" w:rsidRDefault="00365B68" w:rsidP="000C564C">
      <w:r>
        <w:t>In addition, methane concentrations were analysed in collected gas samples as per the procedure detailed in the Standing Operating Procedure (Appendix B).</w:t>
      </w:r>
    </w:p>
    <w:p w14:paraId="5C6092A6" w14:textId="3C300C8A" w:rsidR="00365B68" w:rsidRDefault="00C609AB" w:rsidP="000C564C">
      <w:pPr>
        <w:rPr>
          <w:lang w:val="en-AU"/>
        </w:rPr>
      </w:pPr>
      <w:r>
        <w:rPr>
          <w:lang w:val="en-AU"/>
        </w:rPr>
        <w:fldChar w:fldCharType="begin"/>
      </w:r>
      <w:r>
        <w:rPr>
          <w:lang w:val="en-AU"/>
        </w:rPr>
        <w:instrText xml:space="preserve"> REF _Ref414008332 \h </w:instrText>
      </w:r>
      <w:r>
        <w:rPr>
          <w:lang w:val="en-AU"/>
        </w:rPr>
      </w:r>
      <w:r>
        <w:rPr>
          <w:lang w:val="en-AU"/>
        </w:rPr>
        <w:fldChar w:fldCharType="separate"/>
      </w:r>
      <w:r w:rsidR="00BD60CC">
        <w:t xml:space="preserve">Figure </w:t>
      </w:r>
      <w:r w:rsidR="00BD60CC">
        <w:rPr>
          <w:noProof/>
        </w:rPr>
        <w:t>23</w:t>
      </w:r>
      <w:r>
        <w:rPr>
          <w:lang w:val="en-AU"/>
        </w:rPr>
        <w:fldChar w:fldCharType="end"/>
      </w:r>
      <w:r>
        <w:rPr>
          <w:lang w:val="en-AU"/>
        </w:rPr>
        <w:t xml:space="preserve"> </w:t>
      </w:r>
      <w:r w:rsidR="000C564C" w:rsidRPr="000C564C">
        <w:rPr>
          <w:lang w:val="en-AU"/>
        </w:rPr>
        <w:t xml:space="preserve">shows the spatial distribution of the dissolved methane concentrations detected across the Otway </w:t>
      </w:r>
      <w:r w:rsidR="00E87D28">
        <w:rPr>
          <w:lang w:val="en-AU"/>
        </w:rPr>
        <w:t>region</w:t>
      </w:r>
      <w:r w:rsidR="000C564C" w:rsidRPr="000C564C">
        <w:rPr>
          <w:lang w:val="en-AU"/>
        </w:rPr>
        <w:t xml:space="preserve">. The methane concentrations observed across the 30 sites in the Otway </w:t>
      </w:r>
      <w:r w:rsidR="00E87D28">
        <w:rPr>
          <w:lang w:val="en-AU"/>
        </w:rPr>
        <w:t>region</w:t>
      </w:r>
      <w:r w:rsidR="000C564C" w:rsidRPr="000C564C">
        <w:rPr>
          <w:lang w:val="en-AU"/>
        </w:rPr>
        <w:t xml:space="preserve"> ranged from 0 mg/L to 5.8 mg/L (Table </w:t>
      </w:r>
      <w:r w:rsidR="00D73C23">
        <w:rPr>
          <w:lang w:val="en-AU"/>
        </w:rPr>
        <w:t>14</w:t>
      </w:r>
      <w:r w:rsidR="000C564C" w:rsidRPr="000C564C">
        <w:rPr>
          <w:lang w:val="en-AU"/>
        </w:rPr>
        <w:t>). The median concentration was 0.01 mg/L.</w:t>
      </w:r>
      <w:r w:rsidR="00365B68">
        <w:rPr>
          <w:lang w:val="en-AU"/>
        </w:rPr>
        <w:t xml:space="preserve"> Methane was detected in one of the gas samples collected (Bore 1</w:t>
      </w:r>
      <w:r w:rsidR="009E3B1C">
        <w:rPr>
          <w:lang w:val="en-AU"/>
        </w:rPr>
        <w:t>1</w:t>
      </w:r>
      <w:r w:rsidR="00365B68">
        <w:rPr>
          <w:lang w:val="en-AU"/>
        </w:rPr>
        <w:t>1786</w:t>
      </w:r>
      <w:r w:rsidR="009E3B1C">
        <w:rPr>
          <w:lang w:val="en-AU"/>
        </w:rPr>
        <w:t xml:space="preserve"> in the Lower Tertiary Aquifer</w:t>
      </w:r>
      <w:r w:rsidR="00365B68">
        <w:rPr>
          <w:lang w:val="en-AU"/>
        </w:rPr>
        <w:t>)</w:t>
      </w:r>
    </w:p>
    <w:p w14:paraId="7DAA04F9" w14:textId="5855F965" w:rsidR="000C564C" w:rsidRPr="000C564C" w:rsidRDefault="000C564C" w:rsidP="000C564C">
      <w:pPr>
        <w:rPr>
          <w:lang w:val="en-AU"/>
        </w:rPr>
      </w:pPr>
      <w:r w:rsidRPr="000C564C">
        <w:rPr>
          <w:lang w:val="en-AU"/>
        </w:rPr>
        <w:t>Th</w:t>
      </w:r>
      <w:r w:rsidR="009E3B1C">
        <w:rPr>
          <w:lang w:val="en-AU"/>
        </w:rPr>
        <w:t>e</w:t>
      </w:r>
      <w:r w:rsidRPr="000C564C">
        <w:rPr>
          <w:lang w:val="en-AU"/>
        </w:rPr>
        <w:t xml:space="preserve"> range</w:t>
      </w:r>
      <w:r w:rsidR="009E3B1C">
        <w:rPr>
          <w:lang w:val="en-AU"/>
        </w:rPr>
        <w:t xml:space="preserve"> of methane </w:t>
      </w:r>
      <w:r w:rsidR="00816E19">
        <w:rPr>
          <w:lang w:val="en-AU"/>
        </w:rPr>
        <w:t>concentrations</w:t>
      </w:r>
      <w:r w:rsidR="009E3B1C">
        <w:rPr>
          <w:lang w:val="en-AU"/>
        </w:rPr>
        <w:t xml:space="preserve"> in water samples in this study</w:t>
      </w:r>
      <w:r w:rsidRPr="000C564C">
        <w:rPr>
          <w:lang w:val="en-AU"/>
        </w:rPr>
        <w:t xml:space="preserve"> is consistent with methane concentrations determine</w:t>
      </w:r>
      <w:r w:rsidR="00D73C23">
        <w:rPr>
          <w:lang w:val="en-AU"/>
        </w:rPr>
        <w:t>d</w:t>
      </w:r>
      <w:r w:rsidRPr="000C564C">
        <w:rPr>
          <w:lang w:val="en-AU"/>
        </w:rPr>
        <w:t xml:space="preserve"> from baseline studies in other parts of the world</w:t>
      </w:r>
      <w:r w:rsidR="00E927B0">
        <w:rPr>
          <w:lang w:val="en-AU"/>
        </w:rPr>
        <w:t xml:space="preserve"> (BGS, 2012)</w:t>
      </w:r>
      <w:r w:rsidRPr="000C564C">
        <w:rPr>
          <w:lang w:val="en-AU"/>
        </w:rPr>
        <w:t xml:space="preserve">. </w:t>
      </w:r>
    </w:p>
    <w:p w14:paraId="7DAA04FA" w14:textId="30F66B57" w:rsidR="000C564C" w:rsidRDefault="000C564C" w:rsidP="000C564C">
      <w:pPr>
        <w:rPr>
          <w:lang w:val="en-AU"/>
        </w:rPr>
      </w:pPr>
      <w:r w:rsidRPr="000C564C">
        <w:rPr>
          <w:lang w:val="en-AU"/>
        </w:rPr>
        <w:t xml:space="preserve">The detection limit for dissolved methane in groundwater is 0.01 mg/L. No methane was detected in the Upper Tertiary Aquifer (marine) or the Lower Mid Tertiary Aquifer. </w:t>
      </w:r>
      <w:r w:rsidR="00A83284">
        <w:rPr>
          <w:lang w:val="en-AU"/>
        </w:rPr>
        <w:t>L</w:t>
      </w:r>
      <w:r w:rsidRPr="000C564C">
        <w:rPr>
          <w:lang w:val="en-AU"/>
        </w:rPr>
        <w:t xml:space="preserve">ow methane concentrations were detected in the remaining aquifers, all with a maximum of &lt;1 mg/L dissolved methane. The exception to </w:t>
      </w:r>
      <w:r w:rsidR="00D81285">
        <w:rPr>
          <w:lang w:val="en-AU"/>
        </w:rPr>
        <w:br/>
      </w:r>
      <w:r w:rsidRPr="000C564C">
        <w:rPr>
          <w:lang w:val="en-AU"/>
        </w:rPr>
        <w:t>this is a single reading obtained from the Lower Tertiary Aquifer, which records a met</w:t>
      </w:r>
      <w:r w:rsidR="00F63938">
        <w:rPr>
          <w:lang w:val="en-AU"/>
        </w:rPr>
        <w:t xml:space="preserve">hane concentration </w:t>
      </w:r>
      <w:r w:rsidR="00D81285">
        <w:rPr>
          <w:lang w:val="en-AU"/>
        </w:rPr>
        <w:br/>
      </w:r>
      <w:r w:rsidR="00F63938">
        <w:rPr>
          <w:lang w:val="en-AU"/>
        </w:rPr>
        <w:t>of 5.8 </w:t>
      </w:r>
      <w:r w:rsidR="008D0183">
        <w:rPr>
          <w:lang w:val="en-AU"/>
        </w:rPr>
        <w:t>mg/L.</w:t>
      </w:r>
    </w:p>
    <w:p w14:paraId="7DAA04FB" w14:textId="77777777" w:rsidR="008D0183" w:rsidRDefault="008D0183">
      <w:pPr>
        <w:rPr>
          <w:lang w:val="en-AU"/>
        </w:rPr>
      </w:pPr>
      <w:r>
        <w:rPr>
          <w:lang w:val="en-AU"/>
        </w:rPr>
        <w:br w:type="page"/>
      </w:r>
    </w:p>
    <w:p w14:paraId="7DAA04FC" w14:textId="127F47D7" w:rsidR="000C564C" w:rsidRPr="000C564C" w:rsidRDefault="00C609AB" w:rsidP="004F307F">
      <w:pPr>
        <w:pStyle w:val="Tableheading"/>
        <w:rPr>
          <w:lang w:val="en-AU"/>
        </w:rPr>
      </w:pPr>
      <w:bookmarkStart w:id="115" w:name="_Toc420320564"/>
      <w:r>
        <w:t xml:space="preserve">Table </w:t>
      </w:r>
      <w:r>
        <w:fldChar w:fldCharType="begin"/>
      </w:r>
      <w:r>
        <w:instrText xml:space="preserve"> SEQ Table \* ARABIC </w:instrText>
      </w:r>
      <w:r>
        <w:fldChar w:fldCharType="separate"/>
      </w:r>
      <w:r w:rsidR="00BD60CC">
        <w:rPr>
          <w:noProof/>
        </w:rPr>
        <w:t>14</w:t>
      </w:r>
      <w:r>
        <w:fldChar w:fldCharType="end"/>
      </w:r>
      <w:r>
        <w:rPr>
          <w:lang w:val="en-AU"/>
        </w:rPr>
        <w:t xml:space="preserve"> </w:t>
      </w:r>
      <w:r w:rsidR="000C564C" w:rsidRPr="000C564C">
        <w:rPr>
          <w:lang w:val="en-AU"/>
        </w:rPr>
        <w:t>Methane concentration by aquifer</w:t>
      </w:r>
      <w:r w:rsidR="00365B68">
        <w:rPr>
          <w:lang w:val="en-AU"/>
        </w:rPr>
        <w:t xml:space="preserve"> (water samples)</w:t>
      </w:r>
      <w:bookmarkEnd w:id="115"/>
    </w:p>
    <w:tbl>
      <w:tblPr>
        <w:tblStyle w:val="Table1"/>
        <w:tblW w:w="0" w:type="auto"/>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3650"/>
        <w:gridCol w:w="1521"/>
        <w:gridCol w:w="1523"/>
        <w:gridCol w:w="1526"/>
        <w:gridCol w:w="1521"/>
      </w:tblGrid>
      <w:tr w:rsidR="008D0183" w14:paraId="7DAA0502" w14:textId="77777777" w:rsidTr="002102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96" w:type="dxa"/>
            <w:tcBorders>
              <w:top w:val="nil"/>
              <w:right w:val="single" w:sz="4" w:space="0" w:color="FFFFFF"/>
            </w:tcBorders>
            <w:shd w:val="clear" w:color="auto" w:fill="005A97"/>
          </w:tcPr>
          <w:p w14:paraId="7DAA04FD" w14:textId="77777777" w:rsidR="008D0183" w:rsidRDefault="008D0183" w:rsidP="002102AA">
            <w:pPr>
              <w:pStyle w:val="TableHeaderrow"/>
            </w:pPr>
            <w:r>
              <w:t>Aquifer</w:t>
            </w:r>
          </w:p>
        </w:tc>
        <w:tc>
          <w:tcPr>
            <w:tcW w:w="1555" w:type="dxa"/>
            <w:tcBorders>
              <w:top w:val="nil"/>
              <w:left w:val="single" w:sz="4" w:space="0" w:color="FFFFFF"/>
              <w:right w:val="single" w:sz="4" w:space="0" w:color="FFFFFF"/>
            </w:tcBorders>
            <w:shd w:val="clear" w:color="auto" w:fill="005A97"/>
          </w:tcPr>
          <w:p w14:paraId="7DAA04FE" w14:textId="38F0536E" w:rsidR="008D0183" w:rsidRDefault="008D0183" w:rsidP="002102AA">
            <w:pPr>
              <w:pStyle w:val="TableHeaderrow"/>
              <w:cnfStyle w:val="100000000000" w:firstRow="1" w:lastRow="0" w:firstColumn="0" w:lastColumn="0" w:oddVBand="0" w:evenVBand="0" w:oddHBand="0" w:evenHBand="0" w:firstRowFirstColumn="0" w:firstRowLastColumn="0" w:lastRowFirstColumn="0" w:lastRowLastColumn="0"/>
            </w:pPr>
            <w:r>
              <w:t xml:space="preserve">Number of </w:t>
            </w:r>
            <w:r w:rsidR="00E927B0">
              <w:t xml:space="preserve">Bores </w:t>
            </w:r>
            <w:r>
              <w:t>Sample</w:t>
            </w:r>
            <w:r w:rsidR="00E927B0">
              <w:t>d</w:t>
            </w:r>
            <w:r>
              <w:t xml:space="preserve"> </w:t>
            </w:r>
          </w:p>
        </w:tc>
        <w:tc>
          <w:tcPr>
            <w:tcW w:w="1556" w:type="dxa"/>
            <w:tcBorders>
              <w:top w:val="nil"/>
              <w:left w:val="single" w:sz="4" w:space="0" w:color="FFFFFF"/>
              <w:right w:val="single" w:sz="4" w:space="0" w:color="FFFFFF"/>
            </w:tcBorders>
            <w:shd w:val="clear" w:color="auto" w:fill="005A97"/>
          </w:tcPr>
          <w:p w14:paraId="7DAA04FF" w14:textId="77777777" w:rsidR="008D0183" w:rsidRDefault="008D0183" w:rsidP="002102AA">
            <w:pPr>
              <w:pStyle w:val="TableHeaderrow"/>
              <w:cnfStyle w:val="100000000000" w:firstRow="1" w:lastRow="0" w:firstColumn="0" w:lastColumn="0" w:oddVBand="0" w:evenVBand="0" w:oddHBand="0" w:evenHBand="0" w:firstRowFirstColumn="0" w:firstRowLastColumn="0" w:lastRowFirstColumn="0" w:lastRowLastColumn="0"/>
            </w:pPr>
            <w:r>
              <w:t>Minimum Methane (mg/L)</w:t>
            </w:r>
          </w:p>
        </w:tc>
        <w:tc>
          <w:tcPr>
            <w:tcW w:w="1556" w:type="dxa"/>
            <w:tcBorders>
              <w:top w:val="nil"/>
              <w:left w:val="single" w:sz="4" w:space="0" w:color="FFFFFF"/>
              <w:right w:val="single" w:sz="4" w:space="0" w:color="FFFFFF"/>
            </w:tcBorders>
            <w:shd w:val="clear" w:color="auto" w:fill="005A97"/>
          </w:tcPr>
          <w:p w14:paraId="7DAA0500" w14:textId="77777777" w:rsidR="008D0183" w:rsidRDefault="008D0183" w:rsidP="002102AA">
            <w:pPr>
              <w:pStyle w:val="TableHeaderrow"/>
              <w:cnfStyle w:val="100000000000" w:firstRow="1" w:lastRow="0" w:firstColumn="0" w:lastColumn="0" w:oddVBand="0" w:evenVBand="0" w:oddHBand="0" w:evenHBand="0" w:firstRowFirstColumn="0" w:firstRowLastColumn="0" w:lastRowFirstColumn="0" w:lastRowLastColumn="0"/>
            </w:pPr>
            <w:r>
              <w:t>Maximum Methane (mg/L)</w:t>
            </w:r>
          </w:p>
        </w:tc>
        <w:tc>
          <w:tcPr>
            <w:tcW w:w="1556" w:type="dxa"/>
            <w:tcBorders>
              <w:top w:val="nil"/>
              <w:left w:val="single" w:sz="4" w:space="0" w:color="FFFFFF"/>
            </w:tcBorders>
            <w:shd w:val="clear" w:color="auto" w:fill="005A97"/>
          </w:tcPr>
          <w:p w14:paraId="7DAA0501" w14:textId="77777777" w:rsidR="008D0183" w:rsidRDefault="008D0183" w:rsidP="002102AA">
            <w:pPr>
              <w:pStyle w:val="TableHeaderrow"/>
              <w:cnfStyle w:val="100000000000" w:firstRow="1" w:lastRow="0" w:firstColumn="0" w:lastColumn="0" w:oddVBand="0" w:evenVBand="0" w:oddHBand="0" w:evenHBand="0" w:firstRowFirstColumn="0" w:firstRowLastColumn="0" w:lastRowFirstColumn="0" w:lastRowLastColumn="0"/>
            </w:pPr>
            <w:r>
              <w:t>Average Methane (mg/L)</w:t>
            </w:r>
          </w:p>
        </w:tc>
      </w:tr>
      <w:tr w:rsidR="008D0183" w14:paraId="7DAA0508" w14:textId="77777777" w:rsidTr="002102AA">
        <w:trPr>
          <w:trHeight w:hRule="exact" w:val="340"/>
        </w:trPr>
        <w:tc>
          <w:tcPr>
            <w:cnfStyle w:val="001000000000" w:firstRow="0" w:lastRow="0" w:firstColumn="1" w:lastColumn="0" w:oddVBand="0" w:evenVBand="0" w:oddHBand="0" w:evenHBand="0" w:firstRowFirstColumn="0" w:firstRowLastColumn="0" w:lastRowFirstColumn="0" w:lastRowLastColumn="0"/>
            <w:tcW w:w="3796" w:type="dxa"/>
            <w:shd w:val="clear" w:color="auto" w:fill="auto"/>
            <w:vAlign w:val="center"/>
          </w:tcPr>
          <w:p w14:paraId="7DAA0503" w14:textId="77777777" w:rsidR="008D0183" w:rsidRPr="002102AA" w:rsidRDefault="008D0183" w:rsidP="00C609AB">
            <w:pPr>
              <w:pStyle w:val="Tablesmalltext"/>
              <w:rPr>
                <w:sz w:val="18"/>
                <w:szCs w:val="18"/>
              </w:rPr>
            </w:pPr>
            <w:r w:rsidRPr="002102AA">
              <w:rPr>
                <w:sz w:val="18"/>
                <w:szCs w:val="18"/>
              </w:rPr>
              <w:t>Quaternary Aquifer (100)</w:t>
            </w:r>
          </w:p>
        </w:tc>
        <w:tc>
          <w:tcPr>
            <w:tcW w:w="1555" w:type="dxa"/>
            <w:shd w:val="clear" w:color="auto" w:fill="auto"/>
            <w:vAlign w:val="center"/>
          </w:tcPr>
          <w:p w14:paraId="7DAA0504"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4</w:t>
            </w:r>
          </w:p>
        </w:tc>
        <w:tc>
          <w:tcPr>
            <w:tcW w:w="1556" w:type="dxa"/>
            <w:vAlign w:val="center"/>
          </w:tcPr>
          <w:p w14:paraId="7DAA0505"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0.00</w:t>
            </w:r>
          </w:p>
        </w:tc>
        <w:tc>
          <w:tcPr>
            <w:tcW w:w="1556" w:type="dxa"/>
            <w:vAlign w:val="center"/>
          </w:tcPr>
          <w:p w14:paraId="7DAA0506"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0.01</w:t>
            </w:r>
          </w:p>
        </w:tc>
        <w:tc>
          <w:tcPr>
            <w:tcW w:w="1556" w:type="dxa"/>
            <w:vAlign w:val="center"/>
          </w:tcPr>
          <w:p w14:paraId="7DAA0507"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0.00</w:t>
            </w:r>
          </w:p>
        </w:tc>
      </w:tr>
      <w:tr w:rsidR="008D0183" w14:paraId="7DAA050E" w14:textId="77777777" w:rsidTr="002102AA">
        <w:trPr>
          <w:trHeight w:hRule="exact" w:val="680"/>
        </w:trPr>
        <w:tc>
          <w:tcPr>
            <w:cnfStyle w:val="001000000000" w:firstRow="0" w:lastRow="0" w:firstColumn="1" w:lastColumn="0" w:oddVBand="0" w:evenVBand="0" w:oddHBand="0" w:evenHBand="0" w:firstRowFirstColumn="0" w:firstRowLastColumn="0" w:lastRowFirstColumn="0" w:lastRowLastColumn="0"/>
            <w:tcW w:w="3796" w:type="dxa"/>
            <w:shd w:val="clear" w:color="auto" w:fill="auto"/>
            <w:vAlign w:val="center"/>
          </w:tcPr>
          <w:p w14:paraId="7DAA0509" w14:textId="77777777" w:rsidR="008D0183" w:rsidRPr="002102AA" w:rsidRDefault="008D0183" w:rsidP="00C609AB">
            <w:pPr>
              <w:pStyle w:val="Tablesmalltext"/>
              <w:rPr>
                <w:sz w:val="18"/>
                <w:szCs w:val="18"/>
              </w:rPr>
            </w:pPr>
            <w:r w:rsidRPr="002102AA">
              <w:rPr>
                <w:sz w:val="18"/>
                <w:szCs w:val="18"/>
              </w:rPr>
              <w:t>Upper Tertiary / Quaternary Basalt Aquifer (101)</w:t>
            </w:r>
          </w:p>
        </w:tc>
        <w:tc>
          <w:tcPr>
            <w:tcW w:w="1555" w:type="dxa"/>
            <w:shd w:val="clear" w:color="auto" w:fill="auto"/>
            <w:vAlign w:val="center"/>
          </w:tcPr>
          <w:p w14:paraId="7DAA050A"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7</w:t>
            </w:r>
          </w:p>
        </w:tc>
        <w:tc>
          <w:tcPr>
            <w:tcW w:w="1556" w:type="dxa"/>
            <w:vAlign w:val="center"/>
          </w:tcPr>
          <w:p w14:paraId="7DAA050B"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0.00</w:t>
            </w:r>
          </w:p>
        </w:tc>
        <w:tc>
          <w:tcPr>
            <w:tcW w:w="1556" w:type="dxa"/>
            <w:vAlign w:val="center"/>
          </w:tcPr>
          <w:p w14:paraId="7DAA050C"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0.64</w:t>
            </w:r>
          </w:p>
        </w:tc>
        <w:tc>
          <w:tcPr>
            <w:tcW w:w="1556" w:type="dxa"/>
            <w:vAlign w:val="center"/>
          </w:tcPr>
          <w:p w14:paraId="7DAA050D"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0.11</w:t>
            </w:r>
          </w:p>
        </w:tc>
      </w:tr>
      <w:tr w:rsidR="008D0183" w14:paraId="7DAA0514" w14:textId="77777777" w:rsidTr="002102AA">
        <w:trPr>
          <w:trHeight w:hRule="exact" w:val="340"/>
        </w:trPr>
        <w:tc>
          <w:tcPr>
            <w:cnfStyle w:val="001000000000" w:firstRow="0" w:lastRow="0" w:firstColumn="1" w:lastColumn="0" w:oddVBand="0" w:evenVBand="0" w:oddHBand="0" w:evenHBand="0" w:firstRowFirstColumn="0" w:firstRowLastColumn="0" w:lastRowFirstColumn="0" w:lastRowLastColumn="0"/>
            <w:tcW w:w="3796" w:type="dxa"/>
            <w:shd w:val="clear" w:color="auto" w:fill="auto"/>
            <w:vAlign w:val="center"/>
          </w:tcPr>
          <w:p w14:paraId="7DAA050F" w14:textId="77777777" w:rsidR="008D0183" w:rsidRPr="002102AA" w:rsidRDefault="008D0183" w:rsidP="00C609AB">
            <w:pPr>
              <w:pStyle w:val="Tablesmalltext"/>
              <w:rPr>
                <w:sz w:val="18"/>
                <w:szCs w:val="18"/>
              </w:rPr>
            </w:pPr>
            <w:r w:rsidRPr="002102AA">
              <w:rPr>
                <w:sz w:val="18"/>
                <w:szCs w:val="18"/>
              </w:rPr>
              <w:t>Upper Tertiary Aquifer (marine) (104)</w:t>
            </w:r>
          </w:p>
        </w:tc>
        <w:tc>
          <w:tcPr>
            <w:tcW w:w="1555" w:type="dxa"/>
            <w:shd w:val="clear" w:color="auto" w:fill="auto"/>
            <w:vAlign w:val="center"/>
          </w:tcPr>
          <w:p w14:paraId="7DAA0510"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1</w:t>
            </w:r>
          </w:p>
        </w:tc>
        <w:tc>
          <w:tcPr>
            <w:tcW w:w="1556" w:type="dxa"/>
            <w:vAlign w:val="center"/>
          </w:tcPr>
          <w:p w14:paraId="7DAA0511"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0.00</w:t>
            </w:r>
          </w:p>
        </w:tc>
        <w:tc>
          <w:tcPr>
            <w:tcW w:w="1556" w:type="dxa"/>
            <w:vAlign w:val="center"/>
          </w:tcPr>
          <w:p w14:paraId="7DAA0512"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0.00</w:t>
            </w:r>
          </w:p>
        </w:tc>
        <w:tc>
          <w:tcPr>
            <w:tcW w:w="1556" w:type="dxa"/>
            <w:vAlign w:val="center"/>
          </w:tcPr>
          <w:p w14:paraId="7DAA0513"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0.00</w:t>
            </w:r>
          </w:p>
        </w:tc>
      </w:tr>
      <w:tr w:rsidR="008D0183" w14:paraId="7DAA051A" w14:textId="77777777" w:rsidTr="002102AA">
        <w:trPr>
          <w:trHeight w:hRule="exact" w:val="340"/>
        </w:trPr>
        <w:tc>
          <w:tcPr>
            <w:cnfStyle w:val="001000000000" w:firstRow="0" w:lastRow="0" w:firstColumn="1" w:lastColumn="0" w:oddVBand="0" w:evenVBand="0" w:oddHBand="0" w:evenHBand="0" w:firstRowFirstColumn="0" w:firstRowLastColumn="0" w:lastRowFirstColumn="0" w:lastRowLastColumn="0"/>
            <w:tcW w:w="3796" w:type="dxa"/>
            <w:shd w:val="clear" w:color="auto" w:fill="auto"/>
            <w:vAlign w:val="center"/>
          </w:tcPr>
          <w:p w14:paraId="7DAA0515" w14:textId="77777777" w:rsidR="008D0183" w:rsidRPr="002102AA" w:rsidRDefault="008D0183" w:rsidP="00C609AB">
            <w:pPr>
              <w:pStyle w:val="Tablesmalltext"/>
              <w:rPr>
                <w:sz w:val="18"/>
                <w:szCs w:val="18"/>
              </w:rPr>
            </w:pPr>
            <w:r w:rsidRPr="002102AA">
              <w:rPr>
                <w:sz w:val="18"/>
                <w:szCs w:val="18"/>
              </w:rPr>
              <w:t>Upper Mid Tertiary Aquifer (107)</w:t>
            </w:r>
          </w:p>
        </w:tc>
        <w:tc>
          <w:tcPr>
            <w:tcW w:w="1555" w:type="dxa"/>
            <w:shd w:val="clear" w:color="auto" w:fill="auto"/>
            <w:vAlign w:val="center"/>
          </w:tcPr>
          <w:p w14:paraId="7DAA0516"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8</w:t>
            </w:r>
          </w:p>
        </w:tc>
        <w:tc>
          <w:tcPr>
            <w:tcW w:w="1556" w:type="dxa"/>
            <w:vAlign w:val="center"/>
          </w:tcPr>
          <w:p w14:paraId="7DAA0517"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0.00</w:t>
            </w:r>
          </w:p>
        </w:tc>
        <w:tc>
          <w:tcPr>
            <w:tcW w:w="1556" w:type="dxa"/>
            <w:vAlign w:val="center"/>
          </w:tcPr>
          <w:p w14:paraId="7DAA0518"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0.04</w:t>
            </w:r>
          </w:p>
        </w:tc>
        <w:tc>
          <w:tcPr>
            <w:tcW w:w="1556" w:type="dxa"/>
            <w:vAlign w:val="center"/>
          </w:tcPr>
          <w:p w14:paraId="7DAA0519"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0.01</w:t>
            </w:r>
          </w:p>
        </w:tc>
      </w:tr>
      <w:tr w:rsidR="008D0183" w14:paraId="7DAA0520" w14:textId="77777777" w:rsidTr="002102AA">
        <w:trPr>
          <w:trHeight w:hRule="exact" w:val="340"/>
        </w:trPr>
        <w:tc>
          <w:tcPr>
            <w:cnfStyle w:val="001000000000" w:firstRow="0" w:lastRow="0" w:firstColumn="1" w:lastColumn="0" w:oddVBand="0" w:evenVBand="0" w:oddHBand="0" w:evenHBand="0" w:firstRowFirstColumn="0" w:firstRowLastColumn="0" w:lastRowFirstColumn="0" w:lastRowLastColumn="0"/>
            <w:tcW w:w="3796" w:type="dxa"/>
            <w:shd w:val="clear" w:color="auto" w:fill="auto"/>
            <w:vAlign w:val="center"/>
          </w:tcPr>
          <w:p w14:paraId="7DAA051B" w14:textId="77777777" w:rsidR="008D0183" w:rsidRPr="002102AA" w:rsidRDefault="008D0183" w:rsidP="00C609AB">
            <w:pPr>
              <w:pStyle w:val="Tablesmalltext"/>
              <w:rPr>
                <w:sz w:val="18"/>
                <w:szCs w:val="18"/>
              </w:rPr>
            </w:pPr>
            <w:r w:rsidRPr="002102AA">
              <w:rPr>
                <w:sz w:val="18"/>
                <w:szCs w:val="18"/>
              </w:rPr>
              <w:t>Lower Mid Tertiary Aquifer (109)</w:t>
            </w:r>
          </w:p>
        </w:tc>
        <w:tc>
          <w:tcPr>
            <w:tcW w:w="1555" w:type="dxa"/>
            <w:shd w:val="clear" w:color="auto" w:fill="auto"/>
            <w:vAlign w:val="center"/>
          </w:tcPr>
          <w:p w14:paraId="7DAA051C"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1</w:t>
            </w:r>
          </w:p>
        </w:tc>
        <w:tc>
          <w:tcPr>
            <w:tcW w:w="1556" w:type="dxa"/>
            <w:vAlign w:val="center"/>
          </w:tcPr>
          <w:p w14:paraId="7DAA051D"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0.00</w:t>
            </w:r>
          </w:p>
        </w:tc>
        <w:tc>
          <w:tcPr>
            <w:tcW w:w="1556" w:type="dxa"/>
            <w:vAlign w:val="center"/>
          </w:tcPr>
          <w:p w14:paraId="7DAA051E"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0.00</w:t>
            </w:r>
          </w:p>
        </w:tc>
        <w:tc>
          <w:tcPr>
            <w:tcW w:w="1556" w:type="dxa"/>
            <w:vAlign w:val="center"/>
          </w:tcPr>
          <w:p w14:paraId="7DAA051F"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0.00</w:t>
            </w:r>
          </w:p>
        </w:tc>
      </w:tr>
      <w:tr w:rsidR="008D0183" w14:paraId="7DAA0526" w14:textId="77777777" w:rsidTr="002102AA">
        <w:trPr>
          <w:trHeight w:hRule="exact" w:val="340"/>
        </w:trPr>
        <w:tc>
          <w:tcPr>
            <w:cnfStyle w:val="001000000000" w:firstRow="0" w:lastRow="0" w:firstColumn="1" w:lastColumn="0" w:oddVBand="0" w:evenVBand="0" w:oddHBand="0" w:evenHBand="0" w:firstRowFirstColumn="0" w:firstRowLastColumn="0" w:lastRowFirstColumn="0" w:lastRowLastColumn="0"/>
            <w:tcW w:w="3796" w:type="dxa"/>
            <w:shd w:val="clear" w:color="auto" w:fill="auto"/>
            <w:vAlign w:val="center"/>
          </w:tcPr>
          <w:p w14:paraId="7DAA0521" w14:textId="77777777" w:rsidR="008D0183" w:rsidRPr="002102AA" w:rsidRDefault="008D0183" w:rsidP="00C609AB">
            <w:pPr>
              <w:pStyle w:val="Tablesmalltext"/>
              <w:rPr>
                <w:sz w:val="18"/>
                <w:szCs w:val="18"/>
              </w:rPr>
            </w:pPr>
            <w:r w:rsidRPr="002102AA">
              <w:rPr>
                <w:sz w:val="18"/>
                <w:szCs w:val="18"/>
              </w:rPr>
              <w:t>Lower Tertiary Aquifer (111)</w:t>
            </w:r>
          </w:p>
        </w:tc>
        <w:tc>
          <w:tcPr>
            <w:tcW w:w="1555" w:type="dxa"/>
            <w:shd w:val="clear" w:color="auto" w:fill="auto"/>
            <w:vAlign w:val="center"/>
          </w:tcPr>
          <w:p w14:paraId="7DAA0522"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8</w:t>
            </w:r>
          </w:p>
        </w:tc>
        <w:tc>
          <w:tcPr>
            <w:tcW w:w="1556" w:type="dxa"/>
            <w:vAlign w:val="center"/>
          </w:tcPr>
          <w:p w14:paraId="7DAA0523"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0.00</w:t>
            </w:r>
          </w:p>
        </w:tc>
        <w:tc>
          <w:tcPr>
            <w:tcW w:w="1556" w:type="dxa"/>
            <w:vAlign w:val="center"/>
          </w:tcPr>
          <w:p w14:paraId="7DAA0524"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5.75</w:t>
            </w:r>
          </w:p>
        </w:tc>
        <w:tc>
          <w:tcPr>
            <w:tcW w:w="1556" w:type="dxa"/>
            <w:vAlign w:val="center"/>
          </w:tcPr>
          <w:p w14:paraId="7DAA0525"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0.76</w:t>
            </w:r>
          </w:p>
        </w:tc>
      </w:tr>
      <w:tr w:rsidR="008D0183" w14:paraId="7DAA052C" w14:textId="77777777" w:rsidTr="002102AA">
        <w:trPr>
          <w:trHeight w:hRule="exact" w:val="340"/>
        </w:trPr>
        <w:tc>
          <w:tcPr>
            <w:cnfStyle w:val="001000000000" w:firstRow="0" w:lastRow="0" w:firstColumn="1" w:lastColumn="0" w:oddVBand="0" w:evenVBand="0" w:oddHBand="0" w:evenHBand="0" w:firstRowFirstColumn="0" w:firstRowLastColumn="0" w:lastRowFirstColumn="0" w:lastRowLastColumn="0"/>
            <w:tcW w:w="3796" w:type="dxa"/>
            <w:shd w:val="clear" w:color="auto" w:fill="auto"/>
            <w:vAlign w:val="center"/>
          </w:tcPr>
          <w:p w14:paraId="7DAA0527" w14:textId="77777777" w:rsidR="008D0183" w:rsidRPr="002102AA" w:rsidRDefault="008D0183" w:rsidP="00C609AB">
            <w:pPr>
              <w:pStyle w:val="Tablesmalltext"/>
              <w:rPr>
                <w:sz w:val="18"/>
                <w:szCs w:val="18"/>
              </w:rPr>
            </w:pPr>
            <w:r w:rsidRPr="002102AA">
              <w:rPr>
                <w:sz w:val="18"/>
                <w:szCs w:val="18"/>
              </w:rPr>
              <w:t>Mesozoic and Palaeozoic Bedrock (114)</w:t>
            </w:r>
          </w:p>
        </w:tc>
        <w:tc>
          <w:tcPr>
            <w:tcW w:w="1555" w:type="dxa"/>
            <w:shd w:val="clear" w:color="auto" w:fill="auto"/>
            <w:vAlign w:val="center"/>
          </w:tcPr>
          <w:p w14:paraId="7DAA0528"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1</w:t>
            </w:r>
          </w:p>
        </w:tc>
        <w:tc>
          <w:tcPr>
            <w:tcW w:w="1556" w:type="dxa"/>
            <w:vAlign w:val="center"/>
          </w:tcPr>
          <w:p w14:paraId="7DAA0529"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0.38</w:t>
            </w:r>
          </w:p>
        </w:tc>
        <w:tc>
          <w:tcPr>
            <w:tcW w:w="1556" w:type="dxa"/>
            <w:vAlign w:val="center"/>
          </w:tcPr>
          <w:p w14:paraId="7DAA052A"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0.38</w:t>
            </w:r>
          </w:p>
        </w:tc>
        <w:tc>
          <w:tcPr>
            <w:tcW w:w="1556" w:type="dxa"/>
            <w:vAlign w:val="center"/>
          </w:tcPr>
          <w:p w14:paraId="7DAA052B" w14:textId="77777777" w:rsidR="008D0183" w:rsidRPr="002102AA"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102AA">
              <w:rPr>
                <w:sz w:val="18"/>
                <w:szCs w:val="18"/>
              </w:rPr>
              <w:t>0.38</w:t>
            </w:r>
          </w:p>
        </w:tc>
      </w:tr>
    </w:tbl>
    <w:p w14:paraId="7DAA052D" w14:textId="77777777" w:rsidR="008D0183" w:rsidRDefault="008D0183" w:rsidP="000C564C">
      <w:pPr>
        <w:rPr>
          <w:lang w:val="en-AU"/>
        </w:rPr>
        <w:sectPr w:rsidR="008D0183" w:rsidSect="0063692F">
          <w:headerReference w:type="first" r:id="rId54"/>
          <w:pgSz w:w="11906" w:h="16838" w:code="9"/>
          <w:pgMar w:top="2268" w:right="1134" w:bottom="1276" w:left="1134" w:header="567" w:footer="567" w:gutter="0"/>
          <w:cols w:space="708"/>
          <w:titlePg/>
          <w:docGrid w:linePitch="360"/>
        </w:sectPr>
      </w:pPr>
    </w:p>
    <w:p w14:paraId="7DAA052E" w14:textId="77777777" w:rsidR="000C564C" w:rsidRPr="000C564C" w:rsidRDefault="008D0183" w:rsidP="002102AA">
      <w:pPr>
        <w:pStyle w:val="figurereturn"/>
      </w:pPr>
      <w:r w:rsidRPr="002102AA">
        <w:drawing>
          <wp:inline distT="0" distB="0" distL="0" distR="0" wp14:anchorId="7DAA0C57" wp14:editId="7DAA0C58">
            <wp:extent cx="7867650" cy="5463964"/>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5">
                      <a:extLst>
                        <a:ext uri="{28A0092B-C50C-407E-A947-70E740481C1C}">
                          <a14:useLocalDpi xmlns:a14="http://schemas.microsoft.com/office/drawing/2010/main" val="0"/>
                        </a:ext>
                      </a:extLst>
                    </a:blip>
                    <a:srcRect t="1818" b="1598"/>
                    <a:stretch/>
                  </pic:blipFill>
                  <pic:spPr bwMode="auto">
                    <a:xfrm>
                      <a:off x="0" y="0"/>
                      <a:ext cx="7874455" cy="5468690"/>
                    </a:xfrm>
                    <a:prstGeom prst="rect">
                      <a:avLst/>
                    </a:prstGeom>
                    <a:noFill/>
                    <a:ln>
                      <a:noFill/>
                    </a:ln>
                    <a:extLst>
                      <a:ext uri="{53640926-AAD7-44D8-BBD7-CCE9431645EC}">
                        <a14:shadowObscured xmlns:a14="http://schemas.microsoft.com/office/drawing/2010/main"/>
                      </a:ext>
                    </a:extLst>
                  </pic:spPr>
                </pic:pic>
              </a:graphicData>
            </a:graphic>
          </wp:inline>
        </w:drawing>
      </w:r>
    </w:p>
    <w:p w14:paraId="7DAA052F" w14:textId="77777777" w:rsidR="008D0183" w:rsidRDefault="00C609AB" w:rsidP="00D0375F">
      <w:pPr>
        <w:pStyle w:val="Figuretitle"/>
      </w:pPr>
      <w:bookmarkStart w:id="116" w:name="_Ref414008332"/>
      <w:bookmarkStart w:id="117" w:name="_Toc420327774"/>
      <w:r>
        <w:t xml:space="preserve">Figure </w:t>
      </w:r>
      <w:r w:rsidR="00B91643">
        <w:fldChar w:fldCharType="begin"/>
      </w:r>
      <w:r w:rsidR="00B91643">
        <w:instrText xml:space="preserve"> SEQ Figure \* ARABIC </w:instrText>
      </w:r>
      <w:r w:rsidR="00B91643">
        <w:fldChar w:fldCharType="separate"/>
      </w:r>
      <w:r w:rsidR="00BD60CC">
        <w:rPr>
          <w:noProof/>
        </w:rPr>
        <w:t>23</w:t>
      </w:r>
      <w:r w:rsidR="00B91643">
        <w:rPr>
          <w:noProof/>
        </w:rPr>
        <w:fldChar w:fldCharType="end"/>
      </w:r>
      <w:bookmarkEnd w:id="116"/>
      <w:r>
        <w:t xml:space="preserve"> </w:t>
      </w:r>
      <w:r w:rsidR="000C564C" w:rsidRPr="000C564C">
        <w:t>Spatial distribution of di</w:t>
      </w:r>
      <w:r w:rsidR="008D0183">
        <w:t>ssolved methane in groundwater</w:t>
      </w:r>
      <w:bookmarkEnd w:id="117"/>
      <w:r w:rsidR="008D0183">
        <w:t xml:space="preserve"> </w:t>
      </w:r>
    </w:p>
    <w:p w14:paraId="7DAA0530" w14:textId="77777777" w:rsidR="001028E6" w:rsidRDefault="001028E6" w:rsidP="000C564C">
      <w:pPr>
        <w:rPr>
          <w:lang w:val="en-AU"/>
        </w:rPr>
        <w:sectPr w:rsidR="001028E6" w:rsidSect="0078722D">
          <w:headerReference w:type="first" r:id="rId56"/>
          <w:pgSz w:w="16838" w:h="11906" w:orient="landscape" w:code="9"/>
          <w:pgMar w:top="1701" w:right="1134" w:bottom="1276" w:left="1134" w:header="567" w:footer="567" w:gutter="0"/>
          <w:cols w:space="708"/>
          <w:titlePg/>
          <w:docGrid w:linePitch="360"/>
        </w:sectPr>
      </w:pPr>
    </w:p>
    <w:p w14:paraId="7DAA0531" w14:textId="6440A289" w:rsidR="000C564C" w:rsidRPr="000C564C" w:rsidRDefault="00F73033" w:rsidP="008D0183">
      <w:pPr>
        <w:pStyle w:val="Head2xx"/>
      </w:pPr>
      <w:bookmarkStart w:id="118" w:name="_Toc420327735"/>
      <w:r>
        <w:t>Total petroleum h</w:t>
      </w:r>
      <w:r w:rsidR="000C564C" w:rsidRPr="000C564C">
        <w:t>ydrocarbons</w:t>
      </w:r>
      <w:bookmarkEnd w:id="118"/>
    </w:p>
    <w:p w14:paraId="7DAA0532" w14:textId="77777777" w:rsidR="000C564C" w:rsidRPr="000C564C" w:rsidRDefault="000C564C" w:rsidP="000C564C">
      <w:pPr>
        <w:rPr>
          <w:lang w:val="en-AU"/>
        </w:rPr>
      </w:pPr>
      <w:r w:rsidRPr="000C564C">
        <w:rPr>
          <w:lang w:val="en-AU"/>
        </w:rPr>
        <w:t xml:space="preserve">Total Petroleum Hydrocarbons (TPH) include any mixture of hydrocarbons that can be found in crude oil. TPH in groundwater can be either naturally occurring or can have anthropogenic origins. TPH analysis is often reported as Total Recoverable Hydrocarbons (TRH) which represents a mixture of compounds without the specific identification of individual compounds. Any detected organic compounds are reported against one of a limited number of ranges (or fractions). The lower fraction is often referred to as the petrol range of organics, whilst the higher fractions are called the diesel range organics. </w:t>
      </w:r>
    </w:p>
    <w:p w14:paraId="7DAA0533" w14:textId="3631A9C7" w:rsidR="000C564C" w:rsidRPr="000C564C" w:rsidRDefault="000C564C" w:rsidP="000C564C">
      <w:pPr>
        <w:rPr>
          <w:lang w:val="en-AU"/>
        </w:rPr>
      </w:pPr>
      <w:r w:rsidRPr="000C564C">
        <w:rPr>
          <w:lang w:val="en-AU"/>
        </w:rPr>
        <w:t xml:space="preserve">Of the 30 groundwater samples collected for the Otway </w:t>
      </w:r>
      <w:r w:rsidR="00E87D28">
        <w:rPr>
          <w:lang w:val="en-AU"/>
        </w:rPr>
        <w:t>region</w:t>
      </w:r>
      <w:r w:rsidRPr="000C564C">
        <w:rPr>
          <w:lang w:val="en-AU"/>
        </w:rPr>
        <w:t>, five bores recorded detectable concentrations of dissolved hydrocarbons. The laboratory has reported total recoverable hydrocarbons (TRH) according to the industry standard assessment criteria defined by the National Environment Protection Measures (</w:t>
      </w:r>
      <w:r w:rsidR="00AF31FD">
        <w:rPr>
          <w:lang w:val="en-AU"/>
        </w:rPr>
        <w:t xml:space="preserve">Australian </w:t>
      </w:r>
      <w:r w:rsidR="00816E19">
        <w:rPr>
          <w:lang w:val="en-AU"/>
        </w:rPr>
        <w:t>Government</w:t>
      </w:r>
      <w:r w:rsidRPr="000C564C">
        <w:rPr>
          <w:lang w:val="en-AU"/>
        </w:rPr>
        <w:t xml:space="preserve">, 2013). </w:t>
      </w:r>
    </w:p>
    <w:p w14:paraId="7DAA0534" w14:textId="1A5DF103" w:rsidR="000C564C" w:rsidRPr="000C564C" w:rsidRDefault="000C564C" w:rsidP="000C564C">
      <w:pPr>
        <w:rPr>
          <w:lang w:val="en-AU"/>
        </w:rPr>
      </w:pPr>
      <w:r w:rsidRPr="000C564C">
        <w:rPr>
          <w:lang w:val="en-AU"/>
        </w:rPr>
        <w:t>The bores where detecti</w:t>
      </w:r>
      <w:r w:rsidR="00C609AB">
        <w:rPr>
          <w:lang w:val="en-AU"/>
        </w:rPr>
        <w:t xml:space="preserve">on was identified are shown in </w:t>
      </w:r>
      <w:r w:rsidR="00C609AB">
        <w:rPr>
          <w:lang w:val="en-AU"/>
        </w:rPr>
        <w:fldChar w:fldCharType="begin"/>
      </w:r>
      <w:r w:rsidR="00C609AB">
        <w:rPr>
          <w:lang w:val="en-AU"/>
        </w:rPr>
        <w:instrText xml:space="preserve"> REF _Ref414008563 \h </w:instrText>
      </w:r>
      <w:r w:rsidR="00C609AB">
        <w:rPr>
          <w:lang w:val="en-AU"/>
        </w:rPr>
      </w:r>
      <w:r w:rsidR="00C609AB">
        <w:rPr>
          <w:lang w:val="en-AU"/>
        </w:rPr>
        <w:fldChar w:fldCharType="separate"/>
      </w:r>
      <w:r w:rsidR="00BD60CC">
        <w:t xml:space="preserve">Table </w:t>
      </w:r>
      <w:r w:rsidR="00BD60CC">
        <w:rPr>
          <w:noProof/>
        </w:rPr>
        <w:t>15</w:t>
      </w:r>
      <w:r w:rsidR="00C609AB">
        <w:rPr>
          <w:lang w:val="en-AU"/>
        </w:rPr>
        <w:fldChar w:fldCharType="end"/>
      </w:r>
      <w:r w:rsidRPr="000C564C">
        <w:rPr>
          <w:lang w:val="en-AU"/>
        </w:rPr>
        <w:t xml:space="preserve">. Generally these detections are minor, with 110985 and S61557/2 recording hydrocarbons at the detection limit of the analytical technique for TRH. The majority of the detected hydrocarbons are in the medium to heavy fraction range, with S61557/2 detecting a light (volatile) range of hydrocarbons. This volatile detection is not a BTEX compound (no BTEX detected in the sample). These techniques generally act as a screening method and further analysis (e.g. gas chromatography-mass spectrometry) of the sample can identify the organic compound. The low levels detected across the Otway </w:t>
      </w:r>
      <w:r w:rsidR="00E87D28">
        <w:rPr>
          <w:lang w:val="en-AU"/>
        </w:rPr>
        <w:t>region</w:t>
      </w:r>
      <w:r w:rsidRPr="000C564C">
        <w:rPr>
          <w:lang w:val="en-AU"/>
        </w:rPr>
        <w:t xml:space="preserve"> do not warrant further investigation. </w:t>
      </w:r>
    </w:p>
    <w:p w14:paraId="7DAA0535" w14:textId="5521C94A" w:rsidR="000C564C" w:rsidRPr="000C564C" w:rsidRDefault="000C564C" w:rsidP="000C564C">
      <w:pPr>
        <w:rPr>
          <w:lang w:val="en-AU"/>
        </w:rPr>
      </w:pPr>
      <w:r w:rsidRPr="000C564C">
        <w:rPr>
          <w:lang w:val="en-AU"/>
        </w:rPr>
        <w:t xml:space="preserve">The three bores that record TRH greater than detection limits are all screened in the Lower Tertiary Aquifer (111). There is no evidence of a spatial correlation with these bores (i.e. they do not occur in a particular part of the </w:t>
      </w:r>
      <w:r w:rsidR="00E87D28">
        <w:rPr>
          <w:lang w:val="en-AU"/>
        </w:rPr>
        <w:t>region</w:t>
      </w:r>
      <w:r w:rsidRPr="000C564C">
        <w:rPr>
          <w:lang w:val="en-AU"/>
        </w:rPr>
        <w:t xml:space="preserve">). The fact that the TRH detection occurs primarily in a deep coal bearing aquifer with little interaction with the surface and the detections are quite low, indicates the hydrocarbons may be of natural origin.  </w:t>
      </w:r>
    </w:p>
    <w:p w14:paraId="7DAA0536" w14:textId="76925751" w:rsidR="000C564C" w:rsidRPr="000C564C" w:rsidRDefault="00C609AB" w:rsidP="004F307F">
      <w:pPr>
        <w:pStyle w:val="Tableheading"/>
        <w:rPr>
          <w:lang w:val="en-AU"/>
        </w:rPr>
      </w:pPr>
      <w:bookmarkStart w:id="119" w:name="_Ref414008563"/>
      <w:bookmarkStart w:id="120" w:name="_Toc420320565"/>
      <w:r>
        <w:t xml:space="preserve">Table </w:t>
      </w:r>
      <w:r>
        <w:fldChar w:fldCharType="begin"/>
      </w:r>
      <w:r>
        <w:instrText xml:space="preserve"> SEQ Table \* ARABIC </w:instrText>
      </w:r>
      <w:r>
        <w:fldChar w:fldCharType="separate"/>
      </w:r>
      <w:r w:rsidR="00BD60CC">
        <w:rPr>
          <w:noProof/>
        </w:rPr>
        <w:t>15</w:t>
      </w:r>
      <w:r>
        <w:fldChar w:fldCharType="end"/>
      </w:r>
      <w:bookmarkEnd w:id="119"/>
      <w:r>
        <w:rPr>
          <w:lang w:val="en-AU"/>
        </w:rPr>
        <w:t xml:space="preserve"> </w:t>
      </w:r>
      <w:r w:rsidR="000C564C" w:rsidRPr="000C564C">
        <w:rPr>
          <w:lang w:val="en-AU"/>
        </w:rPr>
        <w:t xml:space="preserve">Concentrations of Total Recoverable Hydrocarbons for bores where detection </w:t>
      </w:r>
      <w:r w:rsidR="002102AA">
        <w:rPr>
          <w:lang w:val="en-AU"/>
        </w:rPr>
        <w:br/>
      </w:r>
      <w:r w:rsidR="000C564C" w:rsidRPr="000C564C">
        <w:rPr>
          <w:lang w:val="en-AU"/>
        </w:rPr>
        <w:t>occurred (µg/L)</w:t>
      </w:r>
      <w:bookmarkEnd w:id="120"/>
    </w:p>
    <w:tbl>
      <w:tblPr>
        <w:tblStyle w:val="Table1"/>
        <w:tblW w:w="0" w:type="auto"/>
        <w:tblInd w:w="0" w:type="dxa"/>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1728"/>
        <w:gridCol w:w="1355"/>
        <w:gridCol w:w="1373"/>
        <w:gridCol w:w="1368"/>
        <w:gridCol w:w="1343"/>
        <w:gridCol w:w="1343"/>
        <w:gridCol w:w="1344"/>
      </w:tblGrid>
      <w:tr w:rsidR="008D0183" w:rsidRPr="002102AA" w14:paraId="7DAA053E" w14:textId="77777777" w:rsidTr="002B3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Borders>
              <w:top w:val="nil"/>
              <w:right w:val="single" w:sz="4" w:space="0" w:color="FFFFFF"/>
            </w:tcBorders>
            <w:shd w:val="clear" w:color="auto" w:fill="005A97"/>
          </w:tcPr>
          <w:p w14:paraId="7DAA0537" w14:textId="77777777" w:rsidR="008D0183" w:rsidRPr="002102AA" w:rsidRDefault="008D0183" w:rsidP="002102AA">
            <w:pPr>
              <w:pStyle w:val="TableHeaderrow"/>
              <w:rPr>
                <w:b/>
              </w:rPr>
            </w:pPr>
            <w:r w:rsidRPr="002102AA">
              <w:rPr>
                <w:b/>
              </w:rPr>
              <w:t>Fraction</w:t>
            </w:r>
          </w:p>
        </w:tc>
        <w:tc>
          <w:tcPr>
            <w:tcW w:w="1387" w:type="dxa"/>
            <w:tcBorders>
              <w:top w:val="nil"/>
              <w:left w:val="single" w:sz="4" w:space="0" w:color="FFFFFF"/>
              <w:right w:val="single" w:sz="4" w:space="0" w:color="FFFFFF"/>
            </w:tcBorders>
            <w:shd w:val="clear" w:color="auto" w:fill="005A97"/>
          </w:tcPr>
          <w:p w14:paraId="7DAA0538" w14:textId="77777777" w:rsidR="008D0183" w:rsidRPr="002102AA" w:rsidRDefault="008D0183" w:rsidP="002102AA">
            <w:pPr>
              <w:pStyle w:val="TableHeaderrow"/>
              <w:cnfStyle w:val="100000000000" w:firstRow="1" w:lastRow="0" w:firstColumn="0" w:lastColumn="0" w:oddVBand="0" w:evenVBand="0" w:oddHBand="0" w:evenHBand="0" w:firstRowFirstColumn="0" w:firstRowLastColumn="0" w:lastRowFirstColumn="0" w:lastRowLastColumn="0"/>
              <w:rPr>
                <w:b/>
              </w:rPr>
            </w:pPr>
            <w:r w:rsidRPr="002102AA">
              <w:rPr>
                <w:b/>
              </w:rPr>
              <w:t>Detection Limit</w:t>
            </w:r>
          </w:p>
        </w:tc>
        <w:tc>
          <w:tcPr>
            <w:tcW w:w="1387" w:type="dxa"/>
            <w:tcBorders>
              <w:top w:val="nil"/>
              <w:left w:val="single" w:sz="4" w:space="0" w:color="FFFFFF"/>
              <w:right w:val="single" w:sz="4" w:space="0" w:color="FFFFFF"/>
            </w:tcBorders>
            <w:shd w:val="clear" w:color="auto" w:fill="005A97"/>
          </w:tcPr>
          <w:p w14:paraId="7DAA0539" w14:textId="77777777" w:rsidR="008D0183" w:rsidRPr="002102AA" w:rsidRDefault="008D0183" w:rsidP="002102AA">
            <w:pPr>
              <w:pStyle w:val="TableHeaderrow"/>
              <w:cnfStyle w:val="100000000000" w:firstRow="1" w:lastRow="0" w:firstColumn="0" w:lastColumn="0" w:oddVBand="0" w:evenVBand="0" w:oddHBand="0" w:evenHBand="0" w:firstRowFirstColumn="0" w:firstRowLastColumn="0" w:lastRowFirstColumn="0" w:lastRowLastColumn="0"/>
              <w:rPr>
                <w:b/>
              </w:rPr>
            </w:pPr>
            <w:r w:rsidRPr="002102AA">
              <w:rPr>
                <w:b/>
              </w:rPr>
              <w:t>S61557/2 (Quaternary Aquifer)</w:t>
            </w:r>
          </w:p>
        </w:tc>
        <w:tc>
          <w:tcPr>
            <w:tcW w:w="1387" w:type="dxa"/>
            <w:tcBorders>
              <w:top w:val="nil"/>
              <w:left w:val="single" w:sz="4" w:space="0" w:color="FFFFFF"/>
              <w:right w:val="single" w:sz="4" w:space="0" w:color="FFFFFF"/>
            </w:tcBorders>
            <w:shd w:val="clear" w:color="auto" w:fill="005A97"/>
          </w:tcPr>
          <w:p w14:paraId="7DAA053A" w14:textId="77777777" w:rsidR="008D0183" w:rsidRPr="002102AA" w:rsidRDefault="008D0183" w:rsidP="002102AA">
            <w:pPr>
              <w:pStyle w:val="TableHeaderrow"/>
              <w:cnfStyle w:val="100000000000" w:firstRow="1" w:lastRow="0" w:firstColumn="0" w:lastColumn="0" w:oddVBand="0" w:evenVBand="0" w:oddHBand="0" w:evenHBand="0" w:firstRowFirstColumn="0" w:firstRowLastColumn="0" w:lastRowFirstColumn="0" w:lastRowLastColumn="0"/>
              <w:rPr>
                <w:b/>
              </w:rPr>
            </w:pPr>
            <w:r w:rsidRPr="002102AA">
              <w:rPr>
                <w:b/>
              </w:rPr>
              <w:t>110985 (Upper Tertiary / Quaternary Basalt)</w:t>
            </w:r>
          </w:p>
        </w:tc>
        <w:tc>
          <w:tcPr>
            <w:tcW w:w="1387" w:type="dxa"/>
            <w:tcBorders>
              <w:top w:val="nil"/>
              <w:left w:val="single" w:sz="4" w:space="0" w:color="FFFFFF"/>
              <w:right w:val="single" w:sz="4" w:space="0" w:color="FFFFFF"/>
            </w:tcBorders>
            <w:shd w:val="clear" w:color="auto" w:fill="005A97"/>
          </w:tcPr>
          <w:p w14:paraId="7DAA053B" w14:textId="77777777" w:rsidR="008D0183" w:rsidRPr="002102AA" w:rsidRDefault="008D0183" w:rsidP="002102AA">
            <w:pPr>
              <w:pStyle w:val="TableHeaderrow"/>
              <w:cnfStyle w:val="100000000000" w:firstRow="1" w:lastRow="0" w:firstColumn="0" w:lastColumn="0" w:oddVBand="0" w:evenVBand="0" w:oddHBand="0" w:evenHBand="0" w:firstRowFirstColumn="0" w:firstRowLastColumn="0" w:lastRowFirstColumn="0" w:lastRowLastColumn="0"/>
              <w:rPr>
                <w:b/>
              </w:rPr>
            </w:pPr>
            <w:r w:rsidRPr="002102AA">
              <w:rPr>
                <w:b/>
              </w:rPr>
              <w:t>111786 (Lower Tertiary Aquifer)</w:t>
            </w:r>
          </w:p>
        </w:tc>
        <w:tc>
          <w:tcPr>
            <w:tcW w:w="1387" w:type="dxa"/>
            <w:tcBorders>
              <w:top w:val="nil"/>
              <w:left w:val="single" w:sz="4" w:space="0" w:color="FFFFFF"/>
              <w:right w:val="single" w:sz="4" w:space="0" w:color="FFFFFF"/>
            </w:tcBorders>
            <w:shd w:val="clear" w:color="auto" w:fill="005A97"/>
          </w:tcPr>
          <w:p w14:paraId="7DAA053C" w14:textId="77777777" w:rsidR="008D0183" w:rsidRPr="002102AA" w:rsidRDefault="008D0183" w:rsidP="002102AA">
            <w:pPr>
              <w:pStyle w:val="TableHeaderrow"/>
              <w:cnfStyle w:val="100000000000" w:firstRow="1" w:lastRow="0" w:firstColumn="0" w:lastColumn="0" w:oddVBand="0" w:evenVBand="0" w:oddHBand="0" w:evenHBand="0" w:firstRowFirstColumn="0" w:firstRowLastColumn="0" w:lastRowFirstColumn="0" w:lastRowLastColumn="0"/>
              <w:rPr>
                <w:b/>
              </w:rPr>
            </w:pPr>
            <w:r w:rsidRPr="002102AA">
              <w:rPr>
                <w:b/>
              </w:rPr>
              <w:t>115872 (Lower Tertiary Aquifer)</w:t>
            </w:r>
          </w:p>
        </w:tc>
        <w:tc>
          <w:tcPr>
            <w:tcW w:w="1388" w:type="dxa"/>
            <w:tcBorders>
              <w:top w:val="nil"/>
              <w:left w:val="single" w:sz="4" w:space="0" w:color="FFFFFF"/>
            </w:tcBorders>
            <w:shd w:val="clear" w:color="auto" w:fill="005A97"/>
          </w:tcPr>
          <w:p w14:paraId="7DAA053D" w14:textId="77777777" w:rsidR="008D0183" w:rsidRPr="002102AA" w:rsidRDefault="008D0183" w:rsidP="002102AA">
            <w:pPr>
              <w:pStyle w:val="TableHeaderrow"/>
              <w:cnfStyle w:val="100000000000" w:firstRow="1" w:lastRow="0" w:firstColumn="0" w:lastColumn="0" w:oddVBand="0" w:evenVBand="0" w:oddHBand="0" w:evenHBand="0" w:firstRowFirstColumn="0" w:firstRowLastColumn="0" w:lastRowFirstColumn="0" w:lastRowLastColumn="0"/>
              <w:rPr>
                <w:b/>
              </w:rPr>
            </w:pPr>
            <w:r w:rsidRPr="002102AA">
              <w:rPr>
                <w:b/>
              </w:rPr>
              <w:t>82347 (Lower Tertiary Aquifer)</w:t>
            </w:r>
          </w:p>
        </w:tc>
      </w:tr>
      <w:tr w:rsidR="008D0183" w:rsidRPr="002B36D9" w14:paraId="7DAA0546" w14:textId="77777777" w:rsidTr="002B36D9">
        <w:trPr>
          <w:trHeight w:hRule="exact" w:val="340"/>
        </w:trPr>
        <w:tc>
          <w:tcPr>
            <w:cnfStyle w:val="001000000000" w:firstRow="0" w:lastRow="0" w:firstColumn="1" w:lastColumn="0" w:oddVBand="0" w:evenVBand="0" w:oddHBand="0" w:evenHBand="0" w:firstRowFirstColumn="0" w:firstRowLastColumn="0" w:lastRowFirstColumn="0" w:lastRowLastColumn="0"/>
            <w:tcW w:w="1809" w:type="dxa"/>
            <w:shd w:val="clear" w:color="auto" w:fill="auto"/>
            <w:vAlign w:val="center"/>
          </w:tcPr>
          <w:p w14:paraId="7DAA053F" w14:textId="77777777" w:rsidR="008D0183" w:rsidRPr="002B36D9" w:rsidRDefault="008D0183" w:rsidP="00C609AB">
            <w:pPr>
              <w:pStyle w:val="Tablesmalltext"/>
              <w:rPr>
                <w:sz w:val="18"/>
                <w:szCs w:val="18"/>
              </w:rPr>
            </w:pPr>
            <w:r w:rsidRPr="002B36D9">
              <w:rPr>
                <w:sz w:val="18"/>
                <w:szCs w:val="18"/>
              </w:rPr>
              <w:t>C6-C10</w:t>
            </w:r>
          </w:p>
        </w:tc>
        <w:tc>
          <w:tcPr>
            <w:tcW w:w="1387" w:type="dxa"/>
            <w:shd w:val="clear" w:color="auto" w:fill="auto"/>
            <w:vAlign w:val="center"/>
          </w:tcPr>
          <w:p w14:paraId="7DAA0540"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20</w:t>
            </w:r>
          </w:p>
        </w:tc>
        <w:tc>
          <w:tcPr>
            <w:tcW w:w="1387" w:type="dxa"/>
            <w:vAlign w:val="center"/>
          </w:tcPr>
          <w:p w14:paraId="7DAA0541"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20</w:t>
            </w:r>
          </w:p>
        </w:tc>
        <w:tc>
          <w:tcPr>
            <w:tcW w:w="1387" w:type="dxa"/>
            <w:vAlign w:val="center"/>
          </w:tcPr>
          <w:p w14:paraId="7DAA0542"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&lt;20</w:t>
            </w:r>
          </w:p>
        </w:tc>
        <w:tc>
          <w:tcPr>
            <w:tcW w:w="1387" w:type="dxa"/>
            <w:vAlign w:val="center"/>
          </w:tcPr>
          <w:p w14:paraId="7DAA0543"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&lt;20</w:t>
            </w:r>
          </w:p>
        </w:tc>
        <w:tc>
          <w:tcPr>
            <w:tcW w:w="1387" w:type="dxa"/>
            <w:vAlign w:val="center"/>
          </w:tcPr>
          <w:p w14:paraId="7DAA0544"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&lt;20</w:t>
            </w:r>
          </w:p>
        </w:tc>
        <w:tc>
          <w:tcPr>
            <w:tcW w:w="1388" w:type="dxa"/>
            <w:vAlign w:val="center"/>
          </w:tcPr>
          <w:p w14:paraId="7DAA0545"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&lt;20</w:t>
            </w:r>
          </w:p>
        </w:tc>
      </w:tr>
      <w:tr w:rsidR="008D0183" w:rsidRPr="002B36D9" w14:paraId="7DAA054E" w14:textId="77777777" w:rsidTr="002B36D9">
        <w:trPr>
          <w:trHeight w:hRule="exact" w:val="340"/>
        </w:trPr>
        <w:tc>
          <w:tcPr>
            <w:cnfStyle w:val="001000000000" w:firstRow="0" w:lastRow="0" w:firstColumn="1" w:lastColumn="0" w:oddVBand="0" w:evenVBand="0" w:oddHBand="0" w:evenHBand="0" w:firstRowFirstColumn="0" w:firstRowLastColumn="0" w:lastRowFirstColumn="0" w:lastRowLastColumn="0"/>
            <w:tcW w:w="1809" w:type="dxa"/>
            <w:shd w:val="clear" w:color="auto" w:fill="auto"/>
            <w:vAlign w:val="center"/>
          </w:tcPr>
          <w:p w14:paraId="7DAA0547" w14:textId="77777777" w:rsidR="008D0183" w:rsidRPr="002B36D9" w:rsidRDefault="008D0183" w:rsidP="00C609AB">
            <w:pPr>
              <w:pStyle w:val="Tablesmalltext"/>
              <w:rPr>
                <w:sz w:val="18"/>
                <w:szCs w:val="18"/>
              </w:rPr>
            </w:pPr>
            <w:r w:rsidRPr="002B36D9">
              <w:rPr>
                <w:sz w:val="18"/>
                <w:szCs w:val="18"/>
              </w:rPr>
              <w:t>&gt;C10-C16</w:t>
            </w:r>
          </w:p>
        </w:tc>
        <w:tc>
          <w:tcPr>
            <w:tcW w:w="1387" w:type="dxa"/>
            <w:shd w:val="clear" w:color="auto" w:fill="auto"/>
            <w:vAlign w:val="center"/>
          </w:tcPr>
          <w:p w14:paraId="7DAA0548"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100</w:t>
            </w:r>
          </w:p>
        </w:tc>
        <w:tc>
          <w:tcPr>
            <w:tcW w:w="1387" w:type="dxa"/>
            <w:vAlign w:val="center"/>
          </w:tcPr>
          <w:p w14:paraId="7DAA0549"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&lt;100</w:t>
            </w:r>
          </w:p>
        </w:tc>
        <w:tc>
          <w:tcPr>
            <w:tcW w:w="1387" w:type="dxa"/>
            <w:vAlign w:val="center"/>
          </w:tcPr>
          <w:p w14:paraId="7DAA054A"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&lt;100</w:t>
            </w:r>
          </w:p>
        </w:tc>
        <w:tc>
          <w:tcPr>
            <w:tcW w:w="1387" w:type="dxa"/>
            <w:vAlign w:val="center"/>
          </w:tcPr>
          <w:p w14:paraId="7DAA054B"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&lt;100</w:t>
            </w:r>
          </w:p>
        </w:tc>
        <w:tc>
          <w:tcPr>
            <w:tcW w:w="1387" w:type="dxa"/>
            <w:vAlign w:val="center"/>
          </w:tcPr>
          <w:p w14:paraId="7DAA054C"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260</w:t>
            </w:r>
          </w:p>
        </w:tc>
        <w:tc>
          <w:tcPr>
            <w:tcW w:w="1388" w:type="dxa"/>
            <w:vAlign w:val="center"/>
          </w:tcPr>
          <w:p w14:paraId="7DAA054D"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&lt;100</w:t>
            </w:r>
          </w:p>
        </w:tc>
      </w:tr>
      <w:tr w:rsidR="008D0183" w:rsidRPr="002B36D9" w14:paraId="7DAA0556" w14:textId="77777777" w:rsidTr="002B36D9">
        <w:trPr>
          <w:trHeight w:hRule="exact" w:val="340"/>
        </w:trPr>
        <w:tc>
          <w:tcPr>
            <w:cnfStyle w:val="001000000000" w:firstRow="0" w:lastRow="0" w:firstColumn="1" w:lastColumn="0" w:oddVBand="0" w:evenVBand="0" w:oddHBand="0" w:evenHBand="0" w:firstRowFirstColumn="0" w:firstRowLastColumn="0" w:lastRowFirstColumn="0" w:lastRowLastColumn="0"/>
            <w:tcW w:w="1809" w:type="dxa"/>
            <w:shd w:val="clear" w:color="auto" w:fill="auto"/>
            <w:vAlign w:val="center"/>
          </w:tcPr>
          <w:p w14:paraId="7DAA054F" w14:textId="77777777" w:rsidR="008D0183" w:rsidRPr="002B36D9" w:rsidRDefault="008D0183" w:rsidP="00C609AB">
            <w:pPr>
              <w:pStyle w:val="Tablesmalltext"/>
              <w:rPr>
                <w:sz w:val="18"/>
                <w:szCs w:val="18"/>
              </w:rPr>
            </w:pPr>
            <w:r w:rsidRPr="002B36D9">
              <w:rPr>
                <w:sz w:val="18"/>
                <w:szCs w:val="18"/>
              </w:rPr>
              <w:t>&gt;C16-C34</w:t>
            </w:r>
          </w:p>
        </w:tc>
        <w:tc>
          <w:tcPr>
            <w:tcW w:w="1387" w:type="dxa"/>
            <w:shd w:val="clear" w:color="auto" w:fill="auto"/>
            <w:vAlign w:val="center"/>
          </w:tcPr>
          <w:p w14:paraId="7DAA0550"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100</w:t>
            </w:r>
          </w:p>
        </w:tc>
        <w:tc>
          <w:tcPr>
            <w:tcW w:w="1387" w:type="dxa"/>
            <w:vAlign w:val="center"/>
          </w:tcPr>
          <w:p w14:paraId="7DAA0551"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&lt;100</w:t>
            </w:r>
          </w:p>
        </w:tc>
        <w:tc>
          <w:tcPr>
            <w:tcW w:w="1387" w:type="dxa"/>
            <w:vAlign w:val="center"/>
          </w:tcPr>
          <w:p w14:paraId="7DAA0552"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100</w:t>
            </w:r>
          </w:p>
        </w:tc>
        <w:tc>
          <w:tcPr>
            <w:tcW w:w="1387" w:type="dxa"/>
            <w:vAlign w:val="center"/>
          </w:tcPr>
          <w:p w14:paraId="7DAA0553"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380</w:t>
            </w:r>
          </w:p>
        </w:tc>
        <w:tc>
          <w:tcPr>
            <w:tcW w:w="1387" w:type="dxa"/>
            <w:vAlign w:val="center"/>
          </w:tcPr>
          <w:p w14:paraId="7DAA0554"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110</w:t>
            </w:r>
          </w:p>
        </w:tc>
        <w:tc>
          <w:tcPr>
            <w:tcW w:w="1388" w:type="dxa"/>
            <w:vAlign w:val="center"/>
          </w:tcPr>
          <w:p w14:paraId="7DAA0555"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400</w:t>
            </w:r>
          </w:p>
        </w:tc>
      </w:tr>
      <w:tr w:rsidR="008D0183" w:rsidRPr="002B36D9" w14:paraId="7DAA055E" w14:textId="77777777" w:rsidTr="002B36D9">
        <w:trPr>
          <w:trHeight w:hRule="exact" w:val="340"/>
        </w:trPr>
        <w:tc>
          <w:tcPr>
            <w:cnfStyle w:val="001000000000" w:firstRow="0" w:lastRow="0" w:firstColumn="1" w:lastColumn="0" w:oddVBand="0" w:evenVBand="0" w:oddHBand="0" w:evenHBand="0" w:firstRowFirstColumn="0" w:firstRowLastColumn="0" w:lastRowFirstColumn="0" w:lastRowLastColumn="0"/>
            <w:tcW w:w="1809" w:type="dxa"/>
            <w:shd w:val="clear" w:color="auto" w:fill="auto"/>
            <w:vAlign w:val="center"/>
          </w:tcPr>
          <w:p w14:paraId="7DAA0557" w14:textId="77777777" w:rsidR="008D0183" w:rsidRPr="002B36D9" w:rsidRDefault="008D0183" w:rsidP="00C609AB">
            <w:pPr>
              <w:pStyle w:val="Tablesmalltext"/>
              <w:rPr>
                <w:sz w:val="18"/>
                <w:szCs w:val="18"/>
              </w:rPr>
            </w:pPr>
            <w:r w:rsidRPr="002B36D9">
              <w:rPr>
                <w:sz w:val="18"/>
                <w:szCs w:val="18"/>
              </w:rPr>
              <w:t>&gt;C34-C40</w:t>
            </w:r>
          </w:p>
        </w:tc>
        <w:tc>
          <w:tcPr>
            <w:tcW w:w="1387" w:type="dxa"/>
            <w:shd w:val="clear" w:color="auto" w:fill="auto"/>
            <w:vAlign w:val="center"/>
          </w:tcPr>
          <w:p w14:paraId="7DAA0558"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100</w:t>
            </w:r>
          </w:p>
        </w:tc>
        <w:tc>
          <w:tcPr>
            <w:tcW w:w="1387" w:type="dxa"/>
            <w:vAlign w:val="center"/>
          </w:tcPr>
          <w:p w14:paraId="7DAA0559"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&lt;100</w:t>
            </w:r>
          </w:p>
        </w:tc>
        <w:tc>
          <w:tcPr>
            <w:tcW w:w="1387" w:type="dxa"/>
            <w:vAlign w:val="center"/>
          </w:tcPr>
          <w:p w14:paraId="7DAA055A"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&lt;100</w:t>
            </w:r>
          </w:p>
        </w:tc>
        <w:tc>
          <w:tcPr>
            <w:tcW w:w="1387" w:type="dxa"/>
            <w:vAlign w:val="center"/>
          </w:tcPr>
          <w:p w14:paraId="7DAA055B"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&lt;100</w:t>
            </w:r>
          </w:p>
        </w:tc>
        <w:tc>
          <w:tcPr>
            <w:tcW w:w="1387" w:type="dxa"/>
            <w:vAlign w:val="center"/>
          </w:tcPr>
          <w:p w14:paraId="7DAA055C"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&lt;100</w:t>
            </w:r>
          </w:p>
        </w:tc>
        <w:tc>
          <w:tcPr>
            <w:tcW w:w="1388" w:type="dxa"/>
            <w:vAlign w:val="center"/>
          </w:tcPr>
          <w:p w14:paraId="7DAA055D"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&lt;100</w:t>
            </w:r>
          </w:p>
        </w:tc>
      </w:tr>
      <w:tr w:rsidR="008D0183" w:rsidRPr="002B36D9" w14:paraId="7DAA0566" w14:textId="77777777" w:rsidTr="002B36D9">
        <w:trPr>
          <w:trHeight w:hRule="exact" w:val="340"/>
        </w:trPr>
        <w:tc>
          <w:tcPr>
            <w:cnfStyle w:val="001000000000" w:firstRow="0" w:lastRow="0" w:firstColumn="1" w:lastColumn="0" w:oddVBand="0" w:evenVBand="0" w:oddHBand="0" w:evenHBand="0" w:firstRowFirstColumn="0" w:firstRowLastColumn="0" w:lastRowFirstColumn="0" w:lastRowLastColumn="0"/>
            <w:tcW w:w="1809" w:type="dxa"/>
            <w:shd w:val="clear" w:color="auto" w:fill="auto"/>
            <w:vAlign w:val="center"/>
          </w:tcPr>
          <w:p w14:paraId="7DAA055F" w14:textId="77777777" w:rsidR="008D0183" w:rsidRPr="002B36D9" w:rsidRDefault="008D0183" w:rsidP="00C609AB">
            <w:pPr>
              <w:pStyle w:val="Tablesmalltext"/>
              <w:rPr>
                <w:sz w:val="18"/>
                <w:szCs w:val="18"/>
              </w:rPr>
            </w:pPr>
            <w:r w:rsidRPr="002B36D9">
              <w:rPr>
                <w:sz w:val="18"/>
                <w:szCs w:val="18"/>
              </w:rPr>
              <w:t>&gt;C10-C40 (sum)</w:t>
            </w:r>
          </w:p>
        </w:tc>
        <w:tc>
          <w:tcPr>
            <w:tcW w:w="1387" w:type="dxa"/>
            <w:shd w:val="clear" w:color="auto" w:fill="auto"/>
            <w:vAlign w:val="center"/>
          </w:tcPr>
          <w:p w14:paraId="7DAA0560"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100</w:t>
            </w:r>
          </w:p>
        </w:tc>
        <w:tc>
          <w:tcPr>
            <w:tcW w:w="1387" w:type="dxa"/>
            <w:vAlign w:val="center"/>
          </w:tcPr>
          <w:p w14:paraId="7DAA0561"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&lt;100</w:t>
            </w:r>
          </w:p>
        </w:tc>
        <w:tc>
          <w:tcPr>
            <w:tcW w:w="1387" w:type="dxa"/>
            <w:vAlign w:val="center"/>
          </w:tcPr>
          <w:p w14:paraId="7DAA0562"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100</w:t>
            </w:r>
          </w:p>
        </w:tc>
        <w:tc>
          <w:tcPr>
            <w:tcW w:w="1387" w:type="dxa"/>
            <w:vAlign w:val="center"/>
          </w:tcPr>
          <w:p w14:paraId="7DAA0563"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380</w:t>
            </w:r>
          </w:p>
        </w:tc>
        <w:tc>
          <w:tcPr>
            <w:tcW w:w="1387" w:type="dxa"/>
            <w:vAlign w:val="center"/>
          </w:tcPr>
          <w:p w14:paraId="7DAA0564"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370</w:t>
            </w:r>
          </w:p>
        </w:tc>
        <w:tc>
          <w:tcPr>
            <w:tcW w:w="1388" w:type="dxa"/>
            <w:vAlign w:val="center"/>
          </w:tcPr>
          <w:p w14:paraId="7DAA0565" w14:textId="77777777" w:rsidR="008D0183" w:rsidRPr="002B36D9" w:rsidRDefault="008D0183" w:rsidP="00C609AB">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2B36D9">
              <w:rPr>
                <w:sz w:val="18"/>
                <w:szCs w:val="18"/>
              </w:rPr>
              <w:t>400</w:t>
            </w:r>
          </w:p>
        </w:tc>
      </w:tr>
    </w:tbl>
    <w:p w14:paraId="7DAA0567" w14:textId="77777777" w:rsidR="008D0183" w:rsidRDefault="008D0183" w:rsidP="000C564C">
      <w:pPr>
        <w:rPr>
          <w:lang w:val="en-AU"/>
        </w:rPr>
      </w:pPr>
    </w:p>
    <w:p w14:paraId="7DAA0568" w14:textId="77777777" w:rsidR="000C564C" w:rsidRPr="000C564C" w:rsidRDefault="008D0183" w:rsidP="007C452E">
      <w:pPr>
        <w:pStyle w:val="Head3xxx"/>
        <w:ind w:left="851"/>
        <w:rPr>
          <w:lang w:val="en-AU"/>
        </w:rPr>
      </w:pPr>
      <w:r>
        <w:rPr>
          <w:lang w:val="en-AU"/>
        </w:rPr>
        <w:t>BTEX</w:t>
      </w:r>
    </w:p>
    <w:p w14:paraId="7DAA0569" w14:textId="425215C4" w:rsidR="000C564C" w:rsidRPr="000C564C" w:rsidRDefault="000C564C" w:rsidP="000C564C">
      <w:pPr>
        <w:rPr>
          <w:lang w:val="en-AU"/>
        </w:rPr>
      </w:pPr>
      <w:r w:rsidRPr="000C564C">
        <w:rPr>
          <w:lang w:val="en-AU"/>
        </w:rPr>
        <w:t xml:space="preserve">All samples were analysed for the presence of Benzene, </w:t>
      </w:r>
      <w:r w:rsidR="00BA623C">
        <w:rPr>
          <w:lang w:val="en-AU"/>
        </w:rPr>
        <w:t>Toluene</w:t>
      </w:r>
      <w:r w:rsidRPr="000C564C">
        <w:rPr>
          <w:lang w:val="en-AU"/>
        </w:rPr>
        <w:t xml:space="preserve">, Ethylbenzene, and Xylene (collectively known as BTEX). BTEX compounds are volatile organic compounds that can be naturally found in crude oil, coal and gas deposits. BTEX falls within the C6-C10 fraction of TRHs. There </w:t>
      </w:r>
      <w:r w:rsidR="00E927B0">
        <w:rPr>
          <w:lang w:val="en-AU"/>
        </w:rPr>
        <w:t xml:space="preserve">was </w:t>
      </w:r>
      <w:r w:rsidRPr="000C564C">
        <w:rPr>
          <w:lang w:val="en-AU"/>
        </w:rPr>
        <w:t xml:space="preserve">no BTEX detected in groundwater in the Otway </w:t>
      </w:r>
      <w:r w:rsidR="00E87D28">
        <w:rPr>
          <w:lang w:val="en-AU"/>
        </w:rPr>
        <w:t>region</w:t>
      </w:r>
      <w:r w:rsidRPr="000C564C">
        <w:rPr>
          <w:lang w:val="en-AU"/>
        </w:rPr>
        <w:t xml:space="preserve">. </w:t>
      </w:r>
    </w:p>
    <w:p w14:paraId="743DE8C5" w14:textId="77777777" w:rsidR="007C452E" w:rsidRDefault="007C452E" w:rsidP="002B36D9">
      <w:pPr>
        <w:rPr>
          <w:lang w:val="en-AU" w:eastAsia="en-US"/>
        </w:rPr>
      </w:pPr>
      <w:r>
        <w:br w:type="page"/>
      </w:r>
    </w:p>
    <w:p w14:paraId="7DAA056A" w14:textId="581143FD" w:rsidR="000C564C" w:rsidRPr="000C564C" w:rsidRDefault="000C564C" w:rsidP="008D0183">
      <w:pPr>
        <w:pStyle w:val="Head2xx"/>
      </w:pPr>
      <w:bookmarkStart w:id="121" w:name="_Toc420327736"/>
      <w:r w:rsidRPr="000C564C">
        <w:t xml:space="preserve">Inorganic </w:t>
      </w:r>
      <w:r w:rsidR="00966ED4" w:rsidRPr="000C564C">
        <w:t>analytes and indicators</w:t>
      </w:r>
      <w:bookmarkEnd w:id="121"/>
    </w:p>
    <w:p w14:paraId="7DAA056B" w14:textId="0A7FAF3B" w:rsidR="000C564C" w:rsidRPr="000C564C" w:rsidRDefault="000C564C" w:rsidP="007C452E">
      <w:pPr>
        <w:pStyle w:val="Head3xxx"/>
        <w:ind w:left="851"/>
        <w:rPr>
          <w:lang w:val="en-AU"/>
        </w:rPr>
      </w:pPr>
      <w:r w:rsidRPr="000C564C">
        <w:rPr>
          <w:lang w:val="en-AU"/>
        </w:rPr>
        <w:t xml:space="preserve">Major </w:t>
      </w:r>
      <w:r w:rsidR="00966ED4" w:rsidRPr="000C564C">
        <w:rPr>
          <w:lang w:val="en-AU"/>
        </w:rPr>
        <w:t>ion chemistry</w:t>
      </w:r>
    </w:p>
    <w:p w14:paraId="7DAA056C" w14:textId="77777777" w:rsidR="000C564C" w:rsidRPr="000C564C" w:rsidRDefault="000C564C" w:rsidP="000C564C">
      <w:pPr>
        <w:rPr>
          <w:lang w:val="en-AU"/>
        </w:rPr>
      </w:pPr>
      <w:r w:rsidRPr="000C564C">
        <w:rPr>
          <w:lang w:val="en-AU"/>
        </w:rPr>
        <w:t>The ratio of various cations and anions in any one aquifer is often reasonably constant and provides a chemical signature of that aquifer.  Changes in these ratios over time can signal chemical mixing of aquifers or addition of a new source of water.  One graphical method for characterising the geochemistry of aquifers is the use of Piper diagrams (Piper, 1953), which plot anions and cations separately and combine using trilinear and quadrilinear plots.  A Piper diagram plot showing the ratios of the analysed cations and anions by aquifer is shown in</w:t>
      </w:r>
      <w:r w:rsidR="00C609AB">
        <w:rPr>
          <w:lang w:val="en-AU"/>
        </w:rPr>
        <w:t xml:space="preserve"> </w:t>
      </w:r>
      <w:r w:rsidR="00C609AB">
        <w:rPr>
          <w:lang w:val="en-AU"/>
        </w:rPr>
        <w:fldChar w:fldCharType="begin"/>
      </w:r>
      <w:r w:rsidR="00C609AB">
        <w:rPr>
          <w:lang w:val="en-AU"/>
        </w:rPr>
        <w:instrText xml:space="preserve"> REF _Ref414008630 \h </w:instrText>
      </w:r>
      <w:r w:rsidR="00C609AB">
        <w:rPr>
          <w:lang w:val="en-AU"/>
        </w:rPr>
      </w:r>
      <w:r w:rsidR="00C609AB">
        <w:rPr>
          <w:lang w:val="en-AU"/>
        </w:rPr>
        <w:fldChar w:fldCharType="separate"/>
      </w:r>
      <w:r w:rsidR="00BD60CC">
        <w:t xml:space="preserve">Figure </w:t>
      </w:r>
      <w:r w:rsidR="00BD60CC">
        <w:rPr>
          <w:noProof/>
        </w:rPr>
        <w:t>24</w:t>
      </w:r>
      <w:r w:rsidR="00C609AB">
        <w:rPr>
          <w:lang w:val="en-AU"/>
        </w:rPr>
        <w:fldChar w:fldCharType="end"/>
      </w:r>
      <w:r w:rsidRPr="000C564C">
        <w:rPr>
          <w:lang w:val="en-AU"/>
        </w:rPr>
        <w:t>.</w:t>
      </w:r>
    </w:p>
    <w:p w14:paraId="7DAA056D" w14:textId="5B685AC5" w:rsidR="000C564C" w:rsidRPr="000C564C" w:rsidRDefault="000C564C" w:rsidP="000C564C">
      <w:pPr>
        <w:rPr>
          <w:lang w:val="en-AU"/>
        </w:rPr>
      </w:pPr>
      <w:r w:rsidRPr="000C564C">
        <w:rPr>
          <w:lang w:val="en-AU"/>
        </w:rPr>
        <w:t xml:space="preserve">The Piper diagram shows that the sampled </w:t>
      </w:r>
      <w:r w:rsidR="00206FC6" w:rsidRPr="000C564C">
        <w:rPr>
          <w:lang w:val="en-AU"/>
        </w:rPr>
        <w:t>groundwater ranges</w:t>
      </w:r>
      <w:r w:rsidRPr="000C564C">
        <w:rPr>
          <w:lang w:val="en-AU"/>
        </w:rPr>
        <w:t xml:space="preserve"> from sodium-chloride type to mixed bicarbonate-chloride type, but with low </w:t>
      </w:r>
      <w:r w:rsidR="00206FC6" w:rsidRPr="000C564C">
        <w:rPr>
          <w:lang w:val="en-AU"/>
        </w:rPr>
        <w:t>sulphate</w:t>
      </w:r>
      <w:r w:rsidRPr="000C564C">
        <w:rPr>
          <w:lang w:val="en-AU"/>
        </w:rPr>
        <w:t xml:space="preserve"> levels. There are no obvious vertical (aquifer) trends in the data, though data from the Quaternary Aquifer show clustering. The similarity of groundwater above and below major aquitards suggests lateral flow originates from similar sources and undergoes similar processes. </w:t>
      </w:r>
    </w:p>
    <w:p w14:paraId="7DAA056E" w14:textId="0735BDA1" w:rsidR="000C564C" w:rsidRPr="000C564C" w:rsidRDefault="000C564C" w:rsidP="000C564C">
      <w:pPr>
        <w:rPr>
          <w:lang w:val="en-AU"/>
        </w:rPr>
      </w:pPr>
      <w:r w:rsidRPr="000C564C">
        <w:rPr>
          <w:lang w:val="en-AU"/>
        </w:rPr>
        <w:t xml:space="preserve">An indication of chemical processes is provided using Schoeller diagrams, as shown in </w:t>
      </w:r>
      <w:r w:rsidR="00183EA2">
        <w:rPr>
          <w:lang w:val="en-AU"/>
        </w:rPr>
        <w:fldChar w:fldCharType="begin"/>
      </w:r>
      <w:r w:rsidR="00183EA2">
        <w:rPr>
          <w:lang w:val="en-AU"/>
        </w:rPr>
        <w:instrText xml:space="preserve"> REF _Ref414008702 \h </w:instrText>
      </w:r>
      <w:r w:rsidR="00183EA2">
        <w:rPr>
          <w:lang w:val="en-AU"/>
        </w:rPr>
      </w:r>
      <w:r w:rsidR="00183EA2">
        <w:rPr>
          <w:lang w:val="en-AU"/>
        </w:rPr>
        <w:fldChar w:fldCharType="separate"/>
      </w:r>
      <w:r w:rsidR="00BD60CC">
        <w:t xml:space="preserve">Figure </w:t>
      </w:r>
      <w:r w:rsidR="00BD60CC">
        <w:rPr>
          <w:noProof/>
        </w:rPr>
        <w:t>26</w:t>
      </w:r>
      <w:r w:rsidR="00183EA2">
        <w:rPr>
          <w:lang w:val="en-AU"/>
        </w:rPr>
        <w:fldChar w:fldCharType="end"/>
      </w:r>
      <w:r w:rsidR="006F0A17">
        <w:rPr>
          <w:lang w:val="en-AU"/>
        </w:rPr>
        <w:t xml:space="preserve"> a and b</w:t>
      </w:r>
      <w:r w:rsidRPr="000C564C">
        <w:rPr>
          <w:lang w:val="en-AU"/>
        </w:rPr>
        <w:t xml:space="preserve">. Thus, the Quaternary groundwater show an evaporated rainfall signature, while deeper formation show the effect of cation exchange with reduced calcium and increased sodium, typical of exchange on swelling clays in the aquifer matrix. </w:t>
      </w:r>
      <w:r w:rsidR="00206FC6" w:rsidRPr="000C564C">
        <w:rPr>
          <w:lang w:val="en-AU"/>
        </w:rPr>
        <w:t>Sulphate</w:t>
      </w:r>
      <w:r w:rsidRPr="000C564C">
        <w:rPr>
          <w:lang w:val="en-AU"/>
        </w:rPr>
        <w:t xml:space="preserve"> remains low throughout, suggesting a lack of sulphur-bearing minerals in the aquifer sediments. </w:t>
      </w:r>
    </w:p>
    <w:p w14:paraId="7DAA056F" w14:textId="77777777" w:rsidR="000C564C" w:rsidRPr="000C564C" w:rsidRDefault="008D0183" w:rsidP="002B36D9">
      <w:pPr>
        <w:pStyle w:val="figurereturn"/>
      </w:pPr>
      <w:r>
        <w:drawing>
          <wp:inline distT="0" distB="0" distL="0" distR="0" wp14:anchorId="7DAA0C59" wp14:editId="27A5D074">
            <wp:extent cx="5050155" cy="4678041"/>
            <wp:effectExtent l="0" t="0" r="0"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7">
                      <a:extLst>
                        <a:ext uri="{28A0092B-C50C-407E-A947-70E740481C1C}">
                          <a14:useLocalDpi xmlns:a14="http://schemas.microsoft.com/office/drawing/2010/main" val="0"/>
                        </a:ext>
                      </a:extLst>
                    </a:blip>
                    <a:srcRect l="10560" t="11761" r="4790" b="9750"/>
                    <a:stretch/>
                  </pic:blipFill>
                  <pic:spPr bwMode="auto">
                    <a:xfrm>
                      <a:off x="0" y="0"/>
                      <a:ext cx="5052187" cy="4679923"/>
                    </a:xfrm>
                    <a:prstGeom prst="rect">
                      <a:avLst/>
                    </a:prstGeom>
                    <a:noFill/>
                    <a:ln>
                      <a:noFill/>
                    </a:ln>
                    <a:extLst>
                      <a:ext uri="{53640926-AAD7-44D8-BBD7-CCE9431645EC}">
                        <a14:shadowObscured xmlns:a14="http://schemas.microsoft.com/office/drawing/2010/main"/>
                      </a:ext>
                    </a:extLst>
                  </pic:spPr>
                </pic:pic>
              </a:graphicData>
            </a:graphic>
          </wp:inline>
        </w:drawing>
      </w:r>
    </w:p>
    <w:p w14:paraId="2FDC8C43" w14:textId="09FE51A7" w:rsidR="00D5530F" w:rsidRDefault="00C609AB" w:rsidP="00D0375F">
      <w:pPr>
        <w:pStyle w:val="Figuretitle"/>
        <w:rPr>
          <w:rFonts w:eastAsiaTheme="minorEastAsia" w:cstheme="minorBidi"/>
          <w:szCs w:val="24"/>
          <w:lang w:eastAsia="en-US"/>
        </w:rPr>
      </w:pPr>
      <w:bookmarkStart w:id="122" w:name="_Ref414008630"/>
      <w:bookmarkStart w:id="123" w:name="_Toc420327775"/>
      <w:r>
        <w:t xml:space="preserve">Figure </w:t>
      </w:r>
      <w:r w:rsidR="00B91643">
        <w:fldChar w:fldCharType="begin"/>
      </w:r>
      <w:r w:rsidR="00B91643">
        <w:instrText xml:space="preserve"> SEQ Figure \* ARABIC </w:instrText>
      </w:r>
      <w:r w:rsidR="00B91643">
        <w:fldChar w:fldCharType="separate"/>
      </w:r>
      <w:r w:rsidR="00BD60CC">
        <w:rPr>
          <w:noProof/>
        </w:rPr>
        <w:t>24</w:t>
      </w:r>
      <w:r w:rsidR="00B91643">
        <w:rPr>
          <w:noProof/>
        </w:rPr>
        <w:fldChar w:fldCharType="end"/>
      </w:r>
      <w:bookmarkEnd w:id="122"/>
      <w:r>
        <w:t xml:space="preserve"> </w:t>
      </w:r>
      <w:r w:rsidR="000C564C" w:rsidRPr="000C564C">
        <w:t>Piper diagram showing major ion concentrations</w:t>
      </w:r>
      <w:bookmarkEnd w:id="1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22"/>
      </w:tblGrid>
      <w:tr w:rsidR="00B637FD" w14:paraId="5DE4C26B" w14:textId="77777777" w:rsidTr="002B36D9">
        <w:trPr>
          <w:trHeight w:val="165"/>
        </w:trPr>
        <w:tc>
          <w:tcPr>
            <w:tcW w:w="9322" w:type="dxa"/>
          </w:tcPr>
          <w:p w14:paraId="1B4D76D9" w14:textId="16A08A59" w:rsidR="00B637FD" w:rsidRDefault="00B637FD" w:rsidP="00BA6593">
            <w:pPr>
              <w:pStyle w:val="Para0"/>
              <w:ind w:left="0"/>
              <w:jc w:val="center"/>
            </w:pPr>
            <w:r>
              <w:rPr>
                <w:noProof/>
                <w:lang w:eastAsia="en-AU"/>
              </w:rPr>
              <w:drawing>
                <wp:inline distT="0" distB="0" distL="0" distR="0" wp14:anchorId="27E83ED7" wp14:editId="6FABED79">
                  <wp:extent cx="3999944" cy="2401294"/>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05887" cy="2404862"/>
                          </a:xfrm>
                          <a:prstGeom prst="rect">
                            <a:avLst/>
                          </a:prstGeom>
                          <a:noFill/>
                        </pic:spPr>
                      </pic:pic>
                    </a:graphicData>
                  </a:graphic>
                </wp:inline>
              </w:drawing>
            </w:r>
          </w:p>
        </w:tc>
      </w:tr>
      <w:tr w:rsidR="00B637FD" w14:paraId="2B4F2EC7" w14:textId="77777777" w:rsidTr="002B36D9">
        <w:trPr>
          <w:trHeight w:val="165"/>
        </w:trPr>
        <w:tc>
          <w:tcPr>
            <w:tcW w:w="9322" w:type="dxa"/>
          </w:tcPr>
          <w:p w14:paraId="2C036182" w14:textId="4CDD2391" w:rsidR="00B637FD" w:rsidRDefault="00B637FD" w:rsidP="00BA6593">
            <w:pPr>
              <w:pStyle w:val="Para0"/>
              <w:ind w:left="0"/>
              <w:jc w:val="center"/>
            </w:pPr>
            <w:r>
              <w:rPr>
                <w:noProof/>
                <w:lang w:eastAsia="en-AU"/>
              </w:rPr>
              <w:drawing>
                <wp:inline distT="0" distB="0" distL="0" distR="0" wp14:anchorId="5AAA5DF2" wp14:editId="77CA664E">
                  <wp:extent cx="4050866" cy="2425147"/>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74467" cy="2439277"/>
                          </a:xfrm>
                          <a:prstGeom prst="rect">
                            <a:avLst/>
                          </a:prstGeom>
                          <a:noFill/>
                        </pic:spPr>
                      </pic:pic>
                    </a:graphicData>
                  </a:graphic>
                </wp:inline>
              </w:drawing>
            </w:r>
          </w:p>
        </w:tc>
      </w:tr>
      <w:tr w:rsidR="00B637FD" w14:paraId="0D47F3E5" w14:textId="77777777" w:rsidTr="002B36D9">
        <w:trPr>
          <w:trHeight w:val="165"/>
        </w:trPr>
        <w:tc>
          <w:tcPr>
            <w:tcW w:w="9322" w:type="dxa"/>
          </w:tcPr>
          <w:p w14:paraId="2878C12D" w14:textId="77777777" w:rsidR="00B637FD" w:rsidRDefault="00B637FD" w:rsidP="00B637FD">
            <w:pPr>
              <w:pStyle w:val="Para0"/>
              <w:ind w:left="0"/>
              <w:jc w:val="center"/>
              <w:rPr>
                <w:noProof/>
                <w:lang w:eastAsia="en-AU"/>
              </w:rPr>
            </w:pPr>
            <w:r>
              <w:rPr>
                <w:noProof/>
                <w:lang w:eastAsia="en-AU"/>
              </w:rPr>
              <w:drawing>
                <wp:inline distT="0" distB="0" distL="0" distR="0" wp14:anchorId="4955E429" wp14:editId="1BFD04EC">
                  <wp:extent cx="4011023" cy="2401294"/>
                  <wp:effectExtent l="0" t="0" r="889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40108" cy="2418707"/>
                          </a:xfrm>
                          <a:prstGeom prst="rect">
                            <a:avLst/>
                          </a:prstGeom>
                          <a:noFill/>
                        </pic:spPr>
                      </pic:pic>
                    </a:graphicData>
                  </a:graphic>
                </wp:inline>
              </w:drawing>
            </w:r>
          </w:p>
          <w:p w14:paraId="3B97A048" w14:textId="42ECC831" w:rsidR="006F0A17" w:rsidRPr="000C564C" w:rsidRDefault="006F0A17" w:rsidP="002B36D9">
            <w:pPr>
              <w:pStyle w:val="Figuretitle"/>
              <w:ind w:left="0"/>
            </w:pPr>
            <w:bookmarkStart w:id="124" w:name="_Toc420327776"/>
            <w:r>
              <w:t xml:space="preserve">Figure </w:t>
            </w:r>
            <w:r w:rsidR="00B91643">
              <w:fldChar w:fldCharType="begin"/>
            </w:r>
            <w:r w:rsidR="00B91643">
              <w:instrText xml:space="preserve"> SEQ Figure \* ARABIC </w:instrText>
            </w:r>
            <w:r w:rsidR="00B91643">
              <w:fldChar w:fldCharType="separate"/>
            </w:r>
            <w:r w:rsidR="00BD60CC">
              <w:rPr>
                <w:noProof/>
              </w:rPr>
              <w:t>25</w:t>
            </w:r>
            <w:r w:rsidR="00B91643">
              <w:rPr>
                <w:noProof/>
              </w:rPr>
              <w:fldChar w:fldCharType="end"/>
            </w:r>
            <w:r>
              <w:rPr>
                <w:noProof/>
              </w:rPr>
              <w:t>a</w:t>
            </w:r>
            <w:r>
              <w:t xml:space="preserve"> </w:t>
            </w:r>
            <w:r w:rsidRPr="000C564C">
              <w:t xml:space="preserve"> Schoeller plots showing major ion chemistry by aquifer</w:t>
            </w:r>
            <w:bookmarkEnd w:id="124"/>
          </w:p>
          <w:p w14:paraId="6215EDE7" w14:textId="4C2F301F" w:rsidR="006F0A17" w:rsidRDefault="006F0A17" w:rsidP="00B637FD">
            <w:pPr>
              <w:pStyle w:val="Para0"/>
              <w:ind w:left="0"/>
              <w:jc w:val="center"/>
              <w:rPr>
                <w:noProof/>
                <w:lang w:eastAsia="en-AU"/>
              </w:rPr>
            </w:pPr>
          </w:p>
        </w:tc>
      </w:tr>
      <w:tr w:rsidR="00B637FD" w14:paraId="7AC360EA" w14:textId="77777777" w:rsidTr="002B36D9">
        <w:trPr>
          <w:trHeight w:val="4396"/>
        </w:trPr>
        <w:tc>
          <w:tcPr>
            <w:tcW w:w="9322" w:type="dxa"/>
          </w:tcPr>
          <w:p w14:paraId="4FB2F028" w14:textId="466B838B" w:rsidR="00B637FD" w:rsidRDefault="00B637FD" w:rsidP="00B637FD">
            <w:pPr>
              <w:pStyle w:val="Para0"/>
              <w:jc w:val="center"/>
              <w:rPr>
                <w:noProof/>
                <w:lang w:eastAsia="en-AU"/>
              </w:rPr>
            </w:pPr>
            <w:r>
              <w:rPr>
                <w:noProof/>
                <w:lang w:eastAsia="en-AU"/>
              </w:rPr>
              <w:drawing>
                <wp:inline distT="0" distB="0" distL="0" distR="0" wp14:anchorId="25A256B8" wp14:editId="117A09D1">
                  <wp:extent cx="4296079" cy="2576222"/>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27100" cy="2594824"/>
                          </a:xfrm>
                          <a:prstGeom prst="rect">
                            <a:avLst/>
                          </a:prstGeom>
                          <a:noFill/>
                        </pic:spPr>
                      </pic:pic>
                    </a:graphicData>
                  </a:graphic>
                </wp:inline>
              </w:drawing>
            </w:r>
          </w:p>
        </w:tc>
      </w:tr>
      <w:tr w:rsidR="00B637FD" w14:paraId="2F16C952" w14:textId="77777777" w:rsidTr="002B36D9">
        <w:trPr>
          <w:trHeight w:val="4797"/>
        </w:trPr>
        <w:tc>
          <w:tcPr>
            <w:tcW w:w="9322" w:type="dxa"/>
          </w:tcPr>
          <w:p w14:paraId="2CD45837" w14:textId="37A0D364" w:rsidR="00B637FD" w:rsidRDefault="00B637FD" w:rsidP="00B637FD">
            <w:pPr>
              <w:pStyle w:val="Para0"/>
              <w:jc w:val="center"/>
              <w:rPr>
                <w:noProof/>
                <w:lang w:eastAsia="en-AU"/>
              </w:rPr>
            </w:pPr>
            <w:r>
              <w:rPr>
                <w:noProof/>
                <w:lang w:eastAsia="en-AU"/>
              </w:rPr>
              <w:drawing>
                <wp:inline distT="0" distB="0" distL="0" distR="0" wp14:anchorId="2FDA6591" wp14:editId="0270DC6F">
                  <wp:extent cx="4259623" cy="2902226"/>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60542" cy="2902852"/>
                          </a:xfrm>
                          <a:prstGeom prst="rect">
                            <a:avLst/>
                          </a:prstGeom>
                          <a:noFill/>
                        </pic:spPr>
                      </pic:pic>
                    </a:graphicData>
                  </a:graphic>
                </wp:inline>
              </w:drawing>
            </w:r>
          </w:p>
        </w:tc>
      </w:tr>
    </w:tbl>
    <w:p w14:paraId="2B058C01" w14:textId="10C8D812" w:rsidR="00D5530F" w:rsidRPr="000C564C" w:rsidRDefault="00D5530F" w:rsidP="00D0375F">
      <w:pPr>
        <w:pStyle w:val="Figuretitle"/>
      </w:pPr>
      <w:bookmarkStart w:id="125" w:name="_Ref414008702"/>
      <w:bookmarkStart w:id="126" w:name="_Toc420327777"/>
      <w:r>
        <w:t xml:space="preserve">Figure </w:t>
      </w:r>
      <w:r w:rsidR="00B91643">
        <w:fldChar w:fldCharType="begin"/>
      </w:r>
      <w:r w:rsidR="00B91643">
        <w:instrText xml:space="preserve"> SEQ Figure \* ARABIC </w:instrText>
      </w:r>
      <w:r w:rsidR="00B91643">
        <w:fldChar w:fldCharType="separate"/>
      </w:r>
      <w:r w:rsidR="00BD60CC">
        <w:rPr>
          <w:noProof/>
        </w:rPr>
        <w:t>26</w:t>
      </w:r>
      <w:r w:rsidR="00B91643">
        <w:rPr>
          <w:noProof/>
        </w:rPr>
        <w:fldChar w:fldCharType="end"/>
      </w:r>
      <w:bookmarkEnd w:id="125"/>
      <w:r w:rsidR="006F0A17">
        <w:rPr>
          <w:noProof/>
        </w:rPr>
        <w:t>b</w:t>
      </w:r>
      <w:r>
        <w:t xml:space="preserve"> </w:t>
      </w:r>
      <w:r w:rsidRPr="000C564C">
        <w:t xml:space="preserve"> Schoeller plots showing major ion chemistry by aquifer</w:t>
      </w:r>
      <w:bookmarkEnd w:id="126"/>
    </w:p>
    <w:p w14:paraId="302D7FA4" w14:textId="77777777" w:rsidR="004D2D3E" w:rsidRDefault="004D2D3E" w:rsidP="008D0183">
      <w:pPr>
        <w:pStyle w:val="Para0"/>
        <w:sectPr w:rsidR="004D2D3E" w:rsidSect="00A17263">
          <w:pgSz w:w="11906" w:h="16838" w:code="9"/>
          <w:pgMar w:top="2268" w:right="1134" w:bottom="1276" w:left="1134" w:header="567" w:footer="567" w:gutter="0"/>
          <w:cols w:space="708"/>
          <w:titlePg/>
          <w:docGrid w:linePitch="360"/>
        </w:sectPr>
      </w:pPr>
    </w:p>
    <w:p w14:paraId="7DAA0579" w14:textId="616B2CA4" w:rsidR="000C564C" w:rsidRPr="000C564C" w:rsidRDefault="00F73033" w:rsidP="007C452E">
      <w:pPr>
        <w:pStyle w:val="Head3xxx"/>
        <w:ind w:left="851"/>
        <w:rPr>
          <w:lang w:val="en-AU"/>
        </w:rPr>
      </w:pPr>
      <w:r>
        <w:rPr>
          <w:lang w:val="en-AU"/>
        </w:rPr>
        <w:t>Groundwater s</w:t>
      </w:r>
      <w:r w:rsidR="000C564C" w:rsidRPr="000C564C">
        <w:rPr>
          <w:lang w:val="en-AU"/>
        </w:rPr>
        <w:t>alinity</w:t>
      </w:r>
    </w:p>
    <w:p w14:paraId="7DAA057A" w14:textId="7C8F2B1D" w:rsidR="000C564C" w:rsidRPr="000C564C" w:rsidRDefault="000C564C" w:rsidP="000C564C">
      <w:pPr>
        <w:rPr>
          <w:lang w:val="en-AU"/>
        </w:rPr>
      </w:pPr>
      <w:r w:rsidRPr="000C564C">
        <w:rPr>
          <w:lang w:val="en-AU"/>
        </w:rPr>
        <w:t>Groundwater salinity</w:t>
      </w:r>
      <w:r w:rsidR="00D73C23">
        <w:rPr>
          <w:lang w:val="en-AU"/>
        </w:rPr>
        <w:t xml:space="preserve"> is</w:t>
      </w:r>
      <w:r w:rsidRPr="000C564C">
        <w:rPr>
          <w:lang w:val="en-AU"/>
        </w:rPr>
        <w:t xml:space="preserve"> described using</w:t>
      </w:r>
      <w:r w:rsidR="00D73C23" w:rsidRPr="00D73C23">
        <w:rPr>
          <w:lang w:val="en-AU"/>
        </w:rPr>
        <w:t xml:space="preserve"> </w:t>
      </w:r>
      <w:r w:rsidR="00D73C23" w:rsidRPr="000C564C">
        <w:rPr>
          <w:lang w:val="en-AU"/>
        </w:rPr>
        <w:t>concentration</w:t>
      </w:r>
      <w:r w:rsidR="00D73C23">
        <w:rPr>
          <w:lang w:val="en-AU"/>
        </w:rPr>
        <w:t xml:space="preserve"> of</w:t>
      </w:r>
      <w:r w:rsidRPr="000C564C">
        <w:rPr>
          <w:lang w:val="en-AU"/>
        </w:rPr>
        <w:t xml:space="preserve"> Total Dissolved Solids (TDS). The average groundwater salinity for all aquifers is classified as marginal to brackish (1,003 – 2,130 mg/L TDS) with the exception of the Mesozoic and Palaeozoic Bedrock which is classified as saline (&gt;5,000 mg/L TDS). Salinity is dominated by sodium chloride, with minor calcium and magnesium salt. Groundwater salinity ranges per aquifer are summarised in</w:t>
      </w:r>
      <w:r w:rsidR="00183EA2">
        <w:rPr>
          <w:lang w:val="en-AU"/>
        </w:rPr>
        <w:t xml:space="preserve"> </w:t>
      </w:r>
      <w:r w:rsidR="00183EA2">
        <w:rPr>
          <w:lang w:val="en-AU"/>
        </w:rPr>
        <w:fldChar w:fldCharType="begin"/>
      </w:r>
      <w:r w:rsidR="00183EA2">
        <w:rPr>
          <w:lang w:val="en-AU"/>
        </w:rPr>
        <w:instrText xml:space="preserve"> REF _Ref414008767 \h </w:instrText>
      </w:r>
      <w:r w:rsidR="00183EA2">
        <w:rPr>
          <w:lang w:val="en-AU"/>
        </w:rPr>
      </w:r>
      <w:r w:rsidR="00183EA2">
        <w:rPr>
          <w:lang w:val="en-AU"/>
        </w:rPr>
        <w:fldChar w:fldCharType="separate"/>
      </w:r>
      <w:r w:rsidR="00BD60CC">
        <w:t xml:space="preserve">Table </w:t>
      </w:r>
      <w:r w:rsidR="00BD60CC">
        <w:rPr>
          <w:noProof/>
        </w:rPr>
        <w:t>16</w:t>
      </w:r>
      <w:r w:rsidR="00183EA2">
        <w:rPr>
          <w:lang w:val="en-AU"/>
        </w:rPr>
        <w:fldChar w:fldCharType="end"/>
      </w:r>
      <w:r w:rsidRPr="000C564C">
        <w:rPr>
          <w:lang w:val="en-AU"/>
        </w:rPr>
        <w:t>.</w:t>
      </w:r>
    </w:p>
    <w:p w14:paraId="7DAA057B" w14:textId="77777777" w:rsidR="000C564C" w:rsidRPr="000C564C" w:rsidRDefault="00183EA2" w:rsidP="004F307F">
      <w:pPr>
        <w:pStyle w:val="Tableheading"/>
        <w:rPr>
          <w:lang w:val="en-AU"/>
        </w:rPr>
      </w:pPr>
      <w:bookmarkStart w:id="127" w:name="_Ref414008767"/>
      <w:bookmarkStart w:id="128" w:name="_Toc420320566"/>
      <w:r>
        <w:t xml:space="preserve">Table </w:t>
      </w:r>
      <w:r>
        <w:fldChar w:fldCharType="begin"/>
      </w:r>
      <w:r>
        <w:instrText xml:space="preserve"> SEQ Table \* ARABIC </w:instrText>
      </w:r>
      <w:r>
        <w:fldChar w:fldCharType="separate"/>
      </w:r>
      <w:r w:rsidR="00BD60CC">
        <w:rPr>
          <w:noProof/>
        </w:rPr>
        <w:t>16</w:t>
      </w:r>
      <w:r>
        <w:fldChar w:fldCharType="end"/>
      </w:r>
      <w:bookmarkEnd w:id="127"/>
      <w:r>
        <w:rPr>
          <w:lang w:val="en-AU"/>
        </w:rPr>
        <w:t xml:space="preserve"> </w:t>
      </w:r>
      <w:r w:rsidR="000C564C" w:rsidRPr="000C564C">
        <w:rPr>
          <w:lang w:val="en-AU"/>
        </w:rPr>
        <w:t>Groundwater salinity</w:t>
      </w:r>
      <w:bookmarkEnd w:id="128"/>
    </w:p>
    <w:tbl>
      <w:tblPr>
        <w:tblStyle w:val="Table1"/>
        <w:tblW w:w="0" w:type="auto"/>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4106"/>
        <w:gridCol w:w="1276"/>
        <w:gridCol w:w="1417"/>
        <w:gridCol w:w="1402"/>
        <w:gridCol w:w="1540"/>
      </w:tblGrid>
      <w:tr w:rsidR="008D0183" w:rsidRPr="00C27EE4" w14:paraId="7DAA0581" w14:textId="77777777" w:rsidTr="00C27E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top w:val="nil"/>
              <w:right w:val="single" w:sz="4" w:space="0" w:color="FFFFFF"/>
            </w:tcBorders>
            <w:shd w:val="clear" w:color="auto" w:fill="005A97"/>
          </w:tcPr>
          <w:p w14:paraId="7DAA057C" w14:textId="77777777" w:rsidR="008D0183" w:rsidRPr="00C27EE4" w:rsidRDefault="008D0183" w:rsidP="00C27EE4">
            <w:pPr>
              <w:pStyle w:val="TableHeaderrow"/>
              <w:rPr>
                <w:b/>
              </w:rPr>
            </w:pPr>
            <w:r w:rsidRPr="00C27EE4">
              <w:rPr>
                <w:b/>
              </w:rPr>
              <w:t>Aquifer</w:t>
            </w:r>
          </w:p>
        </w:tc>
        <w:tc>
          <w:tcPr>
            <w:tcW w:w="1276" w:type="dxa"/>
            <w:tcBorders>
              <w:top w:val="nil"/>
              <w:left w:val="single" w:sz="4" w:space="0" w:color="FFFFFF"/>
              <w:right w:val="single" w:sz="4" w:space="0" w:color="FFFFFF"/>
            </w:tcBorders>
            <w:shd w:val="clear" w:color="auto" w:fill="005A97"/>
          </w:tcPr>
          <w:p w14:paraId="7DAA057D" w14:textId="77777777" w:rsidR="008D0183" w:rsidRPr="00C27EE4" w:rsidRDefault="008D0183" w:rsidP="00C27EE4">
            <w:pPr>
              <w:pStyle w:val="TableHeaderrow"/>
              <w:cnfStyle w:val="100000000000" w:firstRow="1" w:lastRow="0" w:firstColumn="0" w:lastColumn="0" w:oddVBand="0" w:evenVBand="0" w:oddHBand="0" w:evenHBand="0" w:firstRowFirstColumn="0" w:firstRowLastColumn="0" w:lastRowFirstColumn="0" w:lastRowLastColumn="0"/>
              <w:rPr>
                <w:b/>
              </w:rPr>
            </w:pPr>
            <w:r w:rsidRPr="00C27EE4">
              <w:rPr>
                <w:b/>
              </w:rPr>
              <w:t>Number of Samples Collected</w:t>
            </w:r>
          </w:p>
        </w:tc>
        <w:tc>
          <w:tcPr>
            <w:tcW w:w="1417" w:type="dxa"/>
            <w:tcBorders>
              <w:top w:val="nil"/>
              <w:left w:val="single" w:sz="4" w:space="0" w:color="FFFFFF"/>
              <w:right w:val="single" w:sz="4" w:space="0" w:color="FFFFFF"/>
            </w:tcBorders>
            <w:shd w:val="clear" w:color="auto" w:fill="005A97"/>
          </w:tcPr>
          <w:p w14:paraId="7DAA057E" w14:textId="77777777" w:rsidR="008D0183" w:rsidRPr="00C27EE4" w:rsidRDefault="008D0183" w:rsidP="00C27EE4">
            <w:pPr>
              <w:pStyle w:val="TableHeaderrow"/>
              <w:cnfStyle w:val="100000000000" w:firstRow="1" w:lastRow="0" w:firstColumn="0" w:lastColumn="0" w:oddVBand="0" w:evenVBand="0" w:oddHBand="0" w:evenHBand="0" w:firstRowFirstColumn="0" w:firstRowLastColumn="0" w:lastRowFirstColumn="0" w:lastRowLastColumn="0"/>
              <w:rPr>
                <w:b/>
              </w:rPr>
            </w:pPr>
            <w:r w:rsidRPr="00C27EE4">
              <w:rPr>
                <w:b/>
              </w:rPr>
              <w:t>Minimum Groundwater TDS (mg/L)</w:t>
            </w:r>
          </w:p>
        </w:tc>
        <w:tc>
          <w:tcPr>
            <w:tcW w:w="1402" w:type="dxa"/>
            <w:tcBorders>
              <w:top w:val="nil"/>
              <w:left w:val="single" w:sz="4" w:space="0" w:color="FFFFFF"/>
              <w:right w:val="single" w:sz="4" w:space="0" w:color="FFFFFF"/>
            </w:tcBorders>
            <w:shd w:val="clear" w:color="auto" w:fill="005A97"/>
          </w:tcPr>
          <w:p w14:paraId="7DAA057F" w14:textId="77777777" w:rsidR="008D0183" w:rsidRPr="00C27EE4" w:rsidRDefault="008D0183" w:rsidP="00C27EE4">
            <w:pPr>
              <w:pStyle w:val="TableHeaderrow"/>
              <w:cnfStyle w:val="100000000000" w:firstRow="1" w:lastRow="0" w:firstColumn="0" w:lastColumn="0" w:oddVBand="0" w:evenVBand="0" w:oddHBand="0" w:evenHBand="0" w:firstRowFirstColumn="0" w:firstRowLastColumn="0" w:lastRowFirstColumn="0" w:lastRowLastColumn="0"/>
              <w:rPr>
                <w:b/>
              </w:rPr>
            </w:pPr>
            <w:r w:rsidRPr="00C27EE4">
              <w:rPr>
                <w:b/>
              </w:rPr>
              <w:t>Maximum Groundwater TDS (mg/L)</w:t>
            </w:r>
          </w:p>
        </w:tc>
        <w:tc>
          <w:tcPr>
            <w:tcW w:w="1540" w:type="dxa"/>
            <w:tcBorders>
              <w:top w:val="nil"/>
              <w:left w:val="single" w:sz="4" w:space="0" w:color="FFFFFF"/>
            </w:tcBorders>
            <w:shd w:val="clear" w:color="auto" w:fill="005A97"/>
          </w:tcPr>
          <w:p w14:paraId="7DAA0580" w14:textId="23B3A21C" w:rsidR="008D0183" w:rsidRPr="00C27EE4" w:rsidRDefault="00101438" w:rsidP="00C27EE4">
            <w:pPr>
              <w:pStyle w:val="TableHeaderrow"/>
              <w:cnfStyle w:val="100000000000" w:firstRow="1" w:lastRow="0" w:firstColumn="0" w:lastColumn="0" w:oddVBand="0" w:evenVBand="0" w:oddHBand="0" w:evenHBand="0" w:firstRowFirstColumn="0" w:firstRowLastColumn="0" w:lastRowFirstColumn="0" w:lastRowLastColumn="0"/>
              <w:rPr>
                <w:b/>
              </w:rPr>
            </w:pPr>
            <w:r w:rsidRPr="00C27EE4">
              <w:rPr>
                <w:b/>
              </w:rPr>
              <w:t>Mean</w:t>
            </w:r>
            <w:r w:rsidR="008D0183" w:rsidRPr="00C27EE4">
              <w:rPr>
                <w:b/>
              </w:rPr>
              <w:t xml:space="preserve"> Groundwater TDS (mg/L)</w:t>
            </w:r>
          </w:p>
        </w:tc>
      </w:tr>
      <w:tr w:rsidR="008D0183" w:rsidRPr="00C27EE4" w14:paraId="7DAA0587"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82" w14:textId="77777777" w:rsidR="008D0183" w:rsidRPr="00C27EE4" w:rsidRDefault="008D0183" w:rsidP="00183EA2">
            <w:pPr>
              <w:pStyle w:val="Tablesmalltext"/>
              <w:rPr>
                <w:sz w:val="18"/>
                <w:szCs w:val="18"/>
              </w:rPr>
            </w:pPr>
            <w:r w:rsidRPr="00C27EE4">
              <w:rPr>
                <w:sz w:val="18"/>
                <w:szCs w:val="18"/>
              </w:rPr>
              <w:t>Quaternary Aquifer (100)</w:t>
            </w:r>
          </w:p>
        </w:tc>
        <w:tc>
          <w:tcPr>
            <w:tcW w:w="1276" w:type="dxa"/>
            <w:shd w:val="clear" w:color="auto" w:fill="auto"/>
            <w:vAlign w:val="bottom"/>
          </w:tcPr>
          <w:p w14:paraId="7DAA0583"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4</w:t>
            </w:r>
          </w:p>
        </w:tc>
        <w:tc>
          <w:tcPr>
            <w:tcW w:w="1417" w:type="dxa"/>
            <w:vAlign w:val="bottom"/>
          </w:tcPr>
          <w:p w14:paraId="7DAA0584"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860</w:t>
            </w:r>
          </w:p>
        </w:tc>
        <w:tc>
          <w:tcPr>
            <w:tcW w:w="1402" w:type="dxa"/>
            <w:vAlign w:val="bottom"/>
          </w:tcPr>
          <w:p w14:paraId="7DAA0585"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2,210</w:t>
            </w:r>
          </w:p>
        </w:tc>
        <w:tc>
          <w:tcPr>
            <w:tcW w:w="1540" w:type="dxa"/>
            <w:vAlign w:val="bottom"/>
          </w:tcPr>
          <w:p w14:paraId="7DAA0586"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1,425</w:t>
            </w:r>
          </w:p>
        </w:tc>
      </w:tr>
      <w:tr w:rsidR="008D0183" w:rsidRPr="00C27EE4" w14:paraId="7DAA058D"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88" w14:textId="77777777" w:rsidR="008D0183" w:rsidRPr="00C27EE4" w:rsidRDefault="008D0183" w:rsidP="00183EA2">
            <w:pPr>
              <w:pStyle w:val="Tablesmalltext"/>
              <w:rPr>
                <w:sz w:val="18"/>
                <w:szCs w:val="18"/>
              </w:rPr>
            </w:pPr>
            <w:r w:rsidRPr="00C27EE4">
              <w:rPr>
                <w:sz w:val="18"/>
                <w:szCs w:val="18"/>
              </w:rPr>
              <w:t>Upper Tertiary / Quaternary Basalt Aquifer (101)</w:t>
            </w:r>
          </w:p>
        </w:tc>
        <w:tc>
          <w:tcPr>
            <w:tcW w:w="1276" w:type="dxa"/>
            <w:shd w:val="clear" w:color="auto" w:fill="auto"/>
          </w:tcPr>
          <w:p w14:paraId="7DAA0589" w14:textId="77777777" w:rsidR="008D0183" w:rsidRPr="00C27EE4" w:rsidRDefault="008D0183" w:rsidP="00C27EE4">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7</w:t>
            </w:r>
          </w:p>
        </w:tc>
        <w:tc>
          <w:tcPr>
            <w:tcW w:w="1417" w:type="dxa"/>
          </w:tcPr>
          <w:p w14:paraId="7DAA058A" w14:textId="77777777" w:rsidR="008D0183" w:rsidRPr="00C27EE4" w:rsidRDefault="008D0183" w:rsidP="00C27EE4">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221</w:t>
            </w:r>
          </w:p>
        </w:tc>
        <w:tc>
          <w:tcPr>
            <w:tcW w:w="1402" w:type="dxa"/>
          </w:tcPr>
          <w:p w14:paraId="7DAA058B" w14:textId="77777777" w:rsidR="008D0183" w:rsidRPr="00C27EE4" w:rsidRDefault="008D0183" w:rsidP="00C27EE4">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2,790</w:t>
            </w:r>
          </w:p>
        </w:tc>
        <w:tc>
          <w:tcPr>
            <w:tcW w:w="1540" w:type="dxa"/>
          </w:tcPr>
          <w:p w14:paraId="7DAA058C" w14:textId="77777777" w:rsidR="008D0183" w:rsidRPr="00C27EE4" w:rsidRDefault="008D0183" w:rsidP="00C27EE4">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1,178</w:t>
            </w:r>
          </w:p>
        </w:tc>
      </w:tr>
      <w:tr w:rsidR="008D0183" w:rsidRPr="00C27EE4" w14:paraId="7DAA0593"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8E" w14:textId="77777777" w:rsidR="008D0183" w:rsidRPr="00C27EE4" w:rsidRDefault="008D0183" w:rsidP="00183EA2">
            <w:pPr>
              <w:pStyle w:val="Tablesmalltext"/>
              <w:rPr>
                <w:sz w:val="18"/>
                <w:szCs w:val="18"/>
              </w:rPr>
            </w:pPr>
            <w:r w:rsidRPr="00C27EE4">
              <w:rPr>
                <w:sz w:val="18"/>
                <w:szCs w:val="18"/>
              </w:rPr>
              <w:t>Upper Tertiary Aquifer (marine) (104)</w:t>
            </w:r>
          </w:p>
        </w:tc>
        <w:tc>
          <w:tcPr>
            <w:tcW w:w="1276" w:type="dxa"/>
            <w:shd w:val="clear" w:color="auto" w:fill="auto"/>
            <w:vAlign w:val="bottom"/>
          </w:tcPr>
          <w:p w14:paraId="7DAA058F"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1</w:t>
            </w:r>
          </w:p>
        </w:tc>
        <w:tc>
          <w:tcPr>
            <w:tcW w:w="1417" w:type="dxa"/>
            <w:vAlign w:val="bottom"/>
          </w:tcPr>
          <w:p w14:paraId="7DAA0590"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1,160</w:t>
            </w:r>
          </w:p>
        </w:tc>
        <w:tc>
          <w:tcPr>
            <w:tcW w:w="1402" w:type="dxa"/>
            <w:vAlign w:val="bottom"/>
          </w:tcPr>
          <w:p w14:paraId="7DAA0591"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1,160</w:t>
            </w:r>
          </w:p>
        </w:tc>
        <w:tc>
          <w:tcPr>
            <w:tcW w:w="1540" w:type="dxa"/>
            <w:vAlign w:val="bottom"/>
          </w:tcPr>
          <w:p w14:paraId="7DAA0592"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1,160</w:t>
            </w:r>
          </w:p>
        </w:tc>
      </w:tr>
      <w:tr w:rsidR="008D0183" w:rsidRPr="00C27EE4" w14:paraId="7DAA0599"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94" w14:textId="77777777" w:rsidR="008D0183" w:rsidRPr="00C27EE4" w:rsidRDefault="008D0183" w:rsidP="00183EA2">
            <w:pPr>
              <w:pStyle w:val="Tablesmalltext"/>
              <w:rPr>
                <w:sz w:val="18"/>
                <w:szCs w:val="18"/>
              </w:rPr>
            </w:pPr>
            <w:r w:rsidRPr="00C27EE4">
              <w:rPr>
                <w:sz w:val="18"/>
                <w:szCs w:val="18"/>
              </w:rPr>
              <w:t>Upper Mid Tertiary Aquifer (107)</w:t>
            </w:r>
          </w:p>
        </w:tc>
        <w:tc>
          <w:tcPr>
            <w:tcW w:w="1276" w:type="dxa"/>
            <w:shd w:val="clear" w:color="auto" w:fill="auto"/>
            <w:vAlign w:val="bottom"/>
          </w:tcPr>
          <w:p w14:paraId="7DAA0595"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8</w:t>
            </w:r>
          </w:p>
        </w:tc>
        <w:tc>
          <w:tcPr>
            <w:tcW w:w="1417" w:type="dxa"/>
            <w:vAlign w:val="bottom"/>
          </w:tcPr>
          <w:p w14:paraId="7DAA0596"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568</w:t>
            </w:r>
          </w:p>
        </w:tc>
        <w:tc>
          <w:tcPr>
            <w:tcW w:w="1402" w:type="dxa"/>
            <w:vAlign w:val="bottom"/>
          </w:tcPr>
          <w:p w14:paraId="7DAA0597"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1,390</w:t>
            </w:r>
          </w:p>
        </w:tc>
        <w:tc>
          <w:tcPr>
            <w:tcW w:w="1540" w:type="dxa"/>
            <w:vAlign w:val="bottom"/>
          </w:tcPr>
          <w:p w14:paraId="7DAA0598"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1,003</w:t>
            </w:r>
          </w:p>
        </w:tc>
      </w:tr>
      <w:tr w:rsidR="008D0183" w:rsidRPr="00C27EE4" w14:paraId="7DAA059F"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9A" w14:textId="77777777" w:rsidR="008D0183" w:rsidRPr="00C27EE4" w:rsidRDefault="008D0183" w:rsidP="00183EA2">
            <w:pPr>
              <w:pStyle w:val="Tablesmalltext"/>
              <w:rPr>
                <w:sz w:val="18"/>
                <w:szCs w:val="18"/>
              </w:rPr>
            </w:pPr>
            <w:r w:rsidRPr="00C27EE4">
              <w:rPr>
                <w:sz w:val="18"/>
                <w:szCs w:val="18"/>
              </w:rPr>
              <w:t>Lower Mid Tertiary Aquifer (109)</w:t>
            </w:r>
          </w:p>
        </w:tc>
        <w:tc>
          <w:tcPr>
            <w:tcW w:w="1276" w:type="dxa"/>
            <w:shd w:val="clear" w:color="auto" w:fill="auto"/>
            <w:vAlign w:val="bottom"/>
          </w:tcPr>
          <w:p w14:paraId="7DAA059B"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1</w:t>
            </w:r>
          </w:p>
        </w:tc>
        <w:tc>
          <w:tcPr>
            <w:tcW w:w="1417" w:type="dxa"/>
            <w:vAlign w:val="bottom"/>
          </w:tcPr>
          <w:p w14:paraId="7DAA059C"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2,130</w:t>
            </w:r>
          </w:p>
        </w:tc>
        <w:tc>
          <w:tcPr>
            <w:tcW w:w="1402" w:type="dxa"/>
            <w:vAlign w:val="bottom"/>
          </w:tcPr>
          <w:p w14:paraId="7DAA059D"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2,130</w:t>
            </w:r>
          </w:p>
        </w:tc>
        <w:tc>
          <w:tcPr>
            <w:tcW w:w="1540" w:type="dxa"/>
            <w:vAlign w:val="bottom"/>
          </w:tcPr>
          <w:p w14:paraId="7DAA059E"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2,130</w:t>
            </w:r>
          </w:p>
        </w:tc>
      </w:tr>
      <w:tr w:rsidR="008D0183" w:rsidRPr="00C27EE4" w14:paraId="7DAA05A5"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A0" w14:textId="77777777" w:rsidR="008D0183" w:rsidRPr="00C27EE4" w:rsidRDefault="008D0183" w:rsidP="00183EA2">
            <w:pPr>
              <w:pStyle w:val="Tablesmalltext"/>
              <w:rPr>
                <w:sz w:val="18"/>
                <w:szCs w:val="18"/>
              </w:rPr>
            </w:pPr>
            <w:r w:rsidRPr="00C27EE4">
              <w:rPr>
                <w:sz w:val="18"/>
                <w:szCs w:val="18"/>
              </w:rPr>
              <w:t>Lower Tertiary Aquifer (111)</w:t>
            </w:r>
          </w:p>
        </w:tc>
        <w:tc>
          <w:tcPr>
            <w:tcW w:w="1276" w:type="dxa"/>
            <w:shd w:val="clear" w:color="auto" w:fill="auto"/>
            <w:vAlign w:val="bottom"/>
          </w:tcPr>
          <w:p w14:paraId="7DAA05A1"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8</w:t>
            </w:r>
          </w:p>
        </w:tc>
        <w:tc>
          <w:tcPr>
            <w:tcW w:w="1417" w:type="dxa"/>
            <w:vAlign w:val="bottom"/>
          </w:tcPr>
          <w:p w14:paraId="7DAA05A2"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241</w:t>
            </w:r>
          </w:p>
        </w:tc>
        <w:tc>
          <w:tcPr>
            <w:tcW w:w="1402" w:type="dxa"/>
            <w:vAlign w:val="bottom"/>
          </w:tcPr>
          <w:p w14:paraId="7DAA05A3"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9410</w:t>
            </w:r>
          </w:p>
        </w:tc>
        <w:tc>
          <w:tcPr>
            <w:tcW w:w="1540" w:type="dxa"/>
            <w:vAlign w:val="bottom"/>
          </w:tcPr>
          <w:p w14:paraId="7DAA05A4"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1,637</w:t>
            </w:r>
          </w:p>
        </w:tc>
      </w:tr>
      <w:tr w:rsidR="008D0183" w:rsidRPr="00C27EE4" w14:paraId="7DAA05AB"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A6" w14:textId="77777777" w:rsidR="008D0183" w:rsidRPr="00C27EE4" w:rsidRDefault="008D0183" w:rsidP="00183EA2">
            <w:pPr>
              <w:pStyle w:val="Tablesmalltext"/>
              <w:rPr>
                <w:sz w:val="18"/>
                <w:szCs w:val="18"/>
              </w:rPr>
            </w:pPr>
            <w:r w:rsidRPr="00C27EE4">
              <w:rPr>
                <w:sz w:val="18"/>
                <w:szCs w:val="18"/>
              </w:rPr>
              <w:t>Mesozoic and Palaeozoic Bedrock (114)</w:t>
            </w:r>
          </w:p>
        </w:tc>
        <w:tc>
          <w:tcPr>
            <w:tcW w:w="1276" w:type="dxa"/>
            <w:shd w:val="clear" w:color="auto" w:fill="auto"/>
            <w:vAlign w:val="bottom"/>
          </w:tcPr>
          <w:p w14:paraId="7DAA05A7"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1</w:t>
            </w:r>
          </w:p>
        </w:tc>
        <w:tc>
          <w:tcPr>
            <w:tcW w:w="1417" w:type="dxa"/>
            <w:vAlign w:val="bottom"/>
          </w:tcPr>
          <w:p w14:paraId="7DAA05A8"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8,640</w:t>
            </w:r>
          </w:p>
        </w:tc>
        <w:tc>
          <w:tcPr>
            <w:tcW w:w="1402" w:type="dxa"/>
            <w:vAlign w:val="bottom"/>
          </w:tcPr>
          <w:p w14:paraId="7DAA05A9"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8,640</w:t>
            </w:r>
          </w:p>
        </w:tc>
        <w:tc>
          <w:tcPr>
            <w:tcW w:w="1540" w:type="dxa"/>
            <w:vAlign w:val="bottom"/>
          </w:tcPr>
          <w:p w14:paraId="7DAA05AA"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rFonts w:eastAsia="Times New Roman" w:cs="Arial"/>
                <w:sz w:val="18"/>
                <w:szCs w:val="18"/>
                <w:lang w:eastAsia="en-AU"/>
              </w:rPr>
            </w:pPr>
            <w:r w:rsidRPr="00C27EE4">
              <w:rPr>
                <w:rFonts w:eastAsia="Times New Roman" w:cs="Arial"/>
                <w:sz w:val="18"/>
                <w:szCs w:val="18"/>
                <w:lang w:eastAsia="en-AU"/>
              </w:rPr>
              <w:t>8,640</w:t>
            </w:r>
          </w:p>
        </w:tc>
      </w:tr>
    </w:tbl>
    <w:p w14:paraId="7DAA05AC" w14:textId="77777777" w:rsidR="008D0183" w:rsidRDefault="008D0183" w:rsidP="000C564C">
      <w:pPr>
        <w:rPr>
          <w:lang w:val="en-AU"/>
        </w:rPr>
      </w:pPr>
    </w:p>
    <w:p w14:paraId="7DAA05AD" w14:textId="77777777" w:rsidR="000C564C" w:rsidRPr="000C564C" w:rsidRDefault="000C564C" w:rsidP="007C452E">
      <w:pPr>
        <w:pStyle w:val="Head3xxx"/>
        <w:ind w:left="851"/>
        <w:rPr>
          <w:lang w:val="en-AU"/>
        </w:rPr>
      </w:pPr>
      <w:r w:rsidRPr="000C564C">
        <w:rPr>
          <w:lang w:val="en-AU"/>
        </w:rPr>
        <w:t>Nitrogen</w:t>
      </w:r>
    </w:p>
    <w:p w14:paraId="7DAA05AF" w14:textId="1B75E143" w:rsidR="000C564C" w:rsidRPr="00365B68" w:rsidRDefault="000C564C" w:rsidP="000C564C">
      <w:pPr>
        <w:rPr>
          <w:rFonts w:cs="Arial"/>
          <w:bCs/>
          <w:color w:val="005A97"/>
          <w:sz w:val="26"/>
          <w:szCs w:val="26"/>
        </w:rPr>
      </w:pPr>
      <w:r w:rsidRPr="000C564C">
        <w:rPr>
          <w:lang w:val="en-AU"/>
        </w:rPr>
        <w:t>Groundwater samples were analysed for Kjeldahl Nitrogen, oxidised Nitrogen and total Nitrogen (the sum of the two). The results for total Nitrogen</w:t>
      </w:r>
      <w:r w:rsidR="00D73C23">
        <w:rPr>
          <w:lang w:val="en-AU"/>
        </w:rPr>
        <w:t>,</w:t>
      </w:r>
      <w:r w:rsidRPr="000C564C">
        <w:rPr>
          <w:lang w:val="en-AU"/>
        </w:rPr>
        <w:t xml:space="preserve"> </w:t>
      </w:r>
      <w:r w:rsidR="00D73C23" w:rsidRPr="000C564C">
        <w:rPr>
          <w:lang w:val="en-AU"/>
        </w:rPr>
        <w:t>by aquifer</w:t>
      </w:r>
      <w:r w:rsidR="00D73C23">
        <w:rPr>
          <w:lang w:val="en-AU"/>
        </w:rPr>
        <w:t>,</w:t>
      </w:r>
      <w:r w:rsidR="00D73C23" w:rsidRPr="000C564C">
        <w:rPr>
          <w:lang w:val="en-AU"/>
        </w:rPr>
        <w:t xml:space="preserve"> </w:t>
      </w:r>
      <w:r w:rsidRPr="000C564C">
        <w:rPr>
          <w:lang w:val="en-AU"/>
        </w:rPr>
        <w:t xml:space="preserve">are summarised in </w:t>
      </w:r>
      <w:r w:rsidR="00183EA2">
        <w:rPr>
          <w:lang w:val="en-AU"/>
        </w:rPr>
        <w:fldChar w:fldCharType="begin"/>
      </w:r>
      <w:r w:rsidR="00183EA2">
        <w:rPr>
          <w:lang w:val="en-AU"/>
        </w:rPr>
        <w:instrText xml:space="preserve"> REF _Ref414008803 \h </w:instrText>
      </w:r>
      <w:r w:rsidR="00183EA2">
        <w:rPr>
          <w:lang w:val="en-AU"/>
        </w:rPr>
      </w:r>
      <w:r w:rsidR="00183EA2">
        <w:rPr>
          <w:lang w:val="en-AU"/>
        </w:rPr>
        <w:fldChar w:fldCharType="separate"/>
      </w:r>
      <w:r w:rsidR="00BD60CC">
        <w:t xml:space="preserve">Table </w:t>
      </w:r>
      <w:r w:rsidR="00BD60CC">
        <w:rPr>
          <w:noProof/>
        </w:rPr>
        <w:t>17</w:t>
      </w:r>
      <w:r w:rsidR="00183EA2">
        <w:rPr>
          <w:lang w:val="en-AU"/>
        </w:rPr>
        <w:fldChar w:fldCharType="end"/>
      </w:r>
      <w:r w:rsidRPr="000C564C">
        <w:rPr>
          <w:lang w:val="en-AU"/>
        </w:rPr>
        <w:t>.</w:t>
      </w:r>
    </w:p>
    <w:p w14:paraId="7DAA05B1" w14:textId="77777777" w:rsidR="000C564C" w:rsidRPr="000C564C" w:rsidRDefault="00183EA2" w:rsidP="004F307F">
      <w:pPr>
        <w:pStyle w:val="Tableheading"/>
        <w:rPr>
          <w:lang w:val="en-AU"/>
        </w:rPr>
      </w:pPr>
      <w:bookmarkStart w:id="129" w:name="_Ref414008803"/>
      <w:bookmarkStart w:id="130" w:name="_Toc420320567"/>
      <w:r>
        <w:t xml:space="preserve">Table </w:t>
      </w:r>
      <w:r>
        <w:fldChar w:fldCharType="begin"/>
      </w:r>
      <w:r>
        <w:instrText xml:space="preserve"> SEQ Table \* ARABIC </w:instrText>
      </w:r>
      <w:r>
        <w:fldChar w:fldCharType="separate"/>
      </w:r>
      <w:r w:rsidR="00BD60CC">
        <w:rPr>
          <w:noProof/>
        </w:rPr>
        <w:t>17</w:t>
      </w:r>
      <w:r>
        <w:fldChar w:fldCharType="end"/>
      </w:r>
      <w:bookmarkEnd w:id="129"/>
      <w:r>
        <w:rPr>
          <w:lang w:val="en-AU"/>
        </w:rPr>
        <w:t xml:space="preserve"> </w:t>
      </w:r>
      <w:r w:rsidR="000C564C" w:rsidRPr="000C564C">
        <w:rPr>
          <w:lang w:val="en-AU"/>
        </w:rPr>
        <w:t>Total Nitrogen Concentrations</w:t>
      </w:r>
      <w:bookmarkEnd w:id="130"/>
    </w:p>
    <w:tbl>
      <w:tblPr>
        <w:tblStyle w:val="Table1"/>
        <w:tblW w:w="0" w:type="auto"/>
        <w:tblBorders>
          <w:top w:val="none" w:sz="0" w:space="0" w:color="auto"/>
          <w:left w:val="none" w:sz="0" w:space="0" w:color="auto"/>
          <w:bottom w:val="single" w:sz="4" w:space="0" w:color="005A97"/>
          <w:right w:val="none" w:sz="0" w:space="0" w:color="auto"/>
          <w:insideH w:val="single" w:sz="4" w:space="0" w:color="005A97"/>
          <w:insideV w:val="single" w:sz="4" w:space="0" w:color="005A97"/>
        </w:tblBorders>
        <w:tblLook w:val="04A0" w:firstRow="1" w:lastRow="0" w:firstColumn="1" w:lastColumn="0" w:noHBand="0" w:noVBand="1"/>
      </w:tblPr>
      <w:tblGrid>
        <w:gridCol w:w="4106"/>
        <w:gridCol w:w="1276"/>
        <w:gridCol w:w="1417"/>
        <w:gridCol w:w="1422"/>
        <w:gridCol w:w="1520"/>
      </w:tblGrid>
      <w:tr w:rsidR="008D0183" w:rsidRPr="00D81285" w14:paraId="7DAA05B7" w14:textId="77777777" w:rsidTr="00C27EE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tcBorders>
              <w:top w:val="nil"/>
              <w:right w:val="single" w:sz="4" w:space="0" w:color="FFFFFF"/>
            </w:tcBorders>
            <w:shd w:val="clear" w:color="auto" w:fill="005A97"/>
          </w:tcPr>
          <w:p w14:paraId="7DAA05B2" w14:textId="77777777" w:rsidR="008D0183" w:rsidRPr="00D81285" w:rsidRDefault="008D0183" w:rsidP="00E63375">
            <w:pPr>
              <w:pStyle w:val="TableHeaderrow"/>
              <w:rPr>
                <w:b/>
              </w:rPr>
            </w:pPr>
            <w:r w:rsidRPr="00D81285">
              <w:rPr>
                <w:b/>
              </w:rPr>
              <w:t>Aquifer</w:t>
            </w:r>
          </w:p>
        </w:tc>
        <w:tc>
          <w:tcPr>
            <w:tcW w:w="1276" w:type="dxa"/>
            <w:tcBorders>
              <w:top w:val="nil"/>
              <w:left w:val="single" w:sz="4" w:space="0" w:color="FFFFFF"/>
              <w:right w:val="single" w:sz="4" w:space="0" w:color="FFFFFF"/>
            </w:tcBorders>
            <w:shd w:val="clear" w:color="auto" w:fill="005A97"/>
          </w:tcPr>
          <w:p w14:paraId="7DAA05B3" w14:textId="77777777" w:rsidR="008D0183" w:rsidRPr="00D81285" w:rsidRDefault="008D0183" w:rsidP="00E63375">
            <w:pPr>
              <w:pStyle w:val="TableHeaderrow"/>
              <w:cnfStyle w:val="100000000000" w:firstRow="1" w:lastRow="0" w:firstColumn="0" w:lastColumn="0" w:oddVBand="0" w:evenVBand="0" w:oddHBand="0" w:evenHBand="0" w:firstRowFirstColumn="0" w:firstRowLastColumn="0" w:lastRowFirstColumn="0" w:lastRowLastColumn="0"/>
              <w:rPr>
                <w:b/>
              </w:rPr>
            </w:pPr>
            <w:r w:rsidRPr="00D81285">
              <w:rPr>
                <w:b/>
              </w:rPr>
              <w:t>Number of Samples Collected</w:t>
            </w:r>
          </w:p>
        </w:tc>
        <w:tc>
          <w:tcPr>
            <w:tcW w:w="1417" w:type="dxa"/>
            <w:tcBorders>
              <w:top w:val="nil"/>
              <w:left w:val="single" w:sz="4" w:space="0" w:color="FFFFFF"/>
              <w:right w:val="single" w:sz="4" w:space="0" w:color="FFFFFF"/>
            </w:tcBorders>
            <w:shd w:val="clear" w:color="auto" w:fill="005A97"/>
          </w:tcPr>
          <w:p w14:paraId="7DAA05B4" w14:textId="77777777" w:rsidR="008D0183" w:rsidRPr="00D81285" w:rsidRDefault="008D0183" w:rsidP="00E63375">
            <w:pPr>
              <w:pStyle w:val="TableHeaderrow"/>
              <w:cnfStyle w:val="100000000000" w:firstRow="1" w:lastRow="0" w:firstColumn="0" w:lastColumn="0" w:oddVBand="0" w:evenVBand="0" w:oddHBand="0" w:evenHBand="0" w:firstRowFirstColumn="0" w:firstRowLastColumn="0" w:lastRowFirstColumn="0" w:lastRowLastColumn="0"/>
              <w:rPr>
                <w:b/>
              </w:rPr>
            </w:pPr>
            <w:r w:rsidRPr="00D81285">
              <w:rPr>
                <w:b/>
              </w:rPr>
              <w:t>Minimum Nitrogen (mg/L)</w:t>
            </w:r>
          </w:p>
        </w:tc>
        <w:tc>
          <w:tcPr>
            <w:tcW w:w="1422" w:type="dxa"/>
            <w:tcBorders>
              <w:top w:val="nil"/>
              <w:left w:val="single" w:sz="4" w:space="0" w:color="FFFFFF"/>
              <w:right w:val="single" w:sz="4" w:space="0" w:color="FFFFFF"/>
            </w:tcBorders>
            <w:shd w:val="clear" w:color="auto" w:fill="005A97"/>
          </w:tcPr>
          <w:p w14:paraId="7DAA05B5" w14:textId="77777777" w:rsidR="008D0183" w:rsidRPr="00D81285" w:rsidRDefault="008D0183" w:rsidP="00E63375">
            <w:pPr>
              <w:pStyle w:val="TableHeaderrow"/>
              <w:cnfStyle w:val="100000000000" w:firstRow="1" w:lastRow="0" w:firstColumn="0" w:lastColumn="0" w:oddVBand="0" w:evenVBand="0" w:oddHBand="0" w:evenHBand="0" w:firstRowFirstColumn="0" w:firstRowLastColumn="0" w:lastRowFirstColumn="0" w:lastRowLastColumn="0"/>
              <w:rPr>
                <w:b/>
              </w:rPr>
            </w:pPr>
            <w:r w:rsidRPr="00D81285">
              <w:rPr>
                <w:b/>
              </w:rPr>
              <w:t>Maximum Nitrogen (mg/L)</w:t>
            </w:r>
          </w:p>
        </w:tc>
        <w:tc>
          <w:tcPr>
            <w:tcW w:w="1520" w:type="dxa"/>
            <w:tcBorders>
              <w:top w:val="nil"/>
              <w:left w:val="single" w:sz="4" w:space="0" w:color="FFFFFF"/>
            </w:tcBorders>
            <w:shd w:val="clear" w:color="auto" w:fill="005A97"/>
          </w:tcPr>
          <w:p w14:paraId="7DAA05B6" w14:textId="42D06986" w:rsidR="008D0183" w:rsidRPr="00D81285" w:rsidRDefault="00101438" w:rsidP="00E63375">
            <w:pPr>
              <w:pStyle w:val="TableHeaderrow"/>
              <w:cnfStyle w:val="100000000000" w:firstRow="1" w:lastRow="0" w:firstColumn="0" w:lastColumn="0" w:oddVBand="0" w:evenVBand="0" w:oddHBand="0" w:evenHBand="0" w:firstRowFirstColumn="0" w:firstRowLastColumn="0" w:lastRowFirstColumn="0" w:lastRowLastColumn="0"/>
              <w:rPr>
                <w:b/>
              </w:rPr>
            </w:pPr>
            <w:r w:rsidRPr="00D81285">
              <w:rPr>
                <w:b/>
              </w:rPr>
              <w:t xml:space="preserve">Mean </w:t>
            </w:r>
            <w:r w:rsidR="008D0183" w:rsidRPr="00D81285">
              <w:rPr>
                <w:b/>
              </w:rPr>
              <w:t>Nitrogen (mg/L)</w:t>
            </w:r>
          </w:p>
        </w:tc>
      </w:tr>
      <w:tr w:rsidR="008D0183" w:rsidRPr="00C27EE4" w14:paraId="7DAA05BD"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B8" w14:textId="77777777" w:rsidR="008D0183" w:rsidRPr="00C27EE4" w:rsidRDefault="008D0183" w:rsidP="00183EA2">
            <w:pPr>
              <w:pStyle w:val="Tablesmalltext"/>
              <w:rPr>
                <w:sz w:val="18"/>
                <w:szCs w:val="18"/>
              </w:rPr>
            </w:pPr>
            <w:r w:rsidRPr="00C27EE4">
              <w:rPr>
                <w:sz w:val="18"/>
                <w:szCs w:val="18"/>
              </w:rPr>
              <w:t>Quaternary Aquifer (100)</w:t>
            </w:r>
          </w:p>
        </w:tc>
        <w:tc>
          <w:tcPr>
            <w:tcW w:w="1276" w:type="dxa"/>
            <w:vAlign w:val="bottom"/>
          </w:tcPr>
          <w:p w14:paraId="7DAA05B9"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4</w:t>
            </w:r>
          </w:p>
        </w:tc>
        <w:tc>
          <w:tcPr>
            <w:tcW w:w="1417" w:type="dxa"/>
            <w:vAlign w:val="bottom"/>
          </w:tcPr>
          <w:p w14:paraId="7DAA05BA"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0.0</w:t>
            </w:r>
          </w:p>
        </w:tc>
        <w:tc>
          <w:tcPr>
            <w:tcW w:w="1422" w:type="dxa"/>
            <w:vAlign w:val="bottom"/>
          </w:tcPr>
          <w:p w14:paraId="7DAA05BB"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1.4</w:t>
            </w:r>
          </w:p>
        </w:tc>
        <w:tc>
          <w:tcPr>
            <w:tcW w:w="1520" w:type="dxa"/>
            <w:vAlign w:val="bottom"/>
          </w:tcPr>
          <w:p w14:paraId="7DAA05BC"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0.5</w:t>
            </w:r>
          </w:p>
        </w:tc>
      </w:tr>
      <w:tr w:rsidR="008D0183" w:rsidRPr="00C27EE4" w14:paraId="7DAA05C3"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BE" w14:textId="77777777" w:rsidR="008D0183" w:rsidRPr="00C27EE4" w:rsidRDefault="008D0183" w:rsidP="00183EA2">
            <w:pPr>
              <w:pStyle w:val="Tablesmalltext"/>
              <w:rPr>
                <w:sz w:val="18"/>
                <w:szCs w:val="18"/>
              </w:rPr>
            </w:pPr>
            <w:r w:rsidRPr="00C27EE4">
              <w:rPr>
                <w:sz w:val="18"/>
                <w:szCs w:val="18"/>
              </w:rPr>
              <w:t>Upper Tertiary / Quaternary Basalt Aquifer (101)</w:t>
            </w:r>
          </w:p>
        </w:tc>
        <w:tc>
          <w:tcPr>
            <w:tcW w:w="1276" w:type="dxa"/>
          </w:tcPr>
          <w:p w14:paraId="7DAA05BF" w14:textId="77777777" w:rsidR="008D0183" w:rsidRPr="00C27EE4" w:rsidRDefault="008D0183" w:rsidP="00C27EE4">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7</w:t>
            </w:r>
          </w:p>
        </w:tc>
        <w:tc>
          <w:tcPr>
            <w:tcW w:w="1417" w:type="dxa"/>
          </w:tcPr>
          <w:p w14:paraId="7DAA05C0" w14:textId="77777777" w:rsidR="008D0183" w:rsidRPr="00C27EE4" w:rsidRDefault="008D0183" w:rsidP="00C27EE4">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0.0</w:t>
            </w:r>
          </w:p>
        </w:tc>
        <w:tc>
          <w:tcPr>
            <w:tcW w:w="1422" w:type="dxa"/>
          </w:tcPr>
          <w:p w14:paraId="7DAA05C1" w14:textId="77777777" w:rsidR="008D0183" w:rsidRPr="00C27EE4" w:rsidRDefault="008D0183" w:rsidP="00C27EE4">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10.9</w:t>
            </w:r>
          </w:p>
        </w:tc>
        <w:tc>
          <w:tcPr>
            <w:tcW w:w="1520" w:type="dxa"/>
          </w:tcPr>
          <w:p w14:paraId="7DAA05C2" w14:textId="77777777" w:rsidR="008D0183" w:rsidRPr="00C27EE4" w:rsidRDefault="008D0183" w:rsidP="00C27EE4">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2.9</w:t>
            </w:r>
          </w:p>
        </w:tc>
      </w:tr>
      <w:tr w:rsidR="008D0183" w:rsidRPr="00C27EE4" w14:paraId="7DAA05C9"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C4" w14:textId="77777777" w:rsidR="008D0183" w:rsidRPr="00C27EE4" w:rsidRDefault="008D0183" w:rsidP="00183EA2">
            <w:pPr>
              <w:pStyle w:val="Tablesmalltext"/>
              <w:rPr>
                <w:sz w:val="18"/>
                <w:szCs w:val="18"/>
              </w:rPr>
            </w:pPr>
            <w:r w:rsidRPr="00C27EE4">
              <w:rPr>
                <w:sz w:val="18"/>
                <w:szCs w:val="18"/>
              </w:rPr>
              <w:t>Upper Tertiary Aquifer (marine) (104)</w:t>
            </w:r>
          </w:p>
        </w:tc>
        <w:tc>
          <w:tcPr>
            <w:tcW w:w="1276" w:type="dxa"/>
            <w:vAlign w:val="bottom"/>
          </w:tcPr>
          <w:p w14:paraId="7DAA05C5"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1</w:t>
            </w:r>
          </w:p>
        </w:tc>
        <w:tc>
          <w:tcPr>
            <w:tcW w:w="1417" w:type="dxa"/>
            <w:vAlign w:val="bottom"/>
          </w:tcPr>
          <w:p w14:paraId="7DAA05C6"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0.4</w:t>
            </w:r>
          </w:p>
        </w:tc>
        <w:tc>
          <w:tcPr>
            <w:tcW w:w="1422" w:type="dxa"/>
            <w:vAlign w:val="bottom"/>
          </w:tcPr>
          <w:p w14:paraId="7DAA05C7"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0.4</w:t>
            </w:r>
          </w:p>
        </w:tc>
        <w:tc>
          <w:tcPr>
            <w:tcW w:w="1520" w:type="dxa"/>
            <w:vAlign w:val="bottom"/>
          </w:tcPr>
          <w:p w14:paraId="7DAA05C8"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0.4</w:t>
            </w:r>
          </w:p>
        </w:tc>
      </w:tr>
      <w:tr w:rsidR="008D0183" w:rsidRPr="00C27EE4" w14:paraId="7DAA05CF"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CA" w14:textId="77777777" w:rsidR="008D0183" w:rsidRPr="00C27EE4" w:rsidRDefault="008D0183" w:rsidP="00183EA2">
            <w:pPr>
              <w:pStyle w:val="Tablesmalltext"/>
              <w:rPr>
                <w:sz w:val="18"/>
                <w:szCs w:val="18"/>
              </w:rPr>
            </w:pPr>
            <w:r w:rsidRPr="00C27EE4">
              <w:rPr>
                <w:sz w:val="18"/>
                <w:szCs w:val="18"/>
              </w:rPr>
              <w:t>Upper Mid Tertiary Aquifer (107)</w:t>
            </w:r>
          </w:p>
        </w:tc>
        <w:tc>
          <w:tcPr>
            <w:tcW w:w="1276" w:type="dxa"/>
            <w:vAlign w:val="bottom"/>
          </w:tcPr>
          <w:p w14:paraId="7DAA05CB"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8</w:t>
            </w:r>
          </w:p>
        </w:tc>
        <w:tc>
          <w:tcPr>
            <w:tcW w:w="1417" w:type="dxa"/>
            <w:vAlign w:val="bottom"/>
          </w:tcPr>
          <w:p w14:paraId="7DAA05CC"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0.0</w:t>
            </w:r>
          </w:p>
        </w:tc>
        <w:tc>
          <w:tcPr>
            <w:tcW w:w="1422" w:type="dxa"/>
            <w:vAlign w:val="bottom"/>
          </w:tcPr>
          <w:p w14:paraId="7DAA05CD"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13</w:t>
            </w:r>
          </w:p>
        </w:tc>
        <w:tc>
          <w:tcPr>
            <w:tcW w:w="1520" w:type="dxa"/>
            <w:vAlign w:val="bottom"/>
          </w:tcPr>
          <w:p w14:paraId="7DAA05CE"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2.3</w:t>
            </w:r>
          </w:p>
        </w:tc>
      </w:tr>
      <w:tr w:rsidR="008D0183" w:rsidRPr="00C27EE4" w14:paraId="7DAA05D5"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D0" w14:textId="77777777" w:rsidR="008D0183" w:rsidRPr="00C27EE4" w:rsidRDefault="008D0183" w:rsidP="00183EA2">
            <w:pPr>
              <w:pStyle w:val="Tablesmalltext"/>
              <w:rPr>
                <w:sz w:val="18"/>
                <w:szCs w:val="18"/>
              </w:rPr>
            </w:pPr>
            <w:r w:rsidRPr="00C27EE4">
              <w:rPr>
                <w:sz w:val="18"/>
                <w:szCs w:val="18"/>
              </w:rPr>
              <w:t>Lower Mid Tertiary Aquifer (109)</w:t>
            </w:r>
          </w:p>
        </w:tc>
        <w:tc>
          <w:tcPr>
            <w:tcW w:w="1276" w:type="dxa"/>
            <w:vAlign w:val="bottom"/>
          </w:tcPr>
          <w:p w14:paraId="7DAA05D1"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1</w:t>
            </w:r>
          </w:p>
        </w:tc>
        <w:tc>
          <w:tcPr>
            <w:tcW w:w="1417" w:type="dxa"/>
            <w:vAlign w:val="bottom"/>
          </w:tcPr>
          <w:p w14:paraId="7DAA05D2"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0.7</w:t>
            </w:r>
          </w:p>
        </w:tc>
        <w:tc>
          <w:tcPr>
            <w:tcW w:w="1422" w:type="dxa"/>
            <w:vAlign w:val="bottom"/>
          </w:tcPr>
          <w:p w14:paraId="7DAA05D3"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0.7</w:t>
            </w:r>
          </w:p>
        </w:tc>
        <w:tc>
          <w:tcPr>
            <w:tcW w:w="1520" w:type="dxa"/>
            <w:vAlign w:val="bottom"/>
          </w:tcPr>
          <w:p w14:paraId="7DAA05D4"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0.7</w:t>
            </w:r>
          </w:p>
        </w:tc>
      </w:tr>
      <w:tr w:rsidR="008D0183" w:rsidRPr="00C27EE4" w14:paraId="7DAA05DB"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D6" w14:textId="77777777" w:rsidR="008D0183" w:rsidRPr="00C27EE4" w:rsidRDefault="008D0183" w:rsidP="00183EA2">
            <w:pPr>
              <w:pStyle w:val="Tablesmalltext"/>
              <w:rPr>
                <w:sz w:val="18"/>
                <w:szCs w:val="18"/>
              </w:rPr>
            </w:pPr>
            <w:r w:rsidRPr="00C27EE4">
              <w:rPr>
                <w:sz w:val="18"/>
                <w:szCs w:val="18"/>
              </w:rPr>
              <w:t>Lower Tertiary Aquifer (111)</w:t>
            </w:r>
          </w:p>
        </w:tc>
        <w:tc>
          <w:tcPr>
            <w:tcW w:w="1276" w:type="dxa"/>
            <w:vAlign w:val="bottom"/>
          </w:tcPr>
          <w:p w14:paraId="7DAA05D7"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8</w:t>
            </w:r>
          </w:p>
        </w:tc>
        <w:tc>
          <w:tcPr>
            <w:tcW w:w="1417" w:type="dxa"/>
            <w:vAlign w:val="bottom"/>
          </w:tcPr>
          <w:p w14:paraId="7DAA05D8"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0.0</w:t>
            </w:r>
          </w:p>
        </w:tc>
        <w:tc>
          <w:tcPr>
            <w:tcW w:w="1422" w:type="dxa"/>
            <w:vAlign w:val="bottom"/>
          </w:tcPr>
          <w:p w14:paraId="7DAA05D9"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4.6</w:t>
            </w:r>
          </w:p>
        </w:tc>
        <w:tc>
          <w:tcPr>
            <w:tcW w:w="1520" w:type="dxa"/>
            <w:vAlign w:val="bottom"/>
          </w:tcPr>
          <w:p w14:paraId="7DAA05DA"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1.5</w:t>
            </w:r>
          </w:p>
        </w:tc>
      </w:tr>
      <w:tr w:rsidR="008D0183" w:rsidRPr="00C27EE4" w14:paraId="7DAA05E1" w14:textId="77777777" w:rsidTr="00C27EE4">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7DAA05DC" w14:textId="77777777" w:rsidR="008D0183" w:rsidRPr="00C27EE4" w:rsidRDefault="008D0183" w:rsidP="00183EA2">
            <w:pPr>
              <w:pStyle w:val="Tablesmalltext"/>
              <w:rPr>
                <w:sz w:val="18"/>
                <w:szCs w:val="18"/>
              </w:rPr>
            </w:pPr>
            <w:r w:rsidRPr="00C27EE4">
              <w:rPr>
                <w:sz w:val="18"/>
                <w:szCs w:val="18"/>
              </w:rPr>
              <w:t>Mesozoic and Palaeozoic Bedrock (114)</w:t>
            </w:r>
          </w:p>
        </w:tc>
        <w:tc>
          <w:tcPr>
            <w:tcW w:w="1276" w:type="dxa"/>
            <w:vAlign w:val="bottom"/>
          </w:tcPr>
          <w:p w14:paraId="7DAA05DD"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1</w:t>
            </w:r>
          </w:p>
        </w:tc>
        <w:tc>
          <w:tcPr>
            <w:tcW w:w="1417" w:type="dxa"/>
            <w:vAlign w:val="bottom"/>
          </w:tcPr>
          <w:p w14:paraId="7DAA05DE"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1.2</w:t>
            </w:r>
          </w:p>
        </w:tc>
        <w:tc>
          <w:tcPr>
            <w:tcW w:w="1422" w:type="dxa"/>
            <w:vAlign w:val="bottom"/>
          </w:tcPr>
          <w:p w14:paraId="7DAA05DF"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1.2</w:t>
            </w:r>
          </w:p>
        </w:tc>
        <w:tc>
          <w:tcPr>
            <w:tcW w:w="1520" w:type="dxa"/>
            <w:vAlign w:val="bottom"/>
          </w:tcPr>
          <w:p w14:paraId="7DAA05E0" w14:textId="77777777" w:rsidR="008D0183" w:rsidRPr="00C27EE4" w:rsidRDefault="008D0183" w:rsidP="00183EA2">
            <w:pPr>
              <w:pStyle w:val="Tablesmalltext"/>
              <w:cnfStyle w:val="000000000000" w:firstRow="0" w:lastRow="0" w:firstColumn="0" w:lastColumn="0" w:oddVBand="0" w:evenVBand="0" w:oddHBand="0" w:evenHBand="0" w:firstRowFirstColumn="0" w:firstRowLastColumn="0" w:lastRowFirstColumn="0" w:lastRowLastColumn="0"/>
              <w:rPr>
                <w:sz w:val="18"/>
                <w:szCs w:val="18"/>
              </w:rPr>
            </w:pPr>
            <w:r w:rsidRPr="00C27EE4">
              <w:rPr>
                <w:sz w:val="18"/>
                <w:szCs w:val="18"/>
              </w:rPr>
              <w:t>1.2</w:t>
            </w:r>
          </w:p>
        </w:tc>
      </w:tr>
    </w:tbl>
    <w:p w14:paraId="7DAA05E2" w14:textId="77777777" w:rsidR="008D0183" w:rsidRDefault="008D0183" w:rsidP="000C564C">
      <w:pPr>
        <w:rPr>
          <w:lang w:val="en-AU"/>
        </w:rPr>
      </w:pPr>
    </w:p>
    <w:p w14:paraId="4AD52274" w14:textId="77777777" w:rsidR="00966ED4" w:rsidRDefault="00966ED4">
      <w:pPr>
        <w:rPr>
          <w:rFonts w:cs="Arial"/>
          <w:b/>
          <w:bCs/>
          <w:sz w:val="26"/>
          <w:szCs w:val="26"/>
          <w:lang w:val="en-AU"/>
        </w:rPr>
      </w:pPr>
      <w:r>
        <w:rPr>
          <w:lang w:val="en-AU"/>
        </w:rPr>
        <w:br w:type="page"/>
      </w:r>
    </w:p>
    <w:p w14:paraId="7DAA05E3" w14:textId="7856AA97" w:rsidR="000C564C" w:rsidRPr="000C564C" w:rsidRDefault="000C564C" w:rsidP="007C452E">
      <w:pPr>
        <w:pStyle w:val="Head3xxx"/>
        <w:ind w:left="851"/>
        <w:rPr>
          <w:lang w:val="en-AU"/>
        </w:rPr>
      </w:pPr>
      <w:r w:rsidRPr="000C564C">
        <w:rPr>
          <w:lang w:val="en-AU"/>
        </w:rPr>
        <w:t xml:space="preserve">Field </w:t>
      </w:r>
      <w:r w:rsidR="00F73033">
        <w:rPr>
          <w:lang w:val="en-AU"/>
        </w:rPr>
        <w:t>i</w:t>
      </w:r>
      <w:r w:rsidRPr="000C564C">
        <w:rPr>
          <w:lang w:val="en-AU"/>
        </w:rPr>
        <w:t xml:space="preserve">ndicators </w:t>
      </w:r>
    </w:p>
    <w:p w14:paraId="7DAA05E5" w14:textId="38E8EB4A" w:rsidR="000C564C" w:rsidRPr="00D81285" w:rsidRDefault="000C564C" w:rsidP="000C564C">
      <w:r w:rsidRPr="000C564C">
        <w:rPr>
          <w:lang w:val="en-AU"/>
        </w:rPr>
        <w:t>The following field parameters were measured at the time of groundwater sample collection</w:t>
      </w:r>
      <w:r w:rsidR="00D73C23">
        <w:rPr>
          <w:lang w:val="en-AU"/>
        </w:rPr>
        <w:t>:</w:t>
      </w:r>
      <w:r w:rsidRPr="000C564C">
        <w:rPr>
          <w:lang w:val="en-AU"/>
        </w:rPr>
        <w:t xml:space="preserve"> pH, redox, dissolved oxygen, temperature and odour. </w:t>
      </w:r>
      <w:r w:rsidR="00101438">
        <w:rPr>
          <w:lang w:val="en-AU"/>
        </w:rPr>
        <w:t>The field parameter values</w:t>
      </w:r>
      <w:r w:rsidRPr="000C564C">
        <w:rPr>
          <w:lang w:val="en-AU"/>
        </w:rPr>
        <w:t xml:space="preserve"> for each aquifer are summarised in</w:t>
      </w:r>
      <w:r w:rsidR="00183EA2">
        <w:rPr>
          <w:lang w:val="en-AU"/>
        </w:rPr>
        <w:t xml:space="preserve"> </w:t>
      </w:r>
      <w:r w:rsidR="00183EA2">
        <w:rPr>
          <w:lang w:val="en-AU"/>
        </w:rPr>
        <w:fldChar w:fldCharType="begin"/>
      </w:r>
      <w:r w:rsidR="00183EA2">
        <w:rPr>
          <w:lang w:val="en-AU"/>
        </w:rPr>
        <w:instrText xml:space="preserve"> REF _Ref414008862 \h </w:instrText>
      </w:r>
      <w:r w:rsidR="00183EA2">
        <w:rPr>
          <w:lang w:val="en-AU"/>
        </w:rPr>
      </w:r>
      <w:r w:rsidR="00183EA2">
        <w:rPr>
          <w:lang w:val="en-AU"/>
        </w:rPr>
        <w:fldChar w:fldCharType="separate"/>
      </w:r>
      <w:r w:rsidR="00BD60CC">
        <w:t xml:space="preserve">Table </w:t>
      </w:r>
      <w:r w:rsidR="00BD60CC">
        <w:rPr>
          <w:noProof/>
        </w:rPr>
        <w:t>18</w:t>
      </w:r>
      <w:r w:rsidR="00183EA2">
        <w:rPr>
          <w:lang w:val="en-AU"/>
        </w:rPr>
        <w:fldChar w:fldCharType="end"/>
      </w:r>
      <w:r w:rsidRPr="000C564C">
        <w:rPr>
          <w:lang w:val="en-AU"/>
        </w:rPr>
        <w:t>.</w:t>
      </w:r>
    </w:p>
    <w:p w14:paraId="7DAA05E6" w14:textId="1D2213EC" w:rsidR="000C564C" w:rsidRPr="000C564C" w:rsidRDefault="000C564C" w:rsidP="000C564C">
      <w:pPr>
        <w:rPr>
          <w:lang w:val="en-AU"/>
        </w:rPr>
      </w:pPr>
      <w:r w:rsidRPr="000C564C">
        <w:rPr>
          <w:lang w:val="en-AU"/>
        </w:rPr>
        <w:t xml:space="preserve">The </w:t>
      </w:r>
      <w:r w:rsidR="00816E19">
        <w:rPr>
          <w:lang w:val="en-AU"/>
        </w:rPr>
        <w:t>median</w:t>
      </w:r>
      <w:r w:rsidRPr="000C564C">
        <w:rPr>
          <w:lang w:val="en-AU"/>
        </w:rPr>
        <w:t xml:space="preserve"> Dissolved Oxygen (DO) concentration for each aquifer ranges from 0.3 to 3.7 mg/L (Table 6), which is low relative to atmospheric oxygen (~10 mg/L). This means the atmospheric oxygen that was originally present in the infiltrating rainwater has been consumed in the soil and unsaturated zone by microbial activity and decomposition of organic matter (</w:t>
      </w:r>
      <w:r w:rsidR="00101438">
        <w:rPr>
          <w:lang w:val="en-AU"/>
        </w:rPr>
        <w:t>Rose and Long, 1998). The median</w:t>
      </w:r>
      <w:r w:rsidRPr="000C564C">
        <w:rPr>
          <w:lang w:val="en-AU"/>
        </w:rPr>
        <w:t xml:space="preserve"> DO of 3.7 mg/L in the Lower Mid Tertiary Aquifer indicates that either the microbial reduction of oxygen is limited in some aquifers</w:t>
      </w:r>
      <w:r w:rsidR="005C078D">
        <w:rPr>
          <w:lang w:val="en-AU"/>
        </w:rPr>
        <w:t>,</w:t>
      </w:r>
      <w:r w:rsidRPr="000C564C">
        <w:rPr>
          <w:lang w:val="en-AU"/>
        </w:rPr>
        <w:t xml:space="preserve"> or oxygen can move to saturated aquifers from overlying unconfined aquifers. </w:t>
      </w:r>
    </w:p>
    <w:p w14:paraId="7DAA05E7" w14:textId="6E8A33C0" w:rsidR="000C564C" w:rsidRPr="000C564C" w:rsidRDefault="00101438" w:rsidP="000C564C">
      <w:pPr>
        <w:rPr>
          <w:lang w:val="en-AU"/>
        </w:rPr>
      </w:pPr>
      <w:r>
        <w:rPr>
          <w:lang w:val="en-AU"/>
        </w:rPr>
        <w:t>Mean</w:t>
      </w:r>
      <w:r w:rsidR="000C564C" w:rsidRPr="000C564C">
        <w:rPr>
          <w:lang w:val="en-AU"/>
        </w:rPr>
        <w:t xml:space="preserve"> temperature for each aquifer is fairly consistent, ranging from 15.8 to</w:t>
      </w:r>
      <w:r w:rsidR="003D5452">
        <w:rPr>
          <w:lang w:val="en-AU"/>
        </w:rPr>
        <w:t xml:space="preserve"> 17.8 degrees Celsius </w:t>
      </w:r>
      <w:r w:rsidR="003D5452" w:rsidRPr="00BA6593">
        <w:rPr>
          <w:lang w:val="en-AU"/>
        </w:rPr>
        <w:t>(Table</w:t>
      </w:r>
      <w:r w:rsidR="00BA6593">
        <w:rPr>
          <w:lang w:val="en-AU"/>
        </w:rPr>
        <w:t xml:space="preserve"> </w:t>
      </w:r>
      <w:r w:rsidR="00BA6593" w:rsidRPr="00BA6593">
        <w:rPr>
          <w:lang w:val="en-AU"/>
        </w:rPr>
        <w:t>18</w:t>
      </w:r>
      <w:r w:rsidR="000C564C" w:rsidRPr="00BA6593">
        <w:rPr>
          <w:lang w:val="en-AU"/>
        </w:rPr>
        <w:t>).</w:t>
      </w:r>
      <w:r w:rsidR="000C564C" w:rsidRPr="000C564C">
        <w:rPr>
          <w:lang w:val="en-AU"/>
        </w:rPr>
        <w:t xml:space="preserve"> No observation of increasing temperature with depth was observed. </w:t>
      </w:r>
    </w:p>
    <w:p w14:paraId="7DAA05E9" w14:textId="25D0CB94" w:rsidR="000C564C" w:rsidRPr="00D81285" w:rsidRDefault="000C564C" w:rsidP="000C564C">
      <w:r w:rsidRPr="000C564C">
        <w:rPr>
          <w:lang w:val="en-AU"/>
        </w:rPr>
        <w:t xml:space="preserve">Hydrogen </w:t>
      </w:r>
      <w:r w:rsidR="00206FC6" w:rsidRPr="000C564C">
        <w:rPr>
          <w:lang w:val="en-AU"/>
        </w:rPr>
        <w:t>sulphide</w:t>
      </w:r>
      <w:r w:rsidRPr="000C564C">
        <w:rPr>
          <w:lang w:val="en-AU"/>
        </w:rPr>
        <w:t xml:space="preserve"> odour was noted on six occasions (</w:t>
      </w:r>
      <w:r w:rsidR="008E714B">
        <w:rPr>
          <w:lang w:val="en-AU"/>
        </w:rPr>
        <w:fldChar w:fldCharType="begin"/>
      </w:r>
      <w:r w:rsidR="008E714B">
        <w:rPr>
          <w:lang w:val="en-AU"/>
        </w:rPr>
        <w:instrText xml:space="preserve"> REF _Ref414008862 \h </w:instrText>
      </w:r>
      <w:r w:rsidR="008E714B">
        <w:rPr>
          <w:lang w:val="en-AU"/>
        </w:rPr>
      </w:r>
      <w:r w:rsidR="008E714B">
        <w:rPr>
          <w:lang w:val="en-AU"/>
        </w:rPr>
        <w:fldChar w:fldCharType="separate"/>
      </w:r>
      <w:r w:rsidR="00BD60CC">
        <w:t xml:space="preserve">Table </w:t>
      </w:r>
      <w:r w:rsidR="00BD60CC">
        <w:rPr>
          <w:noProof/>
        </w:rPr>
        <w:t>18</w:t>
      </w:r>
      <w:r w:rsidR="008E714B">
        <w:rPr>
          <w:lang w:val="en-AU"/>
        </w:rPr>
        <w:fldChar w:fldCharType="end"/>
      </w:r>
      <w:r w:rsidRPr="000C564C">
        <w:rPr>
          <w:lang w:val="en-AU"/>
        </w:rPr>
        <w:t xml:space="preserve">) including for the shallow Upper Tertiary / Quaternary Basalt Aquifer, the Upper Mid Tertiary Aquifer, the Lower Tertiary Aquifer and the Bedrock Aquifer. Hydrogen </w:t>
      </w:r>
      <w:r w:rsidR="00206FC6" w:rsidRPr="000C564C">
        <w:rPr>
          <w:lang w:val="en-AU"/>
        </w:rPr>
        <w:t>sulphide</w:t>
      </w:r>
      <w:r w:rsidRPr="000C564C">
        <w:rPr>
          <w:lang w:val="en-AU"/>
        </w:rPr>
        <w:t xml:space="preserve"> is generally associated as a by-product of </w:t>
      </w:r>
      <w:r w:rsidR="00206FC6" w:rsidRPr="000C564C">
        <w:rPr>
          <w:lang w:val="en-AU"/>
        </w:rPr>
        <w:t>sulphate</w:t>
      </w:r>
      <w:r w:rsidRPr="000C564C">
        <w:rPr>
          <w:lang w:val="en-AU"/>
        </w:rPr>
        <w:t xml:space="preserve">-reducing bacteria activity and generally requires an adequate organic carbon source to facilitate fermentation. While some groundwater held measurable TRH and </w:t>
      </w:r>
      <w:r w:rsidR="00206FC6" w:rsidRPr="000C564C">
        <w:rPr>
          <w:lang w:val="en-AU"/>
        </w:rPr>
        <w:t>sulphate</w:t>
      </w:r>
      <w:r w:rsidRPr="000C564C">
        <w:rPr>
          <w:lang w:val="en-AU"/>
        </w:rPr>
        <w:t xml:space="preserve">, many did not. </w:t>
      </w:r>
      <w:r w:rsidR="00E927B0">
        <w:rPr>
          <w:lang w:val="en-AU"/>
        </w:rPr>
        <w:t>T</w:t>
      </w:r>
      <w:r w:rsidRPr="000C564C">
        <w:rPr>
          <w:lang w:val="en-AU"/>
        </w:rPr>
        <w:t xml:space="preserve">he source of the hydrogen </w:t>
      </w:r>
      <w:r w:rsidR="00206FC6" w:rsidRPr="000C564C">
        <w:rPr>
          <w:lang w:val="en-AU"/>
        </w:rPr>
        <w:t>sulphide</w:t>
      </w:r>
      <w:r w:rsidRPr="000C564C">
        <w:rPr>
          <w:lang w:val="en-AU"/>
        </w:rPr>
        <w:t xml:space="preserve"> </w:t>
      </w:r>
      <w:r w:rsidR="00E927B0">
        <w:rPr>
          <w:lang w:val="en-AU"/>
        </w:rPr>
        <w:t>for some of the samples is indeterminant at this time</w:t>
      </w:r>
      <w:r w:rsidR="00816E19">
        <w:rPr>
          <w:lang w:val="en-AU"/>
        </w:rPr>
        <w:t>.</w:t>
      </w:r>
      <w:r w:rsidRPr="000C564C">
        <w:rPr>
          <w:lang w:val="en-AU"/>
        </w:rPr>
        <w:t xml:space="preserve"> </w:t>
      </w:r>
    </w:p>
    <w:p w14:paraId="7DAA05EB" w14:textId="15468F83" w:rsidR="000C564C" w:rsidRPr="00D81285" w:rsidRDefault="000C564C" w:rsidP="000C564C">
      <w:r w:rsidRPr="000C564C">
        <w:rPr>
          <w:lang w:val="en-AU"/>
        </w:rPr>
        <w:t>Groundwater pH is essentially neutral across all aquifers, ranging from 6.15</w:t>
      </w:r>
      <w:r w:rsidR="003D5452">
        <w:rPr>
          <w:lang w:val="en-AU"/>
        </w:rPr>
        <w:t xml:space="preserve"> </w:t>
      </w:r>
      <w:r w:rsidRPr="000C564C">
        <w:rPr>
          <w:lang w:val="en-AU"/>
        </w:rPr>
        <w:t>- 7.2 (</w:t>
      </w:r>
      <w:r w:rsidR="008E714B">
        <w:rPr>
          <w:lang w:val="en-AU"/>
        </w:rPr>
        <w:fldChar w:fldCharType="begin"/>
      </w:r>
      <w:r w:rsidR="008E714B">
        <w:rPr>
          <w:lang w:val="en-AU"/>
        </w:rPr>
        <w:instrText xml:space="preserve"> REF _Ref414008862 \h </w:instrText>
      </w:r>
      <w:r w:rsidR="008E714B">
        <w:rPr>
          <w:lang w:val="en-AU"/>
        </w:rPr>
      </w:r>
      <w:r w:rsidR="008E714B">
        <w:rPr>
          <w:lang w:val="en-AU"/>
        </w:rPr>
        <w:fldChar w:fldCharType="separate"/>
      </w:r>
      <w:r w:rsidR="00BD60CC">
        <w:t xml:space="preserve">Table </w:t>
      </w:r>
      <w:r w:rsidR="00BD60CC">
        <w:rPr>
          <w:noProof/>
        </w:rPr>
        <w:t>18</w:t>
      </w:r>
      <w:r w:rsidR="008E714B">
        <w:rPr>
          <w:lang w:val="en-AU"/>
        </w:rPr>
        <w:fldChar w:fldCharType="end"/>
      </w:r>
      <w:r w:rsidRPr="000C564C">
        <w:rPr>
          <w:lang w:val="en-AU"/>
        </w:rPr>
        <w:t>).</w:t>
      </w:r>
      <w:r w:rsidRPr="00D81285">
        <w:t xml:space="preserve"> </w:t>
      </w:r>
    </w:p>
    <w:p w14:paraId="77153694" w14:textId="57AD35D5" w:rsidR="001D7F8F" w:rsidRDefault="000C564C" w:rsidP="00365B68">
      <w:pPr>
        <w:rPr>
          <w:lang w:val="en-AU"/>
        </w:rPr>
      </w:pPr>
      <w:r w:rsidRPr="000C564C">
        <w:rPr>
          <w:lang w:val="en-AU"/>
        </w:rPr>
        <w:t xml:space="preserve">Redox conditions are measured as the standard redox potential and this indicates the tendency of the groundwater to either gain or lose electrons. Negative potentials are indicative of reducing conditions and are usually found when air supply is limited. Positive potentials are typical of aerated surface waters and indicate oxidising conditions.  Both negative and positive redox potentials are found throughout the Otway </w:t>
      </w:r>
      <w:r w:rsidR="00E87D28">
        <w:rPr>
          <w:lang w:val="en-AU"/>
        </w:rPr>
        <w:t>region</w:t>
      </w:r>
      <w:r w:rsidRPr="000C564C">
        <w:rPr>
          <w:lang w:val="en-AU"/>
        </w:rPr>
        <w:t xml:space="preserve"> (</w:t>
      </w:r>
      <w:r w:rsidR="008E714B">
        <w:rPr>
          <w:lang w:val="en-AU"/>
        </w:rPr>
        <w:fldChar w:fldCharType="begin"/>
      </w:r>
      <w:r w:rsidR="008E714B">
        <w:rPr>
          <w:lang w:val="en-AU"/>
        </w:rPr>
        <w:instrText xml:space="preserve"> REF _Ref414008862 \h </w:instrText>
      </w:r>
      <w:r w:rsidR="008E714B">
        <w:rPr>
          <w:lang w:val="en-AU"/>
        </w:rPr>
      </w:r>
      <w:r w:rsidR="008E714B">
        <w:rPr>
          <w:lang w:val="en-AU"/>
        </w:rPr>
        <w:fldChar w:fldCharType="separate"/>
      </w:r>
      <w:r w:rsidR="00BD60CC">
        <w:t xml:space="preserve">Table </w:t>
      </w:r>
      <w:r w:rsidR="00BD60CC">
        <w:rPr>
          <w:noProof/>
        </w:rPr>
        <w:t>18</w:t>
      </w:r>
      <w:r w:rsidR="008E714B">
        <w:rPr>
          <w:lang w:val="en-AU"/>
        </w:rPr>
        <w:fldChar w:fldCharType="end"/>
      </w:r>
      <w:r w:rsidRPr="000C564C">
        <w:rPr>
          <w:lang w:val="en-AU"/>
        </w:rPr>
        <w:t xml:space="preserve">), though values are generally low suggesting that both oxidising and reducing conditions exist. </w:t>
      </w:r>
      <w:r w:rsidR="001D7F8F">
        <w:rPr>
          <w:lang w:val="en-AU"/>
        </w:rPr>
        <w:t xml:space="preserve">The values indicate that the Lower Tertiary Aquifer and the Bedrock Aquifer exhibits stronger reducing conditions than other shallower aquifers as indicated by the lower median redox potential values, the lower dissolved oxygen values and the smell of hydrogen sulphide gas at the surface.  </w:t>
      </w:r>
    </w:p>
    <w:p w14:paraId="7DAA05EF" w14:textId="49DC61F1" w:rsidR="000C564C" w:rsidRPr="00365B68" w:rsidRDefault="00183EA2" w:rsidP="00365B68">
      <w:pPr>
        <w:pStyle w:val="Tableheading"/>
      </w:pPr>
      <w:bookmarkStart w:id="131" w:name="_Ref414008862"/>
      <w:bookmarkStart w:id="132" w:name="_Toc420320568"/>
      <w:r>
        <w:t xml:space="preserve">Table </w:t>
      </w:r>
      <w:r>
        <w:fldChar w:fldCharType="begin"/>
      </w:r>
      <w:r>
        <w:instrText xml:space="preserve"> SEQ Table \* ARABIC </w:instrText>
      </w:r>
      <w:r>
        <w:fldChar w:fldCharType="separate"/>
      </w:r>
      <w:r w:rsidR="00BD60CC">
        <w:rPr>
          <w:noProof/>
        </w:rPr>
        <w:t>18</w:t>
      </w:r>
      <w:r>
        <w:fldChar w:fldCharType="end"/>
      </w:r>
      <w:bookmarkEnd w:id="131"/>
      <w:r w:rsidRPr="00365B68">
        <w:t xml:space="preserve"> </w:t>
      </w:r>
      <w:r w:rsidR="000C564C" w:rsidRPr="00365B68">
        <w:t>Summary of indicator parameters measured in the field</w:t>
      </w:r>
      <w:bookmarkEnd w:id="132"/>
      <w:r w:rsidR="000C564C" w:rsidRPr="00365B68">
        <w:t xml:space="preserve"> </w:t>
      </w:r>
    </w:p>
    <w:tbl>
      <w:tblPr>
        <w:tblW w:w="9634" w:type="dxa"/>
        <w:tblInd w:w="113" w:type="dxa"/>
        <w:tblBorders>
          <w:bottom w:val="single" w:sz="4" w:space="0" w:color="005A97"/>
          <w:insideH w:val="single" w:sz="4" w:space="0" w:color="005A97"/>
          <w:insideV w:val="single" w:sz="4" w:space="0" w:color="005A97"/>
        </w:tblBorders>
        <w:tblLayout w:type="fixed"/>
        <w:tblCellMar>
          <w:left w:w="0" w:type="dxa"/>
          <w:right w:w="0" w:type="dxa"/>
        </w:tblCellMar>
        <w:tblLook w:val="04A0" w:firstRow="1" w:lastRow="0" w:firstColumn="1" w:lastColumn="0" w:noHBand="0" w:noVBand="1"/>
      </w:tblPr>
      <w:tblGrid>
        <w:gridCol w:w="3681"/>
        <w:gridCol w:w="1134"/>
        <w:gridCol w:w="992"/>
        <w:gridCol w:w="1134"/>
        <w:gridCol w:w="1276"/>
        <w:gridCol w:w="1417"/>
      </w:tblGrid>
      <w:tr w:rsidR="008D0183" w14:paraId="7DAA05F6" w14:textId="77777777" w:rsidTr="00C27EE4">
        <w:trPr>
          <w:tblHeader/>
        </w:trPr>
        <w:tc>
          <w:tcPr>
            <w:tcW w:w="3681" w:type="dxa"/>
            <w:tcBorders>
              <w:top w:val="nil"/>
              <w:right w:val="single" w:sz="4" w:space="0" w:color="FFFFFF"/>
            </w:tcBorders>
            <w:shd w:val="clear" w:color="auto" w:fill="005A97"/>
            <w:tcMar>
              <w:top w:w="0" w:type="dxa"/>
              <w:left w:w="108" w:type="dxa"/>
              <w:bottom w:w="0" w:type="dxa"/>
              <w:right w:w="108" w:type="dxa"/>
            </w:tcMar>
            <w:hideMark/>
          </w:tcPr>
          <w:p w14:paraId="7DAA05F0" w14:textId="77777777" w:rsidR="008D0183" w:rsidRDefault="008D0183" w:rsidP="00E63375">
            <w:pPr>
              <w:pStyle w:val="TableHeaderrow"/>
              <w:rPr>
                <w:lang w:val="en-US"/>
              </w:rPr>
            </w:pPr>
            <w:r>
              <w:rPr>
                <w:lang w:val="en-US"/>
              </w:rPr>
              <w:t>Aquifer</w:t>
            </w:r>
          </w:p>
        </w:tc>
        <w:tc>
          <w:tcPr>
            <w:tcW w:w="1134" w:type="dxa"/>
            <w:tcBorders>
              <w:top w:val="nil"/>
              <w:left w:val="single" w:sz="4" w:space="0" w:color="FFFFFF"/>
              <w:right w:val="single" w:sz="4" w:space="0" w:color="FFFFFF"/>
            </w:tcBorders>
            <w:shd w:val="clear" w:color="auto" w:fill="005A97"/>
            <w:tcMar>
              <w:top w:w="0" w:type="dxa"/>
              <w:left w:w="108" w:type="dxa"/>
              <w:bottom w:w="0" w:type="dxa"/>
              <w:right w:w="108" w:type="dxa"/>
            </w:tcMar>
            <w:hideMark/>
          </w:tcPr>
          <w:p w14:paraId="7DAA05F1" w14:textId="4EF47963" w:rsidR="008D0183" w:rsidRDefault="00101438" w:rsidP="00E63375">
            <w:pPr>
              <w:pStyle w:val="TableHeaderrow"/>
              <w:rPr>
                <w:lang w:val="en-US"/>
              </w:rPr>
            </w:pPr>
            <w:r>
              <w:rPr>
                <w:lang w:val="en-US"/>
              </w:rPr>
              <w:t>Mean</w:t>
            </w:r>
            <w:r w:rsidR="008D0183">
              <w:rPr>
                <w:lang w:val="en-US"/>
              </w:rPr>
              <w:t xml:space="preserve"> pH</w:t>
            </w:r>
          </w:p>
        </w:tc>
        <w:tc>
          <w:tcPr>
            <w:tcW w:w="992" w:type="dxa"/>
            <w:tcBorders>
              <w:top w:val="nil"/>
              <w:left w:val="single" w:sz="4" w:space="0" w:color="FFFFFF"/>
              <w:right w:val="single" w:sz="4" w:space="0" w:color="FFFFFF"/>
            </w:tcBorders>
            <w:shd w:val="clear" w:color="auto" w:fill="005A97"/>
            <w:tcMar>
              <w:top w:w="0" w:type="dxa"/>
              <w:left w:w="108" w:type="dxa"/>
              <w:bottom w:w="0" w:type="dxa"/>
              <w:right w:w="108" w:type="dxa"/>
            </w:tcMar>
            <w:hideMark/>
          </w:tcPr>
          <w:p w14:paraId="7DAA05F2" w14:textId="0C4E71AC" w:rsidR="008D0183" w:rsidRDefault="00650563" w:rsidP="00E63375">
            <w:pPr>
              <w:pStyle w:val="TableHeaderrow"/>
              <w:rPr>
                <w:lang w:val="en-US"/>
              </w:rPr>
            </w:pPr>
            <w:r>
              <w:rPr>
                <w:lang w:val="en-US"/>
              </w:rPr>
              <w:t xml:space="preserve">Median </w:t>
            </w:r>
            <w:r w:rsidR="008D0183">
              <w:rPr>
                <w:lang w:val="en-US"/>
              </w:rPr>
              <w:t>Redox (mV)</w:t>
            </w:r>
          </w:p>
        </w:tc>
        <w:tc>
          <w:tcPr>
            <w:tcW w:w="1134" w:type="dxa"/>
            <w:tcBorders>
              <w:top w:val="nil"/>
              <w:left w:val="single" w:sz="4" w:space="0" w:color="FFFFFF"/>
              <w:right w:val="single" w:sz="4" w:space="0" w:color="FFFFFF"/>
            </w:tcBorders>
            <w:shd w:val="clear" w:color="auto" w:fill="005A97"/>
            <w:tcMar>
              <w:top w:w="0" w:type="dxa"/>
              <w:left w:w="108" w:type="dxa"/>
              <w:bottom w:w="0" w:type="dxa"/>
              <w:right w:w="108" w:type="dxa"/>
            </w:tcMar>
            <w:hideMark/>
          </w:tcPr>
          <w:p w14:paraId="10E034A3" w14:textId="045004EB" w:rsidR="00650563" w:rsidRDefault="00650563" w:rsidP="00E63375">
            <w:pPr>
              <w:pStyle w:val="TableHeaderrow"/>
              <w:rPr>
                <w:lang w:val="en-US"/>
              </w:rPr>
            </w:pPr>
            <w:r>
              <w:rPr>
                <w:lang w:val="en-US"/>
              </w:rPr>
              <w:t>Median</w:t>
            </w:r>
          </w:p>
          <w:p w14:paraId="7DAA05F3" w14:textId="386B8BD5" w:rsidR="008D0183" w:rsidRDefault="008D0183" w:rsidP="00E63375">
            <w:pPr>
              <w:pStyle w:val="TableHeaderrow"/>
              <w:rPr>
                <w:lang w:val="en-US"/>
              </w:rPr>
            </w:pPr>
            <w:r>
              <w:rPr>
                <w:lang w:val="en-US"/>
              </w:rPr>
              <w:t>DO (mg/L)</w:t>
            </w:r>
          </w:p>
        </w:tc>
        <w:tc>
          <w:tcPr>
            <w:tcW w:w="1276" w:type="dxa"/>
            <w:tcBorders>
              <w:top w:val="nil"/>
              <w:left w:val="single" w:sz="4" w:space="0" w:color="FFFFFF"/>
              <w:right w:val="single" w:sz="4" w:space="0" w:color="FFFFFF"/>
            </w:tcBorders>
            <w:shd w:val="clear" w:color="auto" w:fill="005A97"/>
            <w:tcMar>
              <w:top w:w="0" w:type="dxa"/>
              <w:left w:w="108" w:type="dxa"/>
              <w:bottom w:w="0" w:type="dxa"/>
              <w:right w:w="108" w:type="dxa"/>
            </w:tcMar>
            <w:hideMark/>
          </w:tcPr>
          <w:p w14:paraId="7DAA05F4" w14:textId="180B0CD0" w:rsidR="008D0183" w:rsidRPr="00206FC6" w:rsidRDefault="00101438" w:rsidP="00E63375">
            <w:pPr>
              <w:pStyle w:val="TableHeaderrow"/>
              <w:rPr>
                <w:lang w:val="en-AU"/>
              </w:rPr>
            </w:pPr>
            <w:r>
              <w:rPr>
                <w:lang w:val="en-US"/>
              </w:rPr>
              <w:t>Mean</w:t>
            </w:r>
            <w:r w:rsidR="008D0183">
              <w:rPr>
                <w:lang w:val="en-US"/>
              </w:rPr>
              <w:t xml:space="preserve"> Temp (o C)</w:t>
            </w:r>
          </w:p>
        </w:tc>
        <w:tc>
          <w:tcPr>
            <w:tcW w:w="1417" w:type="dxa"/>
            <w:tcBorders>
              <w:top w:val="nil"/>
              <w:left w:val="single" w:sz="4" w:space="0" w:color="FFFFFF"/>
            </w:tcBorders>
            <w:shd w:val="clear" w:color="auto" w:fill="005A97"/>
          </w:tcPr>
          <w:p w14:paraId="7DAA05F5" w14:textId="77777777" w:rsidR="008D0183" w:rsidRDefault="008D0183" w:rsidP="00D81285">
            <w:pPr>
              <w:pStyle w:val="TableHeaderrow"/>
              <w:ind w:left="142"/>
              <w:rPr>
                <w:lang w:val="en-US"/>
              </w:rPr>
            </w:pPr>
            <w:r w:rsidRPr="00206FC6">
              <w:rPr>
                <w:lang w:val="en-AU"/>
              </w:rPr>
              <w:t>Odour</w:t>
            </w:r>
          </w:p>
        </w:tc>
      </w:tr>
      <w:tr w:rsidR="00650563" w:rsidRPr="00C27EE4" w14:paraId="7DAA05FD" w14:textId="77777777" w:rsidTr="00C27EE4">
        <w:trPr>
          <w:trHeight w:hRule="exact" w:val="340"/>
        </w:trPr>
        <w:tc>
          <w:tcPr>
            <w:tcW w:w="3681" w:type="dxa"/>
            <w:shd w:val="clear" w:color="auto" w:fill="auto"/>
            <w:tcMar>
              <w:top w:w="0" w:type="dxa"/>
              <w:left w:w="108" w:type="dxa"/>
              <w:bottom w:w="0" w:type="dxa"/>
              <w:right w:w="108" w:type="dxa"/>
            </w:tcMar>
            <w:hideMark/>
          </w:tcPr>
          <w:p w14:paraId="7DAA05F7" w14:textId="77777777" w:rsidR="00650563" w:rsidRPr="00C27EE4" w:rsidRDefault="00650563" w:rsidP="008E714B">
            <w:pPr>
              <w:pStyle w:val="Tablesmalltext"/>
              <w:rPr>
                <w:sz w:val="18"/>
                <w:szCs w:val="18"/>
              </w:rPr>
            </w:pPr>
            <w:r w:rsidRPr="00C27EE4">
              <w:rPr>
                <w:sz w:val="18"/>
                <w:szCs w:val="18"/>
              </w:rPr>
              <w:t>Quaternary Aquifer (100)</w:t>
            </w:r>
          </w:p>
        </w:tc>
        <w:tc>
          <w:tcPr>
            <w:tcW w:w="1134" w:type="dxa"/>
            <w:shd w:val="clear" w:color="auto" w:fill="auto"/>
            <w:tcMar>
              <w:top w:w="0" w:type="dxa"/>
              <w:left w:w="108" w:type="dxa"/>
              <w:bottom w:w="0" w:type="dxa"/>
              <w:right w:w="108" w:type="dxa"/>
            </w:tcMar>
            <w:vAlign w:val="bottom"/>
          </w:tcPr>
          <w:p w14:paraId="7DAA05F8" w14:textId="77777777" w:rsidR="00650563" w:rsidRPr="00C27EE4" w:rsidRDefault="00650563" w:rsidP="008E714B">
            <w:pPr>
              <w:pStyle w:val="Tablesmalltext"/>
              <w:rPr>
                <w:sz w:val="18"/>
                <w:szCs w:val="18"/>
              </w:rPr>
            </w:pPr>
            <w:r w:rsidRPr="00C27EE4">
              <w:rPr>
                <w:sz w:val="18"/>
                <w:szCs w:val="18"/>
              </w:rPr>
              <w:t>6.7</w:t>
            </w:r>
          </w:p>
        </w:tc>
        <w:tc>
          <w:tcPr>
            <w:tcW w:w="992" w:type="dxa"/>
            <w:shd w:val="clear" w:color="auto" w:fill="auto"/>
            <w:tcMar>
              <w:top w:w="0" w:type="dxa"/>
              <w:left w:w="108" w:type="dxa"/>
              <w:bottom w:w="0" w:type="dxa"/>
              <w:right w:w="108" w:type="dxa"/>
            </w:tcMar>
            <w:vAlign w:val="bottom"/>
          </w:tcPr>
          <w:p w14:paraId="7DAA05F9" w14:textId="7FAF3814" w:rsidR="00650563" w:rsidRPr="00C27EE4" w:rsidRDefault="00650563" w:rsidP="008E714B">
            <w:pPr>
              <w:pStyle w:val="Tablesmalltext"/>
              <w:rPr>
                <w:sz w:val="18"/>
                <w:szCs w:val="18"/>
              </w:rPr>
            </w:pPr>
            <w:r w:rsidRPr="00C27EE4">
              <w:rPr>
                <w:rFonts w:cs="Arial"/>
                <w:sz w:val="18"/>
                <w:szCs w:val="18"/>
              </w:rPr>
              <w:t>2.2</w:t>
            </w:r>
          </w:p>
        </w:tc>
        <w:tc>
          <w:tcPr>
            <w:tcW w:w="1134" w:type="dxa"/>
            <w:shd w:val="clear" w:color="auto" w:fill="auto"/>
            <w:tcMar>
              <w:top w:w="0" w:type="dxa"/>
              <w:left w:w="108" w:type="dxa"/>
              <w:bottom w:w="0" w:type="dxa"/>
              <w:right w:w="108" w:type="dxa"/>
            </w:tcMar>
            <w:vAlign w:val="bottom"/>
          </w:tcPr>
          <w:p w14:paraId="7DAA05FA" w14:textId="14A303EA" w:rsidR="00650563" w:rsidRPr="00C27EE4" w:rsidRDefault="00650563" w:rsidP="008E714B">
            <w:pPr>
              <w:pStyle w:val="Tablesmalltext"/>
              <w:rPr>
                <w:sz w:val="18"/>
                <w:szCs w:val="18"/>
              </w:rPr>
            </w:pPr>
            <w:r w:rsidRPr="00C27EE4">
              <w:rPr>
                <w:rFonts w:cs="Arial"/>
                <w:sz w:val="18"/>
                <w:szCs w:val="18"/>
              </w:rPr>
              <w:t>2.2</w:t>
            </w:r>
          </w:p>
        </w:tc>
        <w:tc>
          <w:tcPr>
            <w:tcW w:w="1276" w:type="dxa"/>
            <w:shd w:val="clear" w:color="auto" w:fill="auto"/>
            <w:tcMar>
              <w:top w:w="0" w:type="dxa"/>
              <w:left w:w="108" w:type="dxa"/>
              <w:bottom w:w="0" w:type="dxa"/>
              <w:right w:w="108" w:type="dxa"/>
            </w:tcMar>
            <w:vAlign w:val="bottom"/>
          </w:tcPr>
          <w:p w14:paraId="7DAA05FB" w14:textId="77777777" w:rsidR="00650563" w:rsidRPr="00C27EE4" w:rsidRDefault="00650563" w:rsidP="008E714B">
            <w:pPr>
              <w:pStyle w:val="Tablesmalltext"/>
              <w:rPr>
                <w:sz w:val="18"/>
                <w:szCs w:val="18"/>
              </w:rPr>
            </w:pPr>
            <w:r w:rsidRPr="00C27EE4">
              <w:rPr>
                <w:sz w:val="18"/>
                <w:szCs w:val="18"/>
              </w:rPr>
              <w:t>16.1</w:t>
            </w:r>
          </w:p>
        </w:tc>
        <w:tc>
          <w:tcPr>
            <w:tcW w:w="1417" w:type="dxa"/>
            <w:shd w:val="clear" w:color="auto" w:fill="auto"/>
          </w:tcPr>
          <w:p w14:paraId="7DAA05FC" w14:textId="77777777" w:rsidR="00650563" w:rsidRPr="00C27EE4" w:rsidRDefault="00650563" w:rsidP="00D81285">
            <w:pPr>
              <w:pStyle w:val="Tablesmalltext"/>
              <w:ind w:left="142"/>
              <w:rPr>
                <w:sz w:val="18"/>
                <w:szCs w:val="18"/>
              </w:rPr>
            </w:pPr>
            <w:r w:rsidRPr="00C27EE4">
              <w:rPr>
                <w:sz w:val="18"/>
                <w:szCs w:val="18"/>
              </w:rPr>
              <w:t>None</w:t>
            </w:r>
          </w:p>
        </w:tc>
      </w:tr>
      <w:tr w:rsidR="00650563" w:rsidRPr="00C27EE4" w14:paraId="7DAA0604" w14:textId="77777777" w:rsidTr="00C27EE4">
        <w:trPr>
          <w:trHeight w:hRule="exact" w:val="331"/>
        </w:trPr>
        <w:tc>
          <w:tcPr>
            <w:tcW w:w="3681" w:type="dxa"/>
            <w:shd w:val="clear" w:color="auto" w:fill="auto"/>
            <w:tcMar>
              <w:top w:w="0" w:type="dxa"/>
              <w:left w:w="108" w:type="dxa"/>
              <w:bottom w:w="0" w:type="dxa"/>
              <w:right w:w="108" w:type="dxa"/>
            </w:tcMar>
            <w:hideMark/>
          </w:tcPr>
          <w:p w14:paraId="7DAA05FE" w14:textId="77777777" w:rsidR="00650563" w:rsidRPr="00C27EE4" w:rsidRDefault="00650563" w:rsidP="008E714B">
            <w:pPr>
              <w:pStyle w:val="Tablesmalltext"/>
              <w:rPr>
                <w:sz w:val="18"/>
                <w:szCs w:val="18"/>
              </w:rPr>
            </w:pPr>
            <w:r w:rsidRPr="00C27EE4">
              <w:rPr>
                <w:sz w:val="18"/>
                <w:szCs w:val="18"/>
              </w:rPr>
              <w:t>Upper Tertiary / Quaternary Basalt Aquifer (101)</w:t>
            </w:r>
          </w:p>
        </w:tc>
        <w:tc>
          <w:tcPr>
            <w:tcW w:w="1134" w:type="dxa"/>
            <w:shd w:val="clear" w:color="auto" w:fill="auto"/>
            <w:tcMar>
              <w:top w:w="0" w:type="dxa"/>
              <w:left w:w="108" w:type="dxa"/>
              <w:bottom w:w="0" w:type="dxa"/>
              <w:right w:w="108" w:type="dxa"/>
            </w:tcMar>
            <w:vAlign w:val="bottom"/>
          </w:tcPr>
          <w:p w14:paraId="7DAA05FF" w14:textId="77777777" w:rsidR="00650563" w:rsidRPr="00C27EE4" w:rsidRDefault="00650563" w:rsidP="008E714B">
            <w:pPr>
              <w:pStyle w:val="Tablesmalltext"/>
              <w:rPr>
                <w:sz w:val="18"/>
                <w:szCs w:val="18"/>
              </w:rPr>
            </w:pPr>
            <w:r w:rsidRPr="00C27EE4">
              <w:rPr>
                <w:sz w:val="18"/>
                <w:szCs w:val="18"/>
              </w:rPr>
              <w:t>6.7</w:t>
            </w:r>
          </w:p>
        </w:tc>
        <w:tc>
          <w:tcPr>
            <w:tcW w:w="992" w:type="dxa"/>
            <w:shd w:val="clear" w:color="auto" w:fill="auto"/>
            <w:tcMar>
              <w:top w:w="0" w:type="dxa"/>
              <w:left w:w="108" w:type="dxa"/>
              <w:bottom w:w="0" w:type="dxa"/>
              <w:right w:w="108" w:type="dxa"/>
            </w:tcMar>
            <w:vAlign w:val="bottom"/>
          </w:tcPr>
          <w:p w14:paraId="7DAA0600" w14:textId="00075DD7" w:rsidR="00650563" w:rsidRPr="00C27EE4" w:rsidRDefault="00650563" w:rsidP="008E714B">
            <w:pPr>
              <w:pStyle w:val="Tablesmalltext"/>
              <w:rPr>
                <w:sz w:val="18"/>
                <w:szCs w:val="18"/>
              </w:rPr>
            </w:pPr>
            <w:r w:rsidRPr="00C27EE4">
              <w:rPr>
                <w:sz w:val="18"/>
                <w:szCs w:val="18"/>
              </w:rPr>
              <w:t>1.0</w:t>
            </w:r>
          </w:p>
        </w:tc>
        <w:tc>
          <w:tcPr>
            <w:tcW w:w="1134" w:type="dxa"/>
            <w:shd w:val="clear" w:color="auto" w:fill="auto"/>
            <w:tcMar>
              <w:top w:w="0" w:type="dxa"/>
              <w:left w:w="108" w:type="dxa"/>
              <w:bottom w:w="0" w:type="dxa"/>
              <w:right w:w="108" w:type="dxa"/>
            </w:tcMar>
            <w:vAlign w:val="bottom"/>
          </w:tcPr>
          <w:p w14:paraId="7DAA0601" w14:textId="4CD9D557" w:rsidR="00650563" w:rsidRPr="00C27EE4" w:rsidRDefault="00650563" w:rsidP="008E714B">
            <w:pPr>
              <w:pStyle w:val="Tablesmalltext"/>
              <w:rPr>
                <w:sz w:val="18"/>
                <w:szCs w:val="18"/>
              </w:rPr>
            </w:pPr>
            <w:r w:rsidRPr="00C27EE4">
              <w:rPr>
                <w:sz w:val="18"/>
                <w:szCs w:val="18"/>
              </w:rPr>
              <w:t>1.0</w:t>
            </w:r>
          </w:p>
        </w:tc>
        <w:tc>
          <w:tcPr>
            <w:tcW w:w="1276" w:type="dxa"/>
            <w:shd w:val="clear" w:color="auto" w:fill="auto"/>
            <w:tcMar>
              <w:top w:w="0" w:type="dxa"/>
              <w:left w:w="108" w:type="dxa"/>
              <w:bottom w:w="0" w:type="dxa"/>
              <w:right w:w="108" w:type="dxa"/>
            </w:tcMar>
            <w:vAlign w:val="bottom"/>
          </w:tcPr>
          <w:p w14:paraId="7DAA0602" w14:textId="77777777" w:rsidR="00650563" w:rsidRPr="00C27EE4" w:rsidRDefault="00650563" w:rsidP="008E714B">
            <w:pPr>
              <w:pStyle w:val="Tablesmalltext"/>
              <w:rPr>
                <w:sz w:val="18"/>
                <w:szCs w:val="18"/>
              </w:rPr>
            </w:pPr>
            <w:r w:rsidRPr="00C27EE4">
              <w:rPr>
                <w:sz w:val="18"/>
                <w:szCs w:val="18"/>
              </w:rPr>
              <w:t>16.5</w:t>
            </w:r>
          </w:p>
        </w:tc>
        <w:tc>
          <w:tcPr>
            <w:tcW w:w="1417" w:type="dxa"/>
            <w:shd w:val="clear" w:color="auto" w:fill="auto"/>
          </w:tcPr>
          <w:p w14:paraId="7DAA0603" w14:textId="77777777" w:rsidR="00650563" w:rsidRPr="00C27EE4" w:rsidRDefault="00650563" w:rsidP="00D81285">
            <w:pPr>
              <w:pStyle w:val="Tablesmalltext"/>
              <w:ind w:left="142"/>
              <w:rPr>
                <w:sz w:val="18"/>
                <w:szCs w:val="18"/>
              </w:rPr>
            </w:pPr>
            <w:r w:rsidRPr="00C27EE4">
              <w:rPr>
                <w:sz w:val="18"/>
                <w:szCs w:val="18"/>
              </w:rPr>
              <w:t>H</w:t>
            </w:r>
            <w:r w:rsidRPr="00C27EE4">
              <w:rPr>
                <w:sz w:val="18"/>
                <w:szCs w:val="18"/>
                <w:vertAlign w:val="subscript"/>
              </w:rPr>
              <w:t>2</w:t>
            </w:r>
            <w:r w:rsidRPr="00C27EE4">
              <w:rPr>
                <w:sz w:val="18"/>
                <w:szCs w:val="18"/>
              </w:rPr>
              <w:t>S smell (x2)</w:t>
            </w:r>
          </w:p>
        </w:tc>
      </w:tr>
      <w:tr w:rsidR="00650563" w:rsidRPr="00C27EE4" w14:paraId="7DAA060B" w14:textId="77777777" w:rsidTr="00C27EE4">
        <w:trPr>
          <w:trHeight w:hRule="exact" w:val="340"/>
        </w:trPr>
        <w:tc>
          <w:tcPr>
            <w:tcW w:w="3681" w:type="dxa"/>
            <w:shd w:val="clear" w:color="auto" w:fill="auto"/>
            <w:tcMar>
              <w:top w:w="0" w:type="dxa"/>
              <w:left w:w="108" w:type="dxa"/>
              <w:bottom w:w="0" w:type="dxa"/>
              <w:right w:w="108" w:type="dxa"/>
            </w:tcMar>
            <w:hideMark/>
          </w:tcPr>
          <w:p w14:paraId="7DAA0605" w14:textId="77777777" w:rsidR="00650563" w:rsidRPr="00C27EE4" w:rsidRDefault="00650563" w:rsidP="008E714B">
            <w:pPr>
              <w:pStyle w:val="Tablesmalltext"/>
              <w:rPr>
                <w:sz w:val="18"/>
                <w:szCs w:val="18"/>
              </w:rPr>
            </w:pPr>
            <w:r w:rsidRPr="00C27EE4">
              <w:rPr>
                <w:sz w:val="18"/>
                <w:szCs w:val="18"/>
              </w:rPr>
              <w:t>Upper Tertiary Aquifer (marine) (104)</w:t>
            </w:r>
          </w:p>
        </w:tc>
        <w:tc>
          <w:tcPr>
            <w:tcW w:w="1134" w:type="dxa"/>
            <w:shd w:val="clear" w:color="auto" w:fill="auto"/>
            <w:tcMar>
              <w:top w:w="0" w:type="dxa"/>
              <w:left w:w="108" w:type="dxa"/>
              <w:bottom w:w="0" w:type="dxa"/>
              <w:right w:w="108" w:type="dxa"/>
            </w:tcMar>
            <w:vAlign w:val="bottom"/>
          </w:tcPr>
          <w:p w14:paraId="7DAA0606" w14:textId="77777777" w:rsidR="00650563" w:rsidRPr="00C27EE4" w:rsidRDefault="00650563" w:rsidP="008E714B">
            <w:pPr>
              <w:pStyle w:val="Tablesmalltext"/>
              <w:rPr>
                <w:sz w:val="18"/>
                <w:szCs w:val="18"/>
              </w:rPr>
            </w:pPr>
            <w:r w:rsidRPr="00C27EE4">
              <w:rPr>
                <w:sz w:val="18"/>
                <w:szCs w:val="18"/>
              </w:rPr>
              <w:t>7.2</w:t>
            </w:r>
          </w:p>
        </w:tc>
        <w:tc>
          <w:tcPr>
            <w:tcW w:w="992" w:type="dxa"/>
            <w:shd w:val="clear" w:color="auto" w:fill="auto"/>
            <w:tcMar>
              <w:top w:w="0" w:type="dxa"/>
              <w:left w:w="108" w:type="dxa"/>
              <w:bottom w:w="0" w:type="dxa"/>
              <w:right w:w="108" w:type="dxa"/>
            </w:tcMar>
            <w:vAlign w:val="bottom"/>
          </w:tcPr>
          <w:p w14:paraId="7DAA0607" w14:textId="35A7BD46" w:rsidR="00650563" w:rsidRPr="00C27EE4" w:rsidRDefault="00650563" w:rsidP="008E714B">
            <w:pPr>
              <w:pStyle w:val="Tablesmalltext"/>
              <w:rPr>
                <w:sz w:val="18"/>
                <w:szCs w:val="18"/>
              </w:rPr>
            </w:pPr>
            <w:r w:rsidRPr="00C27EE4">
              <w:rPr>
                <w:rFonts w:cs="Arial"/>
                <w:sz w:val="18"/>
                <w:szCs w:val="18"/>
              </w:rPr>
              <w:t>-34.0</w:t>
            </w:r>
          </w:p>
        </w:tc>
        <w:tc>
          <w:tcPr>
            <w:tcW w:w="1134" w:type="dxa"/>
            <w:shd w:val="clear" w:color="auto" w:fill="auto"/>
            <w:tcMar>
              <w:top w:w="0" w:type="dxa"/>
              <w:left w:w="108" w:type="dxa"/>
              <w:bottom w:w="0" w:type="dxa"/>
              <w:right w:w="108" w:type="dxa"/>
            </w:tcMar>
            <w:vAlign w:val="bottom"/>
          </w:tcPr>
          <w:p w14:paraId="7DAA0608" w14:textId="5BDA4052" w:rsidR="00650563" w:rsidRPr="00C27EE4" w:rsidRDefault="00650563" w:rsidP="008E714B">
            <w:pPr>
              <w:pStyle w:val="Tablesmalltext"/>
              <w:rPr>
                <w:sz w:val="18"/>
                <w:szCs w:val="18"/>
              </w:rPr>
            </w:pPr>
            <w:r w:rsidRPr="00C27EE4">
              <w:rPr>
                <w:rFonts w:cs="Arial"/>
                <w:sz w:val="18"/>
                <w:szCs w:val="18"/>
              </w:rPr>
              <w:t>-0.3</w:t>
            </w:r>
          </w:p>
        </w:tc>
        <w:tc>
          <w:tcPr>
            <w:tcW w:w="1276" w:type="dxa"/>
            <w:shd w:val="clear" w:color="auto" w:fill="auto"/>
            <w:tcMar>
              <w:top w:w="0" w:type="dxa"/>
              <w:left w:w="108" w:type="dxa"/>
              <w:bottom w:w="0" w:type="dxa"/>
              <w:right w:w="108" w:type="dxa"/>
            </w:tcMar>
            <w:vAlign w:val="bottom"/>
          </w:tcPr>
          <w:p w14:paraId="7DAA0609" w14:textId="77777777" w:rsidR="00650563" w:rsidRPr="00C27EE4" w:rsidRDefault="00650563" w:rsidP="008E714B">
            <w:pPr>
              <w:pStyle w:val="Tablesmalltext"/>
              <w:rPr>
                <w:sz w:val="18"/>
                <w:szCs w:val="18"/>
              </w:rPr>
            </w:pPr>
            <w:r w:rsidRPr="00C27EE4">
              <w:rPr>
                <w:sz w:val="18"/>
                <w:szCs w:val="18"/>
              </w:rPr>
              <w:t>16.4</w:t>
            </w:r>
          </w:p>
        </w:tc>
        <w:tc>
          <w:tcPr>
            <w:tcW w:w="1417" w:type="dxa"/>
            <w:shd w:val="clear" w:color="auto" w:fill="auto"/>
          </w:tcPr>
          <w:p w14:paraId="7DAA060A" w14:textId="77777777" w:rsidR="00650563" w:rsidRPr="00C27EE4" w:rsidRDefault="00650563" w:rsidP="00D81285">
            <w:pPr>
              <w:pStyle w:val="Tablesmalltext"/>
              <w:ind w:left="142"/>
              <w:rPr>
                <w:sz w:val="18"/>
                <w:szCs w:val="18"/>
              </w:rPr>
            </w:pPr>
            <w:r w:rsidRPr="00C27EE4">
              <w:rPr>
                <w:sz w:val="18"/>
                <w:szCs w:val="18"/>
              </w:rPr>
              <w:t>None</w:t>
            </w:r>
          </w:p>
        </w:tc>
      </w:tr>
      <w:tr w:rsidR="00650563" w:rsidRPr="00C27EE4" w14:paraId="7DAA0612" w14:textId="77777777" w:rsidTr="00C27EE4">
        <w:trPr>
          <w:trHeight w:hRule="exact" w:val="340"/>
        </w:trPr>
        <w:tc>
          <w:tcPr>
            <w:tcW w:w="3681" w:type="dxa"/>
            <w:shd w:val="clear" w:color="auto" w:fill="auto"/>
            <w:tcMar>
              <w:top w:w="0" w:type="dxa"/>
              <w:left w:w="108" w:type="dxa"/>
              <w:bottom w:w="0" w:type="dxa"/>
              <w:right w:w="108" w:type="dxa"/>
            </w:tcMar>
            <w:hideMark/>
          </w:tcPr>
          <w:p w14:paraId="7DAA060C" w14:textId="77777777" w:rsidR="00650563" w:rsidRPr="00C27EE4" w:rsidRDefault="00650563" w:rsidP="008E714B">
            <w:pPr>
              <w:pStyle w:val="Tablesmalltext"/>
              <w:rPr>
                <w:sz w:val="18"/>
                <w:szCs w:val="18"/>
              </w:rPr>
            </w:pPr>
            <w:r w:rsidRPr="00C27EE4">
              <w:rPr>
                <w:sz w:val="18"/>
                <w:szCs w:val="18"/>
              </w:rPr>
              <w:t>Upper Mid Tertiary Aquifer (107)</w:t>
            </w:r>
          </w:p>
        </w:tc>
        <w:tc>
          <w:tcPr>
            <w:tcW w:w="1134" w:type="dxa"/>
            <w:shd w:val="clear" w:color="auto" w:fill="auto"/>
            <w:tcMar>
              <w:top w:w="0" w:type="dxa"/>
              <w:left w:w="108" w:type="dxa"/>
              <w:bottom w:w="0" w:type="dxa"/>
              <w:right w:w="108" w:type="dxa"/>
            </w:tcMar>
            <w:vAlign w:val="bottom"/>
          </w:tcPr>
          <w:p w14:paraId="7DAA060D" w14:textId="77777777" w:rsidR="00650563" w:rsidRPr="00C27EE4" w:rsidRDefault="00650563" w:rsidP="008E714B">
            <w:pPr>
              <w:pStyle w:val="Tablesmalltext"/>
              <w:rPr>
                <w:sz w:val="18"/>
                <w:szCs w:val="18"/>
              </w:rPr>
            </w:pPr>
            <w:r w:rsidRPr="00C27EE4">
              <w:rPr>
                <w:sz w:val="18"/>
                <w:szCs w:val="18"/>
              </w:rPr>
              <w:t>6.7</w:t>
            </w:r>
          </w:p>
        </w:tc>
        <w:tc>
          <w:tcPr>
            <w:tcW w:w="992" w:type="dxa"/>
            <w:shd w:val="clear" w:color="auto" w:fill="auto"/>
            <w:tcMar>
              <w:top w:w="0" w:type="dxa"/>
              <w:left w:w="108" w:type="dxa"/>
              <w:bottom w:w="0" w:type="dxa"/>
              <w:right w:w="108" w:type="dxa"/>
            </w:tcMar>
            <w:vAlign w:val="bottom"/>
          </w:tcPr>
          <w:p w14:paraId="7DAA060E" w14:textId="7F14FACC" w:rsidR="00650563" w:rsidRPr="00C27EE4" w:rsidRDefault="00650563" w:rsidP="008E714B">
            <w:pPr>
              <w:pStyle w:val="Tablesmalltext"/>
              <w:rPr>
                <w:sz w:val="18"/>
                <w:szCs w:val="18"/>
              </w:rPr>
            </w:pPr>
            <w:r w:rsidRPr="00C27EE4">
              <w:rPr>
                <w:rFonts w:cs="Arial"/>
                <w:sz w:val="18"/>
                <w:szCs w:val="18"/>
              </w:rPr>
              <w:t>1.1</w:t>
            </w:r>
          </w:p>
        </w:tc>
        <w:tc>
          <w:tcPr>
            <w:tcW w:w="1134" w:type="dxa"/>
            <w:shd w:val="clear" w:color="auto" w:fill="auto"/>
            <w:tcMar>
              <w:top w:w="0" w:type="dxa"/>
              <w:left w:w="108" w:type="dxa"/>
              <w:bottom w:w="0" w:type="dxa"/>
              <w:right w:w="108" w:type="dxa"/>
            </w:tcMar>
            <w:vAlign w:val="bottom"/>
          </w:tcPr>
          <w:p w14:paraId="7DAA060F" w14:textId="5EE28232" w:rsidR="00650563" w:rsidRPr="00C27EE4" w:rsidRDefault="00650563" w:rsidP="008E714B">
            <w:pPr>
              <w:pStyle w:val="Tablesmalltext"/>
              <w:rPr>
                <w:sz w:val="18"/>
                <w:szCs w:val="18"/>
              </w:rPr>
            </w:pPr>
            <w:r w:rsidRPr="00C27EE4">
              <w:rPr>
                <w:rFonts w:cs="Arial"/>
                <w:sz w:val="18"/>
                <w:szCs w:val="18"/>
              </w:rPr>
              <w:t>1.1</w:t>
            </w:r>
          </w:p>
        </w:tc>
        <w:tc>
          <w:tcPr>
            <w:tcW w:w="1276" w:type="dxa"/>
            <w:shd w:val="clear" w:color="auto" w:fill="auto"/>
            <w:tcMar>
              <w:top w:w="0" w:type="dxa"/>
              <w:left w:w="108" w:type="dxa"/>
              <w:bottom w:w="0" w:type="dxa"/>
              <w:right w:w="108" w:type="dxa"/>
            </w:tcMar>
            <w:vAlign w:val="bottom"/>
          </w:tcPr>
          <w:p w14:paraId="7DAA0610" w14:textId="77777777" w:rsidR="00650563" w:rsidRPr="00C27EE4" w:rsidRDefault="00650563" w:rsidP="008E714B">
            <w:pPr>
              <w:pStyle w:val="Tablesmalltext"/>
              <w:rPr>
                <w:sz w:val="18"/>
                <w:szCs w:val="18"/>
              </w:rPr>
            </w:pPr>
            <w:r w:rsidRPr="00C27EE4">
              <w:rPr>
                <w:sz w:val="18"/>
                <w:szCs w:val="18"/>
              </w:rPr>
              <w:t>16.0</w:t>
            </w:r>
          </w:p>
        </w:tc>
        <w:tc>
          <w:tcPr>
            <w:tcW w:w="1417" w:type="dxa"/>
            <w:shd w:val="clear" w:color="auto" w:fill="auto"/>
          </w:tcPr>
          <w:p w14:paraId="7DAA0611" w14:textId="77777777" w:rsidR="00650563" w:rsidRPr="00C27EE4" w:rsidRDefault="00650563" w:rsidP="00D81285">
            <w:pPr>
              <w:pStyle w:val="Tablesmalltext"/>
              <w:ind w:left="142"/>
              <w:rPr>
                <w:sz w:val="18"/>
                <w:szCs w:val="18"/>
              </w:rPr>
            </w:pPr>
            <w:r w:rsidRPr="00C27EE4">
              <w:rPr>
                <w:sz w:val="18"/>
                <w:szCs w:val="18"/>
              </w:rPr>
              <w:t>H</w:t>
            </w:r>
            <w:r w:rsidRPr="00C27EE4">
              <w:rPr>
                <w:sz w:val="18"/>
                <w:szCs w:val="18"/>
                <w:vertAlign w:val="subscript"/>
              </w:rPr>
              <w:t>2</w:t>
            </w:r>
            <w:r w:rsidRPr="00C27EE4">
              <w:rPr>
                <w:sz w:val="18"/>
                <w:szCs w:val="18"/>
              </w:rPr>
              <w:t>S smell (x2)</w:t>
            </w:r>
          </w:p>
        </w:tc>
      </w:tr>
      <w:tr w:rsidR="00650563" w:rsidRPr="00C27EE4" w14:paraId="7DAA0619" w14:textId="77777777" w:rsidTr="00C27EE4">
        <w:trPr>
          <w:trHeight w:hRule="exact" w:val="340"/>
        </w:trPr>
        <w:tc>
          <w:tcPr>
            <w:tcW w:w="3681" w:type="dxa"/>
            <w:shd w:val="clear" w:color="auto" w:fill="auto"/>
            <w:tcMar>
              <w:top w:w="0" w:type="dxa"/>
              <w:left w:w="108" w:type="dxa"/>
              <w:bottom w:w="0" w:type="dxa"/>
              <w:right w:w="108" w:type="dxa"/>
            </w:tcMar>
            <w:hideMark/>
          </w:tcPr>
          <w:p w14:paraId="7DAA0613" w14:textId="77777777" w:rsidR="00650563" w:rsidRPr="00C27EE4" w:rsidRDefault="00650563" w:rsidP="008E714B">
            <w:pPr>
              <w:pStyle w:val="Tablesmalltext"/>
              <w:rPr>
                <w:sz w:val="18"/>
                <w:szCs w:val="18"/>
              </w:rPr>
            </w:pPr>
            <w:r w:rsidRPr="00C27EE4">
              <w:rPr>
                <w:sz w:val="18"/>
                <w:szCs w:val="18"/>
              </w:rPr>
              <w:t>Lower Mid Tertiary Aquifer (109)</w:t>
            </w:r>
          </w:p>
        </w:tc>
        <w:tc>
          <w:tcPr>
            <w:tcW w:w="1134" w:type="dxa"/>
            <w:shd w:val="clear" w:color="auto" w:fill="auto"/>
            <w:tcMar>
              <w:top w:w="0" w:type="dxa"/>
              <w:left w:w="108" w:type="dxa"/>
              <w:bottom w:w="0" w:type="dxa"/>
              <w:right w:w="108" w:type="dxa"/>
            </w:tcMar>
            <w:vAlign w:val="bottom"/>
          </w:tcPr>
          <w:p w14:paraId="7DAA0614" w14:textId="77777777" w:rsidR="00650563" w:rsidRPr="00C27EE4" w:rsidRDefault="00650563" w:rsidP="008E714B">
            <w:pPr>
              <w:pStyle w:val="Tablesmalltext"/>
              <w:rPr>
                <w:sz w:val="18"/>
                <w:szCs w:val="18"/>
              </w:rPr>
            </w:pPr>
            <w:r w:rsidRPr="00C27EE4">
              <w:rPr>
                <w:sz w:val="18"/>
                <w:szCs w:val="18"/>
              </w:rPr>
              <w:t>6.6</w:t>
            </w:r>
          </w:p>
        </w:tc>
        <w:tc>
          <w:tcPr>
            <w:tcW w:w="992" w:type="dxa"/>
            <w:shd w:val="clear" w:color="auto" w:fill="auto"/>
            <w:tcMar>
              <w:top w:w="0" w:type="dxa"/>
              <w:left w:w="108" w:type="dxa"/>
              <w:bottom w:w="0" w:type="dxa"/>
              <w:right w:w="108" w:type="dxa"/>
            </w:tcMar>
          </w:tcPr>
          <w:p w14:paraId="7DAA0615" w14:textId="62E65FD0" w:rsidR="00650563" w:rsidRPr="00C27EE4" w:rsidRDefault="00650563" w:rsidP="008E714B">
            <w:pPr>
              <w:pStyle w:val="Tablesmalltext"/>
              <w:rPr>
                <w:sz w:val="18"/>
                <w:szCs w:val="18"/>
              </w:rPr>
            </w:pPr>
            <w:r w:rsidRPr="00C27EE4">
              <w:rPr>
                <w:rFonts w:cs="Arial"/>
                <w:sz w:val="18"/>
                <w:szCs w:val="18"/>
              </w:rPr>
              <w:t>87.6</w:t>
            </w:r>
          </w:p>
        </w:tc>
        <w:tc>
          <w:tcPr>
            <w:tcW w:w="1134" w:type="dxa"/>
            <w:shd w:val="clear" w:color="auto" w:fill="auto"/>
            <w:tcMar>
              <w:top w:w="0" w:type="dxa"/>
              <w:left w:w="108" w:type="dxa"/>
              <w:bottom w:w="0" w:type="dxa"/>
              <w:right w:w="108" w:type="dxa"/>
            </w:tcMar>
          </w:tcPr>
          <w:p w14:paraId="7DAA0616" w14:textId="32A9B465" w:rsidR="00650563" w:rsidRPr="00C27EE4" w:rsidRDefault="00650563" w:rsidP="008E714B">
            <w:pPr>
              <w:pStyle w:val="Tablesmalltext"/>
              <w:rPr>
                <w:sz w:val="18"/>
                <w:szCs w:val="18"/>
              </w:rPr>
            </w:pPr>
            <w:r w:rsidRPr="00C27EE4">
              <w:rPr>
                <w:rFonts w:cs="Arial"/>
                <w:sz w:val="18"/>
                <w:szCs w:val="18"/>
              </w:rPr>
              <w:t>3.7</w:t>
            </w:r>
          </w:p>
        </w:tc>
        <w:tc>
          <w:tcPr>
            <w:tcW w:w="1276" w:type="dxa"/>
            <w:shd w:val="clear" w:color="auto" w:fill="auto"/>
            <w:tcMar>
              <w:top w:w="0" w:type="dxa"/>
              <w:left w:w="108" w:type="dxa"/>
              <w:bottom w:w="0" w:type="dxa"/>
              <w:right w:w="108" w:type="dxa"/>
            </w:tcMar>
            <w:vAlign w:val="bottom"/>
          </w:tcPr>
          <w:p w14:paraId="7DAA0617" w14:textId="77777777" w:rsidR="00650563" w:rsidRPr="00C27EE4" w:rsidRDefault="00650563" w:rsidP="008E714B">
            <w:pPr>
              <w:pStyle w:val="Tablesmalltext"/>
              <w:rPr>
                <w:sz w:val="18"/>
                <w:szCs w:val="18"/>
              </w:rPr>
            </w:pPr>
            <w:r w:rsidRPr="00C27EE4">
              <w:rPr>
                <w:sz w:val="18"/>
                <w:szCs w:val="18"/>
              </w:rPr>
              <w:t>15.8</w:t>
            </w:r>
          </w:p>
        </w:tc>
        <w:tc>
          <w:tcPr>
            <w:tcW w:w="1417" w:type="dxa"/>
            <w:shd w:val="clear" w:color="auto" w:fill="auto"/>
          </w:tcPr>
          <w:p w14:paraId="7DAA0618" w14:textId="77777777" w:rsidR="00650563" w:rsidRPr="00C27EE4" w:rsidRDefault="00650563" w:rsidP="00D81285">
            <w:pPr>
              <w:pStyle w:val="Tablesmalltext"/>
              <w:ind w:left="142"/>
              <w:rPr>
                <w:sz w:val="18"/>
                <w:szCs w:val="18"/>
              </w:rPr>
            </w:pPr>
            <w:r w:rsidRPr="00C27EE4">
              <w:rPr>
                <w:sz w:val="18"/>
                <w:szCs w:val="18"/>
              </w:rPr>
              <w:t>None</w:t>
            </w:r>
          </w:p>
        </w:tc>
      </w:tr>
      <w:tr w:rsidR="00650563" w:rsidRPr="00C27EE4" w14:paraId="7DAA0620" w14:textId="77777777" w:rsidTr="00C27EE4">
        <w:trPr>
          <w:trHeight w:hRule="exact" w:val="340"/>
        </w:trPr>
        <w:tc>
          <w:tcPr>
            <w:tcW w:w="3681" w:type="dxa"/>
            <w:shd w:val="clear" w:color="auto" w:fill="auto"/>
            <w:tcMar>
              <w:top w:w="0" w:type="dxa"/>
              <w:left w:w="108" w:type="dxa"/>
              <w:bottom w:w="0" w:type="dxa"/>
              <w:right w:w="108" w:type="dxa"/>
            </w:tcMar>
            <w:hideMark/>
          </w:tcPr>
          <w:p w14:paraId="7DAA061A" w14:textId="77777777" w:rsidR="00650563" w:rsidRPr="00C27EE4" w:rsidRDefault="00650563" w:rsidP="008E714B">
            <w:pPr>
              <w:pStyle w:val="Tablesmalltext"/>
              <w:rPr>
                <w:sz w:val="18"/>
                <w:szCs w:val="18"/>
              </w:rPr>
            </w:pPr>
            <w:r w:rsidRPr="00C27EE4">
              <w:rPr>
                <w:sz w:val="18"/>
                <w:szCs w:val="18"/>
              </w:rPr>
              <w:t>Lower Tertiary Aquifer (111)</w:t>
            </w:r>
          </w:p>
        </w:tc>
        <w:tc>
          <w:tcPr>
            <w:tcW w:w="1134" w:type="dxa"/>
            <w:shd w:val="clear" w:color="auto" w:fill="auto"/>
            <w:tcMar>
              <w:top w:w="0" w:type="dxa"/>
              <w:left w:w="108" w:type="dxa"/>
              <w:bottom w:w="0" w:type="dxa"/>
              <w:right w:w="108" w:type="dxa"/>
            </w:tcMar>
            <w:vAlign w:val="bottom"/>
          </w:tcPr>
          <w:p w14:paraId="7DAA061B" w14:textId="77777777" w:rsidR="00650563" w:rsidRPr="00C27EE4" w:rsidRDefault="00650563" w:rsidP="008E714B">
            <w:pPr>
              <w:pStyle w:val="Tablesmalltext"/>
              <w:rPr>
                <w:sz w:val="18"/>
                <w:szCs w:val="18"/>
              </w:rPr>
            </w:pPr>
            <w:r w:rsidRPr="00C27EE4">
              <w:rPr>
                <w:sz w:val="18"/>
                <w:szCs w:val="18"/>
              </w:rPr>
              <w:t>6.1</w:t>
            </w:r>
          </w:p>
        </w:tc>
        <w:tc>
          <w:tcPr>
            <w:tcW w:w="992" w:type="dxa"/>
            <w:shd w:val="clear" w:color="auto" w:fill="auto"/>
            <w:tcMar>
              <w:top w:w="0" w:type="dxa"/>
              <w:left w:w="108" w:type="dxa"/>
              <w:bottom w:w="0" w:type="dxa"/>
              <w:right w:w="108" w:type="dxa"/>
            </w:tcMar>
            <w:vAlign w:val="bottom"/>
          </w:tcPr>
          <w:p w14:paraId="7DAA061C" w14:textId="3AF6AA92" w:rsidR="00650563" w:rsidRPr="00C27EE4" w:rsidRDefault="00650563" w:rsidP="008E714B">
            <w:pPr>
              <w:pStyle w:val="Tablesmalltext"/>
              <w:rPr>
                <w:sz w:val="18"/>
                <w:szCs w:val="18"/>
              </w:rPr>
            </w:pPr>
            <w:r w:rsidRPr="00C27EE4">
              <w:rPr>
                <w:rFonts w:cs="Arial"/>
                <w:sz w:val="18"/>
                <w:szCs w:val="18"/>
              </w:rPr>
              <w:t>0.5</w:t>
            </w:r>
          </w:p>
        </w:tc>
        <w:tc>
          <w:tcPr>
            <w:tcW w:w="1134" w:type="dxa"/>
            <w:shd w:val="clear" w:color="auto" w:fill="auto"/>
            <w:tcMar>
              <w:top w:w="0" w:type="dxa"/>
              <w:left w:w="108" w:type="dxa"/>
              <w:bottom w:w="0" w:type="dxa"/>
              <w:right w:w="108" w:type="dxa"/>
            </w:tcMar>
            <w:vAlign w:val="bottom"/>
          </w:tcPr>
          <w:p w14:paraId="7DAA061D" w14:textId="337A66AD" w:rsidR="00650563" w:rsidRPr="00C27EE4" w:rsidRDefault="00650563" w:rsidP="008E714B">
            <w:pPr>
              <w:pStyle w:val="Tablesmalltext"/>
              <w:rPr>
                <w:sz w:val="18"/>
                <w:szCs w:val="18"/>
              </w:rPr>
            </w:pPr>
            <w:r w:rsidRPr="00C27EE4">
              <w:rPr>
                <w:rFonts w:cs="Arial"/>
                <w:sz w:val="18"/>
                <w:szCs w:val="18"/>
              </w:rPr>
              <w:t>0.5</w:t>
            </w:r>
          </w:p>
        </w:tc>
        <w:tc>
          <w:tcPr>
            <w:tcW w:w="1276" w:type="dxa"/>
            <w:shd w:val="clear" w:color="auto" w:fill="auto"/>
            <w:tcMar>
              <w:top w:w="0" w:type="dxa"/>
              <w:left w:w="108" w:type="dxa"/>
              <w:bottom w:w="0" w:type="dxa"/>
              <w:right w:w="108" w:type="dxa"/>
            </w:tcMar>
            <w:vAlign w:val="bottom"/>
          </w:tcPr>
          <w:p w14:paraId="7DAA061E" w14:textId="77777777" w:rsidR="00650563" w:rsidRPr="00C27EE4" w:rsidRDefault="00650563" w:rsidP="008E714B">
            <w:pPr>
              <w:pStyle w:val="Tablesmalltext"/>
              <w:rPr>
                <w:sz w:val="18"/>
                <w:szCs w:val="18"/>
              </w:rPr>
            </w:pPr>
            <w:r w:rsidRPr="00C27EE4">
              <w:rPr>
                <w:sz w:val="18"/>
                <w:szCs w:val="18"/>
              </w:rPr>
              <w:t>16.8</w:t>
            </w:r>
          </w:p>
        </w:tc>
        <w:tc>
          <w:tcPr>
            <w:tcW w:w="1417" w:type="dxa"/>
            <w:shd w:val="clear" w:color="auto" w:fill="auto"/>
          </w:tcPr>
          <w:p w14:paraId="7DAA061F" w14:textId="77777777" w:rsidR="00650563" w:rsidRPr="00C27EE4" w:rsidRDefault="00650563" w:rsidP="00D81285">
            <w:pPr>
              <w:pStyle w:val="Tablesmalltext"/>
              <w:ind w:left="142"/>
              <w:rPr>
                <w:sz w:val="18"/>
                <w:szCs w:val="18"/>
              </w:rPr>
            </w:pPr>
            <w:r w:rsidRPr="00C27EE4">
              <w:rPr>
                <w:sz w:val="18"/>
                <w:szCs w:val="18"/>
              </w:rPr>
              <w:t>H</w:t>
            </w:r>
            <w:r w:rsidRPr="00C27EE4">
              <w:rPr>
                <w:sz w:val="18"/>
                <w:szCs w:val="18"/>
                <w:vertAlign w:val="subscript"/>
              </w:rPr>
              <w:t>2</w:t>
            </w:r>
            <w:r w:rsidRPr="00C27EE4">
              <w:rPr>
                <w:sz w:val="18"/>
                <w:szCs w:val="18"/>
              </w:rPr>
              <w:t>S smell (x1)</w:t>
            </w:r>
          </w:p>
        </w:tc>
      </w:tr>
      <w:tr w:rsidR="00650563" w:rsidRPr="00C27EE4" w14:paraId="7DAA0627" w14:textId="77777777" w:rsidTr="00C27EE4">
        <w:trPr>
          <w:trHeight w:hRule="exact" w:val="340"/>
        </w:trPr>
        <w:tc>
          <w:tcPr>
            <w:tcW w:w="3681" w:type="dxa"/>
            <w:shd w:val="clear" w:color="auto" w:fill="auto"/>
            <w:tcMar>
              <w:top w:w="0" w:type="dxa"/>
              <w:left w:w="108" w:type="dxa"/>
              <w:bottom w:w="0" w:type="dxa"/>
              <w:right w:w="108" w:type="dxa"/>
            </w:tcMar>
            <w:hideMark/>
          </w:tcPr>
          <w:p w14:paraId="7DAA0621" w14:textId="77777777" w:rsidR="00650563" w:rsidRPr="00C27EE4" w:rsidRDefault="00650563" w:rsidP="008E714B">
            <w:pPr>
              <w:pStyle w:val="Tablesmalltext"/>
              <w:rPr>
                <w:sz w:val="18"/>
                <w:szCs w:val="18"/>
              </w:rPr>
            </w:pPr>
            <w:r w:rsidRPr="00C27EE4">
              <w:rPr>
                <w:sz w:val="18"/>
                <w:szCs w:val="18"/>
              </w:rPr>
              <w:t>Mesozoic and Palaeozoic Bedrock (114)</w:t>
            </w:r>
          </w:p>
        </w:tc>
        <w:tc>
          <w:tcPr>
            <w:tcW w:w="1134" w:type="dxa"/>
            <w:shd w:val="clear" w:color="auto" w:fill="auto"/>
            <w:tcMar>
              <w:top w:w="0" w:type="dxa"/>
              <w:left w:w="108" w:type="dxa"/>
              <w:bottom w:w="0" w:type="dxa"/>
              <w:right w:w="108" w:type="dxa"/>
            </w:tcMar>
            <w:vAlign w:val="bottom"/>
          </w:tcPr>
          <w:p w14:paraId="7DAA0622" w14:textId="77777777" w:rsidR="00650563" w:rsidRPr="00C27EE4" w:rsidRDefault="00650563" w:rsidP="008E714B">
            <w:pPr>
              <w:pStyle w:val="Tablesmalltext"/>
              <w:rPr>
                <w:sz w:val="18"/>
                <w:szCs w:val="18"/>
              </w:rPr>
            </w:pPr>
            <w:r w:rsidRPr="00C27EE4">
              <w:rPr>
                <w:sz w:val="18"/>
                <w:szCs w:val="18"/>
              </w:rPr>
              <w:t>7.2</w:t>
            </w:r>
          </w:p>
        </w:tc>
        <w:tc>
          <w:tcPr>
            <w:tcW w:w="992" w:type="dxa"/>
            <w:shd w:val="clear" w:color="auto" w:fill="auto"/>
            <w:tcMar>
              <w:top w:w="0" w:type="dxa"/>
              <w:left w:w="108" w:type="dxa"/>
              <w:bottom w:w="0" w:type="dxa"/>
              <w:right w:w="108" w:type="dxa"/>
            </w:tcMar>
          </w:tcPr>
          <w:p w14:paraId="7DAA0623" w14:textId="23FA6E1F" w:rsidR="00650563" w:rsidRPr="00C27EE4" w:rsidRDefault="00650563" w:rsidP="008E714B">
            <w:pPr>
              <w:pStyle w:val="Tablesmalltext"/>
              <w:rPr>
                <w:sz w:val="18"/>
                <w:szCs w:val="18"/>
              </w:rPr>
            </w:pPr>
            <w:r w:rsidRPr="00C27EE4">
              <w:rPr>
                <w:rFonts w:cs="Arial"/>
                <w:sz w:val="18"/>
                <w:szCs w:val="18"/>
              </w:rPr>
              <w:t>-122.1</w:t>
            </w:r>
          </w:p>
        </w:tc>
        <w:tc>
          <w:tcPr>
            <w:tcW w:w="1134" w:type="dxa"/>
            <w:shd w:val="clear" w:color="auto" w:fill="auto"/>
            <w:tcMar>
              <w:top w:w="0" w:type="dxa"/>
              <w:left w:w="108" w:type="dxa"/>
              <w:bottom w:w="0" w:type="dxa"/>
              <w:right w:w="108" w:type="dxa"/>
            </w:tcMar>
          </w:tcPr>
          <w:p w14:paraId="7DAA0624" w14:textId="79C1C878" w:rsidR="00650563" w:rsidRPr="00C27EE4" w:rsidRDefault="00650563" w:rsidP="008E714B">
            <w:pPr>
              <w:pStyle w:val="Tablesmalltext"/>
              <w:rPr>
                <w:sz w:val="18"/>
                <w:szCs w:val="18"/>
              </w:rPr>
            </w:pPr>
            <w:r w:rsidRPr="00C27EE4">
              <w:rPr>
                <w:rFonts w:cs="Arial"/>
                <w:sz w:val="18"/>
                <w:szCs w:val="18"/>
              </w:rPr>
              <w:t>0.5</w:t>
            </w:r>
          </w:p>
        </w:tc>
        <w:tc>
          <w:tcPr>
            <w:tcW w:w="1276" w:type="dxa"/>
            <w:shd w:val="clear" w:color="auto" w:fill="auto"/>
            <w:tcMar>
              <w:top w:w="0" w:type="dxa"/>
              <w:left w:w="108" w:type="dxa"/>
              <w:bottom w:w="0" w:type="dxa"/>
              <w:right w:w="108" w:type="dxa"/>
            </w:tcMar>
            <w:vAlign w:val="bottom"/>
          </w:tcPr>
          <w:p w14:paraId="7DAA0625" w14:textId="77777777" w:rsidR="00650563" w:rsidRPr="00C27EE4" w:rsidRDefault="00650563" w:rsidP="008E714B">
            <w:pPr>
              <w:pStyle w:val="Tablesmalltext"/>
              <w:rPr>
                <w:sz w:val="18"/>
                <w:szCs w:val="18"/>
              </w:rPr>
            </w:pPr>
            <w:r w:rsidRPr="00C27EE4">
              <w:rPr>
                <w:sz w:val="18"/>
                <w:szCs w:val="18"/>
              </w:rPr>
              <w:t>17.8</w:t>
            </w:r>
          </w:p>
        </w:tc>
        <w:tc>
          <w:tcPr>
            <w:tcW w:w="1417" w:type="dxa"/>
            <w:shd w:val="clear" w:color="auto" w:fill="auto"/>
          </w:tcPr>
          <w:p w14:paraId="7DAA0626" w14:textId="77777777" w:rsidR="00650563" w:rsidRPr="00C27EE4" w:rsidRDefault="00650563" w:rsidP="00D81285">
            <w:pPr>
              <w:pStyle w:val="Tablesmalltext"/>
              <w:ind w:left="142"/>
              <w:rPr>
                <w:sz w:val="18"/>
                <w:szCs w:val="18"/>
              </w:rPr>
            </w:pPr>
            <w:r w:rsidRPr="00C27EE4">
              <w:rPr>
                <w:sz w:val="18"/>
                <w:szCs w:val="18"/>
              </w:rPr>
              <w:t>H</w:t>
            </w:r>
            <w:r w:rsidRPr="00C27EE4">
              <w:rPr>
                <w:sz w:val="18"/>
                <w:szCs w:val="18"/>
                <w:vertAlign w:val="subscript"/>
              </w:rPr>
              <w:t>2</w:t>
            </w:r>
            <w:r w:rsidRPr="00C27EE4">
              <w:rPr>
                <w:sz w:val="18"/>
                <w:szCs w:val="18"/>
              </w:rPr>
              <w:t>S smell (x1)</w:t>
            </w:r>
          </w:p>
        </w:tc>
      </w:tr>
    </w:tbl>
    <w:p w14:paraId="7DAA0628" w14:textId="77777777" w:rsidR="008D0183" w:rsidRDefault="008D0183" w:rsidP="000C564C">
      <w:pPr>
        <w:rPr>
          <w:lang w:val="en-AU"/>
        </w:rPr>
      </w:pPr>
    </w:p>
    <w:p w14:paraId="7DAA0629" w14:textId="77777777" w:rsidR="008D0183" w:rsidRDefault="008D0183" w:rsidP="008D0183">
      <w:pPr>
        <w:rPr>
          <w:lang w:val="en-AU"/>
        </w:rPr>
      </w:pPr>
      <w:r>
        <w:rPr>
          <w:lang w:val="en-AU"/>
        </w:rPr>
        <w:br w:type="page"/>
      </w:r>
    </w:p>
    <w:p w14:paraId="7DAA062A" w14:textId="0E24E644" w:rsidR="000C564C" w:rsidRPr="000C564C" w:rsidRDefault="000C564C" w:rsidP="008D0183">
      <w:pPr>
        <w:pStyle w:val="Head1x"/>
      </w:pPr>
      <w:bookmarkStart w:id="133" w:name="_Toc420327737"/>
      <w:r w:rsidRPr="000C564C">
        <w:t xml:space="preserve">Groundwater </w:t>
      </w:r>
      <w:r w:rsidR="00966ED4" w:rsidRPr="000C564C">
        <w:t xml:space="preserve">sampling – </w:t>
      </w:r>
      <w:r w:rsidR="00966ED4">
        <w:br/>
      </w:r>
      <w:r w:rsidR="00966ED4" w:rsidRPr="000C564C">
        <w:t>aquifer characterisation</w:t>
      </w:r>
      <w:bookmarkEnd w:id="133"/>
      <w:r w:rsidR="00966ED4" w:rsidRPr="000C564C">
        <w:t xml:space="preserve"> </w:t>
      </w:r>
    </w:p>
    <w:p w14:paraId="7DAA062B" w14:textId="29C5C618" w:rsidR="000C564C" w:rsidRPr="000C564C" w:rsidRDefault="000C564C" w:rsidP="000C564C">
      <w:pPr>
        <w:rPr>
          <w:lang w:val="en-AU"/>
        </w:rPr>
      </w:pPr>
      <w:r w:rsidRPr="000C564C">
        <w:rPr>
          <w:lang w:val="en-AU"/>
        </w:rPr>
        <w:t xml:space="preserve">This </w:t>
      </w:r>
      <w:r w:rsidR="006F0A17">
        <w:rPr>
          <w:lang w:val="en-AU"/>
        </w:rPr>
        <w:t>chapter</w:t>
      </w:r>
      <w:r w:rsidRPr="000C564C">
        <w:rPr>
          <w:lang w:val="en-AU"/>
        </w:rPr>
        <w:t xml:space="preserve"> provides comments on the sampling results</w:t>
      </w:r>
      <w:r w:rsidR="0064049F">
        <w:rPr>
          <w:lang w:val="en-AU"/>
        </w:rPr>
        <w:t>,</w:t>
      </w:r>
      <w:r w:rsidRPr="000C564C">
        <w:rPr>
          <w:lang w:val="en-AU"/>
        </w:rPr>
        <w:t xml:space="preserve"> by aquifer</w:t>
      </w:r>
      <w:r w:rsidR="0064049F">
        <w:rPr>
          <w:lang w:val="en-AU"/>
        </w:rPr>
        <w:t>,</w:t>
      </w:r>
      <w:r w:rsidRPr="000C564C">
        <w:rPr>
          <w:lang w:val="en-AU"/>
        </w:rPr>
        <w:t xml:space="preserve"> relating back to the justification for bore selection.</w:t>
      </w:r>
    </w:p>
    <w:p w14:paraId="7DAA062C" w14:textId="77777777" w:rsidR="000C564C" w:rsidRPr="000C564C" w:rsidRDefault="000C564C" w:rsidP="008D0183">
      <w:pPr>
        <w:pStyle w:val="Head2xx"/>
      </w:pPr>
      <w:bookmarkStart w:id="134" w:name="_Toc420327738"/>
      <w:r w:rsidRPr="000C564C">
        <w:t>Quaternary Aquifer (100)</w:t>
      </w:r>
      <w:bookmarkEnd w:id="134"/>
    </w:p>
    <w:p w14:paraId="7DAA062D" w14:textId="26A6275B" w:rsidR="000C564C" w:rsidRPr="000C564C" w:rsidRDefault="000C564C" w:rsidP="000C564C">
      <w:pPr>
        <w:rPr>
          <w:lang w:val="en-AU"/>
        </w:rPr>
      </w:pPr>
      <w:r w:rsidRPr="000C564C">
        <w:rPr>
          <w:lang w:val="en-AU"/>
        </w:rPr>
        <w:t>Four observation bores were sampled from the Quaternary Aquifer (</w:t>
      </w:r>
      <w:r w:rsidR="00156BFB">
        <w:rPr>
          <w:lang w:val="en-AU"/>
        </w:rPr>
        <w:t>Table 19</w:t>
      </w:r>
      <w:r w:rsidRPr="000C564C">
        <w:rPr>
          <w:lang w:val="en-AU"/>
        </w:rPr>
        <w:t>). The Quaternary Aquifer is comprised of various aeolian, fluvial, lacustrine, alluvial and colluvial sediments. These observation bores are located in areas of shale gas prospectivity and important wetlands and rivers such as McCallums Swamp, Mundi-Selkirk Wetlands, Lake Mundi and the Glenelg River.</w:t>
      </w:r>
    </w:p>
    <w:p w14:paraId="7DAA062E" w14:textId="4F408881" w:rsidR="000C564C" w:rsidRPr="000C564C" w:rsidRDefault="000C564C" w:rsidP="000C564C">
      <w:pPr>
        <w:rPr>
          <w:lang w:val="en-AU"/>
        </w:rPr>
      </w:pPr>
      <w:r w:rsidRPr="000C564C">
        <w:rPr>
          <w:lang w:val="en-AU"/>
        </w:rPr>
        <w:t xml:space="preserve">Groundwater salinity for this aquifer ranges from 860 mg/L TDS to 2,210 mg/L TDS. The average groundwater salinity is marginal </w:t>
      </w:r>
      <w:r w:rsidR="0064049F">
        <w:rPr>
          <w:lang w:val="en-AU"/>
        </w:rPr>
        <w:t>(</w:t>
      </w:r>
      <w:r w:rsidRPr="000C564C">
        <w:rPr>
          <w:lang w:val="en-AU"/>
        </w:rPr>
        <w:t>1,425 mg/L TDS</w:t>
      </w:r>
      <w:r w:rsidR="0064049F">
        <w:rPr>
          <w:lang w:val="en-AU"/>
        </w:rPr>
        <w:t>)</w:t>
      </w:r>
      <w:r w:rsidRPr="000C564C">
        <w:rPr>
          <w:lang w:val="en-AU"/>
        </w:rPr>
        <w:t xml:space="preserve">. Total Nitrogen concentration for this aquifer ranges from 0 mg/L to 1.4 mg/L. The average nitrogen concentration is 0.5 mg/L. The groundwater is near-neutral with an average pH of 6.7. </w:t>
      </w:r>
    </w:p>
    <w:p w14:paraId="7DAA062F" w14:textId="77777777" w:rsidR="000C564C" w:rsidRPr="000C564C" w:rsidRDefault="000C564C" w:rsidP="000C564C">
      <w:pPr>
        <w:rPr>
          <w:lang w:val="en-AU"/>
        </w:rPr>
      </w:pPr>
      <w:r w:rsidRPr="000C564C">
        <w:rPr>
          <w:lang w:val="en-AU"/>
        </w:rPr>
        <w:t xml:space="preserve">Dissolved methane and TRH (which includes BTEX) detection is negligible for this aquifer. A single observation of TRH and methane was observed and both results were low concentration (equivalent to the level of reporting). </w:t>
      </w:r>
    </w:p>
    <w:p w14:paraId="69B26341" w14:textId="77777777" w:rsidR="00966ED4" w:rsidRDefault="00966ED4">
      <w:pPr>
        <w:rPr>
          <w:rFonts w:cs="Arial"/>
          <w:b/>
          <w:bCs/>
        </w:rPr>
      </w:pPr>
      <w:bookmarkStart w:id="135" w:name="_Ref414008941"/>
      <w:r>
        <w:br w:type="page"/>
      </w:r>
    </w:p>
    <w:p w14:paraId="7DAA0630" w14:textId="545748D4" w:rsidR="000C564C" w:rsidRPr="000C564C" w:rsidRDefault="008E714B" w:rsidP="004F307F">
      <w:pPr>
        <w:pStyle w:val="Tableheading"/>
        <w:rPr>
          <w:lang w:val="en-AU"/>
        </w:rPr>
      </w:pPr>
      <w:bookmarkStart w:id="136" w:name="_Toc420320569"/>
      <w:r>
        <w:t xml:space="preserve">Table </w:t>
      </w:r>
      <w:r>
        <w:fldChar w:fldCharType="begin"/>
      </w:r>
      <w:r>
        <w:instrText xml:space="preserve"> SEQ Table \* ARABIC </w:instrText>
      </w:r>
      <w:r>
        <w:fldChar w:fldCharType="separate"/>
      </w:r>
      <w:r w:rsidR="00BD60CC">
        <w:rPr>
          <w:noProof/>
        </w:rPr>
        <w:t>19</w:t>
      </w:r>
      <w:r>
        <w:fldChar w:fldCharType="end"/>
      </w:r>
      <w:bookmarkEnd w:id="135"/>
      <w:r>
        <w:t xml:space="preserve"> </w:t>
      </w:r>
      <w:r w:rsidR="000C564C" w:rsidRPr="000C564C">
        <w:rPr>
          <w:lang w:val="en-AU"/>
        </w:rPr>
        <w:t xml:space="preserve">Quaternary Aquifer </w:t>
      </w:r>
      <w:r w:rsidR="00EC356C">
        <w:rPr>
          <w:lang w:val="en-AU"/>
        </w:rPr>
        <w:t>monitoring</w:t>
      </w:r>
      <w:r w:rsidR="000C564C" w:rsidRPr="000C564C">
        <w:rPr>
          <w:lang w:val="en-AU"/>
        </w:rPr>
        <w:t xml:space="preserve"> Bores</w:t>
      </w:r>
      <w:bookmarkEnd w:id="136"/>
    </w:p>
    <w:tbl>
      <w:tblPr>
        <w:tblW w:w="9769" w:type="dxa"/>
        <w:tblInd w:w="120"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1029"/>
        <w:gridCol w:w="1264"/>
        <w:gridCol w:w="3977"/>
        <w:gridCol w:w="3499"/>
      </w:tblGrid>
      <w:tr w:rsidR="008D0183" w:rsidRPr="0073640E" w14:paraId="7DAA0635" w14:textId="77777777" w:rsidTr="00C27EE4">
        <w:trPr>
          <w:trHeight w:val="270"/>
          <w:tblHeader/>
        </w:trPr>
        <w:tc>
          <w:tcPr>
            <w:tcW w:w="1029" w:type="dxa"/>
            <w:tcBorders>
              <w:top w:val="nil"/>
              <w:right w:val="single" w:sz="4" w:space="0" w:color="FFFFFF"/>
            </w:tcBorders>
            <w:shd w:val="clear" w:color="auto" w:fill="005A97"/>
            <w:noWrap/>
            <w:hideMark/>
          </w:tcPr>
          <w:p w14:paraId="7DAA0631" w14:textId="77777777" w:rsidR="008D0183" w:rsidRPr="0073640E" w:rsidRDefault="008D0183" w:rsidP="00E63375">
            <w:pPr>
              <w:pStyle w:val="TableHeaderrow"/>
            </w:pPr>
            <w:r w:rsidRPr="0073640E">
              <w:t>Bore</w:t>
            </w:r>
          </w:p>
        </w:tc>
        <w:tc>
          <w:tcPr>
            <w:tcW w:w="1264" w:type="dxa"/>
            <w:tcBorders>
              <w:top w:val="nil"/>
              <w:left w:val="single" w:sz="4" w:space="0" w:color="FFFFFF"/>
              <w:right w:val="single" w:sz="4" w:space="0" w:color="FFFFFF"/>
            </w:tcBorders>
            <w:shd w:val="clear" w:color="auto" w:fill="005A97"/>
            <w:noWrap/>
            <w:hideMark/>
          </w:tcPr>
          <w:p w14:paraId="7DAA0632" w14:textId="77777777" w:rsidR="008D0183" w:rsidRPr="0073640E" w:rsidRDefault="008D0183" w:rsidP="00E63375">
            <w:pPr>
              <w:pStyle w:val="TableHeaderrow"/>
            </w:pPr>
            <w:r w:rsidRPr="0073640E">
              <w:t>Aquifer Monitored</w:t>
            </w:r>
          </w:p>
        </w:tc>
        <w:tc>
          <w:tcPr>
            <w:tcW w:w="3977" w:type="dxa"/>
            <w:tcBorders>
              <w:top w:val="nil"/>
              <w:left w:val="single" w:sz="4" w:space="0" w:color="FFFFFF"/>
              <w:right w:val="single" w:sz="4" w:space="0" w:color="FFFFFF"/>
            </w:tcBorders>
            <w:shd w:val="clear" w:color="auto" w:fill="005A97"/>
            <w:noWrap/>
            <w:hideMark/>
          </w:tcPr>
          <w:p w14:paraId="7DAA0633" w14:textId="2896487F" w:rsidR="008D0183" w:rsidRPr="0073640E" w:rsidRDefault="008D0183" w:rsidP="00E63375">
            <w:pPr>
              <w:pStyle w:val="TableHeaderrow"/>
            </w:pPr>
            <w:r w:rsidRPr="0073640E">
              <w:t xml:space="preserve">Justification for inclusion in the </w:t>
            </w:r>
            <w:r w:rsidR="00857ACF">
              <w:t xml:space="preserve">monitoring </w:t>
            </w:r>
            <w:r w:rsidRPr="0073640E">
              <w:t>network</w:t>
            </w:r>
          </w:p>
        </w:tc>
        <w:tc>
          <w:tcPr>
            <w:tcW w:w="3499" w:type="dxa"/>
            <w:tcBorders>
              <w:top w:val="nil"/>
              <w:left w:val="single" w:sz="4" w:space="0" w:color="FFFFFF"/>
            </w:tcBorders>
            <w:shd w:val="clear" w:color="auto" w:fill="005A97"/>
          </w:tcPr>
          <w:p w14:paraId="7DAA0634" w14:textId="77777777" w:rsidR="008D0183" w:rsidRPr="0073640E" w:rsidRDefault="008D0183" w:rsidP="00E63375">
            <w:pPr>
              <w:pStyle w:val="TableHeaderrow"/>
            </w:pPr>
            <w:r>
              <w:t>Comment</w:t>
            </w:r>
          </w:p>
        </w:tc>
      </w:tr>
      <w:tr w:rsidR="008D0183" w:rsidRPr="0073640E" w14:paraId="7DAA063C" w14:textId="77777777" w:rsidTr="00C27EE4">
        <w:trPr>
          <w:trHeight w:val="64"/>
        </w:trPr>
        <w:tc>
          <w:tcPr>
            <w:tcW w:w="1029" w:type="dxa"/>
            <w:shd w:val="clear" w:color="auto" w:fill="auto"/>
            <w:noWrap/>
            <w:hideMark/>
          </w:tcPr>
          <w:p w14:paraId="7DAA0636" w14:textId="77777777" w:rsidR="008D0183" w:rsidRPr="00C27EE4" w:rsidRDefault="008D0183" w:rsidP="008E714B">
            <w:pPr>
              <w:pStyle w:val="Tablesmalltext"/>
              <w:rPr>
                <w:sz w:val="18"/>
                <w:szCs w:val="18"/>
              </w:rPr>
            </w:pPr>
            <w:r w:rsidRPr="00C27EE4">
              <w:rPr>
                <w:sz w:val="18"/>
                <w:szCs w:val="18"/>
              </w:rPr>
              <w:t>S61557-2</w:t>
            </w:r>
          </w:p>
        </w:tc>
        <w:tc>
          <w:tcPr>
            <w:tcW w:w="1264" w:type="dxa"/>
            <w:shd w:val="clear" w:color="auto" w:fill="auto"/>
            <w:noWrap/>
            <w:hideMark/>
          </w:tcPr>
          <w:p w14:paraId="7DAA0637" w14:textId="77777777" w:rsidR="008D0183" w:rsidRPr="00C27EE4" w:rsidRDefault="008D0183" w:rsidP="008E714B">
            <w:pPr>
              <w:pStyle w:val="Tablesmalltext"/>
              <w:rPr>
                <w:sz w:val="18"/>
                <w:szCs w:val="18"/>
              </w:rPr>
            </w:pPr>
            <w:r w:rsidRPr="00C27EE4">
              <w:rPr>
                <w:sz w:val="18"/>
                <w:szCs w:val="18"/>
              </w:rPr>
              <w:t>Quaternary Aquifer (100)</w:t>
            </w:r>
          </w:p>
        </w:tc>
        <w:tc>
          <w:tcPr>
            <w:tcW w:w="3977" w:type="dxa"/>
            <w:shd w:val="clear" w:color="auto" w:fill="auto"/>
            <w:noWrap/>
          </w:tcPr>
          <w:p w14:paraId="7DAA0638" w14:textId="77777777" w:rsidR="008D0183" w:rsidRPr="00C27EE4" w:rsidRDefault="008D0183" w:rsidP="00250AE6">
            <w:pPr>
              <w:pStyle w:val="Tablesmalltext"/>
              <w:numPr>
                <w:ilvl w:val="0"/>
                <w:numId w:val="9"/>
              </w:numPr>
              <w:ind w:left="422"/>
              <w:rPr>
                <w:sz w:val="18"/>
                <w:szCs w:val="18"/>
              </w:rPr>
            </w:pPr>
            <w:r w:rsidRPr="00C27EE4">
              <w:rPr>
                <w:sz w:val="18"/>
                <w:szCs w:val="18"/>
              </w:rPr>
              <w:t xml:space="preserve">Located in the area of prospectivity </w:t>
            </w:r>
          </w:p>
          <w:p w14:paraId="7DAA0639" w14:textId="2AF6FE47" w:rsidR="008D0183" w:rsidRPr="00C27EE4" w:rsidRDefault="008D0183" w:rsidP="00250AE6">
            <w:pPr>
              <w:pStyle w:val="Tablesmalltext"/>
              <w:numPr>
                <w:ilvl w:val="0"/>
                <w:numId w:val="9"/>
              </w:numPr>
              <w:ind w:left="422"/>
              <w:rPr>
                <w:sz w:val="18"/>
                <w:szCs w:val="18"/>
              </w:rPr>
            </w:pPr>
            <w:r w:rsidRPr="00C27EE4">
              <w:rPr>
                <w:sz w:val="18"/>
                <w:szCs w:val="18"/>
              </w:rPr>
              <w:t xml:space="preserve">Located in area of </w:t>
            </w:r>
            <w:r w:rsidR="00E927B0" w:rsidRPr="00C27EE4">
              <w:rPr>
                <w:sz w:val="18"/>
                <w:szCs w:val="18"/>
              </w:rPr>
              <w:t>key</w:t>
            </w:r>
            <w:r w:rsidRPr="00C27EE4">
              <w:rPr>
                <w:sz w:val="18"/>
                <w:szCs w:val="18"/>
              </w:rPr>
              <w:t xml:space="preserve"> rivers and wetlands, including the Directory of Important Wetland ‘McCallums Swamp’ </w:t>
            </w:r>
          </w:p>
          <w:p w14:paraId="7DAA063A" w14:textId="77777777" w:rsidR="008D0183" w:rsidRPr="00C27EE4" w:rsidRDefault="008D0183" w:rsidP="00250AE6">
            <w:pPr>
              <w:pStyle w:val="Tablesmalltext"/>
              <w:numPr>
                <w:ilvl w:val="0"/>
                <w:numId w:val="9"/>
              </w:numPr>
              <w:ind w:left="422"/>
              <w:rPr>
                <w:sz w:val="18"/>
                <w:szCs w:val="18"/>
              </w:rPr>
            </w:pPr>
            <w:r w:rsidRPr="00C27EE4">
              <w:rPr>
                <w:sz w:val="18"/>
                <w:szCs w:val="18"/>
              </w:rPr>
              <w:t>Monitors the watertable aquifer</w:t>
            </w:r>
          </w:p>
        </w:tc>
        <w:tc>
          <w:tcPr>
            <w:tcW w:w="3499" w:type="dxa"/>
          </w:tcPr>
          <w:p w14:paraId="7DAA063B" w14:textId="6085B1B9" w:rsidR="008D0183" w:rsidRPr="00C27EE4" w:rsidRDefault="008D0183" w:rsidP="00E927B0">
            <w:pPr>
              <w:pStyle w:val="Tablesmalltext"/>
              <w:numPr>
                <w:ilvl w:val="0"/>
                <w:numId w:val="9"/>
              </w:numPr>
              <w:ind w:left="422"/>
              <w:rPr>
                <w:sz w:val="18"/>
                <w:szCs w:val="18"/>
              </w:rPr>
            </w:pPr>
            <w:r w:rsidRPr="00C27EE4">
              <w:rPr>
                <w:sz w:val="18"/>
                <w:szCs w:val="18"/>
              </w:rPr>
              <w:t xml:space="preserve">Watertable aquifer in area of prospectivity and </w:t>
            </w:r>
            <w:r w:rsidR="00E927B0" w:rsidRPr="00C27EE4">
              <w:rPr>
                <w:sz w:val="18"/>
                <w:szCs w:val="18"/>
              </w:rPr>
              <w:t>key</w:t>
            </w:r>
            <w:r w:rsidRPr="00C27EE4">
              <w:rPr>
                <w:sz w:val="18"/>
                <w:szCs w:val="18"/>
              </w:rPr>
              <w:t xml:space="preserve"> assets is characterised by; no methane and trace amounts of TRH (i.e. equal to detection limit) and no BTEX</w:t>
            </w:r>
          </w:p>
        </w:tc>
      </w:tr>
      <w:tr w:rsidR="008D0183" w:rsidRPr="0073640E" w14:paraId="7DAA0643" w14:textId="77777777" w:rsidTr="00C27EE4">
        <w:trPr>
          <w:trHeight w:val="64"/>
        </w:trPr>
        <w:tc>
          <w:tcPr>
            <w:tcW w:w="1029" w:type="dxa"/>
            <w:shd w:val="clear" w:color="auto" w:fill="auto"/>
            <w:noWrap/>
            <w:hideMark/>
          </w:tcPr>
          <w:p w14:paraId="7DAA063D" w14:textId="77777777" w:rsidR="008D0183" w:rsidRPr="00C27EE4" w:rsidRDefault="008D0183" w:rsidP="008E714B">
            <w:pPr>
              <w:pStyle w:val="Tablesmalltext"/>
              <w:rPr>
                <w:sz w:val="18"/>
                <w:szCs w:val="18"/>
              </w:rPr>
            </w:pPr>
            <w:r w:rsidRPr="00C27EE4">
              <w:rPr>
                <w:sz w:val="18"/>
                <w:szCs w:val="18"/>
              </w:rPr>
              <w:t>S61557-3</w:t>
            </w:r>
          </w:p>
        </w:tc>
        <w:tc>
          <w:tcPr>
            <w:tcW w:w="1264" w:type="dxa"/>
            <w:shd w:val="clear" w:color="auto" w:fill="auto"/>
            <w:noWrap/>
            <w:hideMark/>
          </w:tcPr>
          <w:p w14:paraId="7DAA063E" w14:textId="77777777" w:rsidR="008D0183" w:rsidRPr="00C27EE4" w:rsidRDefault="008D0183" w:rsidP="008E714B">
            <w:pPr>
              <w:pStyle w:val="Tablesmalltext"/>
              <w:rPr>
                <w:sz w:val="18"/>
                <w:szCs w:val="18"/>
              </w:rPr>
            </w:pPr>
            <w:r w:rsidRPr="00C27EE4">
              <w:rPr>
                <w:sz w:val="18"/>
                <w:szCs w:val="18"/>
              </w:rPr>
              <w:t>Quaternary Aquifer (100)</w:t>
            </w:r>
          </w:p>
        </w:tc>
        <w:tc>
          <w:tcPr>
            <w:tcW w:w="3977" w:type="dxa"/>
            <w:shd w:val="clear" w:color="auto" w:fill="auto"/>
            <w:noWrap/>
          </w:tcPr>
          <w:p w14:paraId="7DAA063F" w14:textId="77777777" w:rsidR="008D0183" w:rsidRPr="00C27EE4" w:rsidRDefault="008D0183" w:rsidP="00250AE6">
            <w:pPr>
              <w:pStyle w:val="Tablesmalltext"/>
              <w:numPr>
                <w:ilvl w:val="0"/>
                <w:numId w:val="9"/>
              </w:numPr>
              <w:ind w:left="422"/>
              <w:rPr>
                <w:sz w:val="18"/>
                <w:szCs w:val="18"/>
              </w:rPr>
            </w:pPr>
            <w:r w:rsidRPr="00C27EE4">
              <w:rPr>
                <w:sz w:val="18"/>
                <w:szCs w:val="18"/>
              </w:rPr>
              <w:t>Located in the area of prospectivity</w:t>
            </w:r>
          </w:p>
          <w:p w14:paraId="7DAA0640" w14:textId="03FFEE70" w:rsidR="008D0183" w:rsidRPr="00C27EE4" w:rsidRDefault="008D0183" w:rsidP="00250AE6">
            <w:pPr>
              <w:pStyle w:val="Tablesmalltext"/>
              <w:numPr>
                <w:ilvl w:val="0"/>
                <w:numId w:val="9"/>
              </w:numPr>
              <w:ind w:left="422"/>
              <w:rPr>
                <w:sz w:val="18"/>
                <w:szCs w:val="18"/>
              </w:rPr>
            </w:pPr>
            <w:r w:rsidRPr="00C27EE4">
              <w:rPr>
                <w:sz w:val="18"/>
                <w:szCs w:val="18"/>
              </w:rPr>
              <w:t xml:space="preserve">Located in the area of </w:t>
            </w:r>
            <w:r w:rsidR="00E927B0" w:rsidRPr="00C27EE4">
              <w:rPr>
                <w:sz w:val="18"/>
                <w:szCs w:val="18"/>
              </w:rPr>
              <w:t>key</w:t>
            </w:r>
            <w:r w:rsidRPr="00C27EE4">
              <w:rPr>
                <w:sz w:val="18"/>
                <w:szCs w:val="18"/>
              </w:rPr>
              <w:t xml:space="preserve"> rivers and wetlands. Including Directory of Important Wetlands (Mundi-Selkirk Wetlands) and the Glenelg River    </w:t>
            </w:r>
          </w:p>
          <w:p w14:paraId="7DAA0641" w14:textId="77777777" w:rsidR="008D0183" w:rsidRPr="00C27EE4" w:rsidRDefault="008D0183" w:rsidP="00250AE6">
            <w:pPr>
              <w:pStyle w:val="Tablesmalltext"/>
              <w:numPr>
                <w:ilvl w:val="0"/>
                <w:numId w:val="9"/>
              </w:numPr>
              <w:ind w:left="422"/>
              <w:rPr>
                <w:sz w:val="18"/>
                <w:szCs w:val="18"/>
              </w:rPr>
            </w:pPr>
            <w:r w:rsidRPr="00C27EE4">
              <w:rPr>
                <w:sz w:val="18"/>
                <w:szCs w:val="18"/>
              </w:rPr>
              <w:t xml:space="preserve">Monitors the watertable aquifer </w:t>
            </w:r>
          </w:p>
        </w:tc>
        <w:tc>
          <w:tcPr>
            <w:tcW w:w="3499" w:type="dxa"/>
          </w:tcPr>
          <w:p w14:paraId="7DAA0642" w14:textId="0C6AE534" w:rsidR="008D0183" w:rsidRPr="00C27EE4" w:rsidRDefault="008D0183" w:rsidP="00E927B0">
            <w:pPr>
              <w:pStyle w:val="Tablesmalltext"/>
              <w:numPr>
                <w:ilvl w:val="0"/>
                <w:numId w:val="9"/>
              </w:numPr>
              <w:ind w:left="422"/>
              <w:rPr>
                <w:sz w:val="18"/>
                <w:szCs w:val="18"/>
              </w:rPr>
            </w:pPr>
            <w:r w:rsidRPr="00C27EE4">
              <w:rPr>
                <w:sz w:val="18"/>
                <w:szCs w:val="18"/>
              </w:rPr>
              <w:t xml:space="preserve">Watertable aquifer in area of prospectivity and </w:t>
            </w:r>
            <w:r w:rsidR="00E927B0" w:rsidRPr="00C27EE4">
              <w:rPr>
                <w:sz w:val="18"/>
                <w:szCs w:val="18"/>
              </w:rPr>
              <w:t>key</w:t>
            </w:r>
            <w:r w:rsidRPr="00C27EE4">
              <w:rPr>
                <w:sz w:val="18"/>
                <w:szCs w:val="18"/>
              </w:rPr>
              <w:t xml:space="preserve"> assets is characterised by; no methane, no TRH and no BTEX</w:t>
            </w:r>
          </w:p>
        </w:tc>
      </w:tr>
      <w:tr w:rsidR="008D0183" w:rsidRPr="0073640E" w14:paraId="7DAA064A" w14:textId="77777777" w:rsidTr="00C27EE4">
        <w:trPr>
          <w:trHeight w:val="585"/>
        </w:trPr>
        <w:tc>
          <w:tcPr>
            <w:tcW w:w="1029" w:type="dxa"/>
            <w:shd w:val="clear" w:color="auto" w:fill="auto"/>
            <w:noWrap/>
            <w:hideMark/>
          </w:tcPr>
          <w:p w14:paraId="7DAA0644" w14:textId="77777777" w:rsidR="008D0183" w:rsidRPr="00C27EE4" w:rsidRDefault="008D0183" w:rsidP="008E714B">
            <w:pPr>
              <w:pStyle w:val="Tablesmalltext"/>
              <w:rPr>
                <w:sz w:val="18"/>
                <w:szCs w:val="18"/>
              </w:rPr>
            </w:pPr>
            <w:r w:rsidRPr="00C27EE4">
              <w:rPr>
                <w:sz w:val="18"/>
                <w:szCs w:val="18"/>
              </w:rPr>
              <w:t>S61557-1</w:t>
            </w:r>
          </w:p>
        </w:tc>
        <w:tc>
          <w:tcPr>
            <w:tcW w:w="1264" w:type="dxa"/>
            <w:shd w:val="clear" w:color="auto" w:fill="auto"/>
            <w:noWrap/>
            <w:hideMark/>
          </w:tcPr>
          <w:p w14:paraId="7DAA0645" w14:textId="77777777" w:rsidR="008D0183" w:rsidRPr="00C27EE4" w:rsidRDefault="008D0183" w:rsidP="008E714B">
            <w:pPr>
              <w:pStyle w:val="Tablesmalltext"/>
              <w:rPr>
                <w:sz w:val="18"/>
                <w:szCs w:val="18"/>
              </w:rPr>
            </w:pPr>
            <w:r w:rsidRPr="00C27EE4">
              <w:rPr>
                <w:sz w:val="18"/>
                <w:szCs w:val="18"/>
              </w:rPr>
              <w:t>Quaternary Aquifer (100)</w:t>
            </w:r>
          </w:p>
        </w:tc>
        <w:tc>
          <w:tcPr>
            <w:tcW w:w="3977" w:type="dxa"/>
            <w:shd w:val="clear" w:color="auto" w:fill="auto"/>
            <w:noWrap/>
          </w:tcPr>
          <w:p w14:paraId="7DAA0646" w14:textId="77777777" w:rsidR="008D0183" w:rsidRPr="00C27EE4" w:rsidRDefault="008D0183" w:rsidP="00250AE6">
            <w:pPr>
              <w:pStyle w:val="Tablesmalltext"/>
              <w:numPr>
                <w:ilvl w:val="0"/>
                <w:numId w:val="9"/>
              </w:numPr>
              <w:ind w:left="422"/>
              <w:rPr>
                <w:sz w:val="18"/>
                <w:szCs w:val="18"/>
              </w:rPr>
            </w:pPr>
            <w:r w:rsidRPr="00C27EE4">
              <w:rPr>
                <w:sz w:val="18"/>
                <w:szCs w:val="18"/>
              </w:rPr>
              <w:t xml:space="preserve">Located in the area of prospectivity </w:t>
            </w:r>
          </w:p>
          <w:p w14:paraId="7DAA0647" w14:textId="7BE7BD4D" w:rsidR="008D0183" w:rsidRPr="00C27EE4" w:rsidRDefault="008D0183" w:rsidP="00250AE6">
            <w:pPr>
              <w:pStyle w:val="Tablesmalltext"/>
              <w:numPr>
                <w:ilvl w:val="0"/>
                <w:numId w:val="9"/>
              </w:numPr>
              <w:ind w:left="422"/>
              <w:rPr>
                <w:sz w:val="18"/>
                <w:szCs w:val="18"/>
              </w:rPr>
            </w:pPr>
            <w:r w:rsidRPr="00C27EE4">
              <w:rPr>
                <w:sz w:val="18"/>
                <w:szCs w:val="18"/>
              </w:rPr>
              <w:t xml:space="preserve">Located in the area of </w:t>
            </w:r>
            <w:r w:rsidR="00E927B0" w:rsidRPr="00C27EE4">
              <w:rPr>
                <w:sz w:val="18"/>
                <w:szCs w:val="18"/>
              </w:rPr>
              <w:t>key</w:t>
            </w:r>
            <w:r w:rsidRPr="00C27EE4">
              <w:rPr>
                <w:sz w:val="18"/>
                <w:szCs w:val="18"/>
              </w:rPr>
              <w:t xml:space="preserve"> rivers and wetlands, including Directory of Important Wetlands (Mundi-Selkirk Wetlands, Pig Swamp and Lake Mundi) </w:t>
            </w:r>
          </w:p>
          <w:p w14:paraId="7DAA0648" w14:textId="77777777" w:rsidR="008D0183" w:rsidRPr="00C27EE4" w:rsidRDefault="008D0183" w:rsidP="00250AE6">
            <w:pPr>
              <w:pStyle w:val="Tablesmalltext"/>
              <w:numPr>
                <w:ilvl w:val="0"/>
                <w:numId w:val="9"/>
              </w:numPr>
              <w:ind w:left="422"/>
              <w:rPr>
                <w:sz w:val="18"/>
                <w:szCs w:val="18"/>
              </w:rPr>
            </w:pPr>
            <w:r w:rsidRPr="00C27EE4">
              <w:rPr>
                <w:sz w:val="18"/>
                <w:szCs w:val="18"/>
              </w:rPr>
              <w:t>Monitors the watertable aquifer</w:t>
            </w:r>
          </w:p>
        </w:tc>
        <w:tc>
          <w:tcPr>
            <w:tcW w:w="3499" w:type="dxa"/>
          </w:tcPr>
          <w:p w14:paraId="7DAA0649" w14:textId="77777777" w:rsidR="008D0183" w:rsidRPr="00C27EE4" w:rsidRDefault="008D0183" w:rsidP="00250AE6">
            <w:pPr>
              <w:pStyle w:val="Tablesmalltext"/>
              <w:numPr>
                <w:ilvl w:val="0"/>
                <w:numId w:val="9"/>
              </w:numPr>
              <w:ind w:left="422"/>
              <w:rPr>
                <w:sz w:val="18"/>
                <w:szCs w:val="18"/>
              </w:rPr>
            </w:pPr>
            <w:r w:rsidRPr="00C27EE4">
              <w:rPr>
                <w:sz w:val="18"/>
                <w:szCs w:val="18"/>
              </w:rPr>
              <w:t>Watertable aquifer in area of prospectivity and high value assets is characterised by; no methane, no TRH and no BTEX</w:t>
            </w:r>
          </w:p>
        </w:tc>
      </w:tr>
      <w:tr w:rsidR="008D0183" w:rsidRPr="0073640E" w14:paraId="7DAA0652" w14:textId="77777777" w:rsidTr="00C27EE4">
        <w:trPr>
          <w:trHeight w:val="838"/>
        </w:trPr>
        <w:tc>
          <w:tcPr>
            <w:tcW w:w="1029" w:type="dxa"/>
            <w:shd w:val="clear" w:color="auto" w:fill="auto"/>
            <w:noWrap/>
            <w:hideMark/>
          </w:tcPr>
          <w:p w14:paraId="7DAA064B" w14:textId="77777777" w:rsidR="008D0183" w:rsidRPr="00C27EE4" w:rsidRDefault="008D0183" w:rsidP="008E714B">
            <w:pPr>
              <w:pStyle w:val="Tablesmalltext"/>
              <w:rPr>
                <w:sz w:val="18"/>
                <w:szCs w:val="18"/>
              </w:rPr>
            </w:pPr>
            <w:r w:rsidRPr="00C27EE4">
              <w:rPr>
                <w:sz w:val="18"/>
                <w:szCs w:val="18"/>
              </w:rPr>
              <w:t>S61557-4</w:t>
            </w:r>
          </w:p>
        </w:tc>
        <w:tc>
          <w:tcPr>
            <w:tcW w:w="1264" w:type="dxa"/>
            <w:shd w:val="clear" w:color="auto" w:fill="auto"/>
            <w:noWrap/>
            <w:hideMark/>
          </w:tcPr>
          <w:p w14:paraId="7DAA064C" w14:textId="77777777" w:rsidR="008D0183" w:rsidRPr="00C27EE4" w:rsidRDefault="008D0183" w:rsidP="008E714B">
            <w:pPr>
              <w:pStyle w:val="Tablesmalltext"/>
              <w:rPr>
                <w:sz w:val="18"/>
                <w:szCs w:val="18"/>
              </w:rPr>
            </w:pPr>
            <w:r w:rsidRPr="00C27EE4">
              <w:rPr>
                <w:sz w:val="18"/>
                <w:szCs w:val="18"/>
              </w:rPr>
              <w:t>Quaternary Aquifer (100)</w:t>
            </w:r>
          </w:p>
        </w:tc>
        <w:tc>
          <w:tcPr>
            <w:tcW w:w="3977" w:type="dxa"/>
            <w:shd w:val="clear" w:color="auto" w:fill="auto"/>
            <w:noWrap/>
          </w:tcPr>
          <w:p w14:paraId="7DAA064D" w14:textId="77777777" w:rsidR="008D0183" w:rsidRPr="00C27EE4" w:rsidRDefault="008D0183" w:rsidP="00250AE6">
            <w:pPr>
              <w:pStyle w:val="Tablesmalltext"/>
              <w:numPr>
                <w:ilvl w:val="0"/>
                <w:numId w:val="9"/>
              </w:numPr>
              <w:ind w:left="422"/>
              <w:rPr>
                <w:sz w:val="18"/>
                <w:szCs w:val="18"/>
              </w:rPr>
            </w:pPr>
            <w:r w:rsidRPr="00C27EE4">
              <w:rPr>
                <w:sz w:val="18"/>
                <w:szCs w:val="18"/>
              </w:rPr>
              <w:t xml:space="preserve">Located in the Glenelg WSPA.  Nested with 82347. </w:t>
            </w:r>
          </w:p>
          <w:p w14:paraId="7DAA064E" w14:textId="77777777" w:rsidR="008D0183" w:rsidRPr="00C27EE4" w:rsidRDefault="008D0183" w:rsidP="00250AE6">
            <w:pPr>
              <w:pStyle w:val="Tablesmalltext"/>
              <w:numPr>
                <w:ilvl w:val="0"/>
                <w:numId w:val="9"/>
              </w:numPr>
              <w:ind w:left="422"/>
              <w:rPr>
                <w:sz w:val="18"/>
                <w:szCs w:val="18"/>
              </w:rPr>
            </w:pPr>
            <w:r w:rsidRPr="00C27EE4">
              <w:rPr>
                <w:sz w:val="18"/>
                <w:szCs w:val="18"/>
              </w:rPr>
              <w:t>Bores will monitor the Dilwyn Formation Aquifer and the watertable aquifer and will inform groundwater chemistry of multiple aquifers at one site and allow for interpretation of potential mixing</w:t>
            </w:r>
          </w:p>
        </w:tc>
        <w:tc>
          <w:tcPr>
            <w:tcW w:w="3499" w:type="dxa"/>
          </w:tcPr>
          <w:p w14:paraId="7DAA064F" w14:textId="77777777" w:rsidR="008D0183" w:rsidRPr="00C27EE4" w:rsidRDefault="008D0183" w:rsidP="00250AE6">
            <w:pPr>
              <w:pStyle w:val="Tablesmalltext"/>
              <w:numPr>
                <w:ilvl w:val="0"/>
                <w:numId w:val="9"/>
              </w:numPr>
              <w:ind w:left="422"/>
              <w:rPr>
                <w:sz w:val="18"/>
                <w:szCs w:val="18"/>
              </w:rPr>
            </w:pPr>
            <w:r w:rsidRPr="00C27EE4">
              <w:rPr>
                <w:sz w:val="18"/>
                <w:szCs w:val="18"/>
              </w:rPr>
              <w:t xml:space="preserve">In the Glenelg WSPA a downward vertical hydraulic gradient occurs from the Quaternary Aquifer to the Lower Tertiary Aquifer. </w:t>
            </w:r>
          </w:p>
          <w:p w14:paraId="7DAA0650" w14:textId="289089A2" w:rsidR="008D0183" w:rsidRPr="00C27EE4" w:rsidRDefault="00A83284" w:rsidP="00250AE6">
            <w:pPr>
              <w:pStyle w:val="Tablesmalltext"/>
              <w:numPr>
                <w:ilvl w:val="0"/>
                <w:numId w:val="9"/>
              </w:numPr>
              <w:ind w:left="422"/>
              <w:rPr>
                <w:sz w:val="18"/>
                <w:szCs w:val="18"/>
              </w:rPr>
            </w:pPr>
            <w:r w:rsidRPr="00C27EE4">
              <w:rPr>
                <w:sz w:val="18"/>
                <w:szCs w:val="18"/>
              </w:rPr>
              <w:t>L</w:t>
            </w:r>
            <w:r w:rsidR="008D0183" w:rsidRPr="00C27EE4">
              <w:rPr>
                <w:sz w:val="18"/>
                <w:szCs w:val="18"/>
              </w:rPr>
              <w:t>ow</w:t>
            </w:r>
            <w:r w:rsidRPr="00C27EE4">
              <w:rPr>
                <w:sz w:val="18"/>
                <w:szCs w:val="18"/>
              </w:rPr>
              <w:t xml:space="preserve"> level</w:t>
            </w:r>
            <w:r w:rsidR="008D0183" w:rsidRPr="00C27EE4">
              <w:rPr>
                <w:sz w:val="18"/>
                <w:szCs w:val="18"/>
              </w:rPr>
              <w:t xml:space="preserve"> methane detected (equal to the detection limit). Methane was also detected in the Lower Tertiary Aquifer at this location. Methane concentration decreases from the deep to the shallow aquifer. </w:t>
            </w:r>
          </w:p>
          <w:p w14:paraId="7DAA0651" w14:textId="77777777" w:rsidR="008D0183" w:rsidRPr="00C27EE4" w:rsidRDefault="008D0183" w:rsidP="00250AE6">
            <w:pPr>
              <w:pStyle w:val="Tablesmalltext"/>
              <w:numPr>
                <w:ilvl w:val="0"/>
                <w:numId w:val="9"/>
              </w:numPr>
              <w:ind w:left="422"/>
              <w:rPr>
                <w:sz w:val="18"/>
                <w:szCs w:val="18"/>
              </w:rPr>
            </w:pPr>
            <w:r w:rsidRPr="00C27EE4">
              <w:rPr>
                <w:sz w:val="18"/>
                <w:szCs w:val="18"/>
              </w:rPr>
              <w:t>No TRH or BTEX detected</w:t>
            </w:r>
          </w:p>
        </w:tc>
      </w:tr>
    </w:tbl>
    <w:p w14:paraId="7DAA0653" w14:textId="77777777" w:rsidR="000C564C" w:rsidRPr="008D0183" w:rsidRDefault="000C564C" w:rsidP="000C564C"/>
    <w:p w14:paraId="7DAA0654" w14:textId="77777777" w:rsidR="000C564C" w:rsidRPr="000C564C" w:rsidRDefault="000C564C" w:rsidP="008D0183">
      <w:pPr>
        <w:pStyle w:val="Head2xx"/>
      </w:pPr>
      <w:bookmarkStart w:id="137" w:name="_Toc420327739"/>
      <w:r w:rsidRPr="000C564C">
        <w:t>Upper Tertiary / Quaternary Basalt Aquifer (101)</w:t>
      </w:r>
      <w:bookmarkEnd w:id="137"/>
    </w:p>
    <w:p w14:paraId="7DAA0655" w14:textId="045622C5" w:rsidR="000C564C" w:rsidRPr="000C564C" w:rsidRDefault="000C564C" w:rsidP="000C564C">
      <w:pPr>
        <w:rPr>
          <w:lang w:val="en-AU"/>
        </w:rPr>
      </w:pPr>
      <w:r w:rsidRPr="000C564C">
        <w:rPr>
          <w:lang w:val="en-AU"/>
        </w:rPr>
        <w:t>Seven observation bores were sampled from the Upper Tertiary / Quaternary Basalt Aquifer, which comprises the Newer Volcanics basalt in this area (</w:t>
      </w:r>
      <w:r w:rsidR="008E714B">
        <w:rPr>
          <w:lang w:val="en-AU"/>
        </w:rPr>
        <w:fldChar w:fldCharType="begin"/>
      </w:r>
      <w:r w:rsidR="008E714B">
        <w:rPr>
          <w:lang w:val="en-AU"/>
        </w:rPr>
        <w:instrText xml:space="preserve"> REF _Ref414009047 \h </w:instrText>
      </w:r>
      <w:r w:rsidR="008E714B">
        <w:rPr>
          <w:lang w:val="en-AU"/>
        </w:rPr>
      </w:r>
      <w:r w:rsidR="008E714B">
        <w:rPr>
          <w:lang w:val="en-AU"/>
        </w:rPr>
        <w:fldChar w:fldCharType="separate"/>
      </w:r>
      <w:r w:rsidR="00BD60CC">
        <w:t xml:space="preserve">Table </w:t>
      </w:r>
      <w:r w:rsidR="00BD60CC">
        <w:rPr>
          <w:noProof/>
        </w:rPr>
        <w:t>20</w:t>
      </w:r>
      <w:r w:rsidR="008E714B">
        <w:rPr>
          <w:lang w:val="en-AU"/>
        </w:rPr>
        <w:fldChar w:fldCharType="end"/>
      </w:r>
      <w:r w:rsidRPr="000C564C">
        <w:rPr>
          <w:lang w:val="en-AU"/>
        </w:rPr>
        <w:t xml:space="preserve">). These sampled bores are outside of the sub-regional areas of the natural gas prospectivity, but do occur in areas of high value rivers and wetlands, including Ramsar listed Lake Corangamite. Parts of this aquifer are covered by the Warrion WSPA. </w:t>
      </w:r>
    </w:p>
    <w:p w14:paraId="7DAA0656" w14:textId="77777777" w:rsidR="000C564C" w:rsidRPr="000C564C" w:rsidRDefault="000C564C" w:rsidP="000C564C">
      <w:pPr>
        <w:rPr>
          <w:lang w:val="en-AU"/>
        </w:rPr>
      </w:pPr>
      <w:r w:rsidRPr="000C564C">
        <w:rPr>
          <w:lang w:val="en-AU"/>
        </w:rPr>
        <w:t>Groundwater salinity for this aquifer ranges from 221 mg/L TDS to 2,790 mg/L TDS. The average groundwater salinity is marginal; 1,178 mg/L TDS. Total Nitrogen concentration</w:t>
      </w:r>
      <w:r w:rsidR="003D5452">
        <w:rPr>
          <w:lang w:val="en-AU"/>
        </w:rPr>
        <w:t xml:space="preserve"> for this aquifer ranges from 0 </w:t>
      </w:r>
      <w:r w:rsidRPr="000C564C">
        <w:rPr>
          <w:lang w:val="en-AU"/>
        </w:rPr>
        <w:t xml:space="preserve">mg/L to 10.9 mg/L. The average nitrogen concentration is 2.9 mg/L. </w:t>
      </w:r>
    </w:p>
    <w:p w14:paraId="7DAA0657" w14:textId="77777777" w:rsidR="000C564C" w:rsidRPr="000C564C" w:rsidRDefault="000C564C" w:rsidP="000C564C">
      <w:pPr>
        <w:rPr>
          <w:lang w:val="en-AU"/>
        </w:rPr>
      </w:pPr>
      <w:r w:rsidRPr="000C564C">
        <w:rPr>
          <w:lang w:val="en-AU"/>
        </w:rPr>
        <w:t>The highest nitrogen concentration is associated with a bore located within the Warrion WSPA. Oxidised nitrogen (the sum of nitrate and nitrite) makes up most of the total nitrogen for this sample. Fertilizers mainly contain nitrite and hence it is likely that the source of the elevated concentration in groundwater is leaching of nutrients through the unsaturated zone to the watertable. The Upper Tertiary / Quaternary Basalt Aquifer is the watertable aquifer in this area.</w:t>
      </w:r>
    </w:p>
    <w:p w14:paraId="7DAA0658" w14:textId="638826F5" w:rsidR="000C564C" w:rsidRPr="000C564C" w:rsidRDefault="000C564C" w:rsidP="000C564C">
      <w:pPr>
        <w:rPr>
          <w:lang w:val="en-AU"/>
        </w:rPr>
      </w:pPr>
      <w:r w:rsidRPr="000C564C">
        <w:rPr>
          <w:lang w:val="en-AU"/>
        </w:rPr>
        <w:t xml:space="preserve">The groundwater is near neutral with an average pH of 6.7. An odour indicative of hydrogen </w:t>
      </w:r>
      <w:r w:rsidR="00206FC6" w:rsidRPr="000C564C">
        <w:rPr>
          <w:lang w:val="en-AU"/>
        </w:rPr>
        <w:t>sulphide</w:t>
      </w:r>
      <w:r w:rsidRPr="000C564C">
        <w:rPr>
          <w:lang w:val="en-AU"/>
        </w:rPr>
        <w:t xml:space="preserve"> gas was noted on two occasions for this aquifer. </w:t>
      </w:r>
    </w:p>
    <w:p w14:paraId="7DAA0659" w14:textId="77777777" w:rsidR="000C564C" w:rsidRPr="000C564C" w:rsidRDefault="000C564C" w:rsidP="000C564C">
      <w:pPr>
        <w:rPr>
          <w:lang w:val="en-AU"/>
        </w:rPr>
      </w:pPr>
      <w:r w:rsidRPr="000C564C">
        <w:rPr>
          <w:lang w:val="en-AU"/>
        </w:rPr>
        <w:t xml:space="preserve">Dissolved methane and TRH (which includes BTEX) detection is negligible for this aquifer. Average methane concentration was 0.11 mg/L and a single occurrence of TRH was observed, equal to the detection limit for the carbon fraction. </w:t>
      </w:r>
    </w:p>
    <w:p w14:paraId="7DAA065A" w14:textId="77777777" w:rsidR="000C564C" w:rsidRDefault="008E714B" w:rsidP="004F307F">
      <w:pPr>
        <w:pStyle w:val="Tableheading"/>
        <w:rPr>
          <w:lang w:val="en-AU"/>
        </w:rPr>
      </w:pPr>
      <w:bookmarkStart w:id="138" w:name="_Ref414009047"/>
      <w:bookmarkStart w:id="139" w:name="_Toc420320570"/>
      <w:r>
        <w:t xml:space="preserve">Table </w:t>
      </w:r>
      <w:r>
        <w:fldChar w:fldCharType="begin"/>
      </w:r>
      <w:r>
        <w:instrText xml:space="preserve"> SEQ Table \* ARABIC </w:instrText>
      </w:r>
      <w:r>
        <w:fldChar w:fldCharType="separate"/>
      </w:r>
      <w:r w:rsidR="00BD60CC">
        <w:rPr>
          <w:noProof/>
        </w:rPr>
        <w:t>20</w:t>
      </w:r>
      <w:r>
        <w:fldChar w:fldCharType="end"/>
      </w:r>
      <w:bookmarkEnd w:id="138"/>
      <w:r>
        <w:rPr>
          <w:lang w:val="en-AU"/>
        </w:rPr>
        <w:t xml:space="preserve"> </w:t>
      </w:r>
      <w:r w:rsidR="000C564C" w:rsidRPr="000C564C">
        <w:rPr>
          <w:lang w:val="en-AU"/>
        </w:rPr>
        <w:t>Upper Terti</w:t>
      </w:r>
      <w:r w:rsidR="008D0183">
        <w:rPr>
          <w:lang w:val="en-AU"/>
        </w:rPr>
        <w:t>ary / Quaternary Basalt Aquifer</w:t>
      </w:r>
      <w:bookmarkEnd w:id="139"/>
    </w:p>
    <w:tbl>
      <w:tblPr>
        <w:tblW w:w="9769" w:type="dxa"/>
        <w:tblInd w:w="120"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1029"/>
        <w:gridCol w:w="1264"/>
        <w:gridCol w:w="3977"/>
        <w:gridCol w:w="3499"/>
      </w:tblGrid>
      <w:tr w:rsidR="008D0183" w:rsidRPr="0073640E" w14:paraId="7DAA065F" w14:textId="77777777" w:rsidTr="00C27EE4">
        <w:trPr>
          <w:trHeight w:val="270"/>
          <w:tblHeader/>
        </w:trPr>
        <w:tc>
          <w:tcPr>
            <w:tcW w:w="1029" w:type="dxa"/>
            <w:tcBorders>
              <w:top w:val="nil"/>
              <w:right w:val="single" w:sz="4" w:space="0" w:color="FFFFFF"/>
            </w:tcBorders>
            <w:shd w:val="clear" w:color="auto" w:fill="005A97"/>
            <w:noWrap/>
            <w:hideMark/>
          </w:tcPr>
          <w:p w14:paraId="7DAA065B" w14:textId="77777777" w:rsidR="008D0183" w:rsidRPr="0073640E" w:rsidRDefault="008D0183" w:rsidP="00E63375">
            <w:pPr>
              <w:pStyle w:val="TableHeaderrow"/>
            </w:pPr>
            <w:r w:rsidRPr="0073640E">
              <w:t>Bore</w:t>
            </w:r>
          </w:p>
        </w:tc>
        <w:tc>
          <w:tcPr>
            <w:tcW w:w="1264" w:type="dxa"/>
            <w:tcBorders>
              <w:top w:val="nil"/>
              <w:left w:val="single" w:sz="4" w:space="0" w:color="FFFFFF"/>
              <w:right w:val="single" w:sz="4" w:space="0" w:color="FFFFFF"/>
            </w:tcBorders>
            <w:shd w:val="clear" w:color="auto" w:fill="005A97"/>
            <w:noWrap/>
            <w:hideMark/>
          </w:tcPr>
          <w:p w14:paraId="7DAA065C" w14:textId="77777777" w:rsidR="008D0183" w:rsidRPr="0073640E" w:rsidRDefault="008D0183" w:rsidP="00E63375">
            <w:pPr>
              <w:pStyle w:val="TableHeaderrow"/>
            </w:pPr>
            <w:r w:rsidRPr="0073640E">
              <w:t>Aquifer Monitored</w:t>
            </w:r>
          </w:p>
        </w:tc>
        <w:tc>
          <w:tcPr>
            <w:tcW w:w="3977" w:type="dxa"/>
            <w:tcBorders>
              <w:top w:val="nil"/>
              <w:left w:val="single" w:sz="4" w:space="0" w:color="FFFFFF"/>
              <w:right w:val="single" w:sz="4" w:space="0" w:color="FFFFFF"/>
            </w:tcBorders>
            <w:shd w:val="clear" w:color="auto" w:fill="005A97"/>
            <w:noWrap/>
            <w:hideMark/>
          </w:tcPr>
          <w:p w14:paraId="7DAA065D" w14:textId="372BD1D5" w:rsidR="008D0183" w:rsidRPr="0073640E" w:rsidRDefault="008D0183" w:rsidP="00E63375">
            <w:pPr>
              <w:pStyle w:val="TableHeaderrow"/>
            </w:pPr>
            <w:r w:rsidRPr="0073640E">
              <w:t xml:space="preserve">Justification for inclusion in the </w:t>
            </w:r>
            <w:r w:rsidR="00857ACF">
              <w:t xml:space="preserve">monitoring </w:t>
            </w:r>
            <w:r w:rsidRPr="0073640E">
              <w:t>network</w:t>
            </w:r>
          </w:p>
        </w:tc>
        <w:tc>
          <w:tcPr>
            <w:tcW w:w="3499" w:type="dxa"/>
            <w:tcBorders>
              <w:top w:val="nil"/>
              <w:left w:val="single" w:sz="4" w:space="0" w:color="FFFFFF"/>
            </w:tcBorders>
            <w:shd w:val="clear" w:color="auto" w:fill="005A97"/>
          </w:tcPr>
          <w:p w14:paraId="7DAA065E" w14:textId="77777777" w:rsidR="008D0183" w:rsidRPr="0073640E" w:rsidRDefault="008D0183" w:rsidP="00E63375">
            <w:pPr>
              <w:pStyle w:val="TableHeaderrow"/>
            </w:pPr>
            <w:r>
              <w:t>Comment</w:t>
            </w:r>
          </w:p>
        </w:tc>
      </w:tr>
      <w:tr w:rsidR="008D0183" w:rsidRPr="0073640E" w14:paraId="7DAA0666" w14:textId="77777777" w:rsidTr="00C27EE4">
        <w:trPr>
          <w:trHeight w:val="64"/>
        </w:trPr>
        <w:tc>
          <w:tcPr>
            <w:tcW w:w="1029" w:type="dxa"/>
            <w:shd w:val="clear" w:color="auto" w:fill="auto"/>
            <w:noWrap/>
            <w:hideMark/>
          </w:tcPr>
          <w:p w14:paraId="7DAA0660" w14:textId="77777777" w:rsidR="008D0183" w:rsidRPr="00C27EE4" w:rsidRDefault="008D0183" w:rsidP="008E714B">
            <w:pPr>
              <w:pStyle w:val="Tablesmalltext"/>
              <w:rPr>
                <w:sz w:val="18"/>
                <w:szCs w:val="18"/>
              </w:rPr>
            </w:pPr>
            <w:r w:rsidRPr="00C27EE4">
              <w:rPr>
                <w:sz w:val="18"/>
                <w:szCs w:val="18"/>
              </w:rPr>
              <w:t>S61557-2</w:t>
            </w:r>
          </w:p>
        </w:tc>
        <w:tc>
          <w:tcPr>
            <w:tcW w:w="1264" w:type="dxa"/>
            <w:shd w:val="clear" w:color="auto" w:fill="auto"/>
            <w:noWrap/>
            <w:hideMark/>
          </w:tcPr>
          <w:p w14:paraId="7DAA0661" w14:textId="77777777" w:rsidR="008D0183" w:rsidRPr="00C27EE4" w:rsidRDefault="008D0183" w:rsidP="008E714B">
            <w:pPr>
              <w:pStyle w:val="Tablesmalltext"/>
              <w:rPr>
                <w:sz w:val="18"/>
                <w:szCs w:val="18"/>
              </w:rPr>
            </w:pPr>
            <w:r w:rsidRPr="00C27EE4">
              <w:rPr>
                <w:sz w:val="18"/>
                <w:szCs w:val="18"/>
              </w:rPr>
              <w:t>Quaternary Aquifer (100)</w:t>
            </w:r>
          </w:p>
        </w:tc>
        <w:tc>
          <w:tcPr>
            <w:tcW w:w="3977" w:type="dxa"/>
            <w:shd w:val="clear" w:color="auto" w:fill="auto"/>
            <w:noWrap/>
          </w:tcPr>
          <w:p w14:paraId="7DAA0662" w14:textId="77777777" w:rsidR="008D0183" w:rsidRPr="00C27EE4" w:rsidRDefault="008D0183" w:rsidP="00250AE6">
            <w:pPr>
              <w:pStyle w:val="Tablesmalltext"/>
              <w:numPr>
                <w:ilvl w:val="0"/>
                <w:numId w:val="10"/>
              </w:numPr>
              <w:ind w:left="422"/>
              <w:rPr>
                <w:sz w:val="18"/>
                <w:szCs w:val="18"/>
              </w:rPr>
            </w:pPr>
            <w:r w:rsidRPr="00C27EE4">
              <w:rPr>
                <w:sz w:val="18"/>
                <w:szCs w:val="18"/>
              </w:rPr>
              <w:t xml:space="preserve">Located in the area of prospectivity </w:t>
            </w:r>
          </w:p>
          <w:p w14:paraId="7DAA0663" w14:textId="77809357" w:rsidR="008D0183" w:rsidRPr="00C27EE4" w:rsidRDefault="008D0183" w:rsidP="00250AE6">
            <w:pPr>
              <w:pStyle w:val="Tablesmalltext"/>
              <w:numPr>
                <w:ilvl w:val="0"/>
                <w:numId w:val="10"/>
              </w:numPr>
              <w:ind w:left="422"/>
              <w:rPr>
                <w:sz w:val="18"/>
                <w:szCs w:val="18"/>
              </w:rPr>
            </w:pPr>
            <w:r w:rsidRPr="00C27EE4">
              <w:rPr>
                <w:sz w:val="18"/>
                <w:szCs w:val="18"/>
              </w:rPr>
              <w:t xml:space="preserve">Located in area of </w:t>
            </w:r>
            <w:r w:rsidR="00E927B0" w:rsidRPr="00C27EE4">
              <w:rPr>
                <w:sz w:val="18"/>
                <w:szCs w:val="18"/>
              </w:rPr>
              <w:t>key</w:t>
            </w:r>
            <w:r w:rsidRPr="00C27EE4">
              <w:rPr>
                <w:sz w:val="18"/>
                <w:szCs w:val="18"/>
              </w:rPr>
              <w:t xml:space="preserve"> rivers and wetlands, including the Directory of Important Wetland ‘McCallums Swamp’ </w:t>
            </w:r>
          </w:p>
          <w:p w14:paraId="7DAA0664" w14:textId="77777777" w:rsidR="008D0183" w:rsidRPr="00C27EE4" w:rsidRDefault="008D0183" w:rsidP="00250AE6">
            <w:pPr>
              <w:pStyle w:val="Tablesmalltext"/>
              <w:numPr>
                <w:ilvl w:val="0"/>
                <w:numId w:val="10"/>
              </w:numPr>
              <w:ind w:left="422"/>
              <w:rPr>
                <w:sz w:val="18"/>
                <w:szCs w:val="18"/>
              </w:rPr>
            </w:pPr>
            <w:r w:rsidRPr="00C27EE4">
              <w:rPr>
                <w:sz w:val="18"/>
                <w:szCs w:val="18"/>
              </w:rPr>
              <w:t>Monitors the watertable aquifer</w:t>
            </w:r>
          </w:p>
        </w:tc>
        <w:tc>
          <w:tcPr>
            <w:tcW w:w="3499" w:type="dxa"/>
          </w:tcPr>
          <w:p w14:paraId="7DAA0665" w14:textId="1AA15E27" w:rsidR="008D0183" w:rsidRPr="00C27EE4" w:rsidRDefault="008D0183" w:rsidP="00E927B0">
            <w:pPr>
              <w:pStyle w:val="Tablesmalltext"/>
              <w:numPr>
                <w:ilvl w:val="0"/>
                <w:numId w:val="10"/>
              </w:numPr>
              <w:ind w:left="422"/>
              <w:rPr>
                <w:sz w:val="18"/>
                <w:szCs w:val="18"/>
              </w:rPr>
            </w:pPr>
            <w:r w:rsidRPr="00C27EE4">
              <w:rPr>
                <w:sz w:val="18"/>
                <w:szCs w:val="18"/>
              </w:rPr>
              <w:t xml:space="preserve">Watertable aquifer in area of prospectivity and </w:t>
            </w:r>
            <w:r w:rsidR="00E927B0" w:rsidRPr="00C27EE4">
              <w:rPr>
                <w:sz w:val="18"/>
                <w:szCs w:val="18"/>
              </w:rPr>
              <w:t>key</w:t>
            </w:r>
            <w:r w:rsidRPr="00C27EE4">
              <w:rPr>
                <w:sz w:val="18"/>
                <w:szCs w:val="18"/>
              </w:rPr>
              <w:t xml:space="preserve"> assets is characterised by; no methane and trace amounts of TRH (i.e. equal to detection limit) and no BTEX</w:t>
            </w:r>
          </w:p>
        </w:tc>
      </w:tr>
      <w:tr w:rsidR="008D0183" w:rsidRPr="0073640E" w14:paraId="7DAA066D" w14:textId="77777777" w:rsidTr="00C27EE4">
        <w:trPr>
          <w:trHeight w:val="64"/>
        </w:trPr>
        <w:tc>
          <w:tcPr>
            <w:tcW w:w="1029" w:type="dxa"/>
            <w:shd w:val="clear" w:color="auto" w:fill="auto"/>
            <w:noWrap/>
            <w:hideMark/>
          </w:tcPr>
          <w:p w14:paraId="7DAA0667" w14:textId="77777777" w:rsidR="008D0183" w:rsidRPr="00C27EE4" w:rsidRDefault="008D0183" w:rsidP="008E714B">
            <w:pPr>
              <w:pStyle w:val="Tablesmalltext"/>
              <w:rPr>
                <w:sz w:val="18"/>
                <w:szCs w:val="18"/>
              </w:rPr>
            </w:pPr>
            <w:r w:rsidRPr="00C27EE4">
              <w:rPr>
                <w:sz w:val="18"/>
                <w:szCs w:val="18"/>
              </w:rPr>
              <w:t>S61557-3</w:t>
            </w:r>
          </w:p>
        </w:tc>
        <w:tc>
          <w:tcPr>
            <w:tcW w:w="1264" w:type="dxa"/>
            <w:shd w:val="clear" w:color="auto" w:fill="auto"/>
            <w:noWrap/>
            <w:hideMark/>
          </w:tcPr>
          <w:p w14:paraId="7DAA0668" w14:textId="77777777" w:rsidR="008D0183" w:rsidRPr="00C27EE4" w:rsidRDefault="008D0183" w:rsidP="008E714B">
            <w:pPr>
              <w:pStyle w:val="Tablesmalltext"/>
              <w:rPr>
                <w:sz w:val="18"/>
                <w:szCs w:val="18"/>
              </w:rPr>
            </w:pPr>
            <w:r w:rsidRPr="00C27EE4">
              <w:rPr>
                <w:sz w:val="18"/>
                <w:szCs w:val="18"/>
              </w:rPr>
              <w:t>Quaternary Aquifer (100)</w:t>
            </w:r>
          </w:p>
        </w:tc>
        <w:tc>
          <w:tcPr>
            <w:tcW w:w="3977" w:type="dxa"/>
            <w:shd w:val="clear" w:color="auto" w:fill="auto"/>
            <w:noWrap/>
          </w:tcPr>
          <w:p w14:paraId="7DAA0669" w14:textId="77777777" w:rsidR="008D0183" w:rsidRPr="00C27EE4" w:rsidRDefault="008D0183" w:rsidP="00250AE6">
            <w:pPr>
              <w:pStyle w:val="Tablesmalltext"/>
              <w:numPr>
                <w:ilvl w:val="0"/>
                <w:numId w:val="10"/>
              </w:numPr>
              <w:ind w:left="422"/>
              <w:rPr>
                <w:sz w:val="18"/>
                <w:szCs w:val="18"/>
              </w:rPr>
            </w:pPr>
            <w:r w:rsidRPr="00C27EE4">
              <w:rPr>
                <w:sz w:val="18"/>
                <w:szCs w:val="18"/>
              </w:rPr>
              <w:t>Located in the area of prospectivity</w:t>
            </w:r>
          </w:p>
          <w:p w14:paraId="7DAA066A" w14:textId="3BA5C739" w:rsidR="008D0183" w:rsidRPr="00C27EE4" w:rsidRDefault="008D0183" w:rsidP="00250AE6">
            <w:pPr>
              <w:pStyle w:val="Tablesmalltext"/>
              <w:numPr>
                <w:ilvl w:val="0"/>
                <w:numId w:val="10"/>
              </w:numPr>
              <w:ind w:left="422"/>
              <w:rPr>
                <w:sz w:val="18"/>
                <w:szCs w:val="18"/>
              </w:rPr>
            </w:pPr>
            <w:r w:rsidRPr="00C27EE4">
              <w:rPr>
                <w:sz w:val="18"/>
                <w:szCs w:val="18"/>
              </w:rPr>
              <w:t xml:space="preserve">Located in the area of </w:t>
            </w:r>
            <w:r w:rsidR="00E927B0" w:rsidRPr="00C27EE4">
              <w:rPr>
                <w:sz w:val="18"/>
                <w:szCs w:val="18"/>
              </w:rPr>
              <w:t>key</w:t>
            </w:r>
            <w:r w:rsidRPr="00C27EE4">
              <w:rPr>
                <w:sz w:val="18"/>
                <w:szCs w:val="18"/>
              </w:rPr>
              <w:t xml:space="preserve"> rivers and wetlands. Including Directory of Important Wetlands (Mundi-Selkirk Wetlands) and the Glenelg River    </w:t>
            </w:r>
          </w:p>
          <w:p w14:paraId="7DAA066B" w14:textId="77777777" w:rsidR="008D0183" w:rsidRPr="00C27EE4" w:rsidRDefault="008D0183" w:rsidP="00250AE6">
            <w:pPr>
              <w:pStyle w:val="Tablesmalltext"/>
              <w:numPr>
                <w:ilvl w:val="0"/>
                <w:numId w:val="10"/>
              </w:numPr>
              <w:ind w:left="422"/>
              <w:rPr>
                <w:sz w:val="18"/>
                <w:szCs w:val="18"/>
              </w:rPr>
            </w:pPr>
            <w:r w:rsidRPr="00C27EE4">
              <w:rPr>
                <w:sz w:val="18"/>
                <w:szCs w:val="18"/>
              </w:rPr>
              <w:t xml:space="preserve">Monitors the watertable aquifer </w:t>
            </w:r>
          </w:p>
        </w:tc>
        <w:tc>
          <w:tcPr>
            <w:tcW w:w="3499" w:type="dxa"/>
          </w:tcPr>
          <w:p w14:paraId="7DAA066C" w14:textId="61D8B35E" w:rsidR="008D0183" w:rsidRPr="00C27EE4" w:rsidRDefault="008D0183" w:rsidP="00E927B0">
            <w:pPr>
              <w:pStyle w:val="Tablesmalltext"/>
              <w:numPr>
                <w:ilvl w:val="0"/>
                <w:numId w:val="10"/>
              </w:numPr>
              <w:ind w:left="422"/>
              <w:rPr>
                <w:sz w:val="18"/>
                <w:szCs w:val="18"/>
              </w:rPr>
            </w:pPr>
            <w:r w:rsidRPr="00C27EE4">
              <w:rPr>
                <w:sz w:val="18"/>
                <w:szCs w:val="18"/>
              </w:rPr>
              <w:t xml:space="preserve">Watertable aquifer in area of prospectivity and </w:t>
            </w:r>
            <w:r w:rsidR="00E927B0" w:rsidRPr="00C27EE4">
              <w:rPr>
                <w:sz w:val="18"/>
                <w:szCs w:val="18"/>
              </w:rPr>
              <w:t>key</w:t>
            </w:r>
            <w:r w:rsidRPr="00C27EE4">
              <w:rPr>
                <w:sz w:val="18"/>
                <w:szCs w:val="18"/>
              </w:rPr>
              <w:t xml:space="preserve"> assets is characterised by; no methane, no TRH and no BTEX</w:t>
            </w:r>
          </w:p>
        </w:tc>
      </w:tr>
      <w:tr w:rsidR="008D0183" w:rsidRPr="0073640E" w14:paraId="7DAA0674" w14:textId="77777777" w:rsidTr="00C27EE4">
        <w:trPr>
          <w:trHeight w:val="585"/>
        </w:trPr>
        <w:tc>
          <w:tcPr>
            <w:tcW w:w="1029" w:type="dxa"/>
            <w:shd w:val="clear" w:color="auto" w:fill="auto"/>
            <w:noWrap/>
            <w:hideMark/>
          </w:tcPr>
          <w:p w14:paraId="7DAA066E" w14:textId="77777777" w:rsidR="008D0183" w:rsidRPr="00C27EE4" w:rsidRDefault="008D0183" w:rsidP="008E714B">
            <w:pPr>
              <w:pStyle w:val="Tablesmalltext"/>
              <w:rPr>
                <w:sz w:val="18"/>
                <w:szCs w:val="18"/>
              </w:rPr>
            </w:pPr>
            <w:r w:rsidRPr="00C27EE4">
              <w:rPr>
                <w:sz w:val="18"/>
                <w:szCs w:val="18"/>
              </w:rPr>
              <w:t>S61557-1</w:t>
            </w:r>
          </w:p>
        </w:tc>
        <w:tc>
          <w:tcPr>
            <w:tcW w:w="1264" w:type="dxa"/>
            <w:shd w:val="clear" w:color="auto" w:fill="auto"/>
            <w:noWrap/>
            <w:hideMark/>
          </w:tcPr>
          <w:p w14:paraId="7DAA066F" w14:textId="77777777" w:rsidR="008D0183" w:rsidRPr="00C27EE4" w:rsidRDefault="008D0183" w:rsidP="008E714B">
            <w:pPr>
              <w:pStyle w:val="Tablesmalltext"/>
              <w:rPr>
                <w:sz w:val="18"/>
                <w:szCs w:val="18"/>
              </w:rPr>
            </w:pPr>
            <w:r w:rsidRPr="00C27EE4">
              <w:rPr>
                <w:sz w:val="18"/>
                <w:szCs w:val="18"/>
              </w:rPr>
              <w:t>Quaternary Aquifer (100)</w:t>
            </w:r>
          </w:p>
        </w:tc>
        <w:tc>
          <w:tcPr>
            <w:tcW w:w="3977" w:type="dxa"/>
            <w:shd w:val="clear" w:color="auto" w:fill="auto"/>
            <w:noWrap/>
          </w:tcPr>
          <w:p w14:paraId="7DAA0670" w14:textId="77777777" w:rsidR="008D0183" w:rsidRPr="00C27EE4" w:rsidRDefault="008D0183" w:rsidP="00250AE6">
            <w:pPr>
              <w:pStyle w:val="Tablesmalltext"/>
              <w:numPr>
                <w:ilvl w:val="0"/>
                <w:numId w:val="10"/>
              </w:numPr>
              <w:ind w:left="422"/>
              <w:rPr>
                <w:sz w:val="18"/>
                <w:szCs w:val="18"/>
              </w:rPr>
            </w:pPr>
            <w:r w:rsidRPr="00C27EE4">
              <w:rPr>
                <w:sz w:val="18"/>
                <w:szCs w:val="18"/>
              </w:rPr>
              <w:t xml:space="preserve">Located in the area of prospectivity </w:t>
            </w:r>
          </w:p>
          <w:p w14:paraId="7DAA0671" w14:textId="5165F8EF" w:rsidR="008D0183" w:rsidRPr="00C27EE4" w:rsidRDefault="008D0183" w:rsidP="00250AE6">
            <w:pPr>
              <w:pStyle w:val="Tablesmalltext"/>
              <w:numPr>
                <w:ilvl w:val="0"/>
                <w:numId w:val="10"/>
              </w:numPr>
              <w:ind w:left="422"/>
              <w:rPr>
                <w:sz w:val="18"/>
                <w:szCs w:val="18"/>
              </w:rPr>
            </w:pPr>
            <w:r w:rsidRPr="00C27EE4">
              <w:rPr>
                <w:sz w:val="18"/>
                <w:szCs w:val="18"/>
              </w:rPr>
              <w:t xml:space="preserve">Located in the area of </w:t>
            </w:r>
            <w:r w:rsidR="00E927B0" w:rsidRPr="00C27EE4">
              <w:rPr>
                <w:sz w:val="18"/>
                <w:szCs w:val="18"/>
              </w:rPr>
              <w:t>key</w:t>
            </w:r>
            <w:r w:rsidRPr="00C27EE4">
              <w:rPr>
                <w:sz w:val="18"/>
                <w:szCs w:val="18"/>
              </w:rPr>
              <w:t xml:space="preserve"> rivers and wetlands, including Directory of Important Wetlands (Mundi-Selkirk Wetlands, Pig Swamp and Lake Mundi) </w:t>
            </w:r>
          </w:p>
          <w:p w14:paraId="7DAA0672" w14:textId="77777777" w:rsidR="008D0183" w:rsidRPr="00C27EE4" w:rsidRDefault="008D0183" w:rsidP="00250AE6">
            <w:pPr>
              <w:pStyle w:val="Tablesmalltext"/>
              <w:numPr>
                <w:ilvl w:val="0"/>
                <w:numId w:val="10"/>
              </w:numPr>
              <w:ind w:left="422"/>
              <w:rPr>
                <w:sz w:val="18"/>
                <w:szCs w:val="18"/>
              </w:rPr>
            </w:pPr>
            <w:r w:rsidRPr="00C27EE4">
              <w:rPr>
                <w:sz w:val="18"/>
                <w:szCs w:val="18"/>
              </w:rPr>
              <w:t>Monitors the watertable aquifer</w:t>
            </w:r>
          </w:p>
        </w:tc>
        <w:tc>
          <w:tcPr>
            <w:tcW w:w="3499" w:type="dxa"/>
          </w:tcPr>
          <w:p w14:paraId="7DAA0673" w14:textId="500BD638" w:rsidR="008D0183" w:rsidRPr="00C27EE4" w:rsidRDefault="008D0183" w:rsidP="00E927B0">
            <w:pPr>
              <w:pStyle w:val="Tablesmalltext"/>
              <w:numPr>
                <w:ilvl w:val="0"/>
                <w:numId w:val="10"/>
              </w:numPr>
              <w:ind w:left="422"/>
              <w:rPr>
                <w:sz w:val="18"/>
                <w:szCs w:val="18"/>
              </w:rPr>
            </w:pPr>
            <w:r w:rsidRPr="00C27EE4">
              <w:rPr>
                <w:sz w:val="18"/>
                <w:szCs w:val="18"/>
              </w:rPr>
              <w:t xml:space="preserve">Watertable aquifer in area of prospectivity and </w:t>
            </w:r>
            <w:r w:rsidR="00E927B0" w:rsidRPr="00C27EE4">
              <w:rPr>
                <w:sz w:val="18"/>
                <w:szCs w:val="18"/>
              </w:rPr>
              <w:t>key</w:t>
            </w:r>
            <w:r w:rsidRPr="00C27EE4">
              <w:rPr>
                <w:sz w:val="18"/>
                <w:szCs w:val="18"/>
              </w:rPr>
              <w:t xml:space="preserve"> assets is characterised by; no methane, no TRH and no BTEX</w:t>
            </w:r>
          </w:p>
        </w:tc>
      </w:tr>
      <w:tr w:rsidR="008D0183" w:rsidRPr="0073640E" w14:paraId="7DAA067C" w14:textId="77777777" w:rsidTr="00C27EE4">
        <w:trPr>
          <w:trHeight w:val="838"/>
        </w:trPr>
        <w:tc>
          <w:tcPr>
            <w:tcW w:w="1029" w:type="dxa"/>
            <w:shd w:val="clear" w:color="auto" w:fill="auto"/>
            <w:noWrap/>
            <w:hideMark/>
          </w:tcPr>
          <w:p w14:paraId="7DAA0675" w14:textId="77777777" w:rsidR="008D0183" w:rsidRPr="00C27EE4" w:rsidRDefault="008D0183" w:rsidP="008E714B">
            <w:pPr>
              <w:pStyle w:val="Tablesmalltext"/>
              <w:rPr>
                <w:sz w:val="18"/>
                <w:szCs w:val="18"/>
              </w:rPr>
            </w:pPr>
            <w:r w:rsidRPr="00C27EE4">
              <w:rPr>
                <w:sz w:val="18"/>
                <w:szCs w:val="18"/>
              </w:rPr>
              <w:t>S61557-4</w:t>
            </w:r>
          </w:p>
        </w:tc>
        <w:tc>
          <w:tcPr>
            <w:tcW w:w="1264" w:type="dxa"/>
            <w:shd w:val="clear" w:color="auto" w:fill="auto"/>
            <w:noWrap/>
            <w:hideMark/>
          </w:tcPr>
          <w:p w14:paraId="7DAA0676" w14:textId="77777777" w:rsidR="008D0183" w:rsidRPr="00C27EE4" w:rsidRDefault="008D0183" w:rsidP="008E714B">
            <w:pPr>
              <w:pStyle w:val="Tablesmalltext"/>
              <w:rPr>
                <w:sz w:val="18"/>
                <w:szCs w:val="18"/>
              </w:rPr>
            </w:pPr>
            <w:r w:rsidRPr="00C27EE4">
              <w:rPr>
                <w:sz w:val="18"/>
                <w:szCs w:val="18"/>
              </w:rPr>
              <w:t>Quaternary Aquifer (100)</w:t>
            </w:r>
          </w:p>
        </w:tc>
        <w:tc>
          <w:tcPr>
            <w:tcW w:w="3977" w:type="dxa"/>
            <w:shd w:val="clear" w:color="auto" w:fill="auto"/>
            <w:noWrap/>
          </w:tcPr>
          <w:p w14:paraId="7DAA0677" w14:textId="77777777" w:rsidR="008D0183" w:rsidRPr="00C27EE4" w:rsidRDefault="008D0183" w:rsidP="00250AE6">
            <w:pPr>
              <w:pStyle w:val="Tablesmalltext"/>
              <w:numPr>
                <w:ilvl w:val="0"/>
                <w:numId w:val="10"/>
              </w:numPr>
              <w:ind w:left="422"/>
              <w:rPr>
                <w:sz w:val="18"/>
                <w:szCs w:val="18"/>
              </w:rPr>
            </w:pPr>
            <w:r w:rsidRPr="00C27EE4">
              <w:rPr>
                <w:sz w:val="18"/>
                <w:szCs w:val="18"/>
              </w:rPr>
              <w:t xml:space="preserve">Located in the Glenelg WSPA.  Nested with 82347. </w:t>
            </w:r>
          </w:p>
          <w:p w14:paraId="7DAA0678" w14:textId="77777777" w:rsidR="008D0183" w:rsidRPr="00C27EE4" w:rsidRDefault="008D0183" w:rsidP="00250AE6">
            <w:pPr>
              <w:pStyle w:val="Tablesmalltext"/>
              <w:numPr>
                <w:ilvl w:val="0"/>
                <w:numId w:val="10"/>
              </w:numPr>
              <w:ind w:left="422"/>
              <w:rPr>
                <w:sz w:val="18"/>
                <w:szCs w:val="18"/>
              </w:rPr>
            </w:pPr>
            <w:r w:rsidRPr="00C27EE4">
              <w:rPr>
                <w:sz w:val="18"/>
                <w:szCs w:val="18"/>
              </w:rPr>
              <w:t>Bores will monitor the Dilwyn Formation Aquifer and the watertable aquifer and will inform groundwater chemistry of multiple aquifers at one site and allow for interpretation of potential mixing</w:t>
            </w:r>
          </w:p>
        </w:tc>
        <w:tc>
          <w:tcPr>
            <w:tcW w:w="3499" w:type="dxa"/>
          </w:tcPr>
          <w:p w14:paraId="7DAA0679" w14:textId="77777777" w:rsidR="008D0183" w:rsidRPr="00C27EE4" w:rsidRDefault="008D0183" w:rsidP="00250AE6">
            <w:pPr>
              <w:pStyle w:val="Tablesmalltext"/>
              <w:numPr>
                <w:ilvl w:val="0"/>
                <w:numId w:val="10"/>
              </w:numPr>
              <w:ind w:left="422"/>
              <w:rPr>
                <w:sz w:val="18"/>
                <w:szCs w:val="18"/>
              </w:rPr>
            </w:pPr>
            <w:r w:rsidRPr="00C27EE4">
              <w:rPr>
                <w:sz w:val="18"/>
                <w:szCs w:val="18"/>
              </w:rPr>
              <w:t xml:space="preserve">In the Glenelg WSPA a downward vertical hydraulic gradient occurs from the Quaternary Aquifer to the Lower Tertiary Aquifer. </w:t>
            </w:r>
          </w:p>
          <w:p w14:paraId="7DAA067A" w14:textId="3679A6D0" w:rsidR="008D0183" w:rsidRPr="00C27EE4" w:rsidRDefault="00A83284" w:rsidP="00250AE6">
            <w:pPr>
              <w:pStyle w:val="Tablesmalltext"/>
              <w:numPr>
                <w:ilvl w:val="0"/>
                <w:numId w:val="10"/>
              </w:numPr>
              <w:ind w:left="422"/>
              <w:rPr>
                <w:sz w:val="18"/>
                <w:szCs w:val="18"/>
              </w:rPr>
            </w:pPr>
            <w:r w:rsidRPr="00C27EE4">
              <w:rPr>
                <w:sz w:val="18"/>
                <w:szCs w:val="18"/>
              </w:rPr>
              <w:t>L</w:t>
            </w:r>
            <w:r w:rsidR="008D0183" w:rsidRPr="00C27EE4">
              <w:rPr>
                <w:sz w:val="18"/>
                <w:szCs w:val="18"/>
              </w:rPr>
              <w:t xml:space="preserve">ow </w:t>
            </w:r>
            <w:r w:rsidRPr="00C27EE4">
              <w:rPr>
                <w:sz w:val="18"/>
                <w:szCs w:val="18"/>
              </w:rPr>
              <w:t xml:space="preserve">level </w:t>
            </w:r>
            <w:r w:rsidR="008D0183" w:rsidRPr="00C27EE4">
              <w:rPr>
                <w:sz w:val="18"/>
                <w:szCs w:val="18"/>
              </w:rPr>
              <w:t xml:space="preserve">methane detected (equal to the detection limit). Methane was also detected in the Lower Tertiary Aquifer at this location. Methane concentration decreases from the deep to the shallow aquifer. </w:t>
            </w:r>
          </w:p>
          <w:p w14:paraId="7DAA067B" w14:textId="77777777" w:rsidR="008D0183" w:rsidRPr="00C27EE4" w:rsidRDefault="008D0183" w:rsidP="00250AE6">
            <w:pPr>
              <w:pStyle w:val="Tablesmalltext"/>
              <w:numPr>
                <w:ilvl w:val="0"/>
                <w:numId w:val="10"/>
              </w:numPr>
              <w:ind w:left="422"/>
              <w:rPr>
                <w:sz w:val="18"/>
                <w:szCs w:val="18"/>
              </w:rPr>
            </w:pPr>
            <w:r w:rsidRPr="00C27EE4">
              <w:rPr>
                <w:sz w:val="18"/>
                <w:szCs w:val="18"/>
              </w:rPr>
              <w:t>No TRH or BTEX detected</w:t>
            </w:r>
          </w:p>
        </w:tc>
      </w:tr>
    </w:tbl>
    <w:p w14:paraId="7DAA067D" w14:textId="77777777" w:rsidR="008D0183" w:rsidRPr="008D0183" w:rsidRDefault="008D0183" w:rsidP="000C564C"/>
    <w:p w14:paraId="7DAA067E" w14:textId="77777777" w:rsidR="000C564C" w:rsidRPr="000C564C" w:rsidRDefault="000C564C" w:rsidP="008D0183">
      <w:pPr>
        <w:pStyle w:val="Head2xx"/>
      </w:pPr>
      <w:bookmarkStart w:id="140" w:name="_Toc420327740"/>
      <w:r w:rsidRPr="000C564C">
        <w:t>Upper Tertiary Aquifer (marine) (104)</w:t>
      </w:r>
      <w:bookmarkEnd w:id="140"/>
    </w:p>
    <w:p w14:paraId="7DAA067F" w14:textId="10E7DE46" w:rsidR="000C564C" w:rsidRPr="000C564C" w:rsidRDefault="000C564C" w:rsidP="000C564C">
      <w:pPr>
        <w:rPr>
          <w:lang w:val="en-AU"/>
        </w:rPr>
      </w:pPr>
      <w:r w:rsidRPr="000C564C">
        <w:rPr>
          <w:lang w:val="en-AU"/>
        </w:rPr>
        <w:t>A single bore was sampled for the Upper Tertiary Aquifer (marine) (</w:t>
      </w:r>
      <w:r w:rsidR="00156BFB">
        <w:rPr>
          <w:lang w:val="en-AU"/>
        </w:rPr>
        <w:t>Table 21</w:t>
      </w:r>
      <w:r w:rsidRPr="000C564C">
        <w:rPr>
          <w:lang w:val="en-AU"/>
        </w:rPr>
        <w:t>). This aquifer comprises a number of formations including</w:t>
      </w:r>
      <w:r w:rsidR="00332228">
        <w:rPr>
          <w:lang w:val="en-AU"/>
        </w:rPr>
        <w:t>:</w:t>
      </w:r>
      <w:r w:rsidR="00332228" w:rsidRPr="000C564C">
        <w:rPr>
          <w:lang w:val="en-AU"/>
        </w:rPr>
        <w:t xml:space="preserve"> </w:t>
      </w:r>
      <w:r w:rsidRPr="000C564C">
        <w:rPr>
          <w:lang w:val="en-AU"/>
        </w:rPr>
        <w:t xml:space="preserve">Whalers Bluff Formation, Moorabool Viaduct Formation, Hanson Plain Sand, Dorodong Sand and Grange Burn Formation. Groundwater salinity is brackish for this aquifer and nitrogen concentration is low (0.4 mg/L). Groundwater pH is near neutral (7.2) and redox potential indicates reducing conditions. </w:t>
      </w:r>
    </w:p>
    <w:p w14:paraId="5A794316" w14:textId="1123FCC8" w:rsidR="00966ED4" w:rsidRDefault="000C564C">
      <w:pPr>
        <w:rPr>
          <w:rFonts w:cs="Arial"/>
          <w:b/>
          <w:bCs/>
        </w:rPr>
      </w:pPr>
      <w:r w:rsidRPr="000C564C">
        <w:rPr>
          <w:lang w:val="en-AU"/>
        </w:rPr>
        <w:t xml:space="preserve">There was no methane detected in groundwater for the Upper Tertiary Aquifer (marine) and no TPH (including BTEX). </w:t>
      </w:r>
      <w:bookmarkStart w:id="141" w:name="_Ref414009127"/>
    </w:p>
    <w:p w14:paraId="7DAA0681" w14:textId="7B969258" w:rsidR="008D0183" w:rsidRDefault="008E714B" w:rsidP="004F307F">
      <w:pPr>
        <w:pStyle w:val="Tableheading"/>
        <w:rPr>
          <w:lang w:val="en-AU"/>
        </w:rPr>
      </w:pPr>
      <w:bookmarkStart w:id="142" w:name="_Toc420320571"/>
      <w:r>
        <w:t xml:space="preserve">Table </w:t>
      </w:r>
      <w:r>
        <w:fldChar w:fldCharType="begin"/>
      </w:r>
      <w:r>
        <w:instrText xml:space="preserve"> SEQ Table \* ARABIC </w:instrText>
      </w:r>
      <w:r>
        <w:fldChar w:fldCharType="separate"/>
      </w:r>
      <w:r w:rsidR="00BD60CC">
        <w:rPr>
          <w:noProof/>
        </w:rPr>
        <w:t>21</w:t>
      </w:r>
      <w:r>
        <w:fldChar w:fldCharType="end"/>
      </w:r>
      <w:bookmarkEnd w:id="141"/>
      <w:r>
        <w:rPr>
          <w:lang w:val="en-AU"/>
        </w:rPr>
        <w:t xml:space="preserve"> </w:t>
      </w:r>
      <w:r w:rsidR="000C564C" w:rsidRPr="000C564C">
        <w:rPr>
          <w:lang w:val="en-AU"/>
        </w:rPr>
        <w:t>Upper Tertiary Aquifer (marine)</w:t>
      </w:r>
      <w:bookmarkEnd w:id="142"/>
    </w:p>
    <w:tbl>
      <w:tblPr>
        <w:tblW w:w="9627" w:type="dxa"/>
        <w:tblInd w:w="120" w:type="dxa"/>
        <w:tblBorders>
          <w:bottom w:val="single" w:sz="4" w:space="0" w:color="005A97"/>
          <w:insideH w:val="single" w:sz="4" w:space="0" w:color="005A97"/>
          <w:insideV w:val="single" w:sz="4" w:space="0" w:color="005A97"/>
        </w:tblBorders>
        <w:tblLook w:val="04A0" w:firstRow="1" w:lastRow="0" w:firstColumn="1" w:lastColumn="0" w:noHBand="0" w:noVBand="1"/>
      </w:tblPr>
      <w:tblGrid>
        <w:gridCol w:w="1180"/>
        <w:gridCol w:w="1181"/>
        <w:gridCol w:w="3825"/>
        <w:gridCol w:w="3441"/>
      </w:tblGrid>
      <w:tr w:rsidR="008D0183" w:rsidRPr="0073640E" w14:paraId="7DAA0686" w14:textId="77777777" w:rsidTr="00C27EE4">
        <w:trPr>
          <w:trHeight w:val="270"/>
        </w:trPr>
        <w:tc>
          <w:tcPr>
            <w:tcW w:w="1180" w:type="dxa"/>
            <w:tcBorders>
              <w:top w:val="nil"/>
              <w:right w:val="single" w:sz="4" w:space="0" w:color="FFFFFF"/>
            </w:tcBorders>
            <w:shd w:val="clear" w:color="auto" w:fill="005A97"/>
            <w:noWrap/>
            <w:hideMark/>
          </w:tcPr>
          <w:p w14:paraId="7DAA0682" w14:textId="77777777" w:rsidR="008D0183" w:rsidRPr="0073640E" w:rsidRDefault="008D0183" w:rsidP="00E63375">
            <w:pPr>
              <w:pStyle w:val="TableHeaderrow"/>
            </w:pPr>
            <w:r w:rsidRPr="0073640E">
              <w:t>Bore</w:t>
            </w:r>
          </w:p>
        </w:tc>
        <w:tc>
          <w:tcPr>
            <w:tcW w:w="1181" w:type="dxa"/>
            <w:tcBorders>
              <w:top w:val="nil"/>
              <w:left w:val="single" w:sz="4" w:space="0" w:color="FFFFFF"/>
              <w:right w:val="single" w:sz="4" w:space="0" w:color="FFFFFF"/>
            </w:tcBorders>
            <w:shd w:val="clear" w:color="auto" w:fill="005A97"/>
            <w:noWrap/>
            <w:hideMark/>
          </w:tcPr>
          <w:p w14:paraId="7DAA0683" w14:textId="77777777" w:rsidR="008D0183" w:rsidRPr="0073640E" w:rsidRDefault="008D0183" w:rsidP="00E63375">
            <w:pPr>
              <w:pStyle w:val="TableHeaderrow"/>
            </w:pPr>
            <w:r w:rsidRPr="0073640E">
              <w:t>Aquifer Monitored</w:t>
            </w:r>
          </w:p>
        </w:tc>
        <w:tc>
          <w:tcPr>
            <w:tcW w:w="3825" w:type="dxa"/>
            <w:tcBorders>
              <w:top w:val="nil"/>
              <w:left w:val="single" w:sz="4" w:space="0" w:color="FFFFFF"/>
              <w:right w:val="single" w:sz="4" w:space="0" w:color="FFFFFF"/>
            </w:tcBorders>
            <w:shd w:val="clear" w:color="auto" w:fill="005A97"/>
            <w:noWrap/>
            <w:hideMark/>
          </w:tcPr>
          <w:p w14:paraId="7DAA0684" w14:textId="3A4AB482" w:rsidR="008D0183" w:rsidRPr="0073640E" w:rsidRDefault="008D0183" w:rsidP="00E63375">
            <w:pPr>
              <w:pStyle w:val="TableHeaderrow"/>
            </w:pPr>
            <w:r w:rsidRPr="0073640E">
              <w:t xml:space="preserve">Justification for inclusion in the </w:t>
            </w:r>
            <w:r w:rsidR="00857ACF">
              <w:t xml:space="preserve">monitoring </w:t>
            </w:r>
            <w:r w:rsidRPr="0073640E">
              <w:t>network</w:t>
            </w:r>
          </w:p>
        </w:tc>
        <w:tc>
          <w:tcPr>
            <w:tcW w:w="3441" w:type="dxa"/>
            <w:tcBorders>
              <w:top w:val="nil"/>
              <w:left w:val="single" w:sz="4" w:space="0" w:color="FFFFFF"/>
            </w:tcBorders>
            <w:shd w:val="clear" w:color="auto" w:fill="005A97"/>
          </w:tcPr>
          <w:p w14:paraId="7DAA0685" w14:textId="77777777" w:rsidR="008D0183" w:rsidRPr="0073640E" w:rsidRDefault="008D0183" w:rsidP="00E63375">
            <w:pPr>
              <w:pStyle w:val="TableHeaderrow"/>
            </w:pPr>
            <w:r>
              <w:t>Comment</w:t>
            </w:r>
          </w:p>
        </w:tc>
      </w:tr>
      <w:tr w:rsidR="008D0183" w:rsidRPr="0073640E" w14:paraId="7DAA068D" w14:textId="77777777" w:rsidTr="00C27EE4">
        <w:trPr>
          <w:trHeight w:val="720"/>
        </w:trPr>
        <w:tc>
          <w:tcPr>
            <w:tcW w:w="1180" w:type="dxa"/>
            <w:shd w:val="clear" w:color="auto" w:fill="auto"/>
            <w:noWrap/>
            <w:hideMark/>
          </w:tcPr>
          <w:p w14:paraId="7DAA0687" w14:textId="77777777" w:rsidR="008D0183" w:rsidRPr="00C27EE4" w:rsidRDefault="008D0183" w:rsidP="008E714B">
            <w:pPr>
              <w:pStyle w:val="Tablesmalltext"/>
              <w:rPr>
                <w:sz w:val="18"/>
                <w:szCs w:val="18"/>
              </w:rPr>
            </w:pPr>
            <w:r w:rsidRPr="00C27EE4">
              <w:rPr>
                <w:sz w:val="18"/>
                <w:szCs w:val="18"/>
              </w:rPr>
              <w:t>110984</w:t>
            </w:r>
          </w:p>
        </w:tc>
        <w:tc>
          <w:tcPr>
            <w:tcW w:w="1181" w:type="dxa"/>
            <w:shd w:val="clear" w:color="auto" w:fill="auto"/>
            <w:noWrap/>
            <w:hideMark/>
          </w:tcPr>
          <w:p w14:paraId="7DAA0688" w14:textId="77777777" w:rsidR="008D0183" w:rsidRPr="00C27EE4" w:rsidRDefault="008D0183" w:rsidP="008E714B">
            <w:pPr>
              <w:pStyle w:val="Tablesmalltext"/>
              <w:rPr>
                <w:sz w:val="18"/>
                <w:szCs w:val="18"/>
              </w:rPr>
            </w:pPr>
            <w:r w:rsidRPr="00C27EE4">
              <w:rPr>
                <w:sz w:val="18"/>
                <w:szCs w:val="18"/>
              </w:rPr>
              <w:t>Upper Tertiary Aquifer (marine) (104)</w:t>
            </w:r>
          </w:p>
        </w:tc>
        <w:tc>
          <w:tcPr>
            <w:tcW w:w="3825" w:type="dxa"/>
            <w:shd w:val="clear" w:color="auto" w:fill="auto"/>
            <w:noWrap/>
          </w:tcPr>
          <w:p w14:paraId="7DAA0689" w14:textId="77777777" w:rsidR="008D0183" w:rsidRPr="00C27EE4" w:rsidRDefault="008D0183" w:rsidP="00C27EE4">
            <w:pPr>
              <w:pStyle w:val="Tablesmalltext"/>
              <w:numPr>
                <w:ilvl w:val="0"/>
                <w:numId w:val="11"/>
              </w:numPr>
              <w:ind w:left="354" w:hanging="354"/>
              <w:rPr>
                <w:sz w:val="18"/>
                <w:szCs w:val="18"/>
              </w:rPr>
            </w:pPr>
            <w:r w:rsidRPr="00C27EE4">
              <w:rPr>
                <w:sz w:val="18"/>
                <w:szCs w:val="18"/>
              </w:rPr>
              <w:t>Nested site located in the vicinity of the Lake Corangamite Ramsar listed site.</w:t>
            </w:r>
          </w:p>
          <w:p w14:paraId="7DAA068A" w14:textId="77777777" w:rsidR="008D0183" w:rsidRPr="00C27EE4" w:rsidRDefault="008D0183" w:rsidP="00C27EE4">
            <w:pPr>
              <w:pStyle w:val="Tablesmalltext"/>
              <w:numPr>
                <w:ilvl w:val="0"/>
                <w:numId w:val="11"/>
              </w:numPr>
              <w:ind w:left="354" w:hanging="354"/>
              <w:rPr>
                <w:sz w:val="18"/>
                <w:szCs w:val="18"/>
              </w:rPr>
            </w:pPr>
            <w:r w:rsidRPr="00C27EE4">
              <w:rPr>
                <w:sz w:val="18"/>
                <w:szCs w:val="18"/>
              </w:rPr>
              <w:t>Nested with 110985 and will inform groundwater chemistry of multiple aquifers at one site and allow for interpretation of potential mixing.</w:t>
            </w:r>
          </w:p>
        </w:tc>
        <w:tc>
          <w:tcPr>
            <w:tcW w:w="3441" w:type="dxa"/>
          </w:tcPr>
          <w:p w14:paraId="7DAA068B" w14:textId="712603AC" w:rsidR="008D0183" w:rsidRPr="00C27EE4" w:rsidRDefault="008D0183" w:rsidP="00C27EE4">
            <w:pPr>
              <w:pStyle w:val="Tablesmalltext"/>
              <w:numPr>
                <w:ilvl w:val="0"/>
                <w:numId w:val="11"/>
              </w:numPr>
              <w:ind w:left="357" w:hanging="357"/>
              <w:rPr>
                <w:sz w:val="18"/>
                <w:szCs w:val="18"/>
              </w:rPr>
            </w:pPr>
            <w:r w:rsidRPr="00C27EE4">
              <w:rPr>
                <w:sz w:val="18"/>
                <w:szCs w:val="18"/>
              </w:rPr>
              <w:t xml:space="preserve">The Upper Tertiary Aquifer (marine) near Lake Corangamite </w:t>
            </w:r>
            <w:r w:rsidR="00E927B0" w:rsidRPr="00C27EE4">
              <w:rPr>
                <w:sz w:val="18"/>
                <w:szCs w:val="18"/>
              </w:rPr>
              <w:t xml:space="preserve">did </w:t>
            </w:r>
            <w:r w:rsidRPr="00C27EE4">
              <w:rPr>
                <w:sz w:val="18"/>
                <w:szCs w:val="18"/>
              </w:rPr>
              <w:t>not contain dissolved methane, TRH or BTEX</w:t>
            </w:r>
          </w:p>
          <w:p w14:paraId="7DAA068C" w14:textId="77777777" w:rsidR="008D0183" w:rsidRPr="00C27EE4" w:rsidRDefault="008D0183" w:rsidP="00C27EE4">
            <w:pPr>
              <w:pStyle w:val="Tablesmalltext"/>
              <w:numPr>
                <w:ilvl w:val="0"/>
                <w:numId w:val="11"/>
              </w:numPr>
              <w:ind w:left="357" w:hanging="357"/>
              <w:rPr>
                <w:sz w:val="18"/>
                <w:szCs w:val="18"/>
              </w:rPr>
            </w:pPr>
            <w:r w:rsidRPr="00C27EE4">
              <w:rPr>
                <w:sz w:val="18"/>
                <w:szCs w:val="18"/>
              </w:rPr>
              <w:t xml:space="preserve">The underlying Newer Volcanic basalt aquifer contains low methane concentrations (0.64mg/L). </w:t>
            </w:r>
          </w:p>
        </w:tc>
      </w:tr>
    </w:tbl>
    <w:p w14:paraId="7DAA068E" w14:textId="77777777" w:rsidR="000C564C" w:rsidRPr="000C564C" w:rsidRDefault="000C564C" w:rsidP="000C564C">
      <w:pPr>
        <w:rPr>
          <w:lang w:val="en-AU"/>
        </w:rPr>
      </w:pPr>
    </w:p>
    <w:p w14:paraId="7DAA068F" w14:textId="77777777" w:rsidR="000C564C" w:rsidRPr="000C564C" w:rsidRDefault="000C564C" w:rsidP="008D0183">
      <w:pPr>
        <w:pStyle w:val="Head2xx"/>
      </w:pPr>
      <w:bookmarkStart w:id="143" w:name="_Toc420327741"/>
      <w:r w:rsidRPr="000C564C">
        <w:t>Upper Mid-Tertiary Aquifer (107)</w:t>
      </w:r>
      <w:bookmarkEnd w:id="143"/>
    </w:p>
    <w:p w14:paraId="7DAA0690" w14:textId="5C570C92" w:rsidR="000C564C" w:rsidRPr="000C564C" w:rsidRDefault="000C564C" w:rsidP="000C564C">
      <w:pPr>
        <w:rPr>
          <w:lang w:val="en-AU"/>
        </w:rPr>
      </w:pPr>
      <w:r w:rsidRPr="000C564C">
        <w:rPr>
          <w:lang w:val="en-AU"/>
        </w:rPr>
        <w:t>Eight bores were sampled from the Upper Mid-Tertiary Aquifer, which includes a number of limestone units, including the Port Campbell Limestone and the Gambier Limestone (</w:t>
      </w:r>
      <w:r w:rsidR="00156BFB">
        <w:rPr>
          <w:lang w:val="en-AU"/>
        </w:rPr>
        <w:t>Table 22</w:t>
      </w:r>
      <w:r w:rsidRPr="000C564C">
        <w:rPr>
          <w:lang w:val="en-AU"/>
        </w:rPr>
        <w:t xml:space="preserve">). Some of these observation bores are located in sub regional potential onshore natural gas development areas. Most bores also intersect an area </w:t>
      </w:r>
      <w:r w:rsidR="00206FC6" w:rsidRPr="000C564C">
        <w:rPr>
          <w:lang w:val="en-AU"/>
        </w:rPr>
        <w:t>of groundwater</w:t>
      </w:r>
      <w:r w:rsidRPr="000C564C">
        <w:rPr>
          <w:lang w:val="en-AU"/>
        </w:rPr>
        <w:t>, covered by the Glenelg, Hawkesdale, Heywood, Nullawarre and Yangery GMUs.</w:t>
      </w:r>
    </w:p>
    <w:p w14:paraId="7DAA0691" w14:textId="7E2A6BDC" w:rsidR="000C564C" w:rsidRPr="000C564C" w:rsidRDefault="000C564C" w:rsidP="000C564C">
      <w:pPr>
        <w:rPr>
          <w:lang w:val="en-AU"/>
        </w:rPr>
      </w:pPr>
      <w:r w:rsidRPr="000C564C">
        <w:rPr>
          <w:lang w:val="en-AU"/>
        </w:rPr>
        <w:t xml:space="preserve">Groundwater salinity for this aquifer ranges from 568 mg/L TDS to 1,390 mg/L TDS. The average groundwater salinity is marginal </w:t>
      </w:r>
      <w:r w:rsidR="00332228">
        <w:rPr>
          <w:lang w:val="en-AU"/>
        </w:rPr>
        <w:t>(</w:t>
      </w:r>
      <w:r w:rsidRPr="000C564C">
        <w:rPr>
          <w:lang w:val="en-AU"/>
        </w:rPr>
        <w:t>1,003 mg/L TDS</w:t>
      </w:r>
      <w:r w:rsidR="00332228">
        <w:rPr>
          <w:lang w:val="en-AU"/>
        </w:rPr>
        <w:t>)</w:t>
      </w:r>
      <w:r w:rsidRPr="000C564C">
        <w:rPr>
          <w:lang w:val="en-AU"/>
        </w:rPr>
        <w:t>. Total Nitrogen concentration</w:t>
      </w:r>
      <w:r w:rsidR="003D5452">
        <w:rPr>
          <w:lang w:val="en-AU"/>
        </w:rPr>
        <w:t xml:space="preserve"> for this aquifer ranges from 0 </w:t>
      </w:r>
      <w:r w:rsidRPr="000C564C">
        <w:rPr>
          <w:lang w:val="en-AU"/>
        </w:rPr>
        <w:t xml:space="preserve">mg/L to 13 mg/L. The average nitrogen concentration is 2.3 mg/L. An elevated nitrogen concentration is associated with a bore located within the Glenelg WSPA. Oxidised nitrogen (the sum of nitrate and nitrite) makes up most of the total nitrogen for this sample. Fertilizers mainly contain nitrite and hence it is likely that the source of the elevated concentration in groundwater is leaching of nutrients through the unsaturated zone to the watertable. The Upper Mid-Tertiary Aquifer is essentially at the surface in this area and forms the watertable aquifer. </w:t>
      </w:r>
    </w:p>
    <w:p w14:paraId="7DAA0692" w14:textId="6B83E658" w:rsidR="000C564C" w:rsidRPr="000C564C" w:rsidRDefault="000C564C" w:rsidP="000C564C">
      <w:pPr>
        <w:rPr>
          <w:lang w:val="en-AU"/>
        </w:rPr>
      </w:pPr>
      <w:r w:rsidRPr="000C564C">
        <w:rPr>
          <w:lang w:val="en-AU"/>
        </w:rPr>
        <w:t xml:space="preserve">The groundwater is near neutral with an average pH of 6.7. An odour indicative of hydrogen </w:t>
      </w:r>
      <w:r w:rsidR="00206FC6" w:rsidRPr="000C564C">
        <w:rPr>
          <w:lang w:val="en-AU"/>
        </w:rPr>
        <w:t>sulphide</w:t>
      </w:r>
      <w:r w:rsidRPr="000C564C">
        <w:rPr>
          <w:lang w:val="en-AU"/>
        </w:rPr>
        <w:t xml:space="preserve"> gas was noted on two occasions for this aquifer. A positive redox potential was noted for this aquifer, indicating oxidising groundwater conditions. </w:t>
      </w:r>
    </w:p>
    <w:p w14:paraId="7DAA0693" w14:textId="74014F6D" w:rsidR="000C564C" w:rsidRPr="000C564C" w:rsidRDefault="000C564C" w:rsidP="000C564C">
      <w:pPr>
        <w:rPr>
          <w:lang w:val="en-AU"/>
        </w:rPr>
      </w:pPr>
      <w:r w:rsidRPr="000C564C">
        <w:rPr>
          <w:lang w:val="en-AU"/>
        </w:rPr>
        <w:t xml:space="preserve">Five bores did not detect any methane in groundwater and three bores recorded low concentrations of methane, all less than 0.05 mg/L (detection is 0.01 mg/L). No TPHs </w:t>
      </w:r>
      <w:r w:rsidR="00332228">
        <w:rPr>
          <w:lang w:val="en-AU"/>
        </w:rPr>
        <w:t>(</w:t>
      </w:r>
      <w:r w:rsidR="00332228" w:rsidRPr="000C564C">
        <w:rPr>
          <w:lang w:val="en-AU"/>
        </w:rPr>
        <w:t>includ</w:t>
      </w:r>
      <w:r w:rsidR="00332228">
        <w:rPr>
          <w:lang w:val="en-AU"/>
        </w:rPr>
        <w:t>ing</w:t>
      </w:r>
      <w:r w:rsidR="00332228" w:rsidRPr="000C564C">
        <w:rPr>
          <w:lang w:val="en-AU"/>
        </w:rPr>
        <w:t xml:space="preserve"> BTEX</w:t>
      </w:r>
      <w:r w:rsidR="00332228">
        <w:rPr>
          <w:lang w:val="en-AU"/>
        </w:rPr>
        <w:t>)</w:t>
      </w:r>
      <w:r w:rsidR="00332228" w:rsidRPr="000C564C">
        <w:rPr>
          <w:lang w:val="en-AU"/>
        </w:rPr>
        <w:t xml:space="preserve"> </w:t>
      </w:r>
      <w:r w:rsidRPr="000C564C">
        <w:rPr>
          <w:lang w:val="en-AU"/>
        </w:rPr>
        <w:t>were detected in groundwater from this aquifer.</w:t>
      </w:r>
    </w:p>
    <w:p w14:paraId="648AAE26" w14:textId="77777777" w:rsidR="00966ED4" w:rsidRDefault="00966ED4">
      <w:pPr>
        <w:rPr>
          <w:rFonts w:cs="Arial"/>
          <w:b/>
          <w:bCs/>
        </w:rPr>
      </w:pPr>
      <w:bookmarkStart w:id="144" w:name="_Ref414009186"/>
      <w:r>
        <w:br w:type="page"/>
      </w:r>
    </w:p>
    <w:p w14:paraId="7DAA0694" w14:textId="790F8C6A" w:rsidR="000C564C" w:rsidRPr="000C564C" w:rsidRDefault="008E714B" w:rsidP="004F307F">
      <w:pPr>
        <w:pStyle w:val="Tableheading"/>
        <w:rPr>
          <w:lang w:val="en-AU"/>
        </w:rPr>
      </w:pPr>
      <w:bookmarkStart w:id="145" w:name="_Toc420320572"/>
      <w:r>
        <w:t xml:space="preserve">Table </w:t>
      </w:r>
      <w:r>
        <w:fldChar w:fldCharType="begin"/>
      </w:r>
      <w:r>
        <w:instrText xml:space="preserve"> SEQ Table \* ARABIC </w:instrText>
      </w:r>
      <w:r>
        <w:fldChar w:fldCharType="separate"/>
      </w:r>
      <w:r w:rsidR="00BD60CC">
        <w:rPr>
          <w:noProof/>
        </w:rPr>
        <w:t>22</w:t>
      </w:r>
      <w:r>
        <w:fldChar w:fldCharType="end"/>
      </w:r>
      <w:bookmarkEnd w:id="144"/>
      <w:r>
        <w:rPr>
          <w:lang w:val="en-AU"/>
        </w:rPr>
        <w:t xml:space="preserve"> </w:t>
      </w:r>
      <w:r w:rsidR="000C564C" w:rsidRPr="000C564C">
        <w:rPr>
          <w:lang w:val="en-AU"/>
        </w:rPr>
        <w:t>Upper Mid-Tertiary Aquifer</w:t>
      </w:r>
      <w:bookmarkEnd w:id="145"/>
    </w:p>
    <w:tbl>
      <w:tblPr>
        <w:tblW w:w="9627" w:type="dxa"/>
        <w:tblInd w:w="120"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1264"/>
        <w:gridCol w:w="1134"/>
        <w:gridCol w:w="3698"/>
        <w:gridCol w:w="3531"/>
      </w:tblGrid>
      <w:tr w:rsidR="008777D0" w:rsidRPr="0073640E" w14:paraId="7DAA0699" w14:textId="77777777" w:rsidTr="00C27EE4">
        <w:trPr>
          <w:trHeight w:val="270"/>
          <w:tblHeader/>
        </w:trPr>
        <w:tc>
          <w:tcPr>
            <w:tcW w:w="1264" w:type="dxa"/>
            <w:tcBorders>
              <w:top w:val="nil"/>
              <w:right w:val="single" w:sz="4" w:space="0" w:color="FFFFFF"/>
            </w:tcBorders>
            <w:shd w:val="clear" w:color="auto" w:fill="005A97"/>
            <w:noWrap/>
            <w:hideMark/>
          </w:tcPr>
          <w:p w14:paraId="7DAA0695" w14:textId="77777777" w:rsidR="008777D0" w:rsidRPr="0073640E" w:rsidRDefault="008777D0" w:rsidP="00E63375">
            <w:pPr>
              <w:pStyle w:val="TableHeaderrow"/>
            </w:pPr>
            <w:r w:rsidRPr="0073640E">
              <w:t>Bore</w:t>
            </w:r>
          </w:p>
        </w:tc>
        <w:tc>
          <w:tcPr>
            <w:tcW w:w="1134" w:type="dxa"/>
            <w:tcBorders>
              <w:top w:val="nil"/>
              <w:left w:val="single" w:sz="4" w:space="0" w:color="FFFFFF"/>
              <w:right w:val="single" w:sz="4" w:space="0" w:color="FFFFFF"/>
            </w:tcBorders>
            <w:shd w:val="clear" w:color="auto" w:fill="005A97"/>
            <w:noWrap/>
            <w:hideMark/>
          </w:tcPr>
          <w:p w14:paraId="7DAA0696" w14:textId="77777777" w:rsidR="008777D0" w:rsidRPr="0073640E" w:rsidRDefault="008777D0" w:rsidP="00E63375">
            <w:pPr>
              <w:pStyle w:val="TableHeaderrow"/>
            </w:pPr>
            <w:r w:rsidRPr="0073640E">
              <w:t>Aquifer Monitored</w:t>
            </w:r>
          </w:p>
        </w:tc>
        <w:tc>
          <w:tcPr>
            <w:tcW w:w="3698" w:type="dxa"/>
            <w:tcBorders>
              <w:top w:val="nil"/>
              <w:left w:val="single" w:sz="4" w:space="0" w:color="FFFFFF"/>
              <w:right w:val="single" w:sz="4" w:space="0" w:color="FFFFFF"/>
            </w:tcBorders>
            <w:shd w:val="clear" w:color="auto" w:fill="005A97"/>
            <w:noWrap/>
            <w:hideMark/>
          </w:tcPr>
          <w:p w14:paraId="7DAA0697" w14:textId="76AD58BD" w:rsidR="008777D0" w:rsidRPr="0073640E" w:rsidRDefault="008777D0" w:rsidP="00E63375">
            <w:pPr>
              <w:pStyle w:val="TableHeaderrow"/>
            </w:pPr>
            <w:r w:rsidRPr="0073640E">
              <w:t xml:space="preserve">Justification for inclusion in the </w:t>
            </w:r>
            <w:r w:rsidR="00857ACF">
              <w:t xml:space="preserve">monitoring </w:t>
            </w:r>
            <w:r w:rsidRPr="0073640E">
              <w:t>network</w:t>
            </w:r>
          </w:p>
        </w:tc>
        <w:tc>
          <w:tcPr>
            <w:tcW w:w="3531" w:type="dxa"/>
            <w:tcBorders>
              <w:top w:val="nil"/>
              <w:left w:val="single" w:sz="4" w:space="0" w:color="FFFFFF"/>
            </w:tcBorders>
            <w:shd w:val="clear" w:color="auto" w:fill="005A97"/>
          </w:tcPr>
          <w:p w14:paraId="7DAA0698" w14:textId="77777777" w:rsidR="008777D0" w:rsidRPr="0073640E" w:rsidRDefault="008777D0" w:rsidP="00E63375">
            <w:pPr>
              <w:pStyle w:val="TableHeaderrow"/>
            </w:pPr>
            <w:r>
              <w:t>Comment</w:t>
            </w:r>
          </w:p>
        </w:tc>
      </w:tr>
      <w:tr w:rsidR="008777D0" w:rsidRPr="0073640E" w14:paraId="7DAA06A3" w14:textId="77777777" w:rsidTr="00C27EE4">
        <w:trPr>
          <w:trHeight w:val="561"/>
        </w:trPr>
        <w:tc>
          <w:tcPr>
            <w:tcW w:w="1264" w:type="dxa"/>
            <w:shd w:val="clear" w:color="auto" w:fill="auto"/>
            <w:noWrap/>
          </w:tcPr>
          <w:p w14:paraId="7DAA069A" w14:textId="77777777" w:rsidR="008777D0" w:rsidRPr="00C27EE4" w:rsidRDefault="008777D0" w:rsidP="008E714B">
            <w:pPr>
              <w:pStyle w:val="Tablesmalltext"/>
              <w:rPr>
                <w:sz w:val="18"/>
                <w:szCs w:val="18"/>
              </w:rPr>
            </w:pPr>
            <w:r w:rsidRPr="00C27EE4">
              <w:rPr>
                <w:sz w:val="18"/>
                <w:szCs w:val="18"/>
              </w:rPr>
              <w:t>83447</w:t>
            </w:r>
          </w:p>
        </w:tc>
        <w:tc>
          <w:tcPr>
            <w:tcW w:w="1134" w:type="dxa"/>
            <w:shd w:val="clear" w:color="auto" w:fill="auto"/>
            <w:noWrap/>
          </w:tcPr>
          <w:p w14:paraId="7DAA069B" w14:textId="77777777" w:rsidR="008777D0" w:rsidRPr="00C27EE4" w:rsidRDefault="008777D0" w:rsidP="008E714B">
            <w:pPr>
              <w:pStyle w:val="Tablesmalltext"/>
              <w:rPr>
                <w:sz w:val="18"/>
                <w:szCs w:val="18"/>
              </w:rPr>
            </w:pPr>
            <w:r w:rsidRPr="00C27EE4">
              <w:rPr>
                <w:sz w:val="18"/>
                <w:szCs w:val="18"/>
              </w:rPr>
              <w:t>Upper Mid-Tertiary Aquifer (107)</w:t>
            </w:r>
          </w:p>
        </w:tc>
        <w:tc>
          <w:tcPr>
            <w:tcW w:w="3698" w:type="dxa"/>
            <w:shd w:val="clear" w:color="auto" w:fill="auto"/>
            <w:noWrap/>
          </w:tcPr>
          <w:p w14:paraId="7DAA069C" w14:textId="5D689DFE"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Located in the area of prospectivity and </w:t>
            </w:r>
            <w:r w:rsidR="00E927B0" w:rsidRPr="00C27EE4">
              <w:rPr>
                <w:sz w:val="18"/>
                <w:szCs w:val="18"/>
              </w:rPr>
              <w:t>key</w:t>
            </w:r>
            <w:r w:rsidRPr="00C27EE4">
              <w:rPr>
                <w:sz w:val="18"/>
                <w:szCs w:val="18"/>
              </w:rPr>
              <w:t xml:space="preserve"> rivers and wetlands</w:t>
            </w:r>
          </w:p>
          <w:p w14:paraId="7DAA069D" w14:textId="77777777"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Monitors the target aquifer (PCL) in the Glenelg WSPA </w:t>
            </w:r>
          </w:p>
          <w:p w14:paraId="7DAA069E" w14:textId="77777777"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Nested with 83446 and will inform groundwater chemistry of multiple aquifers at one site and allow for interpretation of potential mixing.  </w:t>
            </w:r>
          </w:p>
          <w:p w14:paraId="7DAA069F" w14:textId="77777777" w:rsidR="008777D0" w:rsidRPr="00C27EE4" w:rsidRDefault="008777D0" w:rsidP="00C27EE4">
            <w:pPr>
              <w:pStyle w:val="Tablesmalltext"/>
              <w:numPr>
                <w:ilvl w:val="0"/>
                <w:numId w:val="12"/>
              </w:numPr>
              <w:ind w:left="317" w:hanging="317"/>
              <w:rPr>
                <w:sz w:val="18"/>
                <w:szCs w:val="18"/>
              </w:rPr>
            </w:pPr>
            <w:r w:rsidRPr="00C27EE4">
              <w:rPr>
                <w:sz w:val="18"/>
                <w:szCs w:val="18"/>
              </w:rPr>
              <w:t>Also located in an area where the aquitard is thin/absent</w:t>
            </w:r>
          </w:p>
        </w:tc>
        <w:tc>
          <w:tcPr>
            <w:tcW w:w="3531" w:type="dxa"/>
          </w:tcPr>
          <w:p w14:paraId="7DAA06A0" w14:textId="77777777" w:rsidR="008777D0" w:rsidRPr="00C27EE4" w:rsidRDefault="008777D0" w:rsidP="00C27EE4">
            <w:pPr>
              <w:pStyle w:val="Tablesmalltext"/>
              <w:numPr>
                <w:ilvl w:val="0"/>
                <w:numId w:val="12"/>
              </w:numPr>
              <w:ind w:left="305" w:hanging="284"/>
              <w:rPr>
                <w:sz w:val="18"/>
                <w:szCs w:val="18"/>
              </w:rPr>
            </w:pPr>
            <w:r w:rsidRPr="00C27EE4">
              <w:rPr>
                <w:sz w:val="18"/>
                <w:szCs w:val="18"/>
              </w:rPr>
              <w:t xml:space="preserve">In the Glenelg WSPA, the Port Campbell Limestone (PCL) aquifer is characterised by groundwater with low methane concentration (0.02 mg/L), no TPH or BTEX. </w:t>
            </w:r>
          </w:p>
          <w:p w14:paraId="7DAA06A1" w14:textId="77777777" w:rsidR="008777D0" w:rsidRPr="00C27EE4" w:rsidRDefault="008777D0" w:rsidP="00C27EE4">
            <w:pPr>
              <w:pStyle w:val="Tablesmalltext"/>
              <w:numPr>
                <w:ilvl w:val="0"/>
                <w:numId w:val="12"/>
              </w:numPr>
              <w:ind w:left="305" w:hanging="284"/>
              <w:rPr>
                <w:sz w:val="18"/>
                <w:szCs w:val="18"/>
              </w:rPr>
            </w:pPr>
            <w:r w:rsidRPr="00C27EE4">
              <w:rPr>
                <w:sz w:val="18"/>
                <w:szCs w:val="18"/>
              </w:rPr>
              <w:t xml:space="preserve">Underlying the PCL is the Lower Tertiary Aquifer with a measured methane concentration of 0.16 mg/L. A reduction in methane is observed in an upward vertical direction. </w:t>
            </w:r>
          </w:p>
          <w:p w14:paraId="7DAA06A2" w14:textId="77777777" w:rsidR="008777D0" w:rsidRPr="00C27EE4" w:rsidRDefault="008777D0" w:rsidP="00C27EE4">
            <w:pPr>
              <w:pStyle w:val="Tablesmalltext"/>
              <w:numPr>
                <w:ilvl w:val="0"/>
                <w:numId w:val="12"/>
              </w:numPr>
              <w:ind w:left="305" w:hanging="284"/>
              <w:rPr>
                <w:sz w:val="18"/>
                <w:szCs w:val="18"/>
              </w:rPr>
            </w:pPr>
            <w:r w:rsidRPr="00C27EE4">
              <w:rPr>
                <w:sz w:val="18"/>
                <w:szCs w:val="18"/>
              </w:rPr>
              <w:t xml:space="preserve">There is no aquitard present in this area (equivalent to the Gelibrand Marl or Narrawaturk Marl). </w:t>
            </w:r>
          </w:p>
        </w:tc>
      </w:tr>
      <w:tr w:rsidR="008777D0" w:rsidRPr="0073640E" w14:paraId="7DAA06AA" w14:textId="77777777" w:rsidTr="00C27EE4">
        <w:trPr>
          <w:trHeight w:val="561"/>
        </w:trPr>
        <w:tc>
          <w:tcPr>
            <w:tcW w:w="1264" w:type="dxa"/>
            <w:shd w:val="clear" w:color="auto" w:fill="auto"/>
            <w:noWrap/>
            <w:hideMark/>
          </w:tcPr>
          <w:p w14:paraId="7DAA06A4" w14:textId="77777777" w:rsidR="008777D0" w:rsidRPr="00C27EE4" w:rsidRDefault="008777D0" w:rsidP="008E714B">
            <w:pPr>
              <w:pStyle w:val="Tablesmalltext"/>
              <w:rPr>
                <w:sz w:val="18"/>
                <w:szCs w:val="18"/>
              </w:rPr>
            </w:pPr>
            <w:r w:rsidRPr="00C27EE4">
              <w:rPr>
                <w:sz w:val="18"/>
                <w:szCs w:val="18"/>
              </w:rPr>
              <w:t>111524</w:t>
            </w:r>
          </w:p>
        </w:tc>
        <w:tc>
          <w:tcPr>
            <w:tcW w:w="1134" w:type="dxa"/>
            <w:shd w:val="clear" w:color="auto" w:fill="auto"/>
            <w:noWrap/>
            <w:hideMark/>
          </w:tcPr>
          <w:p w14:paraId="7DAA06A5" w14:textId="77777777" w:rsidR="008777D0" w:rsidRPr="00C27EE4" w:rsidRDefault="008777D0" w:rsidP="008E714B">
            <w:pPr>
              <w:pStyle w:val="Tablesmalltext"/>
              <w:rPr>
                <w:sz w:val="18"/>
                <w:szCs w:val="18"/>
              </w:rPr>
            </w:pPr>
            <w:r w:rsidRPr="00C27EE4">
              <w:rPr>
                <w:sz w:val="18"/>
                <w:szCs w:val="18"/>
              </w:rPr>
              <w:t>Upper Mid-Tertiary Aquifer (107)</w:t>
            </w:r>
          </w:p>
        </w:tc>
        <w:tc>
          <w:tcPr>
            <w:tcW w:w="3698" w:type="dxa"/>
            <w:shd w:val="clear" w:color="auto" w:fill="auto"/>
            <w:noWrap/>
          </w:tcPr>
          <w:p w14:paraId="7DAA06A6" w14:textId="1181F48A"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Located in the area of prospectivity and </w:t>
            </w:r>
            <w:r w:rsidR="00E927B0" w:rsidRPr="00C27EE4">
              <w:rPr>
                <w:sz w:val="18"/>
                <w:szCs w:val="18"/>
              </w:rPr>
              <w:t>key</w:t>
            </w:r>
            <w:r w:rsidRPr="00C27EE4">
              <w:rPr>
                <w:sz w:val="18"/>
                <w:szCs w:val="18"/>
              </w:rPr>
              <w:t xml:space="preserve"> rivers and wetlands </w:t>
            </w:r>
          </w:p>
          <w:p w14:paraId="7DAA06A7" w14:textId="77777777"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Monitors the target aquifer (PCL) in the Hawkesdale GMA  </w:t>
            </w:r>
          </w:p>
          <w:p w14:paraId="7DAA06A8" w14:textId="77777777" w:rsidR="008777D0" w:rsidRPr="00C27EE4" w:rsidRDefault="008777D0" w:rsidP="00C27EE4">
            <w:pPr>
              <w:pStyle w:val="Tablesmalltext"/>
              <w:numPr>
                <w:ilvl w:val="0"/>
                <w:numId w:val="12"/>
              </w:numPr>
              <w:ind w:left="317" w:hanging="317"/>
              <w:rPr>
                <w:sz w:val="18"/>
                <w:szCs w:val="18"/>
              </w:rPr>
            </w:pPr>
            <w:r w:rsidRPr="00C27EE4">
              <w:rPr>
                <w:sz w:val="18"/>
                <w:szCs w:val="18"/>
              </w:rPr>
              <w:t>Nested with 111525 and will inform groundwater chemistry of multiple aquifers at one site and allow for interpretation of potential mixing.</w:t>
            </w:r>
          </w:p>
        </w:tc>
        <w:tc>
          <w:tcPr>
            <w:tcW w:w="3531" w:type="dxa"/>
          </w:tcPr>
          <w:p w14:paraId="7DAA06A9" w14:textId="77777777" w:rsidR="008777D0" w:rsidRPr="00C27EE4" w:rsidRDefault="008777D0" w:rsidP="00C27EE4">
            <w:pPr>
              <w:pStyle w:val="Tablesmalltext"/>
              <w:numPr>
                <w:ilvl w:val="0"/>
                <w:numId w:val="12"/>
              </w:numPr>
              <w:ind w:left="305" w:hanging="284"/>
              <w:rPr>
                <w:sz w:val="18"/>
                <w:szCs w:val="18"/>
              </w:rPr>
            </w:pPr>
            <w:r w:rsidRPr="00C27EE4">
              <w:rPr>
                <w:sz w:val="18"/>
                <w:szCs w:val="18"/>
              </w:rPr>
              <w:t xml:space="preserve">The Port Campbell Limestone in the Hawkesdale GMA does not contain methane, TRHs or BTEX </w:t>
            </w:r>
          </w:p>
        </w:tc>
      </w:tr>
      <w:tr w:rsidR="008777D0" w:rsidRPr="0073640E" w14:paraId="7DAA06B0" w14:textId="77777777" w:rsidTr="00C27EE4">
        <w:trPr>
          <w:trHeight w:val="64"/>
        </w:trPr>
        <w:tc>
          <w:tcPr>
            <w:tcW w:w="1264" w:type="dxa"/>
            <w:shd w:val="clear" w:color="auto" w:fill="auto"/>
            <w:noWrap/>
            <w:hideMark/>
          </w:tcPr>
          <w:p w14:paraId="7DAA06AB" w14:textId="77777777" w:rsidR="008777D0" w:rsidRPr="00C27EE4" w:rsidRDefault="008777D0" w:rsidP="008E714B">
            <w:pPr>
              <w:pStyle w:val="Tablesmalltext"/>
              <w:rPr>
                <w:sz w:val="18"/>
                <w:szCs w:val="18"/>
              </w:rPr>
            </w:pPr>
            <w:r w:rsidRPr="00C27EE4">
              <w:rPr>
                <w:sz w:val="18"/>
                <w:szCs w:val="18"/>
              </w:rPr>
              <w:t>141241</w:t>
            </w:r>
          </w:p>
        </w:tc>
        <w:tc>
          <w:tcPr>
            <w:tcW w:w="1134" w:type="dxa"/>
            <w:shd w:val="clear" w:color="auto" w:fill="auto"/>
            <w:noWrap/>
            <w:hideMark/>
          </w:tcPr>
          <w:p w14:paraId="7DAA06AC" w14:textId="77777777" w:rsidR="008777D0" w:rsidRPr="00C27EE4" w:rsidRDefault="008777D0" w:rsidP="008E714B">
            <w:pPr>
              <w:pStyle w:val="Tablesmalltext"/>
              <w:rPr>
                <w:sz w:val="18"/>
                <w:szCs w:val="18"/>
              </w:rPr>
            </w:pPr>
            <w:r w:rsidRPr="00C27EE4">
              <w:rPr>
                <w:sz w:val="18"/>
                <w:szCs w:val="18"/>
              </w:rPr>
              <w:t>Upper Mid-Tertiary Aquifer (107)</w:t>
            </w:r>
          </w:p>
        </w:tc>
        <w:tc>
          <w:tcPr>
            <w:tcW w:w="3698" w:type="dxa"/>
            <w:shd w:val="clear" w:color="auto" w:fill="auto"/>
            <w:noWrap/>
          </w:tcPr>
          <w:p w14:paraId="7DAA06AD" w14:textId="418F0EC0"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Located in the area of prospectivity and </w:t>
            </w:r>
            <w:r w:rsidR="00E927B0" w:rsidRPr="00C27EE4">
              <w:rPr>
                <w:sz w:val="18"/>
                <w:szCs w:val="18"/>
              </w:rPr>
              <w:t>key</w:t>
            </w:r>
            <w:r w:rsidRPr="00C27EE4">
              <w:rPr>
                <w:sz w:val="18"/>
                <w:szCs w:val="18"/>
              </w:rPr>
              <w:t xml:space="preserve"> rivers and wetlands </w:t>
            </w:r>
          </w:p>
          <w:p w14:paraId="7DAA06AE" w14:textId="77777777" w:rsidR="008777D0" w:rsidRPr="00C27EE4" w:rsidRDefault="008777D0" w:rsidP="00C27EE4">
            <w:pPr>
              <w:pStyle w:val="Tablesmalltext"/>
              <w:numPr>
                <w:ilvl w:val="0"/>
                <w:numId w:val="12"/>
              </w:numPr>
              <w:ind w:left="317" w:hanging="317"/>
              <w:rPr>
                <w:sz w:val="18"/>
                <w:szCs w:val="18"/>
              </w:rPr>
            </w:pPr>
            <w:r w:rsidRPr="00C27EE4">
              <w:rPr>
                <w:sz w:val="18"/>
                <w:szCs w:val="18"/>
              </w:rPr>
              <w:t>Monitors the target aquifer (PCL) in the Nullawarre WSPA</w:t>
            </w:r>
          </w:p>
        </w:tc>
        <w:tc>
          <w:tcPr>
            <w:tcW w:w="3531" w:type="dxa"/>
          </w:tcPr>
          <w:p w14:paraId="7DAA06AF" w14:textId="77777777" w:rsidR="008777D0" w:rsidRPr="00C27EE4" w:rsidRDefault="008777D0" w:rsidP="00C27EE4">
            <w:pPr>
              <w:pStyle w:val="Tablesmalltext"/>
              <w:numPr>
                <w:ilvl w:val="0"/>
                <w:numId w:val="12"/>
              </w:numPr>
              <w:ind w:left="305" w:hanging="284"/>
              <w:rPr>
                <w:sz w:val="18"/>
                <w:szCs w:val="18"/>
              </w:rPr>
            </w:pPr>
            <w:r w:rsidRPr="00C27EE4">
              <w:rPr>
                <w:sz w:val="18"/>
                <w:szCs w:val="18"/>
              </w:rPr>
              <w:t>The Port Campbell Limestone in the Nullawarre WSPA does not contain methane, TRHs or BTEX</w:t>
            </w:r>
          </w:p>
        </w:tc>
      </w:tr>
      <w:tr w:rsidR="008777D0" w:rsidRPr="0073640E" w14:paraId="7DAA06B6" w14:textId="77777777" w:rsidTr="00C27EE4">
        <w:trPr>
          <w:trHeight w:val="786"/>
        </w:trPr>
        <w:tc>
          <w:tcPr>
            <w:tcW w:w="1264" w:type="dxa"/>
            <w:shd w:val="clear" w:color="auto" w:fill="auto"/>
            <w:noWrap/>
            <w:hideMark/>
          </w:tcPr>
          <w:p w14:paraId="7DAA06B1" w14:textId="77777777" w:rsidR="008777D0" w:rsidRPr="00C27EE4" w:rsidRDefault="008777D0" w:rsidP="008E714B">
            <w:pPr>
              <w:pStyle w:val="Tablesmalltext"/>
              <w:rPr>
                <w:sz w:val="18"/>
                <w:szCs w:val="18"/>
              </w:rPr>
            </w:pPr>
            <w:r w:rsidRPr="00C27EE4">
              <w:rPr>
                <w:sz w:val="18"/>
                <w:szCs w:val="18"/>
              </w:rPr>
              <w:t>102621</w:t>
            </w:r>
          </w:p>
        </w:tc>
        <w:tc>
          <w:tcPr>
            <w:tcW w:w="1134" w:type="dxa"/>
            <w:shd w:val="clear" w:color="auto" w:fill="auto"/>
            <w:noWrap/>
            <w:hideMark/>
          </w:tcPr>
          <w:p w14:paraId="7DAA06B2" w14:textId="77777777" w:rsidR="008777D0" w:rsidRPr="00C27EE4" w:rsidRDefault="008777D0" w:rsidP="008E714B">
            <w:pPr>
              <w:pStyle w:val="Tablesmalltext"/>
              <w:rPr>
                <w:sz w:val="18"/>
                <w:szCs w:val="18"/>
              </w:rPr>
            </w:pPr>
            <w:r w:rsidRPr="00C27EE4">
              <w:rPr>
                <w:sz w:val="18"/>
                <w:szCs w:val="18"/>
              </w:rPr>
              <w:t>Upper Mid-Tertiary Aquifer (107)</w:t>
            </w:r>
          </w:p>
        </w:tc>
        <w:tc>
          <w:tcPr>
            <w:tcW w:w="3698" w:type="dxa"/>
            <w:shd w:val="clear" w:color="auto" w:fill="auto"/>
            <w:noWrap/>
          </w:tcPr>
          <w:p w14:paraId="7DAA06B3" w14:textId="2835B391"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Located in the area of prospectivity and </w:t>
            </w:r>
            <w:r w:rsidR="00E927B0" w:rsidRPr="00C27EE4">
              <w:rPr>
                <w:sz w:val="18"/>
                <w:szCs w:val="18"/>
              </w:rPr>
              <w:t>key</w:t>
            </w:r>
            <w:r w:rsidRPr="00C27EE4">
              <w:rPr>
                <w:sz w:val="18"/>
                <w:szCs w:val="18"/>
              </w:rPr>
              <w:t xml:space="preserve"> rivers and wetlands </w:t>
            </w:r>
          </w:p>
          <w:p w14:paraId="7DAA06B4" w14:textId="77777777" w:rsidR="008777D0" w:rsidRPr="00C27EE4" w:rsidRDefault="008777D0" w:rsidP="00C27EE4">
            <w:pPr>
              <w:pStyle w:val="Tablesmalltext"/>
              <w:numPr>
                <w:ilvl w:val="0"/>
                <w:numId w:val="12"/>
              </w:numPr>
              <w:ind w:left="317" w:hanging="317"/>
              <w:rPr>
                <w:sz w:val="18"/>
                <w:szCs w:val="18"/>
              </w:rPr>
            </w:pPr>
            <w:r w:rsidRPr="00C27EE4">
              <w:rPr>
                <w:sz w:val="18"/>
                <w:szCs w:val="18"/>
              </w:rPr>
              <w:t>Monitors the target aquifer (PCL) in the Glenelg WSPA</w:t>
            </w:r>
          </w:p>
        </w:tc>
        <w:tc>
          <w:tcPr>
            <w:tcW w:w="3531" w:type="dxa"/>
          </w:tcPr>
          <w:p w14:paraId="7DAA06B5" w14:textId="77777777" w:rsidR="008777D0" w:rsidRPr="00C27EE4" w:rsidRDefault="008777D0" w:rsidP="00C27EE4">
            <w:pPr>
              <w:pStyle w:val="Tablesmalltext"/>
              <w:numPr>
                <w:ilvl w:val="0"/>
                <w:numId w:val="12"/>
              </w:numPr>
              <w:ind w:left="305" w:hanging="284"/>
              <w:rPr>
                <w:sz w:val="18"/>
                <w:szCs w:val="18"/>
              </w:rPr>
            </w:pPr>
            <w:r w:rsidRPr="00C27EE4">
              <w:rPr>
                <w:sz w:val="18"/>
                <w:szCs w:val="18"/>
              </w:rPr>
              <w:t xml:space="preserve">In the Glenelg WSPA, the Port Campbell Limestone aquifer does not contain methane, TPHs or BTEX. </w:t>
            </w:r>
          </w:p>
        </w:tc>
      </w:tr>
      <w:tr w:rsidR="008777D0" w:rsidRPr="0073640E" w14:paraId="7DAA06BC" w14:textId="77777777" w:rsidTr="00C27EE4">
        <w:trPr>
          <w:trHeight w:val="64"/>
        </w:trPr>
        <w:tc>
          <w:tcPr>
            <w:tcW w:w="1264" w:type="dxa"/>
            <w:shd w:val="clear" w:color="auto" w:fill="auto"/>
            <w:noWrap/>
            <w:hideMark/>
          </w:tcPr>
          <w:p w14:paraId="7DAA06B7" w14:textId="77777777" w:rsidR="008777D0" w:rsidRPr="00C27EE4" w:rsidRDefault="008777D0" w:rsidP="008E714B">
            <w:pPr>
              <w:pStyle w:val="Tablesmalltext"/>
              <w:rPr>
                <w:sz w:val="18"/>
                <w:szCs w:val="18"/>
              </w:rPr>
            </w:pPr>
            <w:r w:rsidRPr="00C27EE4">
              <w:rPr>
                <w:sz w:val="18"/>
                <w:szCs w:val="18"/>
              </w:rPr>
              <w:t>83729</w:t>
            </w:r>
          </w:p>
        </w:tc>
        <w:tc>
          <w:tcPr>
            <w:tcW w:w="1134" w:type="dxa"/>
            <w:shd w:val="clear" w:color="auto" w:fill="auto"/>
            <w:noWrap/>
            <w:hideMark/>
          </w:tcPr>
          <w:p w14:paraId="7DAA06B8" w14:textId="77777777" w:rsidR="008777D0" w:rsidRPr="00C27EE4" w:rsidRDefault="008777D0" w:rsidP="008E714B">
            <w:pPr>
              <w:pStyle w:val="Tablesmalltext"/>
              <w:rPr>
                <w:sz w:val="18"/>
                <w:szCs w:val="18"/>
              </w:rPr>
            </w:pPr>
            <w:r w:rsidRPr="00C27EE4">
              <w:rPr>
                <w:sz w:val="18"/>
                <w:szCs w:val="18"/>
              </w:rPr>
              <w:t>Upper Mid-Tertiary Aquifer (107)</w:t>
            </w:r>
          </w:p>
        </w:tc>
        <w:tc>
          <w:tcPr>
            <w:tcW w:w="3698" w:type="dxa"/>
            <w:shd w:val="clear" w:color="auto" w:fill="auto"/>
            <w:noWrap/>
          </w:tcPr>
          <w:p w14:paraId="7DAA06B9" w14:textId="2F369705"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Located in the area of prospectivity and </w:t>
            </w:r>
            <w:r w:rsidR="00E927B0" w:rsidRPr="00C27EE4">
              <w:rPr>
                <w:sz w:val="18"/>
                <w:szCs w:val="18"/>
              </w:rPr>
              <w:t>key</w:t>
            </w:r>
            <w:r w:rsidRPr="00C27EE4">
              <w:rPr>
                <w:sz w:val="18"/>
                <w:szCs w:val="18"/>
              </w:rPr>
              <w:t xml:space="preserve"> rivers and wetlands </w:t>
            </w:r>
          </w:p>
          <w:p w14:paraId="7DAA06BA" w14:textId="77777777" w:rsidR="008777D0" w:rsidRPr="00C27EE4" w:rsidRDefault="008777D0" w:rsidP="00C27EE4">
            <w:pPr>
              <w:pStyle w:val="Tablesmalltext"/>
              <w:numPr>
                <w:ilvl w:val="0"/>
                <w:numId w:val="12"/>
              </w:numPr>
              <w:ind w:left="317" w:hanging="317"/>
              <w:rPr>
                <w:sz w:val="18"/>
                <w:szCs w:val="18"/>
              </w:rPr>
            </w:pPr>
            <w:r w:rsidRPr="00C27EE4">
              <w:rPr>
                <w:sz w:val="18"/>
                <w:szCs w:val="18"/>
              </w:rPr>
              <w:t>Monitors the target aquifer (PCL) in the Glenelg WSPA</w:t>
            </w:r>
          </w:p>
        </w:tc>
        <w:tc>
          <w:tcPr>
            <w:tcW w:w="3531" w:type="dxa"/>
          </w:tcPr>
          <w:p w14:paraId="7DAA06BB" w14:textId="77777777" w:rsidR="008777D0" w:rsidRPr="00C27EE4" w:rsidRDefault="008777D0" w:rsidP="00C27EE4">
            <w:pPr>
              <w:pStyle w:val="Tablesmalltext"/>
              <w:numPr>
                <w:ilvl w:val="0"/>
                <w:numId w:val="12"/>
              </w:numPr>
              <w:ind w:left="305" w:hanging="284"/>
              <w:rPr>
                <w:sz w:val="18"/>
                <w:szCs w:val="18"/>
              </w:rPr>
            </w:pPr>
            <w:r w:rsidRPr="00C27EE4">
              <w:rPr>
                <w:sz w:val="18"/>
                <w:szCs w:val="18"/>
              </w:rPr>
              <w:t>In the Glenelg WSPA, the Port Campbell Limestone aquifer does not contain methane, TPHs or BTEX.</w:t>
            </w:r>
          </w:p>
        </w:tc>
      </w:tr>
      <w:tr w:rsidR="008777D0" w:rsidRPr="0073640E" w14:paraId="7DAA06C3" w14:textId="77777777" w:rsidTr="00C27EE4">
        <w:trPr>
          <w:trHeight w:val="778"/>
        </w:trPr>
        <w:tc>
          <w:tcPr>
            <w:tcW w:w="1264" w:type="dxa"/>
            <w:shd w:val="clear" w:color="auto" w:fill="auto"/>
            <w:noWrap/>
            <w:hideMark/>
          </w:tcPr>
          <w:p w14:paraId="7DAA06BD" w14:textId="77777777" w:rsidR="008777D0" w:rsidRPr="00C27EE4" w:rsidRDefault="008777D0" w:rsidP="008E714B">
            <w:pPr>
              <w:pStyle w:val="Tablesmalltext"/>
              <w:rPr>
                <w:sz w:val="18"/>
                <w:szCs w:val="18"/>
              </w:rPr>
            </w:pPr>
            <w:r w:rsidRPr="00C27EE4">
              <w:rPr>
                <w:sz w:val="18"/>
                <w:szCs w:val="18"/>
              </w:rPr>
              <w:t>141308</w:t>
            </w:r>
          </w:p>
        </w:tc>
        <w:tc>
          <w:tcPr>
            <w:tcW w:w="1134" w:type="dxa"/>
            <w:shd w:val="clear" w:color="auto" w:fill="auto"/>
            <w:noWrap/>
            <w:hideMark/>
          </w:tcPr>
          <w:p w14:paraId="7DAA06BE" w14:textId="77777777" w:rsidR="008777D0" w:rsidRPr="00C27EE4" w:rsidRDefault="008777D0" w:rsidP="008E714B">
            <w:pPr>
              <w:pStyle w:val="Tablesmalltext"/>
              <w:rPr>
                <w:sz w:val="18"/>
                <w:szCs w:val="18"/>
              </w:rPr>
            </w:pPr>
            <w:r w:rsidRPr="00C27EE4">
              <w:rPr>
                <w:sz w:val="18"/>
                <w:szCs w:val="18"/>
              </w:rPr>
              <w:t>Upper Mid-Tertiary Aquifer (107)</w:t>
            </w:r>
          </w:p>
        </w:tc>
        <w:tc>
          <w:tcPr>
            <w:tcW w:w="3698" w:type="dxa"/>
            <w:shd w:val="clear" w:color="auto" w:fill="auto"/>
            <w:noWrap/>
          </w:tcPr>
          <w:p w14:paraId="7DAA06BF" w14:textId="77777777"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Located in the Yangery WSPA.  Nested with 141307. </w:t>
            </w:r>
          </w:p>
          <w:p w14:paraId="7DAA06C0" w14:textId="5C4C7062"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Bores will monitor the </w:t>
            </w:r>
            <w:r w:rsidR="00E927B0" w:rsidRPr="00C27EE4">
              <w:rPr>
                <w:sz w:val="18"/>
                <w:szCs w:val="18"/>
              </w:rPr>
              <w:t>key</w:t>
            </w:r>
            <w:r w:rsidRPr="00C27EE4">
              <w:rPr>
                <w:sz w:val="18"/>
                <w:szCs w:val="18"/>
              </w:rPr>
              <w:t xml:space="preserve"> PCL aquifer and the watertable aquifer (101 Newer Volcanics) and will inform groundwater chemistry of multiple aquifers at one site and allow for interpretation of potential mixing. </w:t>
            </w:r>
          </w:p>
        </w:tc>
        <w:tc>
          <w:tcPr>
            <w:tcW w:w="3531" w:type="dxa"/>
          </w:tcPr>
          <w:p w14:paraId="7DAA06C1" w14:textId="77777777" w:rsidR="008777D0" w:rsidRPr="00C27EE4" w:rsidRDefault="008777D0" w:rsidP="00C27EE4">
            <w:pPr>
              <w:pStyle w:val="Tablesmalltext"/>
              <w:numPr>
                <w:ilvl w:val="0"/>
                <w:numId w:val="12"/>
              </w:numPr>
              <w:ind w:left="305" w:hanging="284"/>
              <w:rPr>
                <w:sz w:val="18"/>
                <w:szCs w:val="18"/>
              </w:rPr>
            </w:pPr>
            <w:r w:rsidRPr="00C27EE4">
              <w:rPr>
                <w:sz w:val="18"/>
                <w:szCs w:val="18"/>
              </w:rPr>
              <w:t>In the Yangery WSPA, the Port Campbell Limestone aquifer does not contain methane, TPHs or BTEX.</w:t>
            </w:r>
          </w:p>
          <w:p w14:paraId="7DAA06C2" w14:textId="77777777" w:rsidR="008777D0" w:rsidRPr="00C27EE4" w:rsidRDefault="008777D0" w:rsidP="00C27EE4">
            <w:pPr>
              <w:pStyle w:val="Tablesmalltext"/>
              <w:numPr>
                <w:ilvl w:val="0"/>
                <w:numId w:val="12"/>
              </w:numPr>
              <w:ind w:left="305" w:hanging="284"/>
              <w:rPr>
                <w:sz w:val="18"/>
                <w:szCs w:val="18"/>
              </w:rPr>
            </w:pPr>
            <w:r w:rsidRPr="00C27EE4">
              <w:rPr>
                <w:sz w:val="18"/>
                <w:szCs w:val="18"/>
              </w:rPr>
              <w:t>There is no methane in groundwater or TRH or BTEX in the Newer Volcanic Basalt aquifer or the underlying Port Campbell Limestone aquifer at this location.</w:t>
            </w:r>
          </w:p>
        </w:tc>
      </w:tr>
      <w:tr w:rsidR="008777D0" w:rsidRPr="0073640E" w14:paraId="7DAA06C9" w14:textId="77777777" w:rsidTr="00C27EE4">
        <w:trPr>
          <w:trHeight w:val="64"/>
        </w:trPr>
        <w:tc>
          <w:tcPr>
            <w:tcW w:w="1264" w:type="dxa"/>
            <w:shd w:val="clear" w:color="auto" w:fill="auto"/>
            <w:noWrap/>
            <w:hideMark/>
          </w:tcPr>
          <w:p w14:paraId="7DAA06C4" w14:textId="77777777" w:rsidR="008777D0" w:rsidRPr="00C27EE4" w:rsidRDefault="008777D0" w:rsidP="008E714B">
            <w:pPr>
              <w:pStyle w:val="Tablesmalltext"/>
              <w:rPr>
                <w:sz w:val="18"/>
                <w:szCs w:val="18"/>
              </w:rPr>
            </w:pPr>
            <w:r w:rsidRPr="00C27EE4">
              <w:rPr>
                <w:sz w:val="18"/>
                <w:szCs w:val="18"/>
              </w:rPr>
              <w:t>S9037242-1</w:t>
            </w:r>
          </w:p>
        </w:tc>
        <w:tc>
          <w:tcPr>
            <w:tcW w:w="1134" w:type="dxa"/>
            <w:shd w:val="clear" w:color="auto" w:fill="auto"/>
            <w:noWrap/>
            <w:hideMark/>
          </w:tcPr>
          <w:p w14:paraId="7DAA06C5" w14:textId="77777777" w:rsidR="008777D0" w:rsidRPr="00C27EE4" w:rsidRDefault="008777D0" w:rsidP="008E714B">
            <w:pPr>
              <w:pStyle w:val="Tablesmalltext"/>
              <w:rPr>
                <w:sz w:val="18"/>
                <w:szCs w:val="18"/>
              </w:rPr>
            </w:pPr>
            <w:r w:rsidRPr="00C27EE4">
              <w:rPr>
                <w:sz w:val="18"/>
                <w:szCs w:val="18"/>
              </w:rPr>
              <w:t>Upper Mid-Tertiary Aquifer (107)</w:t>
            </w:r>
          </w:p>
        </w:tc>
        <w:tc>
          <w:tcPr>
            <w:tcW w:w="3698" w:type="dxa"/>
            <w:shd w:val="clear" w:color="auto" w:fill="auto"/>
            <w:noWrap/>
          </w:tcPr>
          <w:p w14:paraId="7DAA06C6" w14:textId="77777777"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Heywood GMA. </w:t>
            </w:r>
          </w:p>
          <w:p w14:paraId="7DAA06C7" w14:textId="264704F1" w:rsidR="008777D0" w:rsidRPr="00C27EE4" w:rsidRDefault="008777D0" w:rsidP="00C27EE4">
            <w:pPr>
              <w:pStyle w:val="Tablesmalltext"/>
              <w:numPr>
                <w:ilvl w:val="0"/>
                <w:numId w:val="12"/>
              </w:numPr>
              <w:ind w:left="317" w:hanging="317"/>
              <w:rPr>
                <w:sz w:val="18"/>
                <w:szCs w:val="18"/>
              </w:rPr>
            </w:pPr>
            <w:r w:rsidRPr="00C27EE4">
              <w:rPr>
                <w:sz w:val="18"/>
                <w:szCs w:val="18"/>
              </w:rPr>
              <w:t xml:space="preserve">Bore included to provide </w:t>
            </w:r>
            <w:r w:rsidR="00857ACF" w:rsidRPr="00C27EE4">
              <w:rPr>
                <w:sz w:val="18"/>
                <w:szCs w:val="18"/>
              </w:rPr>
              <w:t>monitoring</w:t>
            </w:r>
            <w:r w:rsidRPr="00C27EE4">
              <w:rPr>
                <w:sz w:val="18"/>
                <w:szCs w:val="18"/>
              </w:rPr>
              <w:t xml:space="preserve"> information for the PCL aquifer in the Heywood GMA. </w:t>
            </w:r>
          </w:p>
        </w:tc>
        <w:tc>
          <w:tcPr>
            <w:tcW w:w="3531" w:type="dxa"/>
          </w:tcPr>
          <w:p w14:paraId="7DAA06C8" w14:textId="77777777" w:rsidR="008777D0" w:rsidRPr="00C27EE4" w:rsidRDefault="008777D0" w:rsidP="00C27EE4">
            <w:pPr>
              <w:pStyle w:val="Tablesmalltext"/>
              <w:numPr>
                <w:ilvl w:val="0"/>
                <w:numId w:val="12"/>
              </w:numPr>
              <w:ind w:left="305" w:hanging="284"/>
              <w:rPr>
                <w:sz w:val="18"/>
                <w:szCs w:val="18"/>
              </w:rPr>
            </w:pPr>
            <w:r w:rsidRPr="00C27EE4">
              <w:rPr>
                <w:sz w:val="18"/>
                <w:szCs w:val="18"/>
              </w:rPr>
              <w:t>In the Heywood GMA, the Port Campbell Limestone does not contain methane, TRH or BTEX</w:t>
            </w:r>
          </w:p>
        </w:tc>
      </w:tr>
    </w:tbl>
    <w:p w14:paraId="7DAA06CA" w14:textId="77777777" w:rsidR="000C564C" w:rsidRPr="008777D0" w:rsidRDefault="000C564C" w:rsidP="000C564C"/>
    <w:p w14:paraId="7DAA06CB" w14:textId="77777777" w:rsidR="000C564C" w:rsidRPr="000C564C" w:rsidRDefault="000C564C" w:rsidP="008777D0">
      <w:pPr>
        <w:pStyle w:val="Head2xx"/>
      </w:pPr>
      <w:bookmarkStart w:id="146" w:name="_Toc420327742"/>
      <w:r w:rsidRPr="000C564C">
        <w:t>Lower Mid Tertiary Aquifer (109)</w:t>
      </w:r>
      <w:bookmarkEnd w:id="146"/>
    </w:p>
    <w:p w14:paraId="7DAA06CC" w14:textId="7B804A12" w:rsidR="000C564C" w:rsidRPr="000C564C" w:rsidRDefault="000C564C" w:rsidP="000C564C">
      <w:pPr>
        <w:rPr>
          <w:lang w:val="en-AU"/>
        </w:rPr>
      </w:pPr>
      <w:r w:rsidRPr="000C564C">
        <w:rPr>
          <w:lang w:val="en-AU"/>
        </w:rPr>
        <w:t xml:space="preserve">A single bore was sampled for the Lower Mid Tertiary Aquifer which comprises the Clifton Formation in the Otway </w:t>
      </w:r>
      <w:r w:rsidR="00E87D28">
        <w:rPr>
          <w:lang w:val="en-AU"/>
        </w:rPr>
        <w:t>region</w:t>
      </w:r>
      <w:r w:rsidRPr="000C564C">
        <w:rPr>
          <w:lang w:val="en-AU"/>
        </w:rPr>
        <w:t xml:space="preserve"> (</w:t>
      </w:r>
      <w:r w:rsidR="008E714B">
        <w:rPr>
          <w:lang w:val="en-AU"/>
        </w:rPr>
        <w:fldChar w:fldCharType="begin"/>
      </w:r>
      <w:r w:rsidR="008E714B">
        <w:rPr>
          <w:lang w:val="en-AU"/>
        </w:rPr>
        <w:instrText xml:space="preserve"> REF _Ref414009399 \h </w:instrText>
      </w:r>
      <w:r w:rsidR="008E714B">
        <w:rPr>
          <w:lang w:val="en-AU"/>
        </w:rPr>
      </w:r>
      <w:r w:rsidR="008E714B">
        <w:rPr>
          <w:lang w:val="en-AU"/>
        </w:rPr>
        <w:fldChar w:fldCharType="separate"/>
      </w:r>
      <w:r w:rsidR="00BD60CC">
        <w:t xml:space="preserve">Table </w:t>
      </w:r>
      <w:r w:rsidR="00BD60CC">
        <w:rPr>
          <w:noProof/>
        </w:rPr>
        <w:t>23</w:t>
      </w:r>
      <w:r w:rsidR="008E714B">
        <w:rPr>
          <w:lang w:val="en-AU"/>
        </w:rPr>
        <w:fldChar w:fldCharType="end"/>
      </w:r>
      <w:r w:rsidRPr="000C564C">
        <w:rPr>
          <w:lang w:val="en-AU"/>
        </w:rPr>
        <w:t xml:space="preserve">). This bore is located away from sub-regional prospectivity areas but does reside in the Condah WSPA. Groundwater salinity for the Clifton Formation aquifer is brackish (2,130 mg/L TDS) and total nitrogen concentration is low (0.7 mg/L). The groundwater is near neutral with a pH of 6.6. A positive redox potential was noted for this aquifer, suggesting oxidising groundwater conditions. </w:t>
      </w:r>
    </w:p>
    <w:p w14:paraId="7DAA06CD" w14:textId="77777777" w:rsidR="000C564C" w:rsidRPr="000C564C" w:rsidRDefault="000C564C" w:rsidP="000C564C">
      <w:pPr>
        <w:rPr>
          <w:lang w:val="en-AU"/>
        </w:rPr>
      </w:pPr>
      <w:r w:rsidRPr="000C564C">
        <w:rPr>
          <w:lang w:val="en-AU"/>
        </w:rPr>
        <w:t xml:space="preserve">There was no methane detected in groundwater for this aquifer and no TPH (including BTEX). </w:t>
      </w:r>
    </w:p>
    <w:p w14:paraId="7DAA06CE" w14:textId="77777777" w:rsidR="000C564C" w:rsidRDefault="008E714B" w:rsidP="004F307F">
      <w:pPr>
        <w:pStyle w:val="Tableheading"/>
        <w:rPr>
          <w:lang w:val="en-AU"/>
        </w:rPr>
      </w:pPr>
      <w:bookmarkStart w:id="147" w:name="_Ref414009399"/>
      <w:bookmarkStart w:id="148" w:name="_Toc420320573"/>
      <w:r>
        <w:t xml:space="preserve">Table </w:t>
      </w:r>
      <w:r>
        <w:fldChar w:fldCharType="begin"/>
      </w:r>
      <w:r>
        <w:instrText xml:space="preserve"> SEQ Table \* ARABIC </w:instrText>
      </w:r>
      <w:r>
        <w:fldChar w:fldCharType="separate"/>
      </w:r>
      <w:r w:rsidR="00BD60CC">
        <w:rPr>
          <w:noProof/>
        </w:rPr>
        <w:t>23</w:t>
      </w:r>
      <w:r>
        <w:fldChar w:fldCharType="end"/>
      </w:r>
      <w:bookmarkEnd w:id="147"/>
      <w:r>
        <w:rPr>
          <w:lang w:val="en-AU"/>
        </w:rPr>
        <w:t xml:space="preserve"> </w:t>
      </w:r>
      <w:r w:rsidR="000C564C" w:rsidRPr="000C564C">
        <w:rPr>
          <w:lang w:val="en-AU"/>
        </w:rPr>
        <w:t>Lower Mid-Tertiary Aquifer</w:t>
      </w:r>
      <w:bookmarkEnd w:id="148"/>
    </w:p>
    <w:tbl>
      <w:tblPr>
        <w:tblW w:w="9627" w:type="dxa"/>
        <w:tblInd w:w="120"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1090"/>
        <w:gridCol w:w="1091"/>
        <w:gridCol w:w="3723"/>
        <w:gridCol w:w="3723"/>
      </w:tblGrid>
      <w:tr w:rsidR="008777D0" w:rsidRPr="0073640E" w14:paraId="7DAA06D3" w14:textId="77777777" w:rsidTr="008E42B0">
        <w:trPr>
          <w:trHeight w:val="270"/>
        </w:trPr>
        <w:tc>
          <w:tcPr>
            <w:tcW w:w="1090" w:type="dxa"/>
            <w:tcBorders>
              <w:top w:val="nil"/>
              <w:bottom w:val="single" w:sz="4" w:space="0" w:color="FFFFFF"/>
              <w:right w:val="single" w:sz="4" w:space="0" w:color="FFFFFF"/>
            </w:tcBorders>
            <w:shd w:val="clear" w:color="auto" w:fill="005A97"/>
            <w:noWrap/>
            <w:hideMark/>
          </w:tcPr>
          <w:p w14:paraId="7DAA06CF" w14:textId="77777777" w:rsidR="008777D0" w:rsidRPr="0073640E" w:rsidRDefault="008777D0" w:rsidP="00E63375">
            <w:pPr>
              <w:pStyle w:val="TableHeaderrow"/>
            </w:pPr>
            <w:r w:rsidRPr="0073640E">
              <w:t>Bore</w:t>
            </w:r>
          </w:p>
        </w:tc>
        <w:tc>
          <w:tcPr>
            <w:tcW w:w="1091" w:type="dxa"/>
            <w:tcBorders>
              <w:top w:val="nil"/>
              <w:left w:val="single" w:sz="4" w:space="0" w:color="FFFFFF"/>
              <w:bottom w:val="single" w:sz="4" w:space="0" w:color="FFFFFF"/>
              <w:right w:val="single" w:sz="4" w:space="0" w:color="FFFFFF"/>
            </w:tcBorders>
            <w:shd w:val="clear" w:color="auto" w:fill="005A97"/>
            <w:noWrap/>
            <w:hideMark/>
          </w:tcPr>
          <w:p w14:paraId="7DAA06D0" w14:textId="77777777" w:rsidR="008777D0" w:rsidRPr="0073640E" w:rsidRDefault="008777D0" w:rsidP="00E63375">
            <w:pPr>
              <w:pStyle w:val="TableHeaderrow"/>
            </w:pPr>
            <w:r w:rsidRPr="0073640E">
              <w:t>Aquifer Monitored</w:t>
            </w:r>
          </w:p>
        </w:tc>
        <w:tc>
          <w:tcPr>
            <w:tcW w:w="3723" w:type="dxa"/>
            <w:tcBorders>
              <w:top w:val="nil"/>
              <w:left w:val="single" w:sz="4" w:space="0" w:color="FFFFFF"/>
              <w:bottom w:val="single" w:sz="4" w:space="0" w:color="FFFFFF"/>
              <w:right w:val="single" w:sz="4" w:space="0" w:color="FFFFFF"/>
            </w:tcBorders>
            <w:shd w:val="clear" w:color="auto" w:fill="005A97"/>
            <w:noWrap/>
            <w:hideMark/>
          </w:tcPr>
          <w:p w14:paraId="7DAA06D1" w14:textId="68585585" w:rsidR="008777D0" w:rsidRPr="0073640E" w:rsidRDefault="008777D0" w:rsidP="00E63375">
            <w:pPr>
              <w:pStyle w:val="TableHeaderrow"/>
            </w:pPr>
            <w:r w:rsidRPr="0073640E">
              <w:t xml:space="preserve">Justification for inclusion in the </w:t>
            </w:r>
            <w:r w:rsidR="00857ACF">
              <w:t xml:space="preserve">monitoring </w:t>
            </w:r>
            <w:r w:rsidRPr="0073640E">
              <w:t>network</w:t>
            </w:r>
          </w:p>
        </w:tc>
        <w:tc>
          <w:tcPr>
            <w:tcW w:w="3723" w:type="dxa"/>
            <w:tcBorders>
              <w:top w:val="nil"/>
              <w:left w:val="single" w:sz="4" w:space="0" w:color="FFFFFF"/>
              <w:bottom w:val="single" w:sz="4" w:space="0" w:color="FFFFFF"/>
            </w:tcBorders>
            <w:shd w:val="clear" w:color="auto" w:fill="005A97"/>
          </w:tcPr>
          <w:p w14:paraId="7DAA06D2" w14:textId="77777777" w:rsidR="008777D0" w:rsidRPr="0073640E" w:rsidRDefault="008777D0" w:rsidP="00E63375">
            <w:pPr>
              <w:pStyle w:val="TableHeaderrow"/>
            </w:pPr>
            <w:r>
              <w:t>Comment</w:t>
            </w:r>
          </w:p>
        </w:tc>
      </w:tr>
      <w:tr w:rsidR="008777D0" w:rsidRPr="0073640E" w14:paraId="7DAA06D9" w14:textId="77777777" w:rsidTr="008E42B0">
        <w:trPr>
          <w:trHeight w:val="653"/>
        </w:trPr>
        <w:tc>
          <w:tcPr>
            <w:tcW w:w="1090" w:type="dxa"/>
            <w:tcBorders>
              <w:top w:val="single" w:sz="4" w:space="0" w:color="FFFFFF"/>
            </w:tcBorders>
            <w:shd w:val="clear" w:color="auto" w:fill="auto"/>
            <w:noWrap/>
            <w:hideMark/>
          </w:tcPr>
          <w:p w14:paraId="7DAA06D4" w14:textId="77777777" w:rsidR="008777D0" w:rsidRPr="008E42B0" w:rsidRDefault="008777D0" w:rsidP="008E714B">
            <w:pPr>
              <w:pStyle w:val="Tablesmalltext"/>
              <w:rPr>
                <w:sz w:val="18"/>
                <w:szCs w:val="18"/>
              </w:rPr>
            </w:pPr>
            <w:r w:rsidRPr="008E42B0">
              <w:rPr>
                <w:sz w:val="18"/>
                <w:szCs w:val="18"/>
              </w:rPr>
              <w:t>122677</w:t>
            </w:r>
          </w:p>
        </w:tc>
        <w:tc>
          <w:tcPr>
            <w:tcW w:w="1091" w:type="dxa"/>
            <w:tcBorders>
              <w:top w:val="single" w:sz="4" w:space="0" w:color="FFFFFF"/>
            </w:tcBorders>
            <w:shd w:val="clear" w:color="auto" w:fill="auto"/>
            <w:noWrap/>
            <w:hideMark/>
          </w:tcPr>
          <w:p w14:paraId="7DAA06D5" w14:textId="77777777" w:rsidR="008777D0" w:rsidRPr="008E42B0" w:rsidRDefault="008777D0" w:rsidP="008E714B">
            <w:pPr>
              <w:pStyle w:val="Tablesmalltext"/>
              <w:rPr>
                <w:sz w:val="18"/>
                <w:szCs w:val="18"/>
              </w:rPr>
            </w:pPr>
            <w:r w:rsidRPr="008E42B0">
              <w:rPr>
                <w:sz w:val="18"/>
                <w:szCs w:val="18"/>
              </w:rPr>
              <w:t>Lower Mid-Tertiary Aquifer (109)</w:t>
            </w:r>
          </w:p>
        </w:tc>
        <w:tc>
          <w:tcPr>
            <w:tcW w:w="3723" w:type="dxa"/>
            <w:tcBorders>
              <w:top w:val="single" w:sz="4" w:space="0" w:color="FFFFFF"/>
            </w:tcBorders>
            <w:shd w:val="clear" w:color="auto" w:fill="auto"/>
            <w:noWrap/>
          </w:tcPr>
          <w:p w14:paraId="7DAA06D6" w14:textId="03A69904" w:rsidR="008777D0" w:rsidRPr="008E42B0" w:rsidRDefault="008777D0" w:rsidP="008E42B0">
            <w:pPr>
              <w:pStyle w:val="Tablesmalltext"/>
              <w:numPr>
                <w:ilvl w:val="0"/>
                <w:numId w:val="13"/>
              </w:numPr>
              <w:ind w:left="393" w:hanging="393"/>
              <w:rPr>
                <w:sz w:val="18"/>
                <w:szCs w:val="18"/>
              </w:rPr>
            </w:pPr>
            <w:r w:rsidRPr="008E42B0">
              <w:rPr>
                <w:sz w:val="18"/>
                <w:szCs w:val="18"/>
              </w:rPr>
              <w:t xml:space="preserve">Located adjacent to the area of prospectivity and </w:t>
            </w:r>
            <w:r w:rsidR="00E927B0" w:rsidRPr="008E42B0">
              <w:rPr>
                <w:sz w:val="18"/>
                <w:szCs w:val="18"/>
              </w:rPr>
              <w:t>key</w:t>
            </w:r>
            <w:r w:rsidRPr="008E42B0">
              <w:rPr>
                <w:sz w:val="18"/>
                <w:szCs w:val="18"/>
              </w:rPr>
              <w:t xml:space="preserve"> rivers and wetlands   </w:t>
            </w:r>
          </w:p>
          <w:p w14:paraId="7DAA06D7" w14:textId="77777777" w:rsidR="008777D0" w:rsidRPr="008E42B0" w:rsidRDefault="008777D0" w:rsidP="008E42B0">
            <w:pPr>
              <w:pStyle w:val="Tablesmalltext"/>
              <w:numPr>
                <w:ilvl w:val="0"/>
                <w:numId w:val="13"/>
              </w:numPr>
              <w:ind w:left="393" w:hanging="393"/>
              <w:rPr>
                <w:sz w:val="18"/>
                <w:szCs w:val="18"/>
              </w:rPr>
            </w:pPr>
            <w:r w:rsidRPr="008E42B0">
              <w:rPr>
                <w:sz w:val="18"/>
                <w:szCs w:val="18"/>
              </w:rPr>
              <w:t>Monitors the target aquifer (Clifton Fmn) in the Condah WSPA</w:t>
            </w:r>
          </w:p>
        </w:tc>
        <w:tc>
          <w:tcPr>
            <w:tcW w:w="3723" w:type="dxa"/>
            <w:tcBorders>
              <w:top w:val="single" w:sz="4" w:space="0" w:color="FFFFFF"/>
            </w:tcBorders>
          </w:tcPr>
          <w:p w14:paraId="7DAA06D8" w14:textId="77777777" w:rsidR="008777D0" w:rsidRPr="008E42B0" w:rsidRDefault="008777D0" w:rsidP="008E42B0">
            <w:pPr>
              <w:pStyle w:val="Tablesmalltext"/>
              <w:numPr>
                <w:ilvl w:val="0"/>
                <w:numId w:val="13"/>
              </w:numPr>
              <w:ind w:left="393" w:hanging="393"/>
              <w:rPr>
                <w:sz w:val="18"/>
                <w:szCs w:val="18"/>
              </w:rPr>
            </w:pPr>
            <w:r w:rsidRPr="008E42B0">
              <w:rPr>
                <w:sz w:val="18"/>
                <w:szCs w:val="18"/>
              </w:rPr>
              <w:t xml:space="preserve">The Clifton Formation aquifer in the Condah WSPA does not contain methane, TPH or BTEX </w:t>
            </w:r>
          </w:p>
        </w:tc>
      </w:tr>
    </w:tbl>
    <w:p w14:paraId="7DAA06DA" w14:textId="77777777" w:rsidR="008777D0" w:rsidRPr="008777D0" w:rsidRDefault="008777D0" w:rsidP="000C564C"/>
    <w:p w14:paraId="7DAA06DB" w14:textId="77777777" w:rsidR="000C564C" w:rsidRPr="000C564C" w:rsidRDefault="000C564C" w:rsidP="008777D0">
      <w:pPr>
        <w:pStyle w:val="Head2xx"/>
      </w:pPr>
      <w:bookmarkStart w:id="149" w:name="_Toc420327743"/>
      <w:r w:rsidRPr="000C564C">
        <w:t>Lower Tertiary Aquifer (111)</w:t>
      </w:r>
      <w:bookmarkEnd w:id="149"/>
    </w:p>
    <w:p w14:paraId="7DAA06DC" w14:textId="3C68C65D" w:rsidR="000C564C" w:rsidRPr="000C564C" w:rsidRDefault="000C564C" w:rsidP="000C564C">
      <w:pPr>
        <w:rPr>
          <w:lang w:val="en-AU"/>
        </w:rPr>
      </w:pPr>
      <w:r w:rsidRPr="000C564C">
        <w:rPr>
          <w:lang w:val="en-AU"/>
        </w:rPr>
        <w:t>Eight bores were sampled from the Lower Tertiary Aquifer, which includes the</w:t>
      </w:r>
      <w:r w:rsidR="00E6074D">
        <w:rPr>
          <w:lang w:val="en-AU"/>
        </w:rPr>
        <w:t xml:space="preserve"> </w:t>
      </w:r>
      <w:r w:rsidRPr="000C564C">
        <w:rPr>
          <w:lang w:val="en-AU"/>
        </w:rPr>
        <w:t>Dilwyn Formation, Pebble Point Formation, Wangerrip Group and the Knight Group (</w:t>
      </w:r>
      <w:r w:rsidR="00B3155A">
        <w:rPr>
          <w:lang w:val="en-AU"/>
        </w:rPr>
        <w:t>Table 24</w:t>
      </w:r>
      <w:r w:rsidRPr="000C564C">
        <w:rPr>
          <w:lang w:val="en-AU"/>
        </w:rPr>
        <w:t>).</w:t>
      </w:r>
    </w:p>
    <w:p w14:paraId="7DAA06DD" w14:textId="3B7656C5" w:rsidR="000C564C" w:rsidRPr="000C564C" w:rsidRDefault="000C564C" w:rsidP="000C564C">
      <w:pPr>
        <w:rPr>
          <w:lang w:val="en-AU"/>
        </w:rPr>
      </w:pPr>
      <w:r w:rsidRPr="000C564C">
        <w:rPr>
          <w:lang w:val="en-AU"/>
        </w:rPr>
        <w:t xml:space="preserve">Some of these observation bores intersect sub-regional areas of natural gas prospectivity. Most bores also intersect an area </w:t>
      </w:r>
      <w:r w:rsidR="00206FC6" w:rsidRPr="000C564C">
        <w:rPr>
          <w:lang w:val="en-AU"/>
        </w:rPr>
        <w:t>of groundwater</w:t>
      </w:r>
      <w:r w:rsidRPr="000C564C">
        <w:rPr>
          <w:lang w:val="en-AU"/>
        </w:rPr>
        <w:t xml:space="preserve">, covered by the Glenelg, Paaratte, Newlingrook and Gellibrand GMUs. </w:t>
      </w:r>
    </w:p>
    <w:p w14:paraId="7DAA06DE" w14:textId="1A8EB8AD" w:rsidR="000C564C" w:rsidRPr="000C564C" w:rsidRDefault="000C564C" w:rsidP="000C564C">
      <w:pPr>
        <w:rPr>
          <w:lang w:val="en-AU"/>
        </w:rPr>
      </w:pPr>
      <w:r w:rsidRPr="000C564C">
        <w:rPr>
          <w:lang w:val="en-AU"/>
        </w:rPr>
        <w:t xml:space="preserve">Groundwater salinity for this aquifer ranges from 241 mg/L TDS to 9,410 mg/L TDS. The average groundwater salinity is brackish </w:t>
      </w:r>
      <w:r w:rsidR="00C40F6B">
        <w:rPr>
          <w:lang w:val="en-AU"/>
        </w:rPr>
        <w:t>(</w:t>
      </w:r>
      <w:r w:rsidRPr="000C564C">
        <w:rPr>
          <w:lang w:val="en-AU"/>
        </w:rPr>
        <w:t>1,637 mg/L TDS</w:t>
      </w:r>
      <w:r w:rsidR="00C40F6B">
        <w:rPr>
          <w:lang w:val="en-AU"/>
        </w:rPr>
        <w:t>)</w:t>
      </w:r>
      <w:r w:rsidRPr="000C564C">
        <w:rPr>
          <w:lang w:val="en-AU"/>
        </w:rPr>
        <w:t xml:space="preserve">. A single high groundwater salinity reading from bore 111786 does not appear characteristic of this aquifer. </w:t>
      </w:r>
    </w:p>
    <w:p w14:paraId="7DAA06DF" w14:textId="77777777" w:rsidR="000C564C" w:rsidRPr="000C564C" w:rsidRDefault="000C564C" w:rsidP="000C564C">
      <w:pPr>
        <w:rPr>
          <w:lang w:val="en-AU"/>
        </w:rPr>
      </w:pPr>
      <w:r w:rsidRPr="000C564C">
        <w:rPr>
          <w:lang w:val="en-AU"/>
        </w:rPr>
        <w:t xml:space="preserve">Total Nitrogen concentration for this aquifer ranges from 0 mg/L to 4.6 mg/L. The average nitrogen concentration is 1.5 mg/L. </w:t>
      </w:r>
    </w:p>
    <w:p w14:paraId="7DAA06E0" w14:textId="530CFF53" w:rsidR="000C564C" w:rsidRPr="000C564C" w:rsidRDefault="000C564C" w:rsidP="000C564C">
      <w:pPr>
        <w:rPr>
          <w:lang w:val="en-AU"/>
        </w:rPr>
      </w:pPr>
      <w:r w:rsidRPr="000C564C">
        <w:rPr>
          <w:lang w:val="en-AU"/>
        </w:rPr>
        <w:t xml:space="preserve">The groundwater is slightly acidic with an average pH of 6.1. An odour indicative of hydrogen </w:t>
      </w:r>
      <w:r w:rsidR="00206FC6" w:rsidRPr="000C564C">
        <w:rPr>
          <w:lang w:val="en-AU"/>
        </w:rPr>
        <w:t>sulphide</w:t>
      </w:r>
      <w:r w:rsidRPr="000C564C">
        <w:rPr>
          <w:lang w:val="en-AU"/>
        </w:rPr>
        <w:t xml:space="preserve"> gas was noted on one occasion for this aquifer. A positive redox potential was noted for this aquifer, indicating oxidising groundwater conditions. </w:t>
      </w:r>
    </w:p>
    <w:p w14:paraId="7DAA06E1" w14:textId="77777777" w:rsidR="000C564C" w:rsidRPr="000C564C" w:rsidRDefault="000C564C" w:rsidP="000C564C">
      <w:pPr>
        <w:rPr>
          <w:lang w:val="en-AU"/>
        </w:rPr>
      </w:pPr>
      <w:r w:rsidRPr="000C564C">
        <w:rPr>
          <w:lang w:val="en-AU"/>
        </w:rPr>
        <w:t>Six of the eight bores detected methane in groundwater, albeit the average concentration (0.76 mg/L) is low. TRH was detected for three bores, though no BTEX was detected in any samples.</w:t>
      </w:r>
    </w:p>
    <w:p w14:paraId="5A96FDAD" w14:textId="77777777" w:rsidR="00966ED4" w:rsidRDefault="00966ED4">
      <w:pPr>
        <w:rPr>
          <w:rFonts w:cs="Arial"/>
          <w:b/>
          <w:bCs/>
        </w:rPr>
      </w:pPr>
      <w:bookmarkStart w:id="150" w:name="_Ref414010413"/>
      <w:r>
        <w:br w:type="page"/>
      </w:r>
    </w:p>
    <w:p w14:paraId="7DAA06E2" w14:textId="3747DA85" w:rsidR="000C564C" w:rsidRPr="000C564C" w:rsidRDefault="008E714B" w:rsidP="004F307F">
      <w:pPr>
        <w:pStyle w:val="Tableheading"/>
        <w:rPr>
          <w:lang w:val="en-AU"/>
        </w:rPr>
      </w:pPr>
      <w:bookmarkStart w:id="151" w:name="_Toc420320574"/>
      <w:r>
        <w:t xml:space="preserve">Table </w:t>
      </w:r>
      <w:r>
        <w:fldChar w:fldCharType="begin"/>
      </w:r>
      <w:r>
        <w:instrText xml:space="preserve"> SEQ Table \* ARABIC </w:instrText>
      </w:r>
      <w:r>
        <w:fldChar w:fldCharType="separate"/>
      </w:r>
      <w:r w:rsidR="00BD60CC">
        <w:rPr>
          <w:noProof/>
        </w:rPr>
        <w:t>24</w:t>
      </w:r>
      <w:r>
        <w:fldChar w:fldCharType="end"/>
      </w:r>
      <w:bookmarkEnd w:id="150"/>
      <w:r>
        <w:rPr>
          <w:lang w:val="en-AU"/>
        </w:rPr>
        <w:t xml:space="preserve"> </w:t>
      </w:r>
      <w:r w:rsidR="000C564C" w:rsidRPr="000C564C">
        <w:rPr>
          <w:lang w:val="en-AU"/>
        </w:rPr>
        <w:t>Lower Tertiary Aquifer</w:t>
      </w:r>
      <w:bookmarkEnd w:id="151"/>
    </w:p>
    <w:tbl>
      <w:tblPr>
        <w:tblW w:w="9627" w:type="dxa"/>
        <w:tblInd w:w="120"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839"/>
        <w:gridCol w:w="1134"/>
        <w:gridCol w:w="3827"/>
        <w:gridCol w:w="3827"/>
      </w:tblGrid>
      <w:tr w:rsidR="008777D0" w:rsidRPr="0073640E" w14:paraId="7DAA06E7" w14:textId="77777777" w:rsidTr="00381EC9">
        <w:trPr>
          <w:trHeight w:val="270"/>
          <w:tblHeader/>
        </w:trPr>
        <w:tc>
          <w:tcPr>
            <w:tcW w:w="839" w:type="dxa"/>
            <w:tcBorders>
              <w:top w:val="nil"/>
              <w:right w:val="single" w:sz="4" w:space="0" w:color="FFFFFF"/>
            </w:tcBorders>
            <w:shd w:val="clear" w:color="auto" w:fill="005A97"/>
            <w:noWrap/>
            <w:hideMark/>
          </w:tcPr>
          <w:p w14:paraId="7DAA06E3" w14:textId="77777777" w:rsidR="008777D0" w:rsidRPr="0073640E" w:rsidRDefault="008777D0" w:rsidP="00E63375">
            <w:pPr>
              <w:pStyle w:val="TableHeaderrow"/>
            </w:pPr>
            <w:r w:rsidRPr="0073640E">
              <w:t>Bore</w:t>
            </w:r>
          </w:p>
        </w:tc>
        <w:tc>
          <w:tcPr>
            <w:tcW w:w="1134" w:type="dxa"/>
            <w:tcBorders>
              <w:top w:val="nil"/>
              <w:left w:val="single" w:sz="4" w:space="0" w:color="FFFFFF"/>
              <w:right w:val="single" w:sz="4" w:space="0" w:color="FFFFFF"/>
            </w:tcBorders>
            <w:shd w:val="clear" w:color="auto" w:fill="005A97"/>
            <w:noWrap/>
            <w:hideMark/>
          </w:tcPr>
          <w:p w14:paraId="7DAA06E4" w14:textId="77777777" w:rsidR="008777D0" w:rsidRPr="0073640E" w:rsidRDefault="008777D0" w:rsidP="00E63375">
            <w:pPr>
              <w:pStyle w:val="TableHeaderrow"/>
            </w:pPr>
            <w:r w:rsidRPr="0073640E">
              <w:t>Aquifer Monitored</w:t>
            </w:r>
          </w:p>
        </w:tc>
        <w:tc>
          <w:tcPr>
            <w:tcW w:w="3827" w:type="dxa"/>
            <w:tcBorders>
              <w:top w:val="nil"/>
              <w:left w:val="single" w:sz="4" w:space="0" w:color="FFFFFF"/>
              <w:right w:val="single" w:sz="4" w:space="0" w:color="FFFFFF"/>
            </w:tcBorders>
            <w:shd w:val="clear" w:color="auto" w:fill="005A97"/>
            <w:noWrap/>
            <w:hideMark/>
          </w:tcPr>
          <w:p w14:paraId="7DAA06E5" w14:textId="65D51206" w:rsidR="008777D0" w:rsidRPr="0073640E" w:rsidRDefault="008777D0" w:rsidP="00E63375">
            <w:pPr>
              <w:pStyle w:val="TableHeaderrow"/>
            </w:pPr>
            <w:r w:rsidRPr="0073640E">
              <w:t xml:space="preserve">Justification for inclusion in the </w:t>
            </w:r>
            <w:r w:rsidR="00857ACF">
              <w:t xml:space="preserve">monitoring </w:t>
            </w:r>
            <w:r w:rsidRPr="0073640E">
              <w:t>network</w:t>
            </w:r>
            <w:r>
              <w:t xml:space="preserve"> Comment</w:t>
            </w:r>
          </w:p>
        </w:tc>
        <w:tc>
          <w:tcPr>
            <w:tcW w:w="3827" w:type="dxa"/>
            <w:tcBorders>
              <w:top w:val="nil"/>
              <w:left w:val="single" w:sz="4" w:space="0" w:color="FFFFFF"/>
            </w:tcBorders>
            <w:shd w:val="clear" w:color="auto" w:fill="005A97"/>
          </w:tcPr>
          <w:p w14:paraId="7DAA06E6" w14:textId="77777777" w:rsidR="008777D0" w:rsidRPr="0073640E" w:rsidRDefault="008777D0" w:rsidP="00E63375">
            <w:pPr>
              <w:pStyle w:val="TableHeaderrow"/>
            </w:pPr>
            <w:r>
              <w:t>Comment</w:t>
            </w:r>
          </w:p>
        </w:tc>
      </w:tr>
      <w:tr w:rsidR="008777D0" w:rsidRPr="00381EC9" w14:paraId="7DAA06F1" w14:textId="77777777" w:rsidTr="00381EC9">
        <w:trPr>
          <w:trHeight w:val="1273"/>
        </w:trPr>
        <w:tc>
          <w:tcPr>
            <w:tcW w:w="839" w:type="dxa"/>
            <w:shd w:val="clear" w:color="auto" w:fill="auto"/>
            <w:noWrap/>
            <w:hideMark/>
          </w:tcPr>
          <w:p w14:paraId="7DAA06E8" w14:textId="77777777" w:rsidR="008777D0" w:rsidRPr="00381EC9" w:rsidRDefault="008777D0" w:rsidP="00724FC4">
            <w:pPr>
              <w:pStyle w:val="Tablesmalltext"/>
              <w:rPr>
                <w:sz w:val="18"/>
                <w:szCs w:val="18"/>
              </w:rPr>
            </w:pPr>
            <w:r w:rsidRPr="00381EC9">
              <w:rPr>
                <w:sz w:val="18"/>
                <w:szCs w:val="18"/>
              </w:rPr>
              <w:t>83446</w:t>
            </w:r>
          </w:p>
        </w:tc>
        <w:tc>
          <w:tcPr>
            <w:tcW w:w="1134" w:type="dxa"/>
            <w:shd w:val="clear" w:color="auto" w:fill="auto"/>
            <w:noWrap/>
            <w:hideMark/>
          </w:tcPr>
          <w:p w14:paraId="7DAA06E9" w14:textId="77777777" w:rsidR="008777D0" w:rsidRPr="00381EC9" w:rsidRDefault="008777D0" w:rsidP="00724FC4">
            <w:pPr>
              <w:pStyle w:val="Tablesmalltext"/>
              <w:rPr>
                <w:sz w:val="18"/>
                <w:szCs w:val="18"/>
              </w:rPr>
            </w:pPr>
            <w:r w:rsidRPr="00381EC9">
              <w:rPr>
                <w:sz w:val="18"/>
                <w:szCs w:val="18"/>
              </w:rPr>
              <w:t>Lower Tertiary Aquifer (111)</w:t>
            </w:r>
          </w:p>
        </w:tc>
        <w:tc>
          <w:tcPr>
            <w:tcW w:w="3827" w:type="dxa"/>
            <w:shd w:val="clear" w:color="auto" w:fill="auto"/>
            <w:noWrap/>
          </w:tcPr>
          <w:p w14:paraId="7DAA06EA" w14:textId="6CDF2FD2" w:rsidR="008777D0" w:rsidRPr="00381EC9" w:rsidRDefault="008777D0" w:rsidP="00381EC9">
            <w:pPr>
              <w:pStyle w:val="Tablesmalltext"/>
              <w:numPr>
                <w:ilvl w:val="0"/>
                <w:numId w:val="14"/>
              </w:numPr>
              <w:ind w:left="251" w:hanging="251"/>
              <w:rPr>
                <w:sz w:val="18"/>
                <w:szCs w:val="18"/>
              </w:rPr>
            </w:pPr>
            <w:r w:rsidRPr="00381EC9">
              <w:rPr>
                <w:sz w:val="18"/>
                <w:szCs w:val="18"/>
              </w:rPr>
              <w:t xml:space="preserve">Located in the area of prospectivity and </w:t>
            </w:r>
            <w:r w:rsidR="00E927B0" w:rsidRPr="00381EC9">
              <w:rPr>
                <w:sz w:val="18"/>
                <w:szCs w:val="18"/>
              </w:rPr>
              <w:t>key</w:t>
            </w:r>
            <w:r w:rsidRPr="00381EC9">
              <w:rPr>
                <w:sz w:val="18"/>
                <w:szCs w:val="18"/>
              </w:rPr>
              <w:t xml:space="preserve"> rivers and wetlands (including wetlands protected by the Directory of Important Wetlands)</w:t>
            </w:r>
          </w:p>
          <w:p w14:paraId="7DAA06EB"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 xml:space="preserve">Monitors the target aquifer (Dilwyn) in the Glenelg WSPA </w:t>
            </w:r>
          </w:p>
          <w:p w14:paraId="7DAA06EC"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 xml:space="preserve">Nested with 83447 and will inform groundwater chemistry of multiple aquifers at one site and allow for interpretation of potential mixing. </w:t>
            </w:r>
          </w:p>
          <w:p w14:paraId="7DAA06ED"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Also located in an area where the aquitard (UMTD and LMTD) is thin/absent</w:t>
            </w:r>
          </w:p>
        </w:tc>
        <w:tc>
          <w:tcPr>
            <w:tcW w:w="3827" w:type="dxa"/>
          </w:tcPr>
          <w:p w14:paraId="7DAA06EE"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The Dilwyn Formation in the Glenelg WSPA has low methane concentration (less than 0.5 mg/L).</w:t>
            </w:r>
          </w:p>
          <w:p w14:paraId="7DAA06EF"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 xml:space="preserve">Low methane was also detected in overlying Upper Mid-Tertiary Aquifer at this location. </w:t>
            </w:r>
          </w:p>
          <w:p w14:paraId="7DAA06F0"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A reduction in methane is observed in an upward vertical direction. Aquitard is absent in this area.</w:t>
            </w:r>
          </w:p>
        </w:tc>
      </w:tr>
      <w:tr w:rsidR="008777D0" w:rsidRPr="00381EC9" w14:paraId="7DAA06F9" w14:textId="77777777" w:rsidTr="00381EC9">
        <w:trPr>
          <w:trHeight w:val="270"/>
        </w:trPr>
        <w:tc>
          <w:tcPr>
            <w:tcW w:w="839" w:type="dxa"/>
            <w:shd w:val="clear" w:color="auto" w:fill="auto"/>
            <w:noWrap/>
            <w:hideMark/>
          </w:tcPr>
          <w:p w14:paraId="7DAA06F2" w14:textId="77777777" w:rsidR="008777D0" w:rsidRPr="00381EC9" w:rsidRDefault="008777D0" w:rsidP="00724FC4">
            <w:pPr>
              <w:pStyle w:val="Tablesmalltext"/>
              <w:rPr>
                <w:sz w:val="18"/>
                <w:szCs w:val="18"/>
              </w:rPr>
            </w:pPr>
            <w:r w:rsidRPr="00381EC9">
              <w:rPr>
                <w:sz w:val="18"/>
                <w:szCs w:val="18"/>
              </w:rPr>
              <w:t>111786</w:t>
            </w:r>
          </w:p>
        </w:tc>
        <w:tc>
          <w:tcPr>
            <w:tcW w:w="1134" w:type="dxa"/>
            <w:shd w:val="clear" w:color="auto" w:fill="auto"/>
            <w:noWrap/>
            <w:hideMark/>
          </w:tcPr>
          <w:p w14:paraId="7DAA06F3" w14:textId="77777777" w:rsidR="008777D0" w:rsidRPr="00381EC9" w:rsidRDefault="008777D0" w:rsidP="00724FC4">
            <w:pPr>
              <w:pStyle w:val="Tablesmalltext"/>
              <w:rPr>
                <w:sz w:val="18"/>
                <w:szCs w:val="18"/>
              </w:rPr>
            </w:pPr>
            <w:r w:rsidRPr="00381EC9">
              <w:rPr>
                <w:sz w:val="18"/>
                <w:szCs w:val="18"/>
              </w:rPr>
              <w:t>Lower Tertiary Aquifer (111)</w:t>
            </w:r>
          </w:p>
        </w:tc>
        <w:tc>
          <w:tcPr>
            <w:tcW w:w="3827" w:type="dxa"/>
            <w:shd w:val="clear" w:color="auto" w:fill="auto"/>
            <w:noWrap/>
          </w:tcPr>
          <w:p w14:paraId="7DAA06F4"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Nested site located in the vicinity of the Lake Murdeduke Ramsar listed site. Nested with 111787 and will inform groundwater chemistry of multiple aquifers at one site and allow for interpretation of potential mixing.</w:t>
            </w:r>
          </w:p>
        </w:tc>
        <w:tc>
          <w:tcPr>
            <w:tcW w:w="3827" w:type="dxa"/>
          </w:tcPr>
          <w:p w14:paraId="7DAA06F5"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Highest methane concentration detected in this area (northeast of Colac).</w:t>
            </w:r>
          </w:p>
          <w:p w14:paraId="7DAA06F6"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Methane is detected in the Lower Tertiary Aquifer (5.8 mg/L) and is not detected in the overlying basalt aquifer.</w:t>
            </w:r>
          </w:p>
          <w:p w14:paraId="6FE0F084" w14:textId="2377E547" w:rsidR="009E3B1C" w:rsidRPr="00381EC9" w:rsidRDefault="009E3B1C" w:rsidP="00381EC9">
            <w:pPr>
              <w:pStyle w:val="Tablesmalltext"/>
              <w:numPr>
                <w:ilvl w:val="0"/>
                <w:numId w:val="14"/>
              </w:numPr>
              <w:ind w:left="305" w:hanging="284"/>
              <w:rPr>
                <w:sz w:val="18"/>
                <w:szCs w:val="18"/>
              </w:rPr>
            </w:pPr>
            <w:r w:rsidRPr="00381EC9">
              <w:rPr>
                <w:sz w:val="18"/>
                <w:szCs w:val="18"/>
              </w:rPr>
              <w:t>Only bore sampled where methane gas was detected in analysed gas sample.</w:t>
            </w:r>
          </w:p>
          <w:p w14:paraId="7DAA06F7"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Approximately 450 m of aquitard associated with the Upper and Lower Mid Tertiary Aquitard units resides between the Lower Tertiary Aquifer and the Quaternary Tertiary Basalt Aquifer and hence may be providing an effective seal to the vertical migration of methane in this area.</w:t>
            </w:r>
          </w:p>
          <w:p w14:paraId="7DAA06F8"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 xml:space="preserve">This bore records low TRH concentration, though no BTEX. </w:t>
            </w:r>
          </w:p>
        </w:tc>
      </w:tr>
      <w:tr w:rsidR="008777D0" w:rsidRPr="00381EC9" w14:paraId="7DAA06FF" w14:textId="77777777" w:rsidTr="00381EC9">
        <w:trPr>
          <w:trHeight w:val="67"/>
        </w:trPr>
        <w:tc>
          <w:tcPr>
            <w:tcW w:w="839" w:type="dxa"/>
            <w:shd w:val="clear" w:color="auto" w:fill="auto"/>
            <w:noWrap/>
            <w:hideMark/>
          </w:tcPr>
          <w:p w14:paraId="7DAA06FA" w14:textId="77777777" w:rsidR="008777D0" w:rsidRPr="00381EC9" w:rsidRDefault="008777D0" w:rsidP="00724FC4">
            <w:pPr>
              <w:pStyle w:val="Tablesmalltext"/>
              <w:rPr>
                <w:sz w:val="18"/>
                <w:szCs w:val="18"/>
              </w:rPr>
            </w:pPr>
            <w:r w:rsidRPr="00381EC9">
              <w:rPr>
                <w:sz w:val="18"/>
                <w:szCs w:val="18"/>
              </w:rPr>
              <w:t>115872</w:t>
            </w:r>
          </w:p>
        </w:tc>
        <w:tc>
          <w:tcPr>
            <w:tcW w:w="1134" w:type="dxa"/>
            <w:shd w:val="clear" w:color="auto" w:fill="auto"/>
            <w:noWrap/>
            <w:hideMark/>
          </w:tcPr>
          <w:p w14:paraId="7DAA06FB" w14:textId="77777777" w:rsidR="008777D0" w:rsidRPr="00381EC9" w:rsidRDefault="008777D0" w:rsidP="00724FC4">
            <w:pPr>
              <w:pStyle w:val="Tablesmalltext"/>
              <w:rPr>
                <w:sz w:val="18"/>
                <w:szCs w:val="18"/>
              </w:rPr>
            </w:pPr>
            <w:r w:rsidRPr="00381EC9">
              <w:rPr>
                <w:sz w:val="18"/>
                <w:szCs w:val="18"/>
              </w:rPr>
              <w:t>Lower Tertiary Aquifer (111)</w:t>
            </w:r>
          </w:p>
        </w:tc>
        <w:tc>
          <w:tcPr>
            <w:tcW w:w="3827" w:type="dxa"/>
            <w:shd w:val="clear" w:color="auto" w:fill="auto"/>
            <w:noWrap/>
          </w:tcPr>
          <w:p w14:paraId="7DAA06FC" w14:textId="493A6EDE" w:rsidR="008777D0" w:rsidRPr="00381EC9" w:rsidRDefault="008777D0" w:rsidP="00381EC9">
            <w:pPr>
              <w:pStyle w:val="Tablesmalltext"/>
              <w:numPr>
                <w:ilvl w:val="0"/>
                <w:numId w:val="14"/>
              </w:numPr>
              <w:ind w:left="251" w:hanging="251"/>
              <w:rPr>
                <w:sz w:val="18"/>
                <w:szCs w:val="18"/>
              </w:rPr>
            </w:pPr>
            <w:r w:rsidRPr="00381EC9">
              <w:rPr>
                <w:sz w:val="18"/>
                <w:szCs w:val="18"/>
              </w:rPr>
              <w:t xml:space="preserve">Located in the area of prospectivity and </w:t>
            </w:r>
            <w:r w:rsidR="00E927B0" w:rsidRPr="00381EC9">
              <w:rPr>
                <w:sz w:val="18"/>
                <w:szCs w:val="18"/>
              </w:rPr>
              <w:t>key</w:t>
            </w:r>
            <w:r w:rsidRPr="00381EC9">
              <w:rPr>
                <w:sz w:val="18"/>
                <w:szCs w:val="18"/>
              </w:rPr>
              <w:t xml:space="preserve"> rivers and wetlands </w:t>
            </w:r>
          </w:p>
          <w:p w14:paraId="7DAA06FD"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Monitors the target aquifer (Dilwyn Formation) in the Paaratte GMA</w:t>
            </w:r>
          </w:p>
        </w:tc>
        <w:tc>
          <w:tcPr>
            <w:tcW w:w="3827" w:type="dxa"/>
          </w:tcPr>
          <w:p w14:paraId="7DAA06FE"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 xml:space="preserve">The Dilwyn Formation in the Paaratte GMA has low methane concentration (0.04 mg/L) and low TRH detected, though not in the range for BTEX </w:t>
            </w:r>
          </w:p>
        </w:tc>
      </w:tr>
      <w:tr w:rsidR="008777D0" w:rsidRPr="00381EC9" w14:paraId="7DAA0705" w14:textId="77777777" w:rsidTr="00381EC9">
        <w:trPr>
          <w:trHeight w:val="460"/>
        </w:trPr>
        <w:tc>
          <w:tcPr>
            <w:tcW w:w="839" w:type="dxa"/>
            <w:shd w:val="clear" w:color="auto" w:fill="auto"/>
            <w:noWrap/>
            <w:hideMark/>
          </w:tcPr>
          <w:p w14:paraId="7DAA0700" w14:textId="77777777" w:rsidR="008777D0" w:rsidRPr="00381EC9" w:rsidRDefault="008777D0" w:rsidP="00724FC4">
            <w:pPr>
              <w:pStyle w:val="Tablesmalltext"/>
              <w:rPr>
                <w:sz w:val="18"/>
                <w:szCs w:val="18"/>
              </w:rPr>
            </w:pPr>
            <w:r w:rsidRPr="00381EC9">
              <w:rPr>
                <w:sz w:val="18"/>
                <w:szCs w:val="18"/>
              </w:rPr>
              <w:t>113467</w:t>
            </w:r>
          </w:p>
        </w:tc>
        <w:tc>
          <w:tcPr>
            <w:tcW w:w="1134" w:type="dxa"/>
            <w:shd w:val="clear" w:color="auto" w:fill="auto"/>
            <w:noWrap/>
            <w:hideMark/>
          </w:tcPr>
          <w:p w14:paraId="7DAA0701" w14:textId="77777777" w:rsidR="008777D0" w:rsidRPr="00381EC9" w:rsidRDefault="008777D0" w:rsidP="00724FC4">
            <w:pPr>
              <w:pStyle w:val="Tablesmalltext"/>
              <w:rPr>
                <w:sz w:val="18"/>
                <w:szCs w:val="18"/>
              </w:rPr>
            </w:pPr>
            <w:r w:rsidRPr="00381EC9">
              <w:rPr>
                <w:sz w:val="18"/>
                <w:szCs w:val="18"/>
              </w:rPr>
              <w:t>Lower Tertiary Aquifer (111)</w:t>
            </w:r>
          </w:p>
        </w:tc>
        <w:tc>
          <w:tcPr>
            <w:tcW w:w="3827" w:type="dxa"/>
            <w:shd w:val="clear" w:color="auto" w:fill="auto"/>
            <w:noWrap/>
          </w:tcPr>
          <w:p w14:paraId="7DAA0702" w14:textId="61BC23EC" w:rsidR="008777D0" w:rsidRPr="00381EC9" w:rsidRDefault="008777D0" w:rsidP="00381EC9">
            <w:pPr>
              <w:pStyle w:val="Tablesmalltext"/>
              <w:numPr>
                <w:ilvl w:val="0"/>
                <w:numId w:val="14"/>
              </w:numPr>
              <w:ind w:left="251" w:hanging="251"/>
              <w:rPr>
                <w:sz w:val="18"/>
                <w:szCs w:val="18"/>
              </w:rPr>
            </w:pPr>
            <w:r w:rsidRPr="00381EC9">
              <w:rPr>
                <w:sz w:val="18"/>
                <w:szCs w:val="18"/>
              </w:rPr>
              <w:t xml:space="preserve">Located in the area of prospectivity and </w:t>
            </w:r>
            <w:r w:rsidR="00E927B0" w:rsidRPr="00381EC9">
              <w:rPr>
                <w:sz w:val="18"/>
                <w:szCs w:val="18"/>
              </w:rPr>
              <w:t>key</w:t>
            </w:r>
            <w:r w:rsidRPr="00381EC9">
              <w:rPr>
                <w:sz w:val="18"/>
                <w:szCs w:val="18"/>
              </w:rPr>
              <w:t xml:space="preserve"> rivers and wetlands  </w:t>
            </w:r>
          </w:p>
          <w:p w14:paraId="7DAA0703"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Monitors the target aquifer (Dilwyn Formation) in the Paaratte GMA</w:t>
            </w:r>
          </w:p>
        </w:tc>
        <w:tc>
          <w:tcPr>
            <w:tcW w:w="3827" w:type="dxa"/>
          </w:tcPr>
          <w:p w14:paraId="7DAA0704" w14:textId="07993440" w:rsidR="008777D0" w:rsidRPr="00381EC9" w:rsidRDefault="008777D0" w:rsidP="00381EC9">
            <w:pPr>
              <w:pStyle w:val="Tablesmalltext"/>
              <w:numPr>
                <w:ilvl w:val="0"/>
                <w:numId w:val="14"/>
              </w:numPr>
              <w:ind w:left="305" w:hanging="284"/>
              <w:rPr>
                <w:sz w:val="18"/>
                <w:szCs w:val="18"/>
              </w:rPr>
            </w:pPr>
            <w:r w:rsidRPr="00381EC9">
              <w:rPr>
                <w:sz w:val="18"/>
                <w:szCs w:val="18"/>
              </w:rPr>
              <w:t xml:space="preserve">The Dilwyn Formation in the Paaratte GMA has low methane concentration (equal </w:t>
            </w:r>
            <w:r w:rsidR="00206FC6" w:rsidRPr="00381EC9">
              <w:rPr>
                <w:sz w:val="18"/>
                <w:szCs w:val="18"/>
              </w:rPr>
              <w:t>to detection</w:t>
            </w:r>
            <w:r w:rsidRPr="00381EC9">
              <w:rPr>
                <w:sz w:val="18"/>
                <w:szCs w:val="18"/>
              </w:rPr>
              <w:t xml:space="preserve"> limit)</w:t>
            </w:r>
          </w:p>
        </w:tc>
      </w:tr>
      <w:tr w:rsidR="008777D0" w:rsidRPr="00381EC9" w14:paraId="7DAA070E" w14:textId="77777777" w:rsidTr="00381EC9">
        <w:trPr>
          <w:trHeight w:val="585"/>
        </w:trPr>
        <w:tc>
          <w:tcPr>
            <w:tcW w:w="839" w:type="dxa"/>
            <w:shd w:val="clear" w:color="auto" w:fill="auto"/>
            <w:noWrap/>
            <w:hideMark/>
          </w:tcPr>
          <w:p w14:paraId="7DAA0706" w14:textId="77777777" w:rsidR="008777D0" w:rsidRPr="00381EC9" w:rsidRDefault="008777D0" w:rsidP="00724FC4">
            <w:pPr>
              <w:pStyle w:val="Tablesmalltext"/>
              <w:rPr>
                <w:sz w:val="18"/>
                <w:szCs w:val="18"/>
              </w:rPr>
            </w:pPr>
            <w:r w:rsidRPr="00381EC9">
              <w:rPr>
                <w:sz w:val="18"/>
                <w:szCs w:val="18"/>
              </w:rPr>
              <w:t>82347</w:t>
            </w:r>
          </w:p>
        </w:tc>
        <w:tc>
          <w:tcPr>
            <w:tcW w:w="1134" w:type="dxa"/>
            <w:shd w:val="clear" w:color="auto" w:fill="auto"/>
            <w:noWrap/>
            <w:hideMark/>
          </w:tcPr>
          <w:p w14:paraId="7DAA0707" w14:textId="77777777" w:rsidR="008777D0" w:rsidRPr="00381EC9" w:rsidRDefault="008777D0" w:rsidP="00724FC4">
            <w:pPr>
              <w:pStyle w:val="Tablesmalltext"/>
              <w:rPr>
                <w:sz w:val="18"/>
                <w:szCs w:val="18"/>
              </w:rPr>
            </w:pPr>
            <w:r w:rsidRPr="00381EC9">
              <w:rPr>
                <w:sz w:val="18"/>
                <w:szCs w:val="18"/>
              </w:rPr>
              <w:t>Lower Tertiary Aquifer (111)</w:t>
            </w:r>
          </w:p>
        </w:tc>
        <w:tc>
          <w:tcPr>
            <w:tcW w:w="3827" w:type="dxa"/>
            <w:shd w:val="clear" w:color="auto" w:fill="auto"/>
            <w:noWrap/>
          </w:tcPr>
          <w:p w14:paraId="7DAA0708"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 xml:space="preserve">Located in the Glenelg WSPA.  Nested with S61557-4. </w:t>
            </w:r>
          </w:p>
          <w:p w14:paraId="7DAA0709"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 xml:space="preserve">Bores will monitor the Dilwyn Formation Aquifer and the watertable aquifer and will inform groundwater chemistry of multiple aquifers at one site and allow for interpretation of potential mixing. </w:t>
            </w:r>
          </w:p>
        </w:tc>
        <w:tc>
          <w:tcPr>
            <w:tcW w:w="3827" w:type="dxa"/>
          </w:tcPr>
          <w:p w14:paraId="7DAA070A"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 xml:space="preserve">The Dilwyn Formation in the Glenelg WSPA has low methane concentration (0.13 mg/L) and low TRH (though not in the BTEX fraction) </w:t>
            </w:r>
          </w:p>
          <w:p w14:paraId="7DAA070B"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A downward vertical hydraulic gradient occurs from the Quaternary Aquifer to the Lower Tertiary Aquifer at this location</w:t>
            </w:r>
          </w:p>
          <w:p w14:paraId="7DAA070C"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 xml:space="preserve">Methane detected in both the Lower Tertiary Aquifer and the Quaternary Aquifer. </w:t>
            </w:r>
          </w:p>
          <w:p w14:paraId="7DAA070D"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Methane concentration decreases from the deep to the shallow aquifer</w:t>
            </w:r>
          </w:p>
        </w:tc>
      </w:tr>
      <w:tr w:rsidR="008777D0" w:rsidRPr="00381EC9" w14:paraId="7DAA0714" w14:textId="77777777" w:rsidTr="00381EC9">
        <w:trPr>
          <w:trHeight w:val="979"/>
        </w:trPr>
        <w:tc>
          <w:tcPr>
            <w:tcW w:w="839" w:type="dxa"/>
            <w:shd w:val="clear" w:color="auto" w:fill="auto"/>
            <w:noWrap/>
            <w:hideMark/>
          </w:tcPr>
          <w:p w14:paraId="7DAA070F" w14:textId="77777777" w:rsidR="008777D0" w:rsidRPr="00381EC9" w:rsidRDefault="008777D0" w:rsidP="00724FC4">
            <w:pPr>
              <w:pStyle w:val="Tablesmalltext"/>
              <w:rPr>
                <w:sz w:val="18"/>
                <w:szCs w:val="18"/>
              </w:rPr>
            </w:pPr>
            <w:r w:rsidRPr="00381EC9">
              <w:rPr>
                <w:sz w:val="18"/>
                <w:szCs w:val="18"/>
              </w:rPr>
              <w:t>75070</w:t>
            </w:r>
          </w:p>
        </w:tc>
        <w:tc>
          <w:tcPr>
            <w:tcW w:w="1134" w:type="dxa"/>
            <w:shd w:val="clear" w:color="auto" w:fill="auto"/>
            <w:noWrap/>
            <w:hideMark/>
          </w:tcPr>
          <w:p w14:paraId="7DAA0710" w14:textId="77777777" w:rsidR="008777D0" w:rsidRPr="00381EC9" w:rsidRDefault="008777D0" w:rsidP="00724FC4">
            <w:pPr>
              <w:pStyle w:val="Tablesmalltext"/>
              <w:rPr>
                <w:sz w:val="18"/>
                <w:szCs w:val="18"/>
              </w:rPr>
            </w:pPr>
            <w:r w:rsidRPr="00381EC9">
              <w:rPr>
                <w:sz w:val="18"/>
                <w:szCs w:val="18"/>
              </w:rPr>
              <w:t>Lower Tertiary Aquifer (111)</w:t>
            </w:r>
          </w:p>
        </w:tc>
        <w:tc>
          <w:tcPr>
            <w:tcW w:w="3827" w:type="dxa"/>
            <w:shd w:val="clear" w:color="auto" w:fill="auto"/>
            <w:noWrap/>
          </w:tcPr>
          <w:p w14:paraId="7DAA0711"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 xml:space="preserve">Newlingrook GMA. Closest bore monitoring the Dilwyn Formation to the prospectivity area. </w:t>
            </w:r>
          </w:p>
          <w:p w14:paraId="7DAA0712"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 xml:space="preserve">No nested sites to present alternative option. </w:t>
            </w:r>
          </w:p>
        </w:tc>
        <w:tc>
          <w:tcPr>
            <w:tcW w:w="3827" w:type="dxa"/>
          </w:tcPr>
          <w:p w14:paraId="7DAA0713"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The Dilwyn Formation in the Newlingrook GMA does not contain methane, TRH or BTEX.</w:t>
            </w:r>
          </w:p>
        </w:tc>
      </w:tr>
      <w:tr w:rsidR="008777D0" w:rsidRPr="00381EC9" w14:paraId="7DAA071A" w14:textId="77777777" w:rsidTr="00381EC9">
        <w:trPr>
          <w:trHeight w:val="64"/>
        </w:trPr>
        <w:tc>
          <w:tcPr>
            <w:tcW w:w="839" w:type="dxa"/>
            <w:shd w:val="clear" w:color="auto" w:fill="auto"/>
            <w:noWrap/>
            <w:hideMark/>
          </w:tcPr>
          <w:p w14:paraId="7DAA0715" w14:textId="77777777" w:rsidR="008777D0" w:rsidRPr="00381EC9" w:rsidRDefault="008777D0" w:rsidP="00724FC4">
            <w:pPr>
              <w:pStyle w:val="Tablesmalltext"/>
              <w:rPr>
                <w:sz w:val="18"/>
                <w:szCs w:val="18"/>
              </w:rPr>
            </w:pPr>
            <w:r w:rsidRPr="00381EC9">
              <w:rPr>
                <w:sz w:val="18"/>
                <w:szCs w:val="18"/>
              </w:rPr>
              <w:t>114169</w:t>
            </w:r>
          </w:p>
        </w:tc>
        <w:tc>
          <w:tcPr>
            <w:tcW w:w="1134" w:type="dxa"/>
            <w:shd w:val="clear" w:color="auto" w:fill="auto"/>
            <w:noWrap/>
            <w:hideMark/>
          </w:tcPr>
          <w:p w14:paraId="7DAA0716" w14:textId="77777777" w:rsidR="008777D0" w:rsidRPr="00381EC9" w:rsidRDefault="008777D0" w:rsidP="00724FC4">
            <w:pPr>
              <w:pStyle w:val="Tablesmalltext"/>
              <w:rPr>
                <w:sz w:val="18"/>
                <w:szCs w:val="18"/>
              </w:rPr>
            </w:pPr>
            <w:r w:rsidRPr="00381EC9">
              <w:rPr>
                <w:sz w:val="18"/>
                <w:szCs w:val="18"/>
              </w:rPr>
              <w:t>Lower Tertiary Aquifer (111)</w:t>
            </w:r>
          </w:p>
        </w:tc>
        <w:tc>
          <w:tcPr>
            <w:tcW w:w="3827" w:type="dxa"/>
            <w:shd w:val="clear" w:color="auto" w:fill="auto"/>
            <w:noWrap/>
          </w:tcPr>
          <w:p w14:paraId="7DAA0717"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 xml:space="preserve">Gellibrand GMU. </w:t>
            </w:r>
          </w:p>
          <w:p w14:paraId="7DAA0718"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 xml:space="preserve">No nested sites to present alternative option. </w:t>
            </w:r>
          </w:p>
        </w:tc>
        <w:tc>
          <w:tcPr>
            <w:tcW w:w="3827" w:type="dxa"/>
          </w:tcPr>
          <w:p w14:paraId="7DAA0719"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The Dilwyn Formation in the Gellibrand GMU has low methane (equal to detection limit), no TRH or BTEX</w:t>
            </w:r>
          </w:p>
        </w:tc>
      </w:tr>
      <w:tr w:rsidR="008777D0" w:rsidRPr="00381EC9" w14:paraId="7DAA071F" w14:textId="77777777" w:rsidTr="00381EC9">
        <w:trPr>
          <w:trHeight w:val="337"/>
        </w:trPr>
        <w:tc>
          <w:tcPr>
            <w:tcW w:w="839" w:type="dxa"/>
            <w:shd w:val="clear" w:color="auto" w:fill="auto"/>
            <w:noWrap/>
            <w:hideMark/>
          </w:tcPr>
          <w:p w14:paraId="7DAA071B" w14:textId="77777777" w:rsidR="008777D0" w:rsidRPr="00381EC9" w:rsidRDefault="008777D0" w:rsidP="00724FC4">
            <w:pPr>
              <w:pStyle w:val="Tablesmalltext"/>
              <w:rPr>
                <w:sz w:val="18"/>
                <w:szCs w:val="18"/>
              </w:rPr>
            </w:pPr>
            <w:r w:rsidRPr="00381EC9">
              <w:rPr>
                <w:sz w:val="18"/>
                <w:szCs w:val="18"/>
              </w:rPr>
              <w:t>114167</w:t>
            </w:r>
          </w:p>
        </w:tc>
        <w:tc>
          <w:tcPr>
            <w:tcW w:w="1134" w:type="dxa"/>
            <w:shd w:val="clear" w:color="auto" w:fill="auto"/>
            <w:noWrap/>
            <w:hideMark/>
          </w:tcPr>
          <w:p w14:paraId="7DAA071C" w14:textId="77777777" w:rsidR="008777D0" w:rsidRPr="00381EC9" w:rsidRDefault="008777D0" w:rsidP="00724FC4">
            <w:pPr>
              <w:pStyle w:val="Tablesmalltext"/>
              <w:rPr>
                <w:sz w:val="18"/>
                <w:szCs w:val="18"/>
              </w:rPr>
            </w:pPr>
            <w:r w:rsidRPr="00381EC9">
              <w:rPr>
                <w:sz w:val="18"/>
                <w:szCs w:val="18"/>
              </w:rPr>
              <w:t>Lower Tertiary Aquifer (111)</w:t>
            </w:r>
          </w:p>
        </w:tc>
        <w:tc>
          <w:tcPr>
            <w:tcW w:w="3827" w:type="dxa"/>
            <w:shd w:val="clear" w:color="auto" w:fill="auto"/>
            <w:noWrap/>
          </w:tcPr>
          <w:p w14:paraId="7DAA071D" w14:textId="77777777" w:rsidR="008777D0" w:rsidRPr="00381EC9" w:rsidRDefault="008777D0" w:rsidP="00381EC9">
            <w:pPr>
              <w:pStyle w:val="Tablesmalltext"/>
              <w:numPr>
                <w:ilvl w:val="0"/>
                <w:numId w:val="14"/>
              </w:numPr>
              <w:ind w:left="251" w:hanging="251"/>
              <w:rPr>
                <w:sz w:val="18"/>
                <w:szCs w:val="18"/>
              </w:rPr>
            </w:pPr>
            <w:r w:rsidRPr="00381EC9">
              <w:rPr>
                <w:sz w:val="18"/>
                <w:szCs w:val="18"/>
              </w:rPr>
              <w:t>Monitors the target aquifer (Dilwyn Fmn) in the Gerangamete GMA</w:t>
            </w:r>
          </w:p>
        </w:tc>
        <w:tc>
          <w:tcPr>
            <w:tcW w:w="3827" w:type="dxa"/>
          </w:tcPr>
          <w:p w14:paraId="7DAA071E" w14:textId="77777777" w:rsidR="008777D0" w:rsidRPr="00381EC9" w:rsidRDefault="008777D0" w:rsidP="00381EC9">
            <w:pPr>
              <w:pStyle w:val="Tablesmalltext"/>
              <w:numPr>
                <w:ilvl w:val="0"/>
                <w:numId w:val="14"/>
              </w:numPr>
              <w:ind w:left="305" w:hanging="284"/>
              <w:rPr>
                <w:sz w:val="18"/>
                <w:szCs w:val="18"/>
              </w:rPr>
            </w:pPr>
            <w:r w:rsidRPr="00381EC9">
              <w:rPr>
                <w:sz w:val="18"/>
                <w:szCs w:val="18"/>
              </w:rPr>
              <w:t xml:space="preserve">The Dilwyn Formation in the Gerangamete GMA does not contain methane, TRH or BTEX </w:t>
            </w:r>
          </w:p>
        </w:tc>
      </w:tr>
    </w:tbl>
    <w:p w14:paraId="7DAA0720" w14:textId="77777777" w:rsidR="000C564C" w:rsidRPr="008777D0" w:rsidRDefault="000C564C" w:rsidP="000C564C"/>
    <w:p w14:paraId="7DAA0721" w14:textId="77777777" w:rsidR="000C564C" w:rsidRPr="000C564C" w:rsidRDefault="000C564C" w:rsidP="008777D0">
      <w:pPr>
        <w:pStyle w:val="Head2xx"/>
      </w:pPr>
      <w:bookmarkStart w:id="152" w:name="_Toc420327744"/>
      <w:r w:rsidRPr="000C564C">
        <w:t>Mesozoic and Palaeozoic Bedrock (114)</w:t>
      </w:r>
      <w:bookmarkEnd w:id="152"/>
    </w:p>
    <w:p w14:paraId="7DAA0722" w14:textId="0D50BD02" w:rsidR="000C564C" w:rsidRPr="000C564C" w:rsidRDefault="000C564C" w:rsidP="000C564C">
      <w:pPr>
        <w:rPr>
          <w:lang w:val="en-AU"/>
        </w:rPr>
      </w:pPr>
      <w:r w:rsidRPr="000C564C">
        <w:rPr>
          <w:lang w:val="en-AU"/>
        </w:rPr>
        <w:t xml:space="preserve">A single bore was sampled for the Mesozoic and Palaeozoic Bedrock aquifer which forms the basement </w:t>
      </w:r>
      <w:r w:rsidR="00381EC9">
        <w:rPr>
          <w:lang w:val="en-AU"/>
        </w:rPr>
        <w:br/>
      </w:r>
      <w:r w:rsidRPr="000C564C">
        <w:rPr>
          <w:lang w:val="en-AU"/>
        </w:rPr>
        <w:t xml:space="preserve">unit in the Otway </w:t>
      </w:r>
      <w:r w:rsidR="00E87D28">
        <w:rPr>
          <w:lang w:val="en-AU"/>
        </w:rPr>
        <w:t>region</w:t>
      </w:r>
      <w:r w:rsidRPr="000C564C">
        <w:rPr>
          <w:lang w:val="en-AU"/>
        </w:rPr>
        <w:t xml:space="preserve"> (</w:t>
      </w:r>
      <w:r w:rsidR="00724FC4">
        <w:rPr>
          <w:lang w:val="en-AU"/>
        </w:rPr>
        <w:fldChar w:fldCharType="begin"/>
      </w:r>
      <w:r w:rsidR="00724FC4">
        <w:rPr>
          <w:lang w:val="en-AU"/>
        </w:rPr>
        <w:instrText xml:space="preserve"> REF _Ref414010524 \h </w:instrText>
      </w:r>
      <w:r w:rsidR="00724FC4">
        <w:rPr>
          <w:lang w:val="en-AU"/>
        </w:rPr>
      </w:r>
      <w:r w:rsidR="00724FC4">
        <w:rPr>
          <w:lang w:val="en-AU"/>
        </w:rPr>
        <w:fldChar w:fldCharType="separate"/>
      </w:r>
      <w:r w:rsidR="00BD60CC">
        <w:t xml:space="preserve">Table </w:t>
      </w:r>
      <w:r w:rsidR="00BD60CC">
        <w:rPr>
          <w:noProof/>
        </w:rPr>
        <w:t>25</w:t>
      </w:r>
      <w:r w:rsidR="00724FC4">
        <w:rPr>
          <w:lang w:val="en-AU"/>
        </w:rPr>
        <w:fldChar w:fldCharType="end"/>
      </w:r>
      <w:r w:rsidRPr="000C564C">
        <w:rPr>
          <w:lang w:val="en-AU"/>
        </w:rPr>
        <w:t xml:space="preserve">). This bore resides away from any </w:t>
      </w:r>
      <w:r w:rsidRPr="00BA6593">
        <w:rPr>
          <w:lang w:val="en-AU"/>
        </w:rPr>
        <w:t>sub</w:t>
      </w:r>
      <w:r w:rsidR="00BA6593" w:rsidRPr="00BA6593">
        <w:rPr>
          <w:lang w:val="en-AU"/>
        </w:rPr>
        <w:t>-</w:t>
      </w:r>
      <w:r w:rsidRPr="00BA6593">
        <w:rPr>
          <w:lang w:val="en-AU"/>
        </w:rPr>
        <w:t>regional</w:t>
      </w:r>
      <w:r w:rsidRPr="000C564C">
        <w:rPr>
          <w:lang w:val="en-AU"/>
        </w:rPr>
        <w:t xml:space="preserve"> natural gas prospectivity areas and is also shallow compared to the depths associated with likely natural gas occurrence (bore </w:t>
      </w:r>
      <w:r w:rsidR="00381EC9">
        <w:rPr>
          <w:lang w:val="en-AU"/>
        </w:rPr>
        <w:br/>
      </w:r>
      <w:r w:rsidRPr="000C564C">
        <w:rPr>
          <w:lang w:val="en-AU"/>
        </w:rPr>
        <w:t>middle screen depth is 74 m below natural surface). There were no more suitable monitoring bores available for sampling.</w:t>
      </w:r>
    </w:p>
    <w:p w14:paraId="7DAA0723" w14:textId="77777777" w:rsidR="000C564C" w:rsidRPr="000C564C" w:rsidRDefault="000C564C" w:rsidP="000C564C">
      <w:pPr>
        <w:rPr>
          <w:lang w:val="en-AU"/>
        </w:rPr>
      </w:pPr>
      <w:r w:rsidRPr="000C564C">
        <w:rPr>
          <w:lang w:val="en-AU"/>
        </w:rPr>
        <w:t xml:space="preserve">The highest groundwater salinity in the region was recorded for this aquifer and groundwater is classified as saline. Total Nitrogen concentration for this aquifer is 1.2 mg/L and groundwater is approximately neutral in terms of pH (7.2). An odour indicative of hydrogen sulfide gas was noted at this bore. A negative redox potential was noted for this aquifer, indicating reducing groundwater conditions. </w:t>
      </w:r>
    </w:p>
    <w:p w14:paraId="7DAA0724" w14:textId="77777777" w:rsidR="000C564C" w:rsidRDefault="000C564C" w:rsidP="000C564C">
      <w:pPr>
        <w:rPr>
          <w:lang w:val="en-AU"/>
        </w:rPr>
      </w:pPr>
      <w:r w:rsidRPr="000C564C">
        <w:rPr>
          <w:lang w:val="en-AU"/>
        </w:rPr>
        <w:t>A low concentration of dissolved methane was detected (0.4 mg/L) but no TPH (including BTEX).</w:t>
      </w:r>
    </w:p>
    <w:p w14:paraId="7DAA0725" w14:textId="77777777" w:rsidR="000C564C" w:rsidRPr="000C564C" w:rsidRDefault="00724FC4" w:rsidP="004F307F">
      <w:pPr>
        <w:pStyle w:val="Tableheading"/>
        <w:rPr>
          <w:lang w:val="en-AU"/>
        </w:rPr>
      </w:pPr>
      <w:bookmarkStart w:id="153" w:name="_Ref414010524"/>
      <w:bookmarkStart w:id="154" w:name="_Toc420320575"/>
      <w:r>
        <w:t xml:space="preserve">Table </w:t>
      </w:r>
      <w:r>
        <w:fldChar w:fldCharType="begin"/>
      </w:r>
      <w:r>
        <w:instrText xml:space="preserve"> SEQ Table \* ARABIC </w:instrText>
      </w:r>
      <w:r>
        <w:fldChar w:fldCharType="separate"/>
      </w:r>
      <w:r w:rsidR="00BD60CC">
        <w:rPr>
          <w:noProof/>
        </w:rPr>
        <w:t>25</w:t>
      </w:r>
      <w:r>
        <w:fldChar w:fldCharType="end"/>
      </w:r>
      <w:bookmarkEnd w:id="153"/>
      <w:r>
        <w:rPr>
          <w:lang w:val="en-AU"/>
        </w:rPr>
        <w:t xml:space="preserve"> </w:t>
      </w:r>
      <w:r w:rsidR="000C564C" w:rsidRPr="000C564C">
        <w:rPr>
          <w:lang w:val="en-AU"/>
        </w:rPr>
        <w:t>Mesozoic and Palaeozoic Bedrock</w:t>
      </w:r>
      <w:bookmarkEnd w:id="154"/>
    </w:p>
    <w:tbl>
      <w:tblPr>
        <w:tblW w:w="9627" w:type="dxa"/>
        <w:tblInd w:w="120" w:type="dxa"/>
        <w:tblBorders>
          <w:bottom w:val="single" w:sz="4" w:space="0" w:color="005A97"/>
          <w:insideH w:val="single" w:sz="4" w:space="0" w:color="005A97"/>
          <w:insideV w:val="single" w:sz="4" w:space="0" w:color="005A97"/>
        </w:tblBorders>
        <w:tblLayout w:type="fixed"/>
        <w:tblLook w:val="04A0" w:firstRow="1" w:lastRow="0" w:firstColumn="1" w:lastColumn="0" w:noHBand="0" w:noVBand="1"/>
      </w:tblPr>
      <w:tblGrid>
        <w:gridCol w:w="1090"/>
        <w:gridCol w:w="1091"/>
        <w:gridCol w:w="3723"/>
        <w:gridCol w:w="3723"/>
      </w:tblGrid>
      <w:tr w:rsidR="008777D0" w:rsidRPr="0073640E" w14:paraId="7DAA072A" w14:textId="77777777" w:rsidTr="00381EC9">
        <w:trPr>
          <w:trHeight w:val="270"/>
        </w:trPr>
        <w:tc>
          <w:tcPr>
            <w:tcW w:w="1090" w:type="dxa"/>
            <w:tcBorders>
              <w:top w:val="nil"/>
              <w:right w:val="single" w:sz="4" w:space="0" w:color="FFFFFF"/>
            </w:tcBorders>
            <w:shd w:val="clear" w:color="auto" w:fill="005A97"/>
            <w:noWrap/>
            <w:hideMark/>
          </w:tcPr>
          <w:p w14:paraId="7DAA0726" w14:textId="77777777" w:rsidR="008777D0" w:rsidRPr="0073640E" w:rsidRDefault="008777D0" w:rsidP="00E63375">
            <w:pPr>
              <w:pStyle w:val="TableHeaderrow"/>
            </w:pPr>
            <w:r w:rsidRPr="0073640E">
              <w:t>Bore</w:t>
            </w:r>
          </w:p>
        </w:tc>
        <w:tc>
          <w:tcPr>
            <w:tcW w:w="1091" w:type="dxa"/>
            <w:tcBorders>
              <w:top w:val="nil"/>
              <w:left w:val="single" w:sz="4" w:space="0" w:color="FFFFFF"/>
              <w:right w:val="single" w:sz="4" w:space="0" w:color="FFFFFF"/>
            </w:tcBorders>
            <w:shd w:val="clear" w:color="auto" w:fill="005A97"/>
            <w:noWrap/>
            <w:hideMark/>
          </w:tcPr>
          <w:p w14:paraId="7DAA0727" w14:textId="77777777" w:rsidR="008777D0" w:rsidRPr="0073640E" w:rsidRDefault="008777D0" w:rsidP="00E63375">
            <w:pPr>
              <w:pStyle w:val="TableHeaderrow"/>
            </w:pPr>
            <w:r w:rsidRPr="0073640E">
              <w:t>Aquifer Monitored</w:t>
            </w:r>
          </w:p>
        </w:tc>
        <w:tc>
          <w:tcPr>
            <w:tcW w:w="3723" w:type="dxa"/>
            <w:tcBorders>
              <w:top w:val="nil"/>
              <w:left w:val="single" w:sz="4" w:space="0" w:color="FFFFFF"/>
              <w:right w:val="single" w:sz="4" w:space="0" w:color="FFFFFF"/>
            </w:tcBorders>
            <w:shd w:val="clear" w:color="auto" w:fill="005A97"/>
            <w:noWrap/>
            <w:hideMark/>
          </w:tcPr>
          <w:p w14:paraId="7DAA0728" w14:textId="2E8E0089" w:rsidR="008777D0" w:rsidRPr="0073640E" w:rsidRDefault="008777D0" w:rsidP="00E63375">
            <w:pPr>
              <w:pStyle w:val="TableHeaderrow"/>
            </w:pPr>
            <w:r w:rsidRPr="0073640E">
              <w:t xml:space="preserve">Justification for inclusion in the </w:t>
            </w:r>
            <w:r w:rsidR="00857ACF">
              <w:t xml:space="preserve">monitoring </w:t>
            </w:r>
            <w:r w:rsidRPr="0073640E">
              <w:t>network</w:t>
            </w:r>
          </w:p>
        </w:tc>
        <w:tc>
          <w:tcPr>
            <w:tcW w:w="3723" w:type="dxa"/>
            <w:tcBorders>
              <w:top w:val="nil"/>
              <w:left w:val="single" w:sz="4" w:space="0" w:color="FFFFFF"/>
            </w:tcBorders>
            <w:shd w:val="clear" w:color="auto" w:fill="005A97"/>
          </w:tcPr>
          <w:p w14:paraId="7DAA0729" w14:textId="77777777" w:rsidR="008777D0" w:rsidRPr="0073640E" w:rsidRDefault="008777D0" w:rsidP="00E63375">
            <w:pPr>
              <w:pStyle w:val="TableHeaderrow"/>
            </w:pPr>
            <w:r>
              <w:t>Comment</w:t>
            </w:r>
          </w:p>
        </w:tc>
      </w:tr>
      <w:tr w:rsidR="008777D0" w:rsidRPr="0073640E" w14:paraId="7DAA0730" w14:textId="77777777" w:rsidTr="00381EC9">
        <w:trPr>
          <w:trHeight w:val="64"/>
        </w:trPr>
        <w:tc>
          <w:tcPr>
            <w:tcW w:w="1090" w:type="dxa"/>
            <w:shd w:val="clear" w:color="auto" w:fill="auto"/>
            <w:noWrap/>
            <w:hideMark/>
          </w:tcPr>
          <w:p w14:paraId="7DAA072B" w14:textId="77777777" w:rsidR="008777D0" w:rsidRPr="00381EC9" w:rsidRDefault="008777D0" w:rsidP="00724FC4">
            <w:pPr>
              <w:pStyle w:val="Tablesmalltext"/>
              <w:rPr>
                <w:sz w:val="18"/>
                <w:szCs w:val="18"/>
              </w:rPr>
            </w:pPr>
            <w:r w:rsidRPr="00381EC9">
              <w:rPr>
                <w:sz w:val="18"/>
                <w:szCs w:val="18"/>
              </w:rPr>
              <w:t>69455</w:t>
            </w:r>
          </w:p>
        </w:tc>
        <w:tc>
          <w:tcPr>
            <w:tcW w:w="1091" w:type="dxa"/>
            <w:shd w:val="clear" w:color="auto" w:fill="auto"/>
            <w:noWrap/>
            <w:hideMark/>
          </w:tcPr>
          <w:p w14:paraId="7DAA072C" w14:textId="77777777" w:rsidR="008777D0" w:rsidRPr="00381EC9" w:rsidRDefault="008777D0" w:rsidP="00724FC4">
            <w:pPr>
              <w:pStyle w:val="Tablesmalltext"/>
              <w:rPr>
                <w:sz w:val="18"/>
                <w:szCs w:val="18"/>
              </w:rPr>
            </w:pPr>
            <w:r w:rsidRPr="00381EC9">
              <w:rPr>
                <w:sz w:val="18"/>
                <w:szCs w:val="18"/>
              </w:rPr>
              <w:t>Mesozoic and Palaeozoic Bedrock (114)</w:t>
            </w:r>
          </w:p>
        </w:tc>
        <w:tc>
          <w:tcPr>
            <w:tcW w:w="3723" w:type="dxa"/>
            <w:shd w:val="clear" w:color="auto" w:fill="auto"/>
          </w:tcPr>
          <w:p w14:paraId="7DAA072D" w14:textId="77777777" w:rsidR="008777D0" w:rsidRPr="00381EC9" w:rsidRDefault="008777D0" w:rsidP="00250AE6">
            <w:pPr>
              <w:pStyle w:val="Tablesmalltext"/>
              <w:numPr>
                <w:ilvl w:val="0"/>
                <w:numId w:val="15"/>
              </w:numPr>
              <w:ind w:left="393"/>
              <w:rPr>
                <w:sz w:val="18"/>
                <w:szCs w:val="18"/>
              </w:rPr>
            </w:pPr>
            <w:r w:rsidRPr="00381EC9">
              <w:rPr>
                <w:sz w:val="18"/>
                <w:szCs w:val="18"/>
              </w:rPr>
              <w:t>Only SOB available that monitors the Mesozoic Palaeozoic bedrock</w:t>
            </w:r>
          </w:p>
        </w:tc>
        <w:tc>
          <w:tcPr>
            <w:tcW w:w="3723" w:type="dxa"/>
          </w:tcPr>
          <w:p w14:paraId="7DAA072E" w14:textId="77777777" w:rsidR="008777D0" w:rsidRPr="00381EC9" w:rsidRDefault="008777D0" w:rsidP="00250AE6">
            <w:pPr>
              <w:pStyle w:val="Tablesmalltext"/>
              <w:numPr>
                <w:ilvl w:val="0"/>
                <w:numId w:val="15"/>
              </w:numPr>
              <w:ind w:left="393"/>
              <w:rPr>
                <w:sz w:val="18"/>
                <w:szCs w:val="18"/>
              </w:rPr>
            </w:pPr>
            <w:r w:rsidRPr="00381EC9">
              <w:rPr>
                <w:sz w:val="18"/>
                <w:szCs w:val="18"/>
              </w:rPr>
              <w:t>Low methane detected and no TPH (including BTEX)</w:t>
            </w:r>
          </w:p>
          <w:p w14:paraId="7DAA072F" w14:textId="77777777" w:rsidR="008777D0" w:rsidRPr="00381EC9" w:rsidRDefault="008777D0" w:rsidP="00250AE6">
            <w:pPr>
              <w:pStyle w:val="Tablesmalltext"/>
              <w:numPr>
                <w:ilvl w:val="0"/>
                <w:numId w:val="15"/>
              </w:numPr>
              <w:ind w:left="393"/>
              <w:rPr>
                <w:sz w:val="18"/>
                <w:szCs w:val="18"/>
              </w:rPr>
            </w:pPr>
            <w:r w:rsidRPr="00381EC9">
              <w:rPr>
                <w:sz w:val="18"/>
                <w:szCs w:val="18"/>
              </w:rPr>
              <w:t>Saline groundwater</w:t>
            </w:r>
          </w:p>
        </w:tc>
      </w:tr>
    </w:tbl>
    <w:p w14:paraId="7DAA0731" w14:textId="77777777" w:rsidR="008777D0" w:rsidRDefault="008777D0" w:rsidP="008777D0">
      <w:pPr>
        <w:rPr>
          <w:lang w:val="en-AU"/>
        </w:rPr>
      </w:pPr>
      <w:r>
        <w:rPr>
          <w:lang w:val="en-AU"/>
        </w:rPr>
        <w:br w:type="page"/>
      </w:r>
    </w:p>
    <w:p w14:paraId="7DAA0732" w14:textId="20E5330E" w:rsidR="000C564C" w:rsidRPr="000C564C" w:rsidRDefault="000C564C" w:rsidP="008777D0">
      <w:pPr>
        <w:pStyle w:val="Head1x"/>
      </w:pPr>
      <w:bookmarkStart w:id="155" w:name="_Toc420327745"/>
      <w:r w:rsidRPr="000C564C">
        <w:t>Conclusions</w:t>
      </w:r>
      <w:bookmarkEnd w:id="155"/>
      <w:r w:rsidRPr="000C564C">
        <w:t xml:space="preserve"> </w:t>
      </w:r>
    </w:p>
    <w:p w14:paraId="7DAA0733" w14:textId="71510EF1" w:rsidR="000C564C" w:rsidRPr="000C564C" w:rsidRDefault="000C564C" w:rsidP="000C564C">
      <w:pPr>
        <w:rPr>
          <w:lang w:val="en-AU"/>
        </w:rPr>
      </w:pPr>
      <w:r w:rsidRPr="000C564C">
        <w:rPr>
          <w:lang w:val="en-AU"/>
        </w:rPr>
        <w:t xml:space="preserve">Dissolved methane in groundwater occurs naturally at low concentrations across the Otway </w:t>
      </w:r>
      <w:r w:rsidR="00E87D28">
        <w:rPr>
          <w:lang w:val="en-AU"/>
        </w:rPr>
        <w:t>region</w:t>
      </w:r>
      <w:r w:rsidRPr="000C564C">
        <w:rPr>
          <w:lang w:val="en-AU"/>
        </w:rPr>
        <w:t>. The median concentration from the 30 samples collected was 0.01 mg/L. A single outlier was observed for bore 111786, which indicated dissolved methane in the Lowe</w:t>
      </w:r>
      <w:r w:rsidR="003D5452">
        <w:rPr>
          <w:lang w:val="en-AU"/>
        </w:rPr>
        <w:t>r Tertiary Aquifer of 5.8 mg/L</w:t>
      </w:r>
      <w:r w:rsidR="0078434D">
        <w:rPr>
          <w:lang w:val="en-AU"/>
        </w:rPr>
        <w:t xml:space="preserve"> and is the only bore sampled in the Otway region with methane </w:t>
      </w:r>
      <w:r w:rsidR="00816E19">
        <w:rPr>
          <w:lang w:val="en-AU"/>
        </w:rPr>
        <w:t>concentrations</w:t>
      </w:r>
      <w:r w:rsidR="0078434D">
        <w:rPr>
          <w:lang w:val="en-AU"/>
        </w:rPr>
        <w:t xml:space="preserve"> of collected gas samples above detection.</w:t>
      </w:r>
    </w:p>
    <w:p w14:paraId="7DAA0734" w14:textId="1A9BB2CF" w:rsidR="000C564C" w:rsidRPr="000C564C" w:rsidRDefault="000C564C" w:rsidP="000C564C">
      <w:pPr>
        <w:rPr>
          <w:lang w:val="en-AU"/>
        </w:rPr>
      </w:pPr>
      <w:r w:rsidRPr="000C564C">
        <w:rPr>
          <w:lang w:val="en-AU"/>
        </w:rPr>
        <w:t xml:space="preserve">Total Recoverable Hydrocarbons were also detected in 5 of the 30 samples, although most detections were low (equal to the detection limit) and the detections were not in the fraction range for BTEX. The lack of BTEX detection suggests that </w:t>
      </w:r>
      <w:r w:rsidR="00414715">
        <w:rPr>
          <w:lang w:val="en-AU"/>
        </w:rPr>
        <w:t>BTEX</w:t>
      </w:r>
      <w:r w:rsidRPr="000C564C">
        <w:rPr>
          <w:lang w:val="en-AU"/>
        </w:rPr>
        <w:t xml:space="preserve"> compounds are not a natural occurrence in any of the sampled aquifers and any future detection is likely to reflect an anthropogenic origin. </w:t>
      </w:r>
    </w:p>
    <w:p w14:paraId="7DAA0735" w14:textId="4DB7279D" w:rsidR="000C564C" w:rsidRPr="000C564C" w:rsidRDefault="000C564C" w:rsidP="000C564C">
      <w:pPr>
        <w:rPr>
          <w:lang w:val="en-AU"/>
        </w:rPr>
      </w:pPr>
      <w:r w:rsidRPr="000C564C">
        <w:rPr>
          <w:lang w:val="en-AU"/>
        </w:rPr>
        <w:t xml:space="preserve">The role of aquitards in limiting the vertical movement of hydrocarbons through the vertical profile is currently difficult to ascertain in the Otway </w:t>
      </w:r>
      <w:r w:rsidR="00E87D28">
        <w:rPr>
          <w:lang w:val="en-AU"/>
        </w:rPr>
        <w:t>region</w:t>
      </w:r>
      <w:r w:rsidRPr="000C564C">
        <w:rPr>
          <w:lang w:val="en-AU"/>
        </w:rPr>
        <w:t xml:space="preserve">, given the inherent low concentrations of methane in groundwater across all aquifers. The only elevated methane concentration was recorded for the Lower Tertiary Aquifer (5.8 mg/L) and this bore is located north-east of Colac and is nested with bore 111787 which screens the Newer Volcanic Basalt and did not record any methane in its groundwater. In this area the combined thickness of the Upper and Lower Mid Tertiary Aquitard is approximately 450 m. In this area it can be tentatively concluded that vertical hydrocarbon migration is reduced where a significant aquitard thickness exists. This is consistent with the conceptual hydrogeological model for the Otway </w:t>
      </w:r>
      <w:r w:rsidR="00E87D28">
        <w:rPr>
          <w:lang w:val="en-AU"/>
        </w:rPr>
        <w:t>region</w:t>
      </w:r>
      <w:r w:rsidRPr="000C564C">
        <w:rPr>
          <w:lang w:val="en-AU"/>
        </w:rPr>
        <w:t xml:space="preserve">. </w:t>
      </w:r>
    </w:p>
    <w:p w14:paraId="7DAA0736" w14:textId="067799D1" w:rsidR="008777D0" w:rsidRDefault="000C564C" w:rsidP="000C564C">
      <w:pPr>
        <w:rPr>
          <w:lang w:val="en-AU"/>
        </w:rPr>
      </w:pPr>
      <w:r w:rsidRPr="000C564C">
        <w:rPr>
          <w:lang w:val="en-AU"/>
        </w:rPr>
        <w:t xml:space="preserve">It should be noted that whilst the primary </w:t>
      </w:r>
      <w:r w:rsidR="00414715">
        <w:rPr>
          <w:lang w:val="en-AU"/>
        </w:rPr>
        <w:t>prospective formations</w:t>
      </w:r>
      <w:r w:rsidRPr="000C564C">
        <w:rPr>
          <w:lang w:val="en-AU"/>
        </w:rPr>
        <w:t xml:space="preserve"> for potential oil and gas deposits reside in the deep Eumeralla Formation, Waarre Formation and Casterton Formation, only one groundwater bore was available for sampling these units and it was located away from likely prospective areas and the bore was quite shallow. Although the groundwater chemistry information associated with the units that contain the Natural Gas prospectivity is limited, the negligible methane concentration observed in the overlying units is an important piece of information for the conceptual hydrogeological model for the Otway </w:t>
      </w:r>
      <w:r w:rsidR="00E87D28">
        <w:rPr>
          <w:lang w:val="en-AU"/>
        </w:rPr>
        <w:t>region</w:t>
      </w:r>
      <w:r w:rsidRPr="000C564C">
        <w:rPr>
          <w:lang w:val="en-AU"/>
        </w:rPr>
        <w:t xml:space="preserve">. This information implies that the vertical hydraulic conductivity of the Mesozoic and Palaeozoic fractured rock is low and </w:t>
      </w:r>
      <w:r w:rsidR="00DB2899">
        <w:rPr>
          <w:lang w:val="en-AU"/>
        </w:rPr>
        <w:t xml:space="preserve">that </w:t>
      </w:r>
      <w:r w:rsidRPr="000C564C">
        <w:rPr>
          <w:lang w:val="en-AU"/>
        </w:rPr>
        <w:t>there is little opportunity for gas migratio</w:t>
      </w:r>
      <w:r w:rsidR="003D5452">
        <w:rPr>
          <w:lang w:val="en-AU"/>
        </w:rPr>
        <w:t>n to shallower overlying units.</w:t>
      </w:r>
    </w:p>
    <w:p w14:paraId="7DAA0737" w14:textId="77777777" w:rsidR="008777D0" w:rsidRDefault="008777D0" w:rsidP="008777D0">
      <w:pPr>
        <w:rPr>
          <w:lang w:val="en-AU"/>
        </w:rPr>
      </w:pPr>
      <w:r>
        <w:rPr>
          <w:lang w:val="en-AU"/>
        </w:rPr>
        <w:br w:type="page"/>
      </w:r>
    </w:p>
    <w:p w14:paraId="7DAA0738" w14:textId="77777777" w:rsidR="000C564C" w:rsidRPr="000C564C" w:rsidRDefault="000C564C" w:rsidP="00AF4FC8">
      <w:pPr>
        <w:pStyle w:val="Head1x"/>
        <w:numPr>
          <w:ilvl w:val="0"/>
          <w:numId w:val="0"/>
        </w:numPr>
        <w:ind w:left="851" w:hanging="851"/>
      </w:pPr>
      <w:bookmarkStart w:id="156" w:name="_Toc420327746"/>
      <w:r w:rsidRPr="000C564C">
        <w:t>References</w:t>
      </w:r>
      <w:bookmarkEnd w:id="156"/>
    </w:p>
    <w:p w14:paraId="7DAA0739" w14:textId="77777777" w:rsidR="000C564C" w:rsidRPr="00381EC9" w:rsidRDefault="000C564C" w:rsidP="00381EC9">
      <w:pPr>
        <w:spacing w:after="120"/>
        <w:rPr>
          <w:sz w:val="18"/>
          <w:szCs w:val="18"/>
          <w:lang w:val="en-AU"/>
        </w:rPr>
      </w:pPr>
      <w:r w:rsidRPr="00381EC9">
        <w:rPr>
          <w:sz w:val="18"/>
          <w:szCs w:val="18"/>
          <w:lang w:val="en-AU"/>
        </w:rPr>
        <w:t xml:space="preserve">Alberta Environment (2006) </w:t>
      </w:r>
      <w:r w:rsidRPr="00381EC9">
        <w:rPr>
          <w:i/>
          <w:sz w:val="18"/>
          <w:szCs w:val="18"/>
          <w:lang w:val="en-AU"/>
        </w:rPr>
        <w:t>Standard for Baseline Water-Well Testing for Coalbed Methane/Natural Gas in Coal Operations April 2006</w:t>
      </w:r>
      <w:r w:rsidRPr="00381EC9">
        <w:rPr>
          <w:sz w:val="18"/>
          <w:szCs w:val="18"/>
          <w:lang w:val="en-AU"/>
        </w:rPr>
        <w:t xml:space="preserve"> &lt; http://environment.alberta.ca/documents/Standard_for_Baseline_Water-Well_Testing_for_CBM_Apr2006.pdf &gt;</w:t>
      </w:r>
    </w:p>
    <w:p w14:paraId="346828B4" w14:textId="77777777" w:rsidR="00AF31FD" w:rsidRPr="00381EC9" w:rsidRDefault="00AF31FD" w:rsidP="00381EC9">
      <w:pPr>
        <w:spacing w:after="120"/>
        <w:rPr>
          <w:sz w:val="18"/>
          <w:szCs w:val="18"/>
        </w:rPr>
      </w:pPr>
      <w:r w:rsidRPr="00381EC9">
        <w:rPr>
          <w:sz w:val="18"/>
          <w:szCs w:val="18"/>
          <w:lang w:val="en-AU"/>
        </w:rPr>
        <w:t xml:space="preserve">Australian Government (2013). </w:t>
      </w:r>
      <w:r w:rsidRPr="00381EC9">
        <w:rPr>
          <w:i/>
          <w:sz w:val="18"/>
          <w:szCs w:val="18"/>
        </w:rPr>
        <w:t xml:space="preserve">National Environment Protection (Assessment of Site Contamination) Measure 1999. </w:t>
      </w:r>
      <w:r w:rsidRPr="00381EC9">
        <w:rPr>
          <w:sz w:val="18"/>
          <w:szCs w:val="18"/>
        </w:rPr>
        <w:t xml:space="preserve">Measures as amended, taking into account amendments up to National Environment Protection (Assessment of Site Contamination) Amendment Measure 2013 (No. 1). Australian Government, 22 May 2013  </w:t>
      </w:r>
    </w:p>
    <w:p w14:paraId="7DAA073A" w14:textId="77777777" w:rsidR="000C564C" w:rsidRPr="00381EC9" w:rsidRDefault="000C564C" w:rsidP="00381EC9">
      <w:pPr>
        <w:spacing w:after="120"/>
        <w:rPr>
          <w:sz w:val="18"/>
          <w:szCs w:val="18"/>
          <w:lang w:val="en-AU"/>
        </w:rPr>
      </w:pPr>
      <w:r w:rsidRPr="00381EC9">
        <w:rPr>
          <w:sz w:val="18"/>
          <w:szCs w:val="18"/>
          <w:lang w:val="en-AU"/>
        </w:rPr>
        <w:t>Chaytor, S. and Shaw, R., (2008), Synopsis of the report “Recommended Sampling, Analysis, and Reporting Protocols for Baseline Groundwater Sampling in Advance of Coalbed Gas Development in the Telkwa Coalfield, British Columbia;” in</w:t>
      </w:r>
      <w:r w:rsidR="001F52E4" w:rsidRPr="00381EC9">
        <w:rPr>
          <w:sz w:val="18"/>
          <w:szCs w:val="18"/>
          <w:lang w:val="en-AU"/>
        </w:rPr>
        <w:t xml:space="preserve">: </w:t>
      </w:r>
      <w:r w:rsidRPr="00381EC9">
        <w:rPr>
          <w:sz w:val="18"/>
          <w:szCs w:val="18"/>
          <w:lang w:val="en-AU"/>
        </w:rPr>
        <w:t xml:space="preserve"> </w:t>
      </w:r>
      <w:r w:rsidRPr="00381EC9">
        <w:rPr>
          <w:i/>
          <w:sz w:val="18"/>
          <w:szCs w:val="18"/>
          <w:lang w:val="en-AU"/>
        </w:rPr>
        <w:t>Geoscience Reports</w:t>
      </w:r>
      <w:r w:rsidR="001F52E4" w:rsidRPr="00381EC9">
        <w:rPr>
          <w:sz w:val="18"/>
          <w:szCs w:val="18"/>
          <w:lang w:val="en-AU"/>
        </w:rPr>
        <w:t xml:space="preserve"> </w:t>
      </w:r>
      <w:r w:rsidRPr="00381EC9">
        <w:rPr>
          <w:sz w:val="18"/>
          <w:szCs w:val="18"/>
          <w:lang w:val="en-AU"/>
        </w:rPr>
        <w:t>2008, BC Ministry of Energy, Mines and Petroleum Resources, pages 9-11.</w:t>
      </w:r>
    </w:p>
    <w:p w14:paraId="7DAA073B" w14:textId="6B830DAF" w:rsidR="001F52E4" w:rsidRPr="00381EC9" w:rsidRDefault="001F52E4" w:rsidP="00381EC9">
      <w:pPr>
        <w:spacing w:after="120"/>
        <w:rPr>
          <w:sz w:val="18"/>
          <w:szCs w:val="18"/>
        </w:rPr>
      </w:pPr>
      <w:r w:rsidRPr="00381EC9">
        <w:rPr>
          <w:sz w:val="18"/>
          <w:szCs w:val="18"/>
        </w:rPr>
        <w:t xml:space="preserve">Colorado Oil and Gas Conservation Commission (2014) Statewide groundwater baseline sampling and monitoring </w:t>
      </w:r>
      <w:r w:rsidR="00816E19" w:rsidRPr="00381EC9">
        <w:rPr>
          <w:sz w:val="18"/>
          <w:szCs w:val="18"/>
        </w:rPr>
        <w:t>rules -</w:t>
      </w:r>
      <w:r w:rsidRPr="00381EC9">
        <w:rPr>
          <w:sz w:val="18"/>
          <w:szCs w:val="18"/>
        </w:rPr>
        <w:t xml:space="preserve"> the Alberta Environment standard for baseline water well testing (2006) or the protocols developed for British Columbia </w:t>
      </w:r>
    </w:p>
    <w:p w14:paraId="7DAA073C" w14:textId="70083E25" w:rsidR="001F52E4" w:rsidRPr="00381EC9" w:rsidRDefault="001F52E4" w:rsidP="00381EC9">
      <w:pPr>
        <w:spacing w:after="120"/>
        <w:rPr>
          <w:sz w:val="18"/>
          <w:szCs w:val="18"/>
        </w:rPr>
      </w:pPr>
      <w:r w:rsidRPr="00381EC9">
        <w:rPr>
          <w:sz w:val="18"/>
          <w:szCs w:val="18"/>
        </w:rPr>
        <w:t xml:space="preserve">Colorado Oil and Gas Conservation Commission, Rule set 609. </w:t>
      </w:r>
      <w:r w:rsidRPr="00381EC9">
        <w:rPr>
          <w:i/>
          <w:sz w:val="18"/>
          <w:szCs w:val="18"/>
        </w:rPr>
        <w:t xml:space="preserve">Statewide groundwater baseline and </w:t>
      </w:r>
      <w:r w:rsidR="00816E19" w:rsidRPr="00381EC9">
        <w:rPr>
          <w:i/>
          <w:sz w:val="18"/>
          <w:szCs w:val="18"/>
        </w:rPr>
        <w:t>monitoring as</w:t>
      </w:r>
      <w:r w:rsidRPr="00381EC9">
        <w:rPr>
          <w:i/>
          <w:sz w:val="18"/>
          <w:szCs w:val="18"/>
        </w:rPr>
        <w:t xml:space="preserve"> of September 30 2014 </w:t>
      </w:r>
      <w:r w:rsidRPr="00381EC9">
        <w:rPr>
          <w:sz w:val="18"/>
          <w:szCs w:val="18"/>
        </w:rPr>
        <w:t>: &lt; http://cogcc.state.co.us/ &gt;</w:t>
      </w:r>
    </w:p>
    <w:p w14:paraId="7DAA073D" w14:textId="77777777" w:rsidR="000C564C" w:rsidRPr="00381EC9" w:rsidRDefault="000C564C" w:rsidP="00381EC9">
      <w:pPr>
        <w:spacing w:after="120"/>
        <w:rPr>
          <w:sz w:val="18"/>
          <w:szCs w:val="18"/>
          <w:lang w:val="en-AU"/>
        </w:rPr>
      </w:pPr>
      <w:r w:rsidRPr="00381EC9">
        <w:rPr>
          <w:sz w:val="18"/>
          <w:szCs w:val="18"/>
          <w:lang w:val="en-AU"/>
        </w:rPr>
        <w:t xml:space="preserve">CSIRO (2011) </w:t>
      </w:r>
      <w:r w:rsidRPr="00381EC9">
        <w:rPr>
          <w:i/>
          <w:sz w:val="18"/>
          <w:szCs w:val="18"/>
          <w:lang w:val="en-AU"/>
        </w:rPr>
        <w:t>A desktop study of the occurrence of Total Petroleum Hydrocarbon (TPH) and partially water-soluble organic compounds in Permian coals and associated coal seam groundwater.</w:t>
      </w:r>
      <w:r w:rsidRPr="00381EC9">
        <w:rPr>
          <w:sz w:val="18"/>
          <w:szCs w:val="18"/>
          <w:lang w:val="en-AU"/>
        </w:rPr>
        <w:t xml:space="preserve"> </w:t>
      </w:r>
    </w:p>
    <w:p w14:paraId="7DAA073E" w14:textId="219E3AFD" w:rsidR="000C564C" w:rsidRPr="00381EC9" w:rsidRDefault="000C564C" w:rsidP="00381EC9">
      <w:pPr>
        <w:spacing w:after="120"/>
        <w:rPr>
          <w:i/>
          <w:sz w:val="18"/>
          <w:szCs w:val="18"/>
          <w:lang w:val="en-AU"/>
        </w:rPr>
      </w:pPr>
      <w:r w:rsidRPr="00381EC9">
        <w:rPr>
          <w:sz w:val="18"/>
          <w:szCs w:val="18"/>
          <w:lang w:val="en-AU"/>
        </w:rPr>
        <w:t xml:space="preserve">CSIRO (2011b) </w:t>
      </w:r>
      <w:r w:rsidRPr="00381EC9">
        <w:rPr>
          <w:i/>
          <w:sz w:val="18"/>
          <w:szCs w:val="18"/>
          <w:lang w:val="en-AU"/>
        </w:rPr>
        <w:t xml:space="preserve">Resource Management for Carbon Storage. A literature review. </w:t>
      </w:r>
    </w:p>
    <w:p w14:paraId="3176E9C1" w14:textId="3B40118F" w:rsidR="00101438" w:rsidRPr="00381EC9" w:rsidRDefault="00101438" w:rsidP="00381EC9">
      <w:pPr>
        <w:spacing w:after="120"/>
        <w:rPr>
          <w:sz w:val="18"/>
          <w:szCs w:val="18"/>
          <w:lang w:val="en-AU"/>
        </w:rPr>
      </w:pPr>
      <w:r w:rsidRPr="00381EC9">
        <w:rPr>
          <w:sz w:val="18"/>
          <w:szCs w:val="18"/>
          <w:lang w:val="en-AU"/>
        </w:rPr>
        <w:t xml:space="preserve">DELWP (2015) </w:t>
      </w:r>
      <w:r w:rsidRPr="00381EC9">
        <w:rPr>
          <w:i/>
          <w:sz w:val="18"/>
          <w:szCs w:val="18"/>
          <w:lang w:val="en-AU"/>
        </w:rPr>
        <w:t>Onshore gas water scie</w:t>
      </w:r>
      <w:r w:rsidR="003C3537" w:rsidRPr="00381EC9">
        <w:rPr>
          <w:i/>
          <w:sz w:val="18"/>
          <w:szCs w:val="18"/>
          <w:lang w:val="en-AU"/>
        </w:rPr>
        <w:t>nce studies – Gippsland region g</w:t>
      </w:r>
      <w:r w:rsidRPr="00381EC9">
        <w:rPr>
          <w:i/>
          <w:sz w:val="18"/>
          <w:szCs w:val="18"/>
          <w:lang w:val="en-AU"/>
        </w:rPr>
        <w:t xml:space="preserve">roundwater </w:t>
      </w:r>
      <w:r w:rsidR="000D1F60" w:rsidRPr="00381EC9">
        <w:rPr>
          <w:i/>
          <w:sz w:val="18"/>
          <w:szCs w:val="18"/>
          <w:lang w:val="en-AU"/>
        </w:rPr>
        <w:t>sampling and characterisation for hydrocarbons</w:t>
      </w:r>
      <w:r w:rsidRPr="00381EC9">
        <w:rPr>
          <w:sz w:val="18"/>
          <w:szCs w:val="18"/>
          <w:lang w:val="en-AU"/>
        </w:rPr>
        <w:t>. Department of Environment, Land, Water and Planning. May 2015</w:t>
      </w:r>
    </w:p>
    <w:p w14:paraId="7DAA0740" w14:textId="77777777" w:rsidR="000C564C" w:rsidRPr="00381EC9" w:rsidRDefault="000C564C" w:rsidP="00381EC9">
      <w:pPr>
        <w:spacing w:after="120"/>
        <w:rPr>
          <w:sz w:val="18"/>
          <w:szCs w:val="18"/>
          <w:lang w:val="en-AU"/>
        </w:rPr>
      </w:pPr>
      <w:r w:rsidRPr="00381EC9">
        <w:rPr>
          <w:sz w:val="18"/>
          <w:szCs w:val="18"/>
          <w:lang w:val="en-AU"/>
        </w:rPr>
        <w:t xml:space="preserve">DSE (2010).  </w:t>
      </w:r>
      <w:r w:rsidRPr="00381EC9">
        <w:rPr>
          <w:i/>
          <w:sz w:val="18"/>
          <w:szCs w:val="18"/>
          <w:lang w:val="en-AU"/>
        </w:rPr>
        <w:t xml:space="preserve">Risk Assessment of Hydrocarbon Contamination of Bores in Barwon Downs.  </w:t>
      </w:r>
      <w:r w:rsidRPr="00381EC9">
        <w:rPr>
          <w:sz w:val="18"/>
          <w:szCs w:val="18"/>
          <w:lang w:val="en-AU"/>
        </w:rPr>
        <w:t>(Assumed to be dated January 2010, based on the file name)</w:t>
      </w:r>
    </w:p>
    <w:p w14:paraId="7DAA0741" w14:textId="73D30963" w:rsidR="000C564C" w:rsidRPr="00381EC9" w:rsidRDefault="000C564C" w:rsidP="00381EC9">
      <w:pPr>
        <w:spacing w:after="120"/>
        <w:rPr>
          <w:sz w:val="18"/>
          <w:szCs w:val="18"/>
          <w:lang w:val="en-AU"/>
        </w:rPr>
      </w:pPr>
      <w:r w:rsidRPr="00381EC9">
        <w:rPr>
          <w:sz w:val="18"/>
          <w:szCs w:val="18"/>
          <w:lang w:val="en-AU"/>
        </w:rPr>
        <w:t>Geological Society of Victoria (1995)</w:t>
      </w:r>
      <w:r w:rsidR="001F52E4" w:rsidRPr="00381EC9">
        <w:rPr>
          <w:sz w:val="18"/>
          <w:szCs w:val="18"/>
          <w:lang w:val="en-AU"/>
        </w:rPr>
        <w:t xml:space="preserve"> </w:t>
      </w:r>
      <w:r w:rsidRPr="00381EC9">
        <w:rPr>
          <w:i/>
          <w:sz w:val="18"/>
          <w:szCs w:val="18"/>
          <w:lang w:val="en-AU"/>
        </w:rPr>
        <w:t xml:space="preserve">The stratigraphy, structure, geophysics and hydrocarbon potential of the Eastern Otway </w:t>
      </w:r>
      <w:r w:rsidR="00E87D28" w:rsidRPr="00381EC9">
        <w:rPr>
          <w:i/>
          <w:sz w:val="18"/>
          <w:szCs w:val="18"/>
          <w:lang w:val="en-AU"/>
        </w:rPr>
        <w:t>region</w:t>
      </w:r>
      <w:r w:rsidRPr="00381EC9">
        <w:rPr>
          <w:i/>
          <w:sz w:val="18"/>
          <w:szCs w:val="18"/>
          <w:lang w:val="en-AU"/>
        </w:rPr>
        <w:t>, Victoria.</w:t>
      </w:r>
      <w:r w:rsidRPr="00381EC9">
        <w:rPr>
          <w:sz w:val="18"/>
          <w:szCs w:val="18"/>
          <w:lang w:val="en-AU"/>
        </w:rPr>
        <w:t xml:space="preserve"> Geological Survey of Victoria Report 103. Department of Agriculture, Energy and Minerals.</w:t>
      </w:r>
    </w:p>
    <w:p w14:paraId="7DAA0742" w14:textId="5AEEB12A" w:rsidR="000C564C" w:rsidRPr="00381EC9" w:rsidRDefault="000C564C" w:rsidP="00381EC9">
      <w:pPr>
        <w:spacing w:after="120"/>
        <w:rPr>
          <w:sz w:val="18"/>
          <w:szCs w:val="18"/>
          <w:lang w:val="en-AU"/>
        </w:rPr>
      </w:pPr>
      <w:r w:rsidRPr="00381EC9">
        <w:rPr>
          <w:sz w:val="18"/>
          <w:szCs w:val="18"/>
          <w:lang w:val="en-AU"/>
        </w:rPr>
        <w:t xml:space="preserve">GHD (2009) </w:t>
      </w:r>
      <w:r w:rsidRPr="00381EC9">
        <w:rPr>
          <w:i/>
          <w:sz w:val="18"/>
          <w:szCs w:val="18"/>
          <w:lang w:val="en-AU"/>
        </w:rPr>
        <w:t>Barwon Downs Groundwater Analysis – Potential Origin of Hydrocarbons.</w:t>
      </w:r>
      <w:r w:rsidR="00A3387D" w:rsidRPr="00381EC9">
        <w:rPr>
          <w:i/>
          <w:sz w:val="18"/>
          <w:szCs w:val="18"/>
          <w:lang w:val="en-AU"/>
        </w:rPr>
        <w:t xml:space="preserve"> </w:t>
      </w:r>
      <w:r w:rsidR="00A3387D" w:rsidRPr="00381EC9">
        <w:rPr>
          <w:sz w:val="18"/>
          <w:szCs w:val="18"/>
          <w:lang w:val="en-AU"/>
        </w:rPr>
        <w:t>Unpublished l</w:t>
      </w:r>
      <w:r w:rsidR="00E55D1C" w:rsidRPr="00381EC9">
        <w:rPr>
          <w:sz w:val="18"/>
          <w:szCs w:val="18"/>
          <w:lang w:val="en-AU"/>
        </w:rPr>
        <w:t xml:space="preserve">etter report from GHD to the </w:t>
      </w:r>
      <w:r w:rsidR="00A3387D" w:rsidRPr="00381EC9">
        <w:rPr>
          <w:sz w:val="18"/>
          <w:szCs w:val="18"/>
          <w:lang w:val="en-AU"/>
        </w:rPr>
        <w:t>Department of Environment, La</w:t>
      </w:r>
      <w:r w:rsidR="00E55D1C" w:rsidRPr="00381EC9">
        <w:rPr>
          <w:sz w:val="18"/>
          <w:szCs w:val="18"/>
          <w:lang w:val="en-AU"/>
        </w:rPr>
        <w:t>nd, Water and Planning.  19 June 2009</w:t>
      </w:r>
    </w:p>
    <w:p w14:paraId="7DAA0743" w14:textId="77777777" w:rsidR="003005F5" w:rsidRPr="00381EC9" w:rsidRDefault="003005F5" w:rsidP="00381EC9">
      <w:pPr>
        <w:spacing w:after="120"/>
        <w:rPr>
          <w:sz w:val="18"/>
          <w:szCs w:val="18"/>
        </w:rPr>
      </w:pPr>
      <w:r w:rsidRPr="00381EC9">
        <w:rPr>
          <w:sz w:val="18"/>
          <w:szCs w:val="18"/>
        </w:rPr>
        <w:t xml:space="preserve">GHD (2012) </w:t>
      </w:r>
      <w:r w:rsidRPr="00381EC9">
        <w:rPr>
          <w:i/>
          <w:sz w:val="18"/>
          <w:szCs w:val="18"/>
        </w:rPr>
        <w:t>Report on the development of Statewide 3D aquifer surfaces. May 2012.</w:t>
      </w:r>
      <w:r w:rsidRPr="00381EC9">
        <w:rPr>
          <w:sz w:val="18"/>
          <w:szCs w:val="18"/>
        </w:rPr>
        <w:t xml:space="preserve">  Report to the Department of Sustainability and Environment.  </w:t>
      </w:r>
    </w:p>
    <w:p w14:paraId="7DAA0744" w14:textId="77777777" w:rsidR="000C564C" w:rsidRPr="00381EC9" w:rsidRDefault="000C564C" w:rsidP="00381EC9">
      <w:pPr>
        <w:spacing w:after="120"/>
        <w:rPr>
          <w:sz w:val="18"/>
          <w:szCs w:val="18"/>
          <w:lang w:val="en-AU"/>
        </w:rPr>
      </w:pPr>
      <w:r w:rsidRPr="00381EC9">
        <w:rPr>
          <w:sz w:val="18"/>
          <w:szCs w:val="18"/>
          <w:lang w:val="en-AU"/>
        </w:rPr>
        <w:t xml:space="preserve">GHD (2014) </w:t>
      </w:r>
      <w:r w:rsidRPr="00381EC9">
        <w:rPr>
          <w:i/>
          <w:sz w:val="18"/>
          <w:szCs w:val="18"/>
          <w:lang w:val="en-AU"/>
        </w:rPr>
        <w:t>State Groundwater Observation bore Network – review, redefinition and works prioritisation.</w:t>
      </w:r>
      <w:r w:rsidRPr="00381EC9">
        <w:rPr>
          <w:sz w:val="18"/>
          <w:szCs w:val="18"/>
          <w:lang w:val="en-AU"/>
        </w:rPr>
        <w:t xml:space="preserve"> Prepared for the Department of Environment and Primary Industries, July 2014. </w:t>
      </w:r>
    </w:p>
    <w:p w14:paraId="3046BE35" w14:textId="4073768B" w:rsidR="00A67814" w:rsidRPr="00381EC9" w:rsidRDefault="00414715" w:rsidP="00381EC9">
      <w:pPr>
        <w:spacing w:after="120"/>
        <w:rPr>
          <w:sz w:val="18"/>
          <w:szCs w:val="18"/>
          <w:lang w:val="en-AU"/>
        </w:rPr>
      </w:pPr>
      <w:r w:rsidRPr="00381EC9">
        <w:rPr>
          <w:sz w:val="18"/>
          <w:szCs w:val="18"/>
        </w:rPr>
        <w:t>Goldie Divko</w:t>
      </w:r>
      <w:r w:rsidR="007912F4" w:rsidRPr="00381EC9">
        <w:rPr>
          <w:sz w:val="18"/>
          <w:szCs w:val="18"/>
        </w:rPr>
        <w:t>, L. (201</w:t>
      </w:r>
      <w:r w:rsidR="003D0148" w:rsidRPr="00381EC9">
        <w:rPr>
          <w:sz w:val="18"/>
          <w:szCs w:val="18"/>
        </w:rPr>
        <w:t>4</w:t>
      </w:r>
      <w:r w:rsidR="00A67814" w:rsidRPr="00381EC9">
        <w:rPr>
          <w:sz w:val="18"/>
          <w:szCs w:val="18"/>
        </w:rPr>
        <w:t xml:space="preserve">), </w:t>
      </w:r>
      <w:r w:rsidR="00A67814" w:rsidRPr="00381EC9">
        <w:rPr>
          <w:i/>
          <w:sz w:val="18"/>
          <w:szCs w:val="18"/>
        </w:rPr>
        <w:t xml:space="preserve">Otway Basin gas development scenarios to inform regional groundwater modelling.  </w:t>
      </w:r>
      <w:r w:rsidR="00966DF9" w:rsidRPr="00381EC9">
        <w:rPr>
          <w:sz w:val="18"/>
          <w:szCs w:val="18"/>
        </w:rPr>
        <w:t>Geological</w:t>
      </w:r>
      <w:r w:rsidR="00A67814" w:rsidRPr="00381EC9">
        <w:rPr>
          <w:sz w:val="18"/>
          <w:szCs w:val="18"/>
        </w:rPr>
        <w:t xml:space="preserve"> Surv</w:t>
      </w:r>
      <w:r w:rsidR="00BA7067" w:rsidRPr="00381EC9">
        <w:rPr>
          <w:sz w:val="18"/>
          <w:szCs w:val="18"/>
        </w:rPr>
        <w:t>ey of Victoria report</w:t>
      </w:r>
      <w:r w:rsidR="00A67814" w:rsidRPr="00381EC9">
        <w:rPr>
          <w:sz w:val="18"/>
          <w:szCs w:val="18"/>
        </w:rPr>
        <w:t xml:space="preserve">, Department of State Development Business and Innovation, </w:t>
      </w:r>
      <w:r w:rsidR="007912F4" w:rsidRPr="00381EC9">
        <w:rPr>
          <w:sz w:val="18"/>
          <w:szCs w:val="18"/>
        </w:rPr>
        <w:t>201</w:t>
      </w:r>
      <w:r w:rsidR="003D0148" w:rsidRPr="00381EC9">
        <w:rPr>
          <w:sz w:val="18"/>
          <w:szCs w:val="18"/>
        </w:rPr>
        <w:t>4</w:t>
      </w:r>
      <w:r w:rsidR="00854C6F" w:rsidRPr="00381EC9">
        <w:rPr>
          <w:sz w:val="18"/>
          <w:szCs w:val="18"/>
        </w:rPr>
        <w:t xml:space="preserve"> (draft in preparation).</w:t>
      </w:r>
    </w:p>
    <w:p w14:paraId="7DAA0745" w14:textId="021C17A6" w:rsidR="000C564C" w:rsidRPr="00381EC9" w:rsidRDefault="000C564C" w:rsidP="00381EC9">
      <w:pPr>
        <w:spacing w:after="120"/>
        <w:rPr>
          <w:sz w:val="18"/>
          <w:szCs w:val="18"/>
          <w:lang w:val="en-AU"/>
        </w:rPr>
      </w:pPr>
      <w:r w:rsidRPr="00381EC9">
        <w:rPr>
          <w:sz w:val="18"/>
          <w:szCs w:val="18"/>
          <w:lang w:val="en-AU"/>
        </w:rPr>
        <w:t xml:space="preserve">Hawkins, .P.J. &amp; Dellenbach, J., (1971) </w:t>
      </w:r>
      <w:r w:rsidRPr="00381EC9">
        <w:rPr>
          <w:i/>
          <w:sz w:val="18"/>
          <w:szCs w:val="18"/>
          <w:lang w:val="en-AU"/>
        </w:rPr>
        <w:t xml:space="preserve">A review of the Otway </w:t>
      </w:r>
      <w:r w:rsidR="00E87D28" w:rsidRPr="00381EC9">
        <w:rPr>
          <w:i/>
          <w:sz w:val="18"/>
          <w:szCs w:val="18"/>
          <w:lang w:val="en-AU"/>
        </w:rPr>
        <w:t>region</w:t>
      </w:r>
      <w:r w:rsidRPr="00381EC9">
        <w:rPr>
          <w:i/>
          <w:sz w:val="18"/>
          <w:szCs w:val="18"/>
          <w:lang w:val="en-AU"/>
        </w:rPr>
        <w:t>.</w:t>
      </w:r>
      <w:r w:rsidRPr="00381EC9">
        <w:rPr>
          <w:sz w:val="18"/>
          <w:szCs w:val="18"/>
          <w:lang w:val="en-AU"/>
        </w:rPr>
        <w:t xml:space="preserve"> Bureau of Mineral Resources Geology and Geophysics Report 134, pp. 7-29.</w:t>
      </w:r>
    </w:p>
    <w:p w14:paraId="7DAA0746" w14:textId="77777777" w:rsidR="000C564C" w:rsidRPr="00381EC9" w:rsidRDefault="000C564C" w:rsidP="00381EC9">
      <w:pPr>
        <w:spacing w:after="120"/>
        <w:rPr>
          <w:sz w:val="18"/>
          <w:szCs w:val="18"/>
          <w:lang w:val="en-AU"/>
        </w:rPr>
      </w:pPr>
      <w:r w:rsidRPr="00381EC9">
        <w:rPr>
          <w:sz w:val="18"/>
          <w:szCs w:val="18"/>
          <w:lang w:val="en-AU"/>
        </w:rPr>
        <w:t xml:space="preserve">Hyder Consulting Pty. Ltd. (2009) </w:t>
      </w:r>
      <w:r w:rsidRPr="00381EC9">
        <w:rPr>
          <w:i/>
          <w:sz w:val="18"/>
          <w:szCs w:val="18"/>
          <w:lang w:val="en-AU"/>
        </w:rPr>
        <w:t>Barwon Downs Groundwater Sampling, Groundwater Contamination Investigation</w:t>
      </w:r>
      <w:r w:rsidRPr="00381EC9">
        <w:rPr>
          <w:sz w:val="18"/>
          <w:szCs w:val="18"/>
          <w:lang w:val="en-AU"/>
        </w:rPr>
        <w:t>, 19th June 2009.</w:t>
      </w:r>
    </w:p>
    <w:p w14:paraId="7DAA0747" w14:textId="0AC3F860" w:rsidR="000C564C" w:rsidRPr="00381EC9" w:rsidRDefault="000C564C" w:rsidP="00381EC9">
      <w:pPr>
        <w:spacing w:after="120"/>
        <w:rPr>
          <w:sz w:val="18"/>
          <w:szCs w:val="18"/>
          <w:lang w:val="en-AU"/>
        </w:rPr>
      </w:pPr>
      <w:r w:rsidRPr="00381EC9">
        <w:rPr>
          <w:sz w:val="18"/>
          <w:szCs w:val="18"/>
          <w:lang w:val="en-AU"/>
        </w:rPr>
        <w:t xml:space="preserve">Laing, S., Dee, C.N. &amp; Best, P.W., (1989) </w:t>
      </w:r>
      <w:r w:rsidRPr="00381EC9">
        <w:rPr>
          <w:i/>
          <w:sz w:val="18"/>
          <w:szCs w:val="18"/>
          <w:lang w:val="en-AU"/>
        </w:rPr>
        <w:t xml:space="preserve">The Otway </w:t>
      </w:r>
      <w:r w:rsidR="00E87D28" w:rsidRPr="00381EC9">
        <w:rPr>
          <w:i/>
          <w:sz w:val="18"/>
          <w:szCs w:val="18"/>
          <w:lang w:val="en-AU"/>
        </w:rPr>
        <w:t>region</w:t>
      </w:r>
      <w:r w:rsidRPr="00381EC9">
        <w:rPr>
          <w:i/>
          <w:sz w:val="18"/>
          <w:szCs w:val="18"/>
          <w:lang w:val="en-AU"/>
        </w:rPr>
        <w:t>. Australian Petroleum Exploration Association Journal 29</w:t>
      </w:r>
      <w:r w:rsidRPr="00381EC9">
        <w:rPr>
          <w:sz w:val="18"/>
          <w:szCs w:val="18"/>
          <w:lang w:val="en-AU"/>
        </w:rPr>
        <w:t xml:space="preserve"> (1), pp. 417-429.</w:t>
      </w:r>
    </w:p>
    <w:p w14:paraId="7DAA0748" w14:textId="5D67AF31" w:rsidR="000C564C" w:rsidRPr="00381EC9" w:rsidRDefault="000C564C" w:rsidP="00381EC9">
      <w:pPr>
        <w:spacing w:after="120"/>
        <w:rPr>
          <w:sz w:val="18"/>
          <w:szCs w:val="18"/>
          <w:lang w:val="en-AU"/>
        </w:rPr>
      </w:pPr>
      <w:r w:rsidRPr="00381EC9">
        <w:rPr>
          <w:sz w:val="18"/>
          <w:szCs w:val="18"/>
          <w:lang w:val="en-AU"/>
        </w:rPr>
        <w:t xml:space="preserve">Leeder Consulting (2009) </w:t>
      </w:r>
      <w:r w:rsidRPr="00381EC9">
        <w:rPr>
          <w:i/>
          <w:sz w:val="18"/>
          <w:szCs w:val="18"/>
          <w:lang w:val="en-AU"/>
        </w:rPr>
        <w:t>Review of Hyder Consulting Report on Barwon Downs Groundwater Contamination Investigation,</w:t>
      </w:r>
      <w:r w:rsidRPr="00381EC9">
        <w:rPr>
          <w:sz w:val="18"/>
          <w:szCs w:val="18"/>
          <w:lang w:val="en-AU"/>
        </w:rPr>
        <w:t xml:space="preserve"> </w:t>
      </w:r>
      <w:r w:rsidR="00E55D1C" w:rsidRPr="00381EC9">
        <w:rPr>
          <w:sz w:val="18"/>
          <w:szCs w:val="18"/>
          <w:lang w:val="en-AU"/>
        </w:rPr>
        <w:t xml:space="preserve">Unpublished letter report from Leeder Consulting to the Department of Environment, Land, Water and Planning,  </w:t>
      </w:r>
      <w:r w:rsidRPr="00381EC9">
        <w:rPr>
          <w:sz w:val="18"/>
          <w:szCs w:val="18"/>
          <w:lang w:val="en-AU"/>
        </w:rPr>
        <w:t>30th July 2009.</w:t>
      </w:r>
    </w:p>
    <w:p w14:paraId="7DAA0749" w14:textId="77777777" w:rsidR="000C564C" w:rsidRPr="00381EC9" w:rsidRDefault="000C564C" w:rsidP="00381EC9">
      <w:pPr>
        <w:spacing w:after="120"/>
        <w:rPr>
          <w:sz w:val="18"/>
          <w:szCs w:val="18"/>
          <w:lang w:val="en-AU"/>
        </w:rPr>
      </w:pPr>
      <w:r w:rsidRPr="00381EC9">
        <w:rPr>
          <w:sz w:val="18"/>
          <w:szCs w:val="18"/>
          <w:lang w:val="en-AU"/>
        </w:rPr>
        <w:t xml:space="preserve">Leusch, F., Bartkow, M., (2011) </w:t>
      </w:r>
      <w:r w:rsidRPr="00381EC9">
        <w:rPr>
          <w:i/>
          <w:sz w:val="18"/>
          <w:szCs w:val="18"/>
          <w:lang w:val="en-AU"/>
        </w:rPr>
        <w:t>A short primer on benzene, toluene, ethylbenzene and xylenes (BTEX) in the environment and in hydraulic fracturing fluids.</w:t>
      </w:r>
      <w:r w:rsidRPr="00381EC9">
        <w:rPr>
          <w:sz w:val="18"/>
          <w:szCs w:val="18"/>
          <w:lang w:val="en-AU"/>
        </w:rPr>
        <w:t xml:space="preserve"> </w:t>
      </w:r>
      <w:r w:rsidR="001F52E4" w:rsidRPr="00381EC9">
        <w:rPr>
          <w:sz w:val="18"/>
          <w:szCs w:val="18"/>
          <w:lang w:val="en-AU"/>
        </w:rPr>
        <w:t xml:space="preserve">Cited from: </w:t>
      </w:r>
      <w:r w:rsidRPr="00381EC9">
        <w:rPr>
          <w:sz w:val="18"/>
          <w:szCs w:val="18"/>
          <w:lang w:val="en-AU"/>
        </w:rPr>
        <w:t>http://www.derm.qld.gov.au/environmental_management/coal-seam-gas/pdf/btex-report.pdf,  accessed on the 18th of July 2011.</w:t>
      </w:r>
    </w:p>
    <w:p w14:paraId="7DAA074B" w14:textId="1B1C2FC7" w:rsidR="000C564C" w:rsidRPr="00381EC9" w:rsidRDefault="000C564C" w:rsidP="00381EC9">
      <w:pPr>
        <w:spacing w:after="120"/>
        <w:rPr>
          <w:sz w:val="18"/>
          <w:szCs w:val="18"/>
          <w:lang w:val="en-AU"/>
        </w:rPr>
      </w:pPr>
      <w:r w:rsidRPr="00381EC9">
        <w:rPr>
          <w:sz w:val="18"/>
          <w:szCs w:val="18"/>
          <w:lang w:val="en-AU"/>
        </w:rPr>
        <w:t xml:space="preserve">Orem, W.H., Tatu, C.A., Lerch, H.E., Rice, C.A., Bartos, T.T., Bates, A.L., Tewalt, S., Corum, M.D., (2007) </w:t>
      </w:r>
      <w:r w:rsidR="001F52E4" w:rsidRPr="00381EC9">
        <w:rPr>
          <w:sz w:val="18"/>
          <w:szCs w:val="18"/>
          <w:lang w:val="en-AU"/>
        </w:rPr>
        <w:t>“</w:t>
      </w:r>
      <w:r w:rsidRPr="00381EC9">
        <w:rPr>
          <w:sz w:val="18"/>
          <w:szCs w:val="18"/>
          <w:lang w:val="en-AU"/>
        </w:rPr>
        <w:t xml:space="preserve">Organic compounds in produced waters from coalbed natural gas wells in the Powder River </w:t>
      </w:r>
      <w:r w:rsidR="00E87D28" w:rsidRPr="00381EC9">
        <w:rPr>
          <w:sz w:val="18"/>
          <w:szCs w:val="18"/>
          <w:lang w:val="en-AU"/>
        </w:rPr>
        <w:t>region</w:t>
      </w:r>
      <w:r w:rsidRPr="00381EC9">
        <w:rPr>
          <w:sz w:val="18"/>
          <w:szCs w:val="18"/>
          <w:lang w:val="en-AU"/>
        </w:rPr>
        <w:t>, Wyoming, USA</w:t>
      </w:r>
      <w:r w:rsidR="001F52E4" w:rsidRPr="00381EC9">
        <w:rPr>
          <w:sz w:val="18"/>
          <w:szCs w:val="18"/>
          <w:lang w:val="en-AU"/>
        </w:rPr>
        <w:t>”</w:t>
      </w:r>
      <w:r w:rsidRPr="00381EC9">
        <w:rPr>
          <w:sz w:val="18"/>
          <w:szCs w:val="18"/>
          <w:lang w:val="en-AU"/>
        </w:rPr>
        <w:t xml:space="preserve">. </w:t>
      </w:r>
      <w:r w:rsidRPr="00381EC9">
        <w:rPr>
          <w:i/>
          <w:sz w:val="18"/>
          <w:szCs w:val="18"/>
          <w:lang w:val="en-AU"/>
        </w:rPr>
        <w:t>Applied Geochemistry</w:t>
      </w:r>
      <w:r w:rsidRPr="00381EC9">
        <w:rPr>
          <w:sz w:val="18"/>
          <w:szCs w:val="18"/>
          <w:lang w:val="en-AU"/>
        </w:rPr>
        <w:t>, 22(10), 2240-2256.</w:t>
      </w:r>
    </w:p>
    <w:p w14:paraId="68168738" w14:textId="77777777" w:rsidR="000A5F33" w:rsidRPr="00381EC9" w:rsidRDefault="000A5F33" w:rsidP="00381EC9">
      <w:pPr>
        <w:spacing w:after="120"/>
        <w:rPr>
          <w:sz w:val="18"/>
          <w:szCs w:val="18"/>
          <w:lang w:val="en-AU"/>
        </w:rPr>
      </w:pPr>
      <w:r w:rsidRPr="00381EC9">
        <w:rPr>
          <w:sz w:val="18"/>
          <w:szCs w:val="18"/>
          <w:lang w:val="en-AU"/>
        </w:rPr>
        <w:t>QGC (2012) QCLNG Groundwater quality and hydrochemistry program. QGC Pty Ltd (2012)</w:t>
      </w:r>
    </w:p>
    <w:p w14:paraId="7DAA074D" w14:textId="77777777" w:rsidR="000C564C" w:rsidRPr="00381EC9" w:rsidRDefault="000C564C" w:rsidP="00381EC9">
      <w:pPr>
        <w:spacing w:after="120"/>
        <w:rPr>
          <w:sz w:val="18"/>
          <w:szCs w:val="18"/>
          <w:lang w:val="en-AU"/>
        </w:rPr>
      </w:pPr>
      <w:r w:rsidRPr="00381EC9">
        <w:rPr>
          <w:sz w:val="18"/>
          <w:szCs w:val="18"/>
          <w:lang w:val="en-AU"/>
        </w:rPr>
        <w:t>Rose and Long</w:t>
      </w:r>
      <w:r w:rsidR="00F31854" w:rsidRPr="00381EC9">
        <w:rPr>
          <w:sz w:val="18"/>
          <w:szCs w:val="18"/>
          <w:lang w:val="en-AU"/>
        </w:rPr>
        <w:t xml:space="preserve"> (1998) </w:t>
      </w:r>
      <w:r w:rsidR="00F31854" w:rsidRPr="00381EC9">
        <w:rPr>
          <w:rFonts w:ascii="Lucida Grande" w:hAnsi="Lucida Grande" w:cs="Lucida Grande"/>
          <w:color w:val="000000"/>
          <w:sz w:val="18"/>
          <w:szCs w:val="18"/>
          <w:shd w:val="clear" w:color="auto" w:fill="FFFFFF"/>
        </w:rPr>
        <w:t xml:space="preserve">Monitoring Dissolved Oxygen in Ground Water: Some Basic Considerations. </w:t>
      </w:r>
      <w:r w:rsidR="00F31854" w:rsidRPr="00381EC9">
        <w:rPr>
          <w:rStyle w:val="Emphasis"/>
          <w:rFonts w:ascii="Lucida Grande" w:hAnsi="Lucida Grande" w:cs="Lucida Grande"/>
          <w:i w:val="0"/>
          <w:color w:val="000000"/>
          <w:sz w:val="18"/>
          <w:szCs w:val="18"/>
          <w:shd w:val="clear" w:color="auto" w:fill="FFFFFF"/>
        </w:rPr>
        <w:t>Ground Water Monitoring Review</w:t>
      </w:r>
      <w:r w:rsidR="00F31854" w:rsidRPr="00381EC9">
        <w:rPr>
          <w:rStyle w:val="apple-converted-space"/>
          <w:rFonts w:ascii="Lucida Grande" w:hAnsi="Lucida Grande" w:cs="Lucida Grande"/>
          <w:i/>
          <w:iCs/>
          <w:color w:val="000000"/>
          <w:sz w:val="18"/>
          <w:szCs w:val="18"/>
          <w:shd w:val="clear" w:color="auto" w:fill="FFFFFF"/>
        </w:rPr>
        <w:t xml:space="preserve">, </w:t>
      </w:r>
      <w:r w:rsidR="00F31854" w:rsidRPr="00381EC9">
        <w:rPr>
          <w:rFonts w:ascii="Lucida Grande" w:hAnsi="Lucida Grande" w:cs="Lucida Grande"/>
          <w:i/>
          <w:color w:val="000000"/>
          <w:sz w:val="18"/>
          <w:szCs w:val="18"/>
          <w:shd w:val="clear" w:color="auto" w:fill="FFFFFF"/>
        </w:rPr>
        <w:t xml:space="preserve"> </w:t>
      </w:r>
      <w:r w:rsidR="00F31854" w:rsidRPr="00381EC9">
        <w:rPr>
          <w:rFonts w:ascii="Lucida Grande" w:hAnsi="Lucida Grande" w:cs="Lucida Grande"/>
          <w:color w:val="000000"/>
          <w:sz w:val="18"/>
          <w:szCs w:val="18"/>
          <w:shd w:val="clear" w:color="auto" w:fill="FFFFFF"/>
        </w:rPr>
        <w:t>Winter, 1998.</w:t>
      </w:r>
    </w:p>
    <w:p w14:paraId="7DAA074E" w14:textId="77777777" w:rsidR="000C564C" w:rsidRPr="00381EC9" w:rsidRDefault="000C564C" w:rsidP="00381EC9">
      <w:pPr>
        <w:spacing w:after="120"/>
        <w:rPr>
          <w:sz w:val="18"/>
          <w:szCs w:val="18"/>
          <w:lang w:val="en-AU"/>
        </w:rPr>
      </w:pPr>
      <w:r w:rsidRPr="00381EC9">
        <w:rPr>
          <w:sz w:val="18"/>
          <w:szCs w:val="18"/>
          <w:lang w:val="en-AU"/>
        </w:rPr>
        <w:t xml:space="preserve">SKM and GHD (2009) </w:t>
      </w:r>
      <w:r w:rsidR="001F52E4" w:rsidRPr="00381EC9">
        <w:rPr>
          <w:i/>
          <w:sz w:val="18"/>
          <w:szCs w:val="18"/>
          <w:lang w:val="en-AU"/>
        </w:rPr>
        <w:t>H</w:t>
      </w:r>
      <w:r w:rsidRPr="00381EC9">
        <w:rPr>
          <w:i/>
          <w:sz w:val="18"/>
          <w:szCs w:val="18"/>
          <w:lang w:val="en-AU"/>
        </w:rPr>
        <w:t>ydrogeological Mapping of Southern Victoria</w:t>
      </w:r>
      <w:r w:rsidRPr="00381EC9">
        <w:rPr>
          <w:sz w:val="18"/>
          <w:szCs w:val="18"/>
          <w:lang w:val="en-AU"/>
        </w:rPr>
        <w:t xml:space="preserve">. Report prepared by SKM and GHD, July 2009 for Southern Rural Water. </w:t>
      </w:r>
    </w:p>
    <w:p w14:paraId="7DAA074F" w14:textId="309D4E44" w:rsidR="000C564C" w:rsidRPr="00381EC9" w:rsidRDefault="000C564C" w:rsidP="00381EC9">
      <w:pPr>
        <w:spacing w:after="120"/>
        <w:rPr>
          <w:sz w:val="18"/>
          <w:szCs w:val="18"/>
          <w:lang w:val="en-AU"/>
        </w:rPr>
      </w:pPr>
      <w:r w:rsidRPr="00381EC9">
        <w:rPr>
          <w:sz w:val="18"/>
          <w:szCs w:val="18"/>
          <w:lang w:val="en-AU"/>
        </w:rPr>
        <w:t xml:space="preserve">SRW (2013) </w:t>
      </w:r>
      <w:r w:rsidRPr="00381EC9">
        <w:rPr>
          <w:i/>
          <w:sz w:val="18"/>
          <w:szCs w:val="18"/>
          <w:lang w:val="en-AU"/>
        </w:rPr>
        <w:t>Glenelg Groundwater Catchment Statement.</w:t>
      </w:r>
      <w:r w:rsidRPr="00381EC9">
        <w:rPr>
          <w:sz w:val="18"/>
          <w:szCs w:val="18"/>
          <w:lang w:val="en-AU"/>
        </w:rPr>
        <w:t xml:space="preserve"> </w:t>
      </w:r>
      <w:r w:rsidR="007901DA" w:rsidRPr="00381EC9">
        <w:rPr>
          <w:sz w:val="18"/>
          <w:szCs w:val="18"/>
          <w:lang w:val="en-AU"/>
        </w:rPr>
        <w:t>Southern Rural Water 19 July 2013</w:t>
      </w:r>
    </w:p>
    <w:p w14:paraId="7DAA0750" w14:textId="5979FB31" w:rsidR="000C564C" w:rsidRPr="00381EC9" w:rsidRDefault="000C564C" w:rsidP="00381EC9">
      <w:pPr>
        <w:spacing w:after="120"/>
        <w:rPr>
          <w:i/>
          <w:sz w:val="18"/>
          <w:szCs w:val="18"/>
          <w:lang w:val="en-AU"/>
        </w:rPr>
      </w:pPr>
      <w:r w:rsidRPr="00381EC9">
        <w:rPr>
          <w:sz w:val="18"/>
          <w:szCs w:val="18"/>
          <w:lang w:val="en-AU"/>
        </w:rPr>
        <w:t xml:space="preserve">SRW (2014) </w:t>
      </w:r>
      <w:r w:rsidRPr="00381EC9">
        <w:rPr>
          <w:i/>
          <w:sz w:val="18"/>
          <w:szCs w:val="18"/>
          <w:lang w:val="en-AU"/>
        </w:rPr>
        <w:t xml:space="preserve">Hopkins Corangamite Groundwater Catchment Statement. </w:t>
      </w:r>
      <w:r w:rsidR="007901DA" w:rsidRPr="00381EC9">
        <w:rPr>
          <w:sz w:val="18"/>
          <w:szCs w:val="18"/>
          <w:lang w:val="en-AU"/>
        </w:rPr>
        <w:t>Southern Rural Water 19 July 2013</w:t>
      </w:r>
    </w:p>
    <w:p w14:paraId="7DAA0751" w14:textId="37A661D7" w:rsidR="000C564C" w:rsidRPr="00381EC9" w:rsidRDefault="000C564C" w:rsidP="00381EC9">
      <w:pPr>
        <w:spacing w:after="120"/>
        <w:rPr>
          <w:i/>
          <w:sz w:val="18"/>
          <w:szCs w:val="18"/>
          <w:lang w:val="en-AU"/>
        </w:rPr>
      </w:pPr>
      <w:r w:rsidRPr="00381EC9">
        <w:rPr>
          <w:sz w:val="18"/>
          <w:szCs w:val="18"/>
          <w:lang w:val="en-AU"/>
        </w:rPr>
        <w:t xml:space="preserve">SRW (2014b) </w:t>
      </w:r>
      <w:r w:rsidRPr="00381EC9">
        <w:rPr>
          <w:i/>
          <w:sz w:val="18"/>
          <w:szCs w:val="18"/>
          <w:lang w:val="en-AU"/>
        </w:rPr>
        <w:t xml:space="preserve">Portland Groundwater Catchment Statement. </w:t>
      </w:r>
      <w:r w:rsidR="007901DA" w:rsidRPr="00381EC9">
        <w:rPr>
          <w:sz w:val="18"/>
          <w:szCs w:val="18"/>
          <w:lang w:val="en-AU"/>
        </w:rPr>
        <w:t>Southern Rural Water 19 July 2013</w:t>
      </w:r>
    </w:p>
    <w:p w14:paraId="7DAA0752" w14:textId="77777777" w:rsidR="000C564C" w:rsidRPr="00381EC9" w:rsidRDefault="000C564C" w:rsidP="00381EC9">
      <w:pPr>
        <w:spacing w:after="120"/>
        <w:rPr>
          <w:sz w:val="18"/>
          <w:szCs w:val="18"/>
          <w:lang w:val="en-AU"/>
        </w:rPr>
      </w:pPr>
      <w:r w:rsidRPr="00381EC9">
        <w:rPr>
          <w:sz w:val="18"/>
          <w:szCs w:val="18"/>
          <w:lang w:val="en-AU"/>
        </w:rPr>
        <w:t xml:space="preserve">Woollands, M.A. &amp; Wong, D., (Eds), 2001. </w:t>
      </w:r>
      <w:r w:rsidRPr="00381EC9">
        <w:rPr>
          <w:i/>
          <w:sz w:val="18"/>
          <w:szCs w:val="18"/>
          <w:lang w:val="en-AU"/>
        </w:rPr>
        <w:t xml:space="preserve">Petroleum Atlas of Victoria. </w:t>
      </w:r>
      <w:r w:rsidRPr="00381EC9">
        <w:rPr>
          <w:sz w:val="18"/>
          <w:szCs w:val="18"/>
          <w:lang w:val="en-AU"/>
        </w:rPr>
        <w:t>Department of Natural Resources and Environment</w:t>
      </w:r>
    </w:p>
    <w:p w14:paraId="7DAA0753" w14:textId="77777777" w:rsidR="004546D6" w:rsidRPr="00381EC9" w:rsidRDefault="000C564C" w:rsidP="00381EC9">
      <w:pPr>
        <w:spacing w:after="120"/>
        <w:rPr>
          <w:sz w:val="18"/>
          <w:szCs w:val="18"/>
          <w:lang w:val="en-AU"/>
        </w:rPr>
      </w:pPr>
      <w:r w:rsidRPr="00381EC9">
        <w:rPr>
          <w:sz w:val="18"/>
          <w:szCs w:val="18"/>
          <w:lang w:val="en-AU"/>
        </w:rPr>
        <w:t xml:space="preserve">(BGS 2014) British Geological Survey, National Methane Baseline Survey, http://www.bgs.ac.uk/research/groundwater/shaleGas/methaneBaseline/home.html </w:t>
      </w:r>
    </w:p>
    <w:p w14:paraId="023889C0" w14:textId="48AC99CD" w:rsidR="007912F4" w:rsidRDefault="004546D6">
      <w:pPr>
        <w:rPr>
          <w:lang w:val="en-AU"/>
        </w:rPr>
      </w:pPr>
      <w:r>
        <w:rPr>
          <w:lang w:val="en-AU"/>
        </w:rPr>
        <w:br w:type="page"/>
      </w:r>
    </w:p>
    <w:p w14:paraId="7DAA0755" w14:textId="32DDCE1A" w:rsidR="00313834" w:rsidRPr="000C564C" w:rsidRDefault="001F52E4" w:rsidP="00AF4FC8">
      <w:pPr>
        <w:pStyle w:val="Head1x"/>
        <w:numPr>
          <w:ilvl w:val="0"/>
          <w:numId w:val="0"/>
        </w:numPr>
        <w:ind w:left="851" w:hanging="851"/>
      </w:pPr>
      <w:bookmarkStart w:id="157" w:name="_Toc420327747"/>
      <w:r>
        <w:t>Appendices</w:t>
      </w:r>
      <w:bookmarkEnd w:id="157"/>
    </w:p>
    <w:p w14:paraId="7DAA0756" w14:textId="7D591D17" w:rsidR="004546D6" w:rsidRPr="00313834" w:rsidRDefault="004546D6" w:rsidP="00AF4FC8">
      <w:pPr>
        <w:pStyle w:val="Head2xx"/>
        <w:numPr>
          <w:ilvl w:val="0"/>
          <w:numId w:val="0"/>
        </w:numPr>
        <w:rPr>
          <w:lang w:val="en-US"/>
        </w:rPr>
      </w:pPr>
      <w:bookmarkStart w:id="158" w:name="_Toc420327748"/>
      <w:r w:rsidRPr="00313834">
        <w:t xml:space="preserve">Appendix A. </w:t>
      </w:r>
      <w:r w:rsidR="00F73033">
        <w:t>Standard operating p</w:t>
      </w:r>
      <w:r w:rsidR="000C564C" w:rsidRPr="00313834">
        <w:t>rocedure for groundwater sampling</w:t>
      </w:r>
      <w:r w:rsidR="003005F5">
        <w:t xml:space="preserve"> in the Otway </w:t>
      </w:r>
      <w:r w:rsidR="00E87D28">
        <w:t>region</w:t>
      </w:r>
      <w:bookmarkEnd w:id="158"/>
      <w:r w:rsidRPr="00313834">
        <w:rPr>
          <w:lang w:val="en-US"/>
        </w:rPr>
        <w:br w:type="page"/>
      </w:r>
    </w:p>
    <w:p w14:paraId="25F98245" w14:textId="693DFE02" w:rsidR="00F14BEC" w:rsidRDefault="00F14BEC" w:rsidP="00381EC9">
      <w:pPr>
        <w:pStyle w:val="figurereturn"/>
      </w:pPr>
      <w:r>
        <w:drawing>
          <wp:inline distT="0" distB="0" distL="0" distR="0" wp14:anchorId="6772E3D0" wp14:editId="1A543D2E">
            <wp:extent cx="6119495" cy="83915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a:extLst>
                        <a:ext uri="{28A0092B-C50C-407E-A947-70E740481C1C}">
                          <a14:useLocalDpi xmlns:a14="http://schemas.microsoft.com/office/drawing/2010/main" val="0"/>
                        </a:ext>
                      </a:extLst>
                    </a:blip>
                    <a:srcRect b="3638"/>
                    <a:stretch/>
                  </pic:blipFill>
                  <pic:spPr bwMode="auto">
                    <a:xfrm>
                      <a:off x="0" y="0"/>
                      <a:ext cx="6120130" cy="8392396"/>
                    </a:xfrm>
                    <a:prstGeom prst="rect">
                      <a:avLst/>
                    </a:prstGeom>
                    <a:noFill/>
                    <a:ln>
                      <a:noFill/>
                    </a:ln>
                    <a:extLst>
                      <a:ext uri="{53640926-AAD7-44D8-BBD7-CCE9431645EC}">
                        <a14:shadowObscured xmlns:a14="http://schemas.microsoft.com/office/drawing/2010/main"/>
                      </a:ext>
                    </a:extLst>
                  </pic:spPr>
                </pic:pic>
              </a:graphicData>
            </a:graphic>
          </wp:inline>
        </w:drawing>
      </w:r>
    </w:p>
    <w:p w14:paraId="29F64EE9" w14:textId="5BBF24B5" w:rsidR="00F14BEC" w:rsidRDefault="00F14BEC" w:rsidP="00381EC9">
      <w:pPr>
        <w:pStyle w:val="figurereturn"/>
      </w:pPr>
      <w:r>
        <w:drawing>
          <wp:inline distT="0" distB="0" distL="0" distR="0" wp14:anchorId="03DD2589" wp14:editId="43493020">
            <wp:extent cx="5862918" cy="8470900"/>
            <wp:effectExtent l="0" t="0" r="508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a:extLst>
                        <a:ext uri="{28A0092B-C50C-407E-A947-70E740481C1C}">
                          <a14:useLocalDpi xmlns:a14="http://schemas.microsoft.com/office/drawing/2010/main" val="0"/>
                        </a:ext>
                      </a:extLst>
                    </a:blip>
                    <a:srcRect r="2344"/>
                    <a:stretch/>
                  </pic:blipFill>
                  <pic:spPr bwMode="auto">
                    <a:xfrm>
                      <a:off x="0" y="0"/>
                      <a:ext cx="5867121" cy="8476972"/>
                    </a:xfrm>
                    <a:prstGeom prst="rect">
                      <a:avLst/>
                    </a:prstGeom>
                    <a:noFill/>
                    <a:ln>
                      <a:noFill/>
                    </a:ln>
                    <a:extLst>
                      <a:ext uri="{53640926-AAD7-44D8-BBD7-CCE9431645EC}">
                        <a14:shadowObscured xmlns:a14="http://schemas.microsoft.com/office/drawing/2010/main"/>
                      </a:ext>
                    </a:extLst>
                  </pic:spPr>
                </pic:pic>
              </a:graphicData>
            </a:graphic>
          </wp:inline>
        </w:drawing>
      </w:r>
    </w:p>
    <w:p w14:paraId="549B0FEF" w14:textId="39829683" w:rsidR="00F14BEC" w:rsidRDefault="00F14BEC" w:rsidP="00381EC9">
      <w:pPr>
        <w:pStyle w:val="figurereturn"/>
      </w:pPr>
      <w:r>
        <w:drawing>
          <wp:inline distT="0" distB="0" distL="0" distR="0" wp14:anchorId="102BD499" wp14:editId="15C0F92D">
            <wp:extent cx="5949491" cy="847631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56499" cy="8486294"/>
                    </a:xfrm>
                    <a:prstGeom prst="rect">
                      <a:avLst/>
                    </a:prstGeom>
                    <a:noFill/>
                    <a:ln>
                      <a:noFill/>
                    </a:ln>
                  </pic:spPr>
                </pic:pic>
              </a:graphicData>
            </a:graphic>
          </wp:inline>
        </w:drawing>
      </w:r>
    </w:p>
    <w:p w14:paraId="61D4FF0C" w14:textId="233FD122" w:rsidR="004D2BD5" w:rsidRPr="00381EC9" w:rsidRDefault="00F14BEC" w:rsidP="00381EC9">
      <w:pPr>
        <w:pStyle w:val="figurereturn"/>
      </w:pPr>
      <w:r>
        <w:drawing>
          <wp:inline distT="0" distB="0" distL="0" distR="0" wp14:anchorId="556E4C40" wp14:editId="1FE4C3D9">
            <wp:extent cx="5945658" cy="842441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9547" cy="8429923"/>
                    </a:xfrm>
                    <a:prstGeom prst="rect">
                      <a:avLst/>
                    </a:prstGeom>
                    <a:noFill/>
                    <a:ln>
                      <a:noFill/>
                    </a:ln>
                  </pic:spPr>
                </pic:pic>
              </a:graphicData>
            </a:graphic>
          </wp:inline>
        </w:drawing>
      </w:r>
    </w:p>
    <w:p w14:paraId="609BC333" w14:textId="77777777" w:rsidR="004D2BD5" w:rsidRDefault="004D2BD5" w:rsidP="00482FAA">
      <w:pPr>
        <w:pStyle w:val="figurereturn"/>
      </w:pPr>
      <w:r>
        <w:drawing>
          <wp:inline distT="0" distB="0" distL="0" distR="0" wp14:anchorId="2B0F373C" wp14:editId="647830A9">
            <wp:extent cx="6119924" cy="83724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7">
                      <a:extLst>
                        <a:ext uri="{28A0092B-C50C-407E-A947-70E740481C1C}">
                          <a14:useLocalDpi xmlns:a14="http://schemas.microsoft.com/office/drawing/2010/main" val="0"/>
                        </a:ext>
                      </a:extLst>
                    </a:blip>
                    <a:srcRect b="3569"/>
                    <a:stretch/>
                  </pic:blipFill>
                  <pic:spPr bwMode="auto">
                    <a:xfrm>
                      <a:off x="0" y="0"/>
                      <a:ext cx="6120130" cy="8372757"/>
                    </a:xfrm>
                    <a:prstGeom prst="rect">
                      <a:avLst/>
                    </a:prstGeom>
                    <a:noFill/>
                    <a:ln>
                      <a:noFill/>
                    </a:ln>
                    <a:extLst>
                      <a:ext uri="{53640926-AAD7-44D8-BBD7-CCE9431645EC}">
                        <a14:shadowObscured xmlns:a14="http://schemas.microsoft.com/office/drawing/2010/main"/>
                      </a:ext>
                    </a:extLst>
                  </pic:spPr>
                </pic:pic>
              </a:graphicData>
            </a:graphic>
          </wp:inline>
        </w:drawing>
      </w:r>
    </w:p>
    <w:p w14:paraId="533BC08B" w14:textId="4BD39851" w:rsidR="004D2BD5" w:rsidRDefault="004D2BD5" w:rsidP="00482FAA">
      <w:pPr>
        <w:pStyle w:val="figurereturn"/>
      </w:pPr>
      <w:r>
        <w:drawing>
          <wp:inline distT="0" distB="0" distL="0" distR="0" wp14:anchorId="243CBF0B" wp14:editId="7B2345F0">
            <wp:extent cx="6119702" cy="8382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8">
                      <a:extLst>
                        <a:ext uri="{28A0092B-C50C-407E-A947-70E740481C1C}">
                          <a14:useLocalDpi xmlns:a14="http://schemas.microsoft.com/office/drawing/2010/main" val="0"/>
                        </a:ext>
                      </a:extLst>
                    </a:blip>
                    <a:srcRect b="3657"/>
                    <a:stretch/>
                  </pic:blipFill>
                  <pic:spPr bwMode="auto">
                    <a:xfrm>
                      <a:off x="0" y="0"/>
                      <a:ext cx="6120130" cy="8382586"/>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6C15D504" w14:textId="77777777" w:rsidR="004D2BD5" w:rsidRDefault="004D2BD5" w:rsidP="00482FAA">
      <w:pPr>
        <w:pStyle w:val="figurereturn"/>
      </w:pPr>
      <w:r>
        <w:drawing>
          <wp:inline distT="0" distB="0" distL="0" distR="0" wp14:anchorId="64FD19B3" wp14:editId="63247A23">
            <wp:extent cx="6119924" cy="8382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9">
                      <a:extLst>
                        <a:ext uri="{28A0092B-C50C-407E-A947-70E740481C1C}">
                          <a14:useLocalDpi xmlns:a14="http://schemas.microsoft.com/office/drawing/2010/main" val="0"/>
                        </a:ext>
                      </a:extLst>
                    </a:blip>
                    <a:srcRect b="3460"/>
                    <a:stretch/>
                  </pic:blipFill>
                  <pic:spPr bwMode="auto">
                    <a:xfrm>
                      <a:off x="0" y="0"/>
                      <a:ext cx="6120130" cy="8382282"/>
                    </a:xfrm>
                    <a:prstGeom prst="rect">
                      <a:avLst/>
                    </a:prstGeom>
                    <a:noFill/>
                    <a:ln>
                      <a:noFill/>
                    </a:ln>
                    <a:extLst>
                      <a:ext uri="{53640926-AAD7-44D8-BBD7-CCE9431645EC}">
                        <a14:shadowObscured xmlns:a14="http://schemas.microsoft.com/office/drawing/2010/main"/>
                      </a:ext>
                    </a:extLst>
                  </pic:spPr>
                </pic:pic>
              </a:graphicData>
            </a:graphic>
          </wp:inline>
        </w:drawing>
      </w:r>
    </w:p>
    <w:p w14:paraId="40E6B649" w14:textId="77777777" w:rsidR="004D2BD5" w:rsidRDefault="004D2BD5" w:rsidP="00482FAA">
      <w:pPr>
        <w:pStyle w:val="figurereturn"/>
      </w:pPr>
      <w:r>
        <w:drawing>
          <wp:inline distT="0" distB="0" distL="0" distR="0" wp14:anchorId="2AC46AA7" wp14:editId="63F53181">
            <wp:extent cx="6119754" cy="8315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0">
                      <a:extLst>
                        <a:ext uri="{28A0092B-C50C-407E-A947-70E740481C1C}">
                          <a14:useLocalDpi xmlns:a14="http://schemas.microsoft.com/office/drawing/2010/main" val="0"/>
                        </a:ext>
                      </a:extLst>
                    </a:blip>
                    <a:srcRect b="3841"/>
                    <a:stretch/>
                  </pic:blipFill>
                  <pic:spPr bwMode="auto">
                    <a:xfrm>
                      <a:off x="0" y="0"/>
                      <a:ext cx="6120130" cy="8315836"/>
                    </a:xfrm>
                    <a:prstGeom prst="rect">
                      <a:avLst/>
                    </a:prstGeom>
                    <a:noFill/>
                    <a:ln>
                      <a:noFill/>
                    </a:ln>
                    <a:extLst>
                      <a:ext uri="{53640926-AAD7-44D8-BBD7-CCE9431645EC}">
                        <a14:shadowObscured xmlns:a14="http://schemas.microsoft.com/office/drawing/2010/main"/>
                      </a:ext>
                    </a:extLst>
                  </pic:spPr>
                </pic:pic>
              </a:graphicData>
            </a:graphic>
          </wp:inline>
        </w:drawing>
      </w:r>
    </w:p>
    <w:p w14:paraId="5E35F24D" w14:textId="77777777" w:rsidR="004D2BD5" w:rsidRDefault="004D2BD5" w:rsidP="00482FAA">
      <w:pPr>
        <w:pStyle w:val="figurereturn"/>
      </w:pPr>
      <w:r>
        <w:drawing>
          <wp:inline distT="0" distB="0" distL="0" distR="0" wp14:anchorId="72C68070" wp14:editId="7435BFAE">
            <wp:extent cx="6119754" cy="83439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1">
                      <a:extLst>
                        <a:ext uri="{28A0092B-C50C-407E-A947-70E740481C1C}">
                          <a14:useLocalDpi xmlns:a14="http://schemas.microsoft.com/office/drawing/2010/main" val="0"/>
                        </a:ext>
                      </a:extLst>
                    </a:blip>
                    <a:srcRect b="3510"/>
                    <a:stretch/>
                  </pic:blipFill>
                  <pic:spPr bwMode="auto">
                    <a:xfrm>
                      <a:off x="0" y="0"/>
                      <a:ext cx="6120130" cy="8344412"/>
                    </a:xfrm>
                    <a:prstGeom prst="rect">
                      <a:avLst/>
                    </a:prstGeom>
                    <a:noFill/>
                    <a:ln>
                      <a:noFill/>
                    </a:ln>
                    <a:extLst>
                      <a:ext uri="{53640926-AAD7-44D8-BBD7-CCE9431645EC}">
                        <a14:shadowObscured xmlns:a14="http://schemas.microsoft.com/office/drawing/2010/main"/>
                      </a:ext>
                    </a:extLst>
                  </pic:spPr>
                </pic:pic>
              </a:graphicData>
            </a:graphic>
          </wp:inline>
        </w:drawing>
      </w:r>
    </w:p>
    <w:p w14:paraId="1C04457D" w14:textId="77777777" w:rsidR="004D2BD5" w:rsidRDefault="004D2BD5" w:rsidP="00482FAA">
      <w:pPr>
        <w:pStyle w:val="figurereturn"/>
      </w:pPr>
      <w:r>
        <w:drawing>
          <wp:inline distT="0" distB="0" distL="0" distR="0" wp14:anchorId="687A974C" wp14:editId="5A6D7B20">
            <wp:extent cx="6120088" cy="83534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a:extLst>
                        <a:ext uri="{28A0092B-C50C-407E-A947-70E740481C1C}">
                          <a14:useLocalDpi xmlns:a14="http://schemas.microsoft.com/office/drawing/2010/main" val="0"/>
                        </a:ext>
                      </a:extLst>
                    </a:blip>
                    <a:srcRect b="3598"/>
                    <a:stretch/>
                  </pic:blipFill>
                  <pic:spPr bwMode="auto">
                    <a:xfrm>
                      <a:off x="0" y="0"/>
                      <a:ext cx="6120130" cy="8353482"/>
                    </a:xfrm>
                    <a:prstGeom prst="rect">
                      <a:avLst/>
                    </a:prstGeom>
                    <a:noFill/>
                    <a:ln>
                      <a:noFill/>
                    </a:ln>
                    <a:extLst>
                      <a:ext uri="{53640926-AAD7-44D8-BBD7-CCE9431645EC}">
                        <a14:shadowObscured xmlns:a14="http://schemas.microsoft.com/office/drawing/2010/main"/>
                      </a:ext>
                    </a:extLst>
                  </pic:spPr>
                </pic:pic>
              </a:graphicData>
            </a:graphic>
          </wp:inline>
        </w:drawing>
      </w:r>
    </w:p>
    <w:p w14:paraId="4F1E992A" w14:textId="77777777" w:rsidR="004D2BD5" w:rsidRDefault="004D2BD5" w:rsidP="00482FAA">
      <w:pPr>
        <w:pStyle w:val="figurereturn"/>
      </w:pPr>
      <w:r>
        <w:drawing>
          <wp:inline distT="0" distB="0" distL="0" distR="0" wp14:anchorId="5A77A691" wp14:editId="2B50FCC8">
            <wp:extent cx="6119965" cy="83915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73">
                      <a:extLst>
                        <a:ext uri="{28A0092B-C50C-407E-A947-70E740481C1C}">
                          <a14:useLocalDpi xmlns:a14="http://schemas.microsoft.com/office/drawing/2010/main" val="0"/>
                        </a:ext>
                      </a:extLst>
                    </a:blip>
                    <a:srcRect b="3758"/>
                    <a:stretch/>
                  </pic:blipFill>
                  <pic:spPr bwMode="auto">
                    <a:xfrm>
                      <a:off x="0" y="0"/>
                      <a:ext cx="6120130" cy="8391751"/>
                    </a:xfrm>
                    <a:prstGeom prst="rect">
                      <a:avLst/>
                    </a:prstGeom>
                    <a:noFill/>
                    <a:ln>
                      <a:noFill/>
                    </a:ln>
                    <a:extLst>
                      <a:ext uri="{53640926-AAD7-44D8-BBD7-CCE9431645EC}">
                        <a14:shadowObscured xmlns:a14="http://schemas.microsoft.com/office/drawing/2010/main"/>
                      </a:ext>
                    </a:extLst>
                  </pic:spPr>
                </pic:pic>
              </a:graphicData>
            </a:graphic>
          </wp:inline>
        </w:drawing>
      </w:r>
    </w:p>
    <w:p w14:paraId="6246C44A" w14:textId="1921ECC5" w:rsidR="004D2BD5" w:rsidRDefault="004D2BD5" w:rsidP="00482FAA">
      <w:pPr>
        <w:pStyle w:val="figurereturn"/>
      </w:pPr>
      <w:r>
        <w:drawing>
          <wp:inline distT="0" distB="0" distL="0" distR="0" wp14:anchorId="4CE5B58D" wp14:editId="225FC3A2">
            <wp:extent cx="6120061" cy="83629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4">
                      <a:extLst>
                        <a:ext uri="{28A0092B-C50C-407E-A947-70E740481C1C}">
                          <a14:useLocalDpi xmlns:a14="http://schemas.microsoft.com/office/drawing/2010/main" val="0"/>
                        </a:ext>
                      </a:extLst>
                    </a:blip>
                    <a:srcRect b="3615"/>
                    <a:stretch/>
                  </pic:blipFill>
                  <pic:spPr bwMode="auto">
                    <a:xfrm>
                      <a:off x="0" y="0"/>
                      <a:ext cx="6120130" cy="8363044"/>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7DAA0757" w14:textId="167E6A45" w:rsidR="004546D6" w:rsidRPr="00313834" w:rsidRDefault="004546D6" w:rsidP="00AF4FC8">
      <w:pPr>
        <w:pStyle w:val="Head2xx"/>
        <w:numPr>
          <w:ilvl w:val="0"/>
          <w:numId w:val="0"/>
        </w:numPr>
        <w:rPr>
          <w:lang w:val="en-US"/>
        </w:rPr>
      </w:pPr>
      <w:bookmarkStart w:id="159" w:name="_Toc420327749"/>
      <w:r w:rsidRPr="00313834">
        <w:t xml:space="preserve">Appendix B. </w:t>
      </w:r>
      <w:r w:rsidR="00F73033">
        <w:t>Standard operating p</w:t>
      </w:r>
      <w:r w:rsidR="000C564C" w:rsidRPr="00313834">
        <w:t>rocedure for collection of dissolved gas and groundwater samples from coal seams</w:t>
      </w:r>
      <w:bookmarkEnd w:id="159"/>
      <w:r w:rsidRPr="00313834">
        <w:rPr>
          <w:lang w:val="en-US"/>
        </w:rPr>
        <w:br w:type="page"/>
      </w:r>
    </w:p>
    <w:p w14:paraId="4616D758" w14:textId="77777777" w:rsidR="004D2BD5" w:rsidRDefault="004D2BD5" w:rsidP="00482FAA">
      <w:pPr>
        <w:pStyle w:val="figurereturn"/>
      </w:pPr>
      <w:r>
        <w:drawing>
          <wp:inline distT="0" distB="0" distL="0" distR="0" wp14:anchorId="7144074E" wp14:editId="5F6F2622">
            <wp:extent cx="6120130" cy="8062303"/>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8062303"/>
                    </a:xfrm>
                    <a:prstGeom prst="rect">
                      <a:avLst/>
                    </a:prstGeom>
                    <a:noFill/>
                    <a:ln>
                      <a:noFill/>
                    </a:ln>
                  </pic:spPr>
                </pic:pic>
              </a:graphicData>
            </a:graphic>
          </wp:inline>
        </w:drawing>
      </w:r>
    </w:p>
    <w:p w14:paraId="1E227090" w14:textId="77777777" w:rsidR="004D2BD5" w:rsidRDefault="004D2BD5"/>
    <w:p w14:paraId="4AC383D2" w14:textId="77777777" w:rsidR="004D2BD5" w:rsidRDefault="004D2BD5" w:rsidP="00482FAA">
      <w:pPr>
        <w:pStyle w:val="figurereturn"/>
      </w:pPr>
      <w:r>
        <w:drawing>
          <wp:inline distT="0" distB="0" distL="0" distR="0" wp14:anchorId="75B48CC1" wp14:editId="2255A5BA">
            <wp:extent cx="6120130" cy="80213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20130" cy="8021348"/>
                    </a:xfrm>
                    <a:prstGeom prst="rect">
                      <a:avLst/>
                    </a:prstGeom>
                    <a:noFill/>
                    <a:ln>
                      <a:noFill/>
                    </a:ln>
                  </pic:spPr>
                </pic:pic>
              </a:graphicData>
            </a:graphic>
          </wp:inline>
        </w:drawing>
      </w:r>
    </w:p>
    <w:p w14:paraId="57F4D89F" w14:textId="77777777" w:rsidR="004D2BD5" w:rsidRDefault="004D2BD5"/>
    <w:p w14:paraId="23186BF6" w14:textId="77777777" w:rsidR="004D2BD5" w:rsidRDefault="004D2BD5" w:rsidP="00482FAA">
      <w:pPr>
        <w:pStyle w:val="figurereturn"/>
      </w:pPr>
      <w:r>
        <w:drawing>
          <wp:inline distT="0" distB="0" distL="0" distR="0" wp14:anchorId="0D326CF5" wp14:editId="1707D8E4">
            <wp:extent cx="6120130" cy="800169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130" cy="8001699"/>
                    </a:xfrm>
                    <a:prstGeom prst="rect">
                      <a:avLst/>
                    </a:prstGeom>
                    <a:noFill/>
                    <a:ln>
                      <a:noFill/>
                    </a:ln>
                  </pic:spPr>
                </pic:pic>
              </a:graphicData>
            </a:graphic>
          </wp:inline>
        </w:drawing>
      </w:r>
    </w:p>
    <w:p w14:paraId="43577085" w14:textId="77777777" w:rsidR="004D2BD5" w:rsidRDefault="004D2BD5"/>
    <w:p w14:paraId="7BD4411E" w14:textId="77777777" w:rsidR="004D2BD5" w:rsidRDefault="004D2BD5" w:rsidP="00482FAA">
      <w:pPr>
        <w:pStyle w:val="figurereturn"/>
      </w:pPr>
      <w:r>
        <w:drawing>
          <wp:inline distT="0" distB="0" distL="0" distR="0" wp14:anchorId="5045C280" wp14:editId="24FC3D9C">
            <wp:extent cx="6120130" cy="804458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20130" cy="8044587"/>
                    </a:xfrm>
                    <a:prstGeom prst="rect">
                      <a:avLst/>
                    </a:prstGeom>
                    <a:noFill/>
                    <a:ln>
                      <a:noFill/>
                    </a:ln>
                  </pic:spPr>
                </pic:pic>
              </a:graphicData>
            </a:graphic>
          </wp:inline>
        </w:drawing>
      </w:r>
    </w:p>
    <w:p w14:paraId="728B89FD" w14:textId="77777777" w:rsidR="004D2BD5" w:rsidRDefault="004D2BD5"/>
    <w:p w14:paraId="3A1F34B6" w14:textId="77777777" w:rsidR="004D2BD5" w:rsidRDefault="004D2BD5" w:rsidP="00482FAA">
      <w:pPr>
        <w:pStyle w:val="figurereturn"/>
      </w:pPr>
      <w:r>
        <w:drawing>
          <wp:inline distT="0" distB="0" distL="0" distR="0" wp14:anchorId="43E96062" wp14:editId="728A2E4D">
            <wp:extent cx="6120130" cy="8038344"/>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130" cy="8038344"/>
                    </a:xfrm>
                    <a:prstGeom prst="rect">
                      <a:avLst/>
                    </a:prstGeom>
                    <a:noFill/>
                    <a:ln>
                      <a:noFill/>
                    </a:ln>
                  </pic:spPr>
                </pic:pic>
              </a:graphicData>
            </a:graphic>
          </wp:inline>
        </w:drawing>
      </w:r>
    </w:p>
    <w:p w14:paraId="653CDFEF" w14:textId="77777777" w:rsidR="004D2BD5" w:rsidRDefault="004D2BD5"/>
    <w:p w14:paraId="367CA487" w14:textId="77777777" w:rsidR="004D2BD5" w:rsidRDefault="004D2BD5" w:rsidP="00482FAA">
      <w:pPr>
        <w:pStyle w:val="figurereturn"/>
      </w:pPr>
      <w:r>
        <w:drawing>
          <wp:inline distT="0" distB="0" distL="0" distR="0" wp14:anchorId="60FF0502" wp14:editId="0C8A7379">
            <wp:extent cx="6120130" cy="803162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8031620"/>
                    </a:xfrm>
                    <a:prstGeom prst="rect">
                      <a:avLst/>
                    </a:prstGeom>
                    <a:noFill/>
                    <a:ln>
                      <a:noFill/>
                    </a:ln>
                  </pic:spPr>
                </pic:pic>
              </a:graphicData>
            </a:graphic>
          </wp:inline>
        </w:drawing>
      </w:r>
    </w:p>
    <w:p w14:paraId="04AEFF39" w14:textId="77777777" w:rsidR="004D2BD5" w:rsidRDefault="004D2BD5"/>
    <w:p w14:paraId="6968045A" w14:textId="77777777" w:rsidR="004D2BD5" w:rsidRDefault="004D2BD5" w:rsidP="00482FAA">
      <w:pPr>
        <w:pStyle w:val="figurereturn"/>
      </w:pPr>
      <w:r>
        <w:drawing>
          <wp:inline distT="0" distB="0" distL="0" distR="0" wp14:anchorId="63848FC4" wp14:editId="67CE1E29">
            <wp:extent cx="6120130" cy="806230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130" cy="8062303"/>
                    </a:xfrm>
                    <a:prstGeom prst="rect">
                      <a:avLst/>
                    </a:prstGeom>
                    <a:noFill/>
                    <a:ln>
                      <a:noFill/>
                    </a:ln>
                  </pic:spPr>
                </pic:pic>
              </a:graphicData>
            </a:graphic>
          </wp:inline>
        </w:drawing>
      </w:r>
    </w:p>
    <w:p w14:paraId="689C7E57" w14:textId="77777777" w:rsidR="004D2BD5" w:rsidRDefault="004D2BD5"/>
    <w:p w14:paraId="3DCED32D" w14:textId="77777777" w:rsidR="004D2BD5" w:rsidRDefault="004D2BD5" w:rsidP="00482FAA">
      <w:pPr>
        <w:pStyle w:val="figurereturn"/>
      </w:pPr>
      <w:r>
        <w:drawing>
          <wp:inline distT="0" distB="0" distL="0" distR="0" wp14:anchorId="6AB1DFC9" wp14:editId="6B37268D">
            <wp:extent cx="6120130" cy="800568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8005685"/>
                    </a:xfrm>
                    <a:prstGeom prst="rect">
                      <a:avLst/>
                    </a:prstGeom>
                    <a:noFill/>
                    <a:ln>
                      <a:noFill/>
                    </a:ln>
                  </pic:spPr>
                </pic:pic>
              </a:graphicData>
            </a:graphic>
          </wp:inline>
        </w:drawing>
      </w:r>
    </w:p>
    <w:p w14:paraId="01B311AE" w14:textId="77777777" w:rsidR="004D2BD5" w:rsidRDefault="004D2BD5"/>
    <w:p w14:paraId="6C15F3FF" w14:textId="5001B7B1" w:rsidR="00532F37" w:rsidRDefault="003F40D7" w:rsidP="00482FAA">
      <w:pPr>
        <w:pStyle w:val="figurereturn"/>
        <w:sectPr w:rsidR="00532F37" w:rsidSect="00CA171A">
          <w:pgSz w:w="11906" w:h="16838" w:code="9"/>
          <w:pgMar w:top="2268" w:right="1134" w:bottom="1276" w:left="1134" w:header="567" w:footer="567" w:gutter="0"/>
          <w:cols w:space="708"/>
          <w:titlePg/>
          <w:docGrid w:linePitch="360"/>
        </w:sectPr>
      </w:pPr>
      <w:r>
        <w:drawing>
          <wp:inline distT="0" distB="0" distL="0" distR="0" wp14:anchorId="4F4A1BAE" wp14:editId="464B19CE">
            <wp:extent cx="8100263" cy="585257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16200000">
                      <a:off x="0" y="0"/>
                      <a:ext cx="8098737" cy="5851468"/>
                    </a:xfrm>
                    <a:prstGeom prst="rect">
                      <a:avLst/>
                    </a:prstGeom>
                    <a:noFill/>
                    <a:ln>
                      <a:noFill/>
                    </a:ln>
                  </pic:spPr>
                </pic:pic>
              </a:graphicData>
            </a:graphic>
          </wp:inline>
        </w:drawing>
      </w:r>
      <w:r w:rsidR="00AF4FC8">
        <w:br w:type="page"/>
      </w:r>
    </w:p>
    <w:p w14:paraId="7DAA0758" w14:textId="1D2A6C3D" w:rsidR="000E1728" w:rsidRDefault="004546D6" w:rsidP="00AF4FC8">
      <w:pPr>
        <w:pStyle w:val="Head2xx"/>
        <w:numPr>
          <w:ilvl w:val="0"/>
          <w:numId w:val="0"/>
        </w:numPr>
      </w:pPr>
      <w:bookmarkStart w:id="160" w:name="_Toc420327750"/>
      <w:r>
        <w:t>Appendix C.</w:t>
      </w:r>
      <w:r w:rsidRPr="000C564C">
        <w:t xml:space="preserve"> </w:t>
      </w:r>
      <w:r w:rsidR="00F73033">
        <w:t>Standard operating p</w:t>
      </w:r>
      <w:r w:rsidR="000C564C" w:rsidRPr="000C564C">
        <w:t>rocedure for the deployment and operation of double valve pumps</w:t>
      </w:r>
      <w:bookmarkEnd w:id="160"/>
    </w:p>
    <w:p w14:paraId="49E07796" w14:textId="77777777" w:rsidR="000E1728" w:rsidRDefault="000E1728">
      <w:pPr>
        <w:rPr>
          <w:rFonts w:cs="Arial"/>
          <w:color w:val="AEC12D" w:themeColor="text2"/>
          <w:sz w:val="32"/>
          <w:szCs w:val="32"/>
          <w:lang w:val="en-AU" w:eastAsia="en-US"/>
        </w:rPr>
      </w:pPr>
      <w:r>
        <w:br w:type="page"/>
      </w:r>
    </w:p>
    <w:p w14:paraId="40C71764" w14:textId="021625AD" w:rsidR="00532F37" w:rsidRDefault="003F40D7" w:rsidP="00482FAA">
      <w:pPr>
        <w:pStyle w:val="figurereturn"/>
      </w:pPr>
      <w:r>
        <w:drawing>
          <wp:inline distT="0" distB="0" distL="0" distR="0" wp14:anchorId="3A16AD12" wp14:editId="4A1CF1E9">
            <wp:extent cx="6120130" cy="8056045"/>
            <wp:effectExtent l="0" t="0" r="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8056045"/>
                    </a:xfrm>
                    <a:prstGeom prst="rect">
                      <a:avLst/>
                    </a:prstGeom>
                    <a:noFill/>
                    <a:ln>
                      <a:noFill/>
                    </a:ln>
                  </pic:spPr>
                </pic:pic>
              </a:graphicData>
            </a:graphic>
          </wp:inline>
        </w:drawing>
      </w:r>
    </w:p>
    <w:p w14:paraId="6FD0585F" w14:textId="0F207787" w:rsidR="003F40D7" w:rsidRPr="00482FAA" w:rsidRDefault="003F40D7" w:rsidP="00482FAA">
      <w:pPr>
        <w:pStyle w:val="figurereturn"/>
      </w:pPr>
      <w:r>
        <w:br w:type="page"/>
      </w:r>
      <w:r>
        <w:drawing>
          <wp:inline distT="0" distB="0" distL="0" distR="0" wp14:anchorId="745A42EF" wp14:editId="7240E5DA">
            <wp:extent cx="6120130" cy="8010641"/>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130" cy="8010641"/>
                    </a:xfrm>
                    <a:prstGeom prst="rect">
                      <a:avLst/>
                    </a:prstGeom>
                    <a:noFill/>
                    <a:ln>
                      <a:noFill/>
                    </a:ln>
                  </pic:spPr>
                </pic:pic>
              </a:graphicData>
            </a:graphic>
          </wp:inline>
        </w:drawing>
      </w:r>
    </w:p>
    <w:p w14:paraId="3EBEC984" w14:textId="77777777" w:rsidR="003F40D7" w:rsidRDefault="003F40D7"/>
    <w:p w14:paraId="3845A764" w14:textId="36107021" w:rsidR="003F40D7" w:rsidRDefault="003F40D7" w:rsidP="0045754D">
      <w:pPr>
        <w:pStyle w:val="figurereturn"/>
      </w:pPr>
      <w:r>
        <w:drawing>
          <wp:inline distT="0" distB="0" distL="0" distR="0" wp14:anchorId="1333E262" wp14:editId="2FB8B27C">
            <wp:extent cx="6120130" cy="8029572"/>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130" cy="8029572"/>
                    </a:xfrm>
                    <a:prstGeom prst="rect">
                      <a:avLst/>
                    </a:prstGeom>
                    <a:noFill/>
                    <a:ln>
                      <a:noFill/>
                    </a:ln>
                  </pic:spPr>
                </pic:pic>
              </a:graphicData>
            </a:graphic>
          </wp:inline>
        </w:drawing>
      </w:r>
    </w:p>
    <w:p w14:paraId="5BA40807" w14:textId="77777777" w:rsidR="003F40D7" w:rsidRDefault="003F40D7"/>
    <w:p w14:paraId="3ED4CB3C" w14:textId="13FC9FAF" w:rsidR="003F40D7" w:rsidRDefault="003F40D7" w:rsidP="0045754D">
      <w:pPr>
        <w:pStyle w:val="figurereturn"/>
      </w:pPr>
      <w:r>
        <w:drawing>
          <wp:inline distT="0" distB="0" distL="0" distR="0" wp14:anchorId="21F6E536" wp14:editId="2F1A24E3">
            <wp:extent cx="6120130" cy="8069041"/>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130" cy="8069041"/>
                    </a:xfrm>
                    <a:prstGeom prst="rect">
                      <a:avLst/>
                    </a:prstGeom>
                    <a:noFill/>
                    <a:ln>
                      <a:noFill/>
                    </a:ln>
                  </pic:spPr>
                </pic:pic>
              </a:graphicData>
            </a:graphic>
          </wp:inline>
        </w:drawing>
      </w:r>
    </w:p>
    <w:p w14:paraId="1905EF4F" w14:textId="77777777" w:rsidR="003F40D7" w:rsidRDefault="003F40D7"/>
    <w:p w14:paraId="13BA712F" w14:textId="3ACB0DEF" w:rsidR="003F40D7" w:rsidRDefault="003F40D7" w:rsidP="0045754D">
      <w:pPr>
        <w:pStyle w:val="figurereturn"/>
      </w:pPr>
      <w:r>
        <w:drawing>
          <wp:inline distT="0" distB="0" distL="0" distR="0" wp14:anchorId="14D81AF6" wp14:editId="7B3B3851">
            <wp:extent cx="6120130" cy="8059683"/>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0130" cy="8059683"/>
                    </a:xfrm>
                    <a:prstGeom prst="rect">
                      <a:avLst/>
                    </a:prstGeom>
                    <a:noFill/>
                    <a:ln>
                      <a:noFill/>
                    </a:ln>
                  </pic:spPr>
                </pic:pic>
              </a:graphicData>
            </a:graphic>
          </wp:inline>
        </w:drawing>
      </w:r>
    </w:p>
    <w:p w14:paraId="29EC6407" w14:textId="77777777" w:rsidR="003F40D7" w:rsidRDefault="003F40D7"/>
    <w:p w14:paraId="6CC629E5" w14:textId="322A8E2E" w:rsidR="003F40D7" w:rsidRDefault="003F40D7" w:rsidP="0045754D">
      <w:pPr>
        <w:pStyle w:val="figurereturn"/>
      </w:pPr>
      <w:r w:rsidRPr="0045754D">
        <w:drawing>
          <wp:inline distT="0" distB="0" distL="0" distR="0" wp14:anchorId="2AAE5187" wp14:editId="7B3E2D35">
            <wp:extent cx="6120130" cy="7959315"/>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130" cy="7959315"/>
                    </a:xfrm>
                    <a:prstGeom prst="rect">
                      <a:avLst/>
                    </a:prstGeom>
                    <a:noFill/>
                    <a:ln>
                      <a:noFill/>
                    </a:ln>
                  </pic:spPr>
                </pic:pic>
              </a:graphicData>
            </a:graphic>
          </wp:inline>
        </w:drawing>
      </w:r>
    </w:p>
    <w:p w14:paraId="1B594E35" w14:textId="77777777" w:rsidR="003F40D7" w:rsidRDefault="003F40D7"/>
    <w:p w14:paraId="4C19F5C9" w14:textId="2D15B022" w:rsidR="003F40D7" w:rsidRDefault="003F40D7" w:rsidP="0045754D">
      <w:pPr>
        <w:pStyle w:val="figurereturn"/>
      </w:pPr>
      <w:r>
        <w:drawing>
          <wp:inline distT="0" distB="0" distL="0" distR="0" wp14:anchorId="3CD3B803" wp14:editId="4371EE7C">
            <wp:extent cx="6120130" cy="802489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20130" cy="8024896"/>
                    </a:xfrm>
                    <a:prstGeom prst="rect">
                      <a:avLst/>
                    </a:prstGeom>
                    <a:noFill/>
                    <a:ln>
                      <a:noFill/>
                    </a:ln>
                  </pic:spPr>
                </pic:pic>
              </a:graphicData>
            </a:graphic>
          </wp:inline>
        </w:drawing>
      </w:r>
    </w:p>
    <w:p w14:paraId="04D6D71A" w14:textId="77777777" w:rsidR="003F40D7" w:rsidRDefault="003F40D7"/>
    <w:p w14:paraId="4106C1EF" w14:textId="0FCE1EC9" w:rsidR="003F40D7" w:rsidRDefault="003F40D7" w:rsidP="0045754D">
      <w:pPr>
        <w:pStyle w:val="figurereturn"/>
      </w:pPr>
      <w:r>
        <w:drawing>
          <wp:inline distT="0" distB="0" distL="0" distR="0" wp14:anchorId="542E785F" wp14:editId="6F865F1C">
            <wp:extent cx="6120130" cy="8064279"/>
            <wp:effectExtent l="0" t="0" r="0" b="0"/>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130" cy="8064279"/>
                    </a:xfrm>
                    <a:prstGeom prst="rect">
                      <a:avLst/>
                    </a:prstGeom>
                    <a:noFill/>
                    <a:ln>
                      <a:noFill/>
                    </a:ln>
                  </pic:spPr>
                </pic:pic>
              </a:graphicData>
            </a:graphic>
          </wp:inline>
        </w:drawing>
      </w:r>
    </w:p>
    <w:p w14:paraId="10FBB261" w14:textId="77777777" w:rsidR="003F40D7" w:rsidRDefault="003F40D7"/>
    <w:p w14:paraId="22F6FACC" w14:textId="33607B77" w:rsidR="003F40D7" w:rsidRDefault="003F40D7">
      <w:r>
        <w:rPr>
          <w:noProof/>
          <w:lang w:val="en-AU"/>
        </w:rPr>
        <w:drawing>
          <wp:inline distT="0" distB="0" distL="0" distR="0" wp14:anchorId="4D7EA1DC" wp14:editId="02013085">
            <wp:extent cx="6120130" cy="8071002"/>
            <wp:effectExtent l="0" t="0" r="0" b="635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0130" cy="8071002"/>
                    </a:xfrm>
                    <a:prstGeom prst="rect">
                      <a:avLst/>
                    </a:prstGeom>
                    <a:noFill/>
                    <a:ln>
                      <a:noFill/>
                    </a:ln>
                  </pic:spPr>
                </pic:pic>
              </a:graphicData>
            </a:graphic>
          </wp:inline>
        </w:drawing>
      </w:r>
    </w:p>
    <w:p w14:paraId="41AD6BCC" w14:textId="77777777" w:rsidR="003F40D7" w:rsidRDefault="003F40D7" w:rsidP="0045754D">
      <w:pPr>
        <w:pStyle w:val="figurereturn"/>
        <w:sectPr w:rsidR="003F40D7" w:rsidSect="00482FAA">
          <w:pgSz w:w="11906" w:h="16838" w:code="9"/>
          <w:pgMar w:top="2268" w:right="1134" w:bottom="1276" w:left="1134" w:header="567" w:footer="567" w:gutter="0"/>
          <w:cols w:space="708"/>
          <w:titlePg/>
          <w:docGrid w:linePitch="360"/>
        </w:sectPr>
      </w:pPr>
    </w:p>
    <w:p w14:paraId="25FE7AD3" w14:textId="07272AAA" w:rsidR="00AF4FC8" w:rsidRDefault="000E1728" w:rsidP="00AF4FC8">
      <w:pPr>
        <w:pStyle w:val="Head2xx"/>
        <w:numPr>
          <w:ilvl w:val="0"/>
          <w:numId w:val="0"/>
        </w:numPr>
        <w:ind w:left="851" w:hanging="851"/>
      </w:pPr>
      <w:bookmarkStart w:id="161" w:name="_Toc420327751"/>
      <w:r>
        <w:t xml:space="preserve">Appendix D. </w:t>
      </w:r>
      <w:r w:rsidRPr="000C564C">
        <w:t>Laboratory Results</w:t>
      </w:r>
      <w:bookmarkEnd w:id="161"/>
    </w:p>
    <w:p w14:paraId="65B5C21D" w14:textId="77777777" w:rsidR="00F673E7" w:rsidRDefault="00F673E7" w:rsidP="000E1728">
      <w:pPr>
        <w:pStyle w:val="Head2xx"/>
        <w:numPr>
          <w:ilvl w:val="0"/>
          <w:numId w:val="0"/>
        </w:numPr>
      </w:pPr>
    </w:p>
    <w:p w14:paraId="7DAA0759" w14:textId="77777777" w:rsidR="00957368" w:rsidRDefault="00957368" w:rsidP="00957368">
      <w:pPr>
        <w:rPr>
          <w:lang w:val="en-AU" w:eastAsia="en-US"/>
        </w:rPr>
      </w:pPr>
    </w:p>
    <w:p w14:paraId="7DAA075A" w14:textId="77777777" w:rsidR="00957368" w:rsidRPr="00957368" w:rsidRDefault="00957368" w:rsidP="00957368">
      <w:pPr>
        <w:rPr>
          <w:lang w:val="en-AU" w:eastAsia="en-US"/>
        </w:rPr>
        <w:sectPr w:rsidR="00957368" w:rsidRPr="00957368" w:rsidSect="00D87C3D">
          <w:pgSz w:w="11906" w:h="16838" w:code="9"/>
          <w:pgMar w:top="2268" w:right="1134" w:bottom="1276" w:left="1134" w:header="567" w:footer="567" w:gutter="0"/>
          <w:cols w:space="708"/>
          <w:titlePg/>
          <w:docGrid w:linePitch="360"/>
        </w:sectPr>
      </w:pPr>
    </w:p>
    <w:p w14:paraId="7DAA075C" w14:textId="77777777" w:rsidR="00F673E7" w:rsidRDefault="00F673E7" w:rsidP="00F673E7">
      <w:pPr>
        <w:pStyle w:val="Head2xx"/>
        <w:numPr>
          <w:ilvl w:val="0"/>
          <w:numId w:val="0"/>
        </w:numPr>
        <w:ind w:left="851"/>
      </w:pPr>
    </w:p>
    <w:p w14:paraId="7DAA075D" w14:textId="5570EBF2" w:rsidR="00E6074D" w:rsidRDefault="008E3990" w:rsidP="00D87C3D">
      <w:pPr>
        <w:pStyle w:val="figurereturn"/>
      </w:pPr>
      <w:r w:rsidRPr="008E3990">
        <w:drawing>
          <wp:inline distT="0" distB="0" distL="0" distR="0" wp14:anchorId="03F971D3" wp14:editId="4305ED64">
            <wp:extent cx="11736070" cy="79590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736070" cy="7959090"/>
                    </a:xfrm>
                    <a:prstGeom prst="rect">
                      <a:avLst/>
                    </a:prstGeom>
                    <a:noFill/>
                    <a:ln>
                      <a:noFill/>
                    </a:ln>
                  </pic:spPr>
                </pic:pic>
              </a:graphicData>
            </a:graphic>
          </wp:inline>
        </w:drawing>
      </w:r>
    </w:p>
    <w:p w14:paraId="68187BDA" w14:textId="77777777" w:rsidR="008E3990" w:rsidRDefault="008E3990"/>
    <w:p w14:paraId="0E544B57" w14:textId="2DCE8476" w:rsidR="008E3990" w:rsidRDefault="008E3990" w:rsidP="00D87C3D">
      <w:pPr>
        <w:pStyle w:val="figurereturn"/>
      </w:pPr>
      <w:r w:rsidRPr="008E3990">
        <w:drawing>
          <wp:inline distT="0" distB="0" distL="0" distR="0" wp14:anchorId="00497CED" wp14:editId="35EF0639">
            <wp:extent cx="12061825" cy="79590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2061825" cy="7959090"/>
                    </a:xfrm>
                    <a:prstGeom prst="rect">
                      <a:avLst/>
                    </a:prstGeom>
                    <a:noFill/>
                    <a:ln>
                      <a:noFill/>
                    </a:ln>
                  </pic:spPr>
                </pic:pic>
              </a:graphicData>
            </a:graphic>
          </wp:inline>
        </w:drawing>
      </w:r>
    </w:p>
    <w:p w14:paraId="66BC6ED8" w14:textId="77777777" w:rsidR="008E3990" w:rsidRDefault="008E3990"/>
    <w:p w14:paraId="5FE75883" w14:textId="77777777" w:rsidR="000E1728" w:rsidRDefault="000E1728">
      <w:pPr>
        <w:rPr>
          <w:rFonts w:cs="Arial"/>
          <w:color w:val="AEC12D" w:themeColor="text2"/>
          <w:sz w:val="32"/>
          <w:szCs w:val="32"/>
          <w:lang w:val="en-AU" w:eastAsia="en-US"/>
        </w:rPr>
      </w:pPr>
      <w:r>
        <w:br w:type="page"/>
      </w:r>
    </w:p>
    <w:p w14:paraId="0AAB55BC" w14:textId="31ADFF4E" w:rsidR="000F7284" w:rsidRDefault="000E1728" w:rsidP="00D87C3D">
      <w:pPr>
        <w:pStyle w:val="figurereturn"/>
      </w:pPr>
      <w:r w:rsidRPr="000E1728">
        <w:drawing>
          <wp:inline distT="0" distB="0" distL="0" distR="0" wp14:anchorId="29B9F669" wp14:editId="7AA24451">
            <wp:extent cx="13791631" cy="602932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796273" cy="6031354"/>
                    </a:xfrm>
                    <a:prstGeom prst="rect">
                      <a:avLst/>
                    </a:prstGeom>
                    <a:noFill/>
                    <a:ln>
                      <a:noFill/>
                    </a:ln>
                  </pic:spPr>
                </pic:pic>
              </a:graphicData>
            </a:graphic>
          </wp:inline>
        </w:drawing>
      </w:r>
    </w:p>
    <w:p w14:paraId="7B2822FB" w14:textId="77777777" w:rsidR="00D87C3D" w:rsidRDefault="00D87C3D" w:rsidP="004D6337"/>
    <w:p w14:paraId="4DD2FA9B" w14:textId="77777777" w:rsidR="00D87C3D" w:rsidRDefault="00D87C3D" w:rsidP="004D6337"/>
    <w:p w14:paraId="7DAA09F8" w14:textId="11BFEB1C" w:rsidR="00E6074D" w:rsidRDefault="00E6074D" w:rsidP="004D6337">
      <w:r>
        <w:br w:type="page"/>
      </w:r>
    </w:p>
    <w:p w14:paraId="7DAA09F9" w14:textId="77777777" w:rsidR="00957368" w:rsidRDefault="00957368" w:rsidP="00E6074D">
      <w:pPr>
        <w:spacing w:after="0" w:line="240" w:lineRule="auto"/>
        <w:sectPr w:rsidR="00957368" w:rsidSect="00A17263">
          <w:pgSz w:w="23814" w:h="16840" w:orient="landscape" w:code="8"/>
          <w:pgMar w:top="1701" w:right="1134" w:bottom="1276" w:left="1134" w:header="567" w:footer="567" w:gutter="0"/>
          <w:cols w:space="708"/>
          <w:titlePg/>
          <w:docGrid w:linePitch="360"/>
        </w:sectPr>
      </w:pPr>
    </w:p>
    <w:p w14:paraId="25122A98" w14:textId="77777777" w:rsidR="001304F2" w:rsidRPr="00DF4D67" w:rsidRDefault="001304F2" w:rsidP="001304F2"/>
    <w:p w14:paraId="44F8C4DD" w14:textId="77777777" w:rsidR="001304F2" w:rsidRPr="00DF4D67" w:rsidRDefault="001304F2" w:rsidP="001304F2"/>
    <w:p w14:paraId="16A51C3E" w14:textId="77777777" w:rsidR="001304F2" w:rsidRDefault="001304F2" w:rsidP="001304F2"/>
    <w:p w14:paraId="573934B6" w14:textId="77777777" w:rsidR="001304F2" w:rsidRPr="00DF4D67" w:rsidRDefault="001304F2" w:rsidP="001304F2"/>
    <w:p w14:paraId="48A8212E" w14:textId="77777777" w:rsidR="001304F2" w:rsidRPr="00DF4D67" w:rsidRDefault="001304F2" w:rsidP="001304F2"/>
    <w:p w14:paraId="750DAD3C" w14:textId="77777777" w:rsidR="001304F2" w:rsidRPr="00DF4D67" w:rsidRDefault="001304F2" w:rsidP="001304F2"/>
    <w:p w14:paraId="28BBDA99" w14:textId="77777777" w:rsidR="001304F2" w:rsidRPr="00DF4D67" w:rsidRDefault="001304F2" w:rsidP="001304F2"/>
    <w:p w14:paraId="49BDE68A" w14:textId="77777777" w:rsidR="001304F2" w:rsidRPr="00DF4D67" w:rsidRDefault="001304F2" w:rsidP="001304F2"/>
    <w:p w14:paraId="15421680" w14:textId="77777777" w:rsidR="001304F2" w:rsidRPr="00DF4D67" w:rsidRDefault="001304F2" w:rsidP="001304F2"/>
    <w:p w14:paraId="2365E23A" w14:textId="77777777" w:rsidR="001304F2" w:rsidRDefault="001304F2" w:rsidP="001304F2"/>
    <w:p w14:paraId="53C962E5" w14:textId="77777777" w:rsidR="0025405F" w:rsidRDefault="0025405F" w:rsidP="001304F2"/>
    <w:p w14:paraId="6FE3C7BA" w14:textId="77777777" w:rsidR="0025405F" w:rsidRDefault="0025405F" w:rsidP="001304F2"/>
    <w:p w14:paraId="107210ED" w14:textId="77777777" w:rsidR="0025405F" w:rsidRDefault="0025405F" w:rsidP="001304F2"/>
    <w:p w14:paraId="03000C39" w14:textId="77777777" w:rsidR="0025405F" w:rsidRDefault="0025405F" w:rsidP="001304F2"/>
    <w:p w14:paraId="33E19C0F" w14:textId="77777777" w:rsidR="0025405F" w:rsidRDefault="0025405F" w:rsidP="001304F2"/>
    <w:p w14:paraId="712CAB83" w14:textId="77777777" w:rsidR="0025405F" w:rsidRDefault="0025405F" w:rsidP="001304F2"/>
    <w:p w14:paraId="59BCBD0B" w14:textId="77777777" w:rsidR="0025405F" w:rsidRDefault="0025405F" w:rsidP="001304F2"/>
    <w:p w14:paraId="16A4879D" w14:textId="77777777" w:rsidR="001304F2" w:rsidRDefault="001304F2" w:rsidP="001304F2"/>
    <w:p w14:paraId="692639A1" w14:textId="77777777" w:rsidR="0025405F" w:rsidRPr="003B3310" w:rsidRDefault="0025405F" w:rsidP="0025405F">
      <w:pPr>
        <w:autoSpaceDE w:val="0"/>
        <w:autoSpaceDN w:val="0"/>
        <w:adjustRightInd w:val="0"/>
        <w:spacing w:after="320" w:line="240" w:lineRule="auto"/>
        <w:rPr>
          <w:rFonts w:cstheme="minorHAnsi"/>
          <w:color w:val="000000"/>
          <w:sz w:val="16"/>
          <w:szCs w:val="16"/>
        </w:rPr>
      </w:pPr>
      <w:r w:rsidRPr="003B3310">
        <w:rPr>
          <w:rFonts w:cstheme="minorHAnsi"/>
          <w:noProof/>
          <w:color w:val="000000"/>
          <w:sz w:val="16"/>
          <w:szCs w:val="16"/>
          <w:lang w:val="en-AU"/>
        </w:rPr>
        <w:drawing>
          <wp:anchor distT="0" distB="0" distL="144145" distR="144145" simplePos="0" relativeHeight="251661312" behindDoc="1" locked="0" layoutInCell="1" allowOverlap="1" wp14:anchorId="0BEF5E8B" wp14:editId="790AC20D">
            <wp:simplePos x="0" y="0"/>
            <wp:positionH relativeFrom="column">
              <wp:posOffset>-635</wp:posOffset>
            </wp:positionH>
            <wp:positionV relativeFrom="paragraph">
              <wp:posOffset>180975</wp:posOffset>
            </wp:positionV>
            <wp:extent cx="809625" cy="282575"/>
            <wp:effectExtent l="0" t="0" r="9525" b="3175"/>
            <wp:wrapTight wrapText="bothSides">
              <wp:wrapPolygon edited="0">
                <wp:start x="0" y="0"/>
                <wp:lineTo x="0" y="20387"/>
                <wp:lineTo x="21346" y="20387"/>
                <wp:lineTo x="2134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09625" cy="282575"/>
                    </a:xfrm>
                    <a:prstGeom prst="rect">
                      <a:avLst/>
                    </a:prstGeom>
                  </pic:spPr>
                </pic:pic>
              </a:graphicData>
            </a:graphic>
            <wp14:sizeRelH relativeFrom="page">
              <wp14:pctWidth>0</wp14:pctWidth>
            </wp14:sizeRelH>
            <wp14:sizeRelV relativeFrom="page">
              <wp14:pctHeight>0</wp14:pctHeight>
            </wp14:sizeRelV>
          </wp:anchor>
        </w:drawing>
      </w:r>
      <w:r w:rsidRPr="003B3310">
        <w:rPr>
          <w:rFonts w:cstheme="minorHAnsi"/>
          <w:color w:val="000000"/>
          <w:sz w:val="16"/>
          <w:szCs w:val="16"/>
        </w:rPr>
        <w:t>© The State of Victoria Department of Environment, Land, Water &amp; Planning 2015</w:t>
      </w:r>
    </w:p>
    <w:p w14:paraId="7A7DB3F8" w14:textId="77777777" w:rsidR="0025405F" w:rsidRPr="003B3310" w:rsidRDefault="0025405F" w:rsidP="0025405F">
      <w:pPr>
        <w:autoSpaceDE w:val="0"/>
        <w:autoSpaceDN w:val="0"/>
        <w:adjustRightInd w:val="0"/>
        <w:spacing w:after="120" w:line="240" w:lineRule="auto"/>
        <w:rPr>
          <w:rFonts w:cstheme="minorHAnsi"/>
          <w:color w:val="000000"/>
          <w:sz w:val="16"/>
          <w:szCs w:val="16"/>
        </w:rPr>
      </w:pPr>
    </w:p>
    <w:p w14:paraId="436E332B" w14:textId="77777777" w:rsidR="0025405F" w:rsidRPr="003B3310" w:rsidRDefault="0025405F" w:rsidP="0025405F">
      <w:pPr>
        <w:autoSpaceDE w:val="0"/>
        <w:autoSpaceDN w:val="0"/>
        <w:adjustRightInd w:val="0"/>
        <w:spacing w:after="0" w:line="240" w:lineRule="auto"/>
        <w:rPr>
          <w:rFonts w:ascii="Calibri" w:hAnsi="Calibri" w:cs="Calibri"/>
          <w:color w:val="000000"/>
          <w:sz w:val="16"/>
          <w:szCs w:val="16"/>
        </w:rPr>
      </w:pPr>
      <w:r w:rsidRPr="003B3310">
        <w:rPr>
          <w:rFonts w:ascii="Calibri" w:hAnsi="Calibri" w:cs="Calibri"/>
          <w:color w:val="000000"/>
          <w:sz w:val="16"/>
          <w:szCs w:val="16"/>
        </w:rPr>
        <w:t xml:space="preserve">This work is licensed under a </w:t>
      </w:r>
      <w:hyperlink r:id="rId97" w:history="1">
        <w:r w:rsidRPr="003B3310">
          <w:rPr>
            <w:rFonts w:ascii="Calibri" w:hAnsi="Calibri" w:cs="Calibri"/>
            <w:color w:val="0000FF"/>
            <w:sz w:val="16"/>
            <w:szCs w:val="16"/>
            <w:u w:val="single"/>
          </w:rPr>
          <w:t>Creative Commons Attribution 4.0 International licence</w:t>
        </w:r>
      </w:hyperlink>
      <w:r w:rsidRPr="003B3310">
        <w:rPr>
          <w:rFonts w:ascii="Calibri" w:hAnsi="Calibri" w:cs="Calibri"/>
          <w:color w:val="000000"/>
          <w:sz w:val="16"/>
          <w:szCs w:val="16"/>
        </w:rPr>
        <w:t xml:space="preserv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98" w:history="1">
        <w:r w:rsidRPr="003B3310">
          <w:rPr>
            <w:rFonts w:ascii="Calibri" w:hAnsi="Calibri" w:cs="Calibri"/>
            <w:color w:val="0000FF"/>
            <w:sz w:val="16"/>
            <w:szCs w:val="16"/>
            <w:u w:val="single"/>
          </w:rPr>
          <w:t>http://creativecommons.org/licenses/by/4.0/</w:t>
        </w:r>
      </w:hyperlink>
    </w:p>
    <w:p w14:paraId="75ADDF0C" w14:textId="77777777" w:rsidR="0025405F" w:rsidRPr="0025405F" w:rsidRDefault="0025405F" w:rsidP="0025405F">
      <w:pPr>
        <w:autoSpaceDE w:val="0"/>
        <w:autoSpaceDN w:val="0"/>
        <w:adjustRightInd w:val="0"/>
        <w:spacing w:after="0" w:line="240" w:lineRule="auto"/>
        <w:rPr>
          <w:rFonts w:ascii="Calibri" w:hAnsi="Calibri" w:cs="Calibri"/>
          <w:sz w:val="16"/>
          <w:szCs w:val="16"/>
        </w:rPr>
      </w:pPr>
    </w:p>
    <w:p w14:paraId="2A52B4D0" w14:textId="0326045F" w:rsidR="0025405F" w:rsidRPr="0025405F" w:rsidRDefault="0025405F" w:rsidP="0025405F">
      <w:pPr>
        <w:autoSpaceDE w:val="0"/>
        <w:autoSpaceDN w:val="0"/>
        <w:adjustRightInd w:val="0"/>
        <w:spacing w:after="0" w:line="240" w:lineRule="auto"/>
        <w:rPr>
          <w:rFonts w:cstheme="minorHAnsi"/>
          <w:sz w:val="16"/>
          <w:szCs w:val="16"/>
        </w:rPr>
      </w:pPr>
      <w:r w:rsidRPr="0025405F">
        <w:rPr>
          <w:rFonts w:cstheme="minorHAnsi"/>
          <w:sz w:val="16"/>
          <w:szCs w:val="16"/>
        </w:rPr>
        <w:t>ISBN 978-1-74146-623-2 (pdf)</w:t>
      </w:r>
    </w:p>
    <w:p w14:paraId="41EF6727" w14:textId="77777777" w:rsidR="0025405F" w:rsidRPr="0025405F" w:rsidRDefault="0025405F" w:rsidP="0025405F">
      <w:pPr>
        <w:autoSpaceDE w:val="0"/>
        <w:autoSpaceDN w:val="0"/>
        <w:adjustRightInd w:val="0"/>
        <w:spacing w:after="0" w:line="240" w:lineRule="auto"/>
        <w:rPr>
          <w:rFonts w:cstheme="minorHAnsi"/>
          <w:sz w:val="16"/>
          <w:szCs w:val="16"/>
        </w:rPr>
      </w:pPr>
    </w:p>
    <w:p w14:paraId="185529F9" w14:textId="77777777" w:rsidR="0025405F" w:rsidRPr="003B3310" w:rsidRDefault="0025405F" w:rsidP="0025405F">
      <w:pPr>
        <w:autoSpaceDE w:val="0"/>
        <w:autoSpaceDN w:val="0"/>
        <w:adjustRightInd w:val="0"/>
        <w:spacing w:after="80" w:line="240" w:lineRule="auto"/>
        <w:rPr>
          <w:rFonts w:cstheme="minorHAnsi"/>
          <w:b/>
          <w:bCs/>
          <w:color w:val="000000"/>
          <w:sz w:val="16"/>
          <w:szCs w:val="16"/>
        </w:rPr>
      </w:pPr>
      <w:r w:rsidRPr="003B3310">
        <w:rPr>
          <w:rFonts w:cstheme="minorHAnsi"/>
          <w:b/>
          <w:bCs/>
          <w:color w:val="000000"/>
          <w:sz w:val="16"/>
          <w:szCs w:val="16"/>
        </w:rPr>
        <w:t xml:space="preserve">Accessibility </w:t>
      </w:r>
    </w:p>
    <w:p w14:paraId="1637F107" w14:textId="4DB72B77" w:rsidR="0025405F" w:rsidRPr="003B3310" w:rsidRDefault="0025405F" w:rsidP="0025405F">
      <w:pPr>
        <w:autoSpaceDE w:val="0"/>
        <w:autoSpaceDN w:val="0"/>
        <w:adjustRightInd w:val="0"/>
        <w:spacing w:after="120" w:line="240" w:lineRule="auto"/>
        <w:rPr>
          <w:rFonts w:cstheme="minorHAnsi"/>
          <w:color w:val="000000"/>
          <w:sz w:val="16"/>
          <w:szCs w:val="16"/>
        </w:rPr>
      </w:pPr>
      <w:r w:rsidRPr="003B3310">
        <w:rPr>
          <w:rFonts w:cstheme="minorHAnsi"/>
          <w:color w:val="000000"/>
          <w:sz w:val="16"/>
          <w:szCs w:val="16"/>
        </w:rPr>
        <w:t xml:space="preserve">If you would like to receive this publication in an alternative format, please telephone the DELWP Customer Service  Centre on 136186, email </w:t>
      </w:r>
      <w:hyperlink r:id="rId99" w:history="1">
        <w:r w:rsidRPr="003B3310">
          <w:rPr>
            <w:rStyle w:val="Hyperlink"/>
            <w:rFonts w:cstheme="minorHAnsi"/>
            <w:sz w:val="16"/>
            <w:szCs w:val="16"/>
          </w:rPr>
          <w:t>customer.service@delwp.vic.gov.au</w:t>
        </w:r>
      </w:hyperlink>
      <w:r w:rsidRPr="003B3310">
        <w:rPr>
          <w:rFonts w:cstheme="minorHAnsi"/>
          <w:color w:val="000000"/>
          <w:sz w:val="16"/>
          <w:szCs w:val="16"/>
        </w:rPr>
        <w:t xml:space="preserve"> </w:t>
      </w:r>
      <w:r w:rsidRPr="003B3310">
        <w:rPr>
          <w:rFonts w:cstheme="minorHAnsi"/>
          <w:sz w:val="16"/>
          <w:szCs w:val="16"/>
        </w:rPr>
        <w:t xml:space="preserve">or </w:t>
      </w:r>
      <w:r w:rsidRPr="003B3310">
        <w:rPr>
          <w:rFonts w:cstheme="minorHAnsi"/>
          <w:color w:val="000000"/>
          <w:sz w:val="16"/>
          <w:szCs w:val="16"/>
        </w:rPr>
        <w:t xml:space="preserve">via the National Relay Service on 133 677  </w:t>
      </w:r>
      <w:hyperlink r:id="rId100" w:history="1">
        <w:r w:rsidRPr="003B3310">
          <w:rPr>
            <w:rFonts w:cstheme="minorHAnsi"/>
            <w:color w:val="0000FF"/>
            <w:sz w:val="16"/>
            <w:szCs w:val="16"/>
            <w:u w:val="single"/>
          </w:rPr>
          <w:t>www.relayservice.com.au</w:t>
        </w:r>
      </w:hyperlink>
      <w:r w:rsidRPr="003B3310">
        <w:rPr>
          <w:rFonts w:cstheme="minorHAnsi"/>
          <w:color w:val="000000"/>
          <w:sz w:val="16"/>
          <w:szCs w:val="16"/>
        </w:rPr>
        <w:t xml:space="preserve">. This document is also available on the internet at </w:t>
      </w:r>
      <w:hyperlink r:id="rId101" w:history="1">
        <w:r w:rsidR="00BD60CC" w:rsidRPr="00BD60CC">
          <w:rPr>
            <w:color w:val="0000FF"/>
            <w:sz w:val="16"/>
            <w:szCs w:val="16"/>
            <w:u w:val="single"/>
          </w:rPr>
          <w:t>www.onshoregas.vic.gov.au</w:t>
        </w:r>
      </w:hyperlink>
    </w:p>
    <w:p w14:paraId="7B265C87" w14:textId="77777777" w:rsidR="0025405F" w:rsidRPr="003B3310" w:rsidRDefault="0025405F" w:rsidP="0025405F">
      <w:pPr>
        <w:autoSpaceDE w:val="0"/>
        <w:autoSpaceDN w:val="0"/>
        <w:adjustRightInd w:val="0"/>
        <w:spacing w:after="0" w:line="240" w:lineRule="auto"/>
        <w:rPr>
          <w:rFonts w:cstheme="minorHAnsi"/>
          <w:color w:val="000000"/>
          <w:sz w:val="16"/>
          <w:szCs w:val="16"/>
        </w:rPr>
      </w:pPr>
    </w:p>
    <w:p w14:paraId="09B88FB9" w14:textId="77777777" w:rsidR="0025405F" w:rsidRPr="003B3310" w:rsidRDefault="0025405F" w:rsidP="0025405F">
      <w:pPr>
        <w:autoSpaceDE w:val="0"/>
        <w:autoSpaceDN w:val="0"/>
        <w:adjustRightInd w:val="0"/>
        <w:spacing w:after="80" w:line="240" w:lineRule="auto"/>
        <w:rPr>
          <w:rFonts w:cstheme="minorHAnsi"/>
          <w:b/>
          <w:bCs/>
          <w:color w:val="000000"/>
          <w:sz w:val="16"/>
          <w:szCs w:val="16"/>
        </w:rPr>
      </w:pPr>
      <w:r w:rsidRPr="003B3310">
        <w:rPr>
          <w:rFonts w:cstheme="minorHAnsi"/>
          <w:b/>
          <w:bCs/>
          <w:color w:val="000000"/>
          <w:sz w:val="16"/>
          <w:szCs w:val="16"/>
        </w:rPr>
        <w:t>Disclaimer</w:t>
      </w:r>
    </w:p>
    <w:p w14:paraId="40F362E2" w14:textId="086E563F" w:rsidR="001304F2" w:rsidRDefault="0025405F" w:rsidP="0025405F">
      <w:r w:rsidRPr="003B3310">
        <w:rPr>
          <w:rFonts w:cstheme="minorHAnsi"/>
          <w:color w:val="000000"/>
          <w:sz w:val="16"/>
          <w:szCs w:val="16"/>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54255191" w14:textId="77777777" w:rsidR="001304F2" w:rsidRDefault="001304F2" w:rsidP="001304F2"/>
    <w:sectPr w:rsidR="001304F2" w:rsidSect="00A17263">
      <w:headerReference w:type="default" r:id="rId102"/>
      <w:footerReference w:type="default" r:id="rId103"/>
      <w:headerReference w:type="first" r:id="rId104"/>
      <w:footerReference w:type="first" r:id="rId105"/>
      <w:pgSz w:w="11906" w:h="16838" w:code="9"/>
      <w:pgMar w:top="2268" w:right="1134" w:bottom="1276"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55F48B1" w14:textId="77777777" w:rsidR="00E85FF4" w:rsidRDefault="00E85FF4" w:rsidP="0060631A">
      <w:r>
        <w:separator/>
      </w:r>
    </w:p>
  </w:endnote>
  <w:endnote w:type="continuationSeparator" w:id="0">
    <w:p w14:paraId="458F81AB" w14:textId="77777777" w:rsidR="00E85FF4" w:rsidRDefault="00E85FF4" w:rsidP="006063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Museo Sans 100">
    <w:altName w:val="Arial"/>
    <w:panose1 w:val="00000000000000000000"/>
    <w:charset w:val="00"/>
    <w:family w:val="modern"/>
    <w:notTrueType/>
    <w:pitch w:val="variable"/>
    <w:sig w:usb0="A00000AF" w:usb1="4000004A" w:usb2="00000000" w:usb3="00000000" w:csb0="00000093"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auto"/>
    <w:pitch w:val="variable"/>
    <w:sig w:usb0="00000007" w:usb1="00000000" w:usb2="00000000" w:usb3="00000000" w:csb0="00000011" w:csb1="00000000"/>
  </w:font>
  <w:font w:name="Frutiger 45 Light">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charset w:val="00"/>
    <w:family w:val="auto"/>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6C" w14:textId="77777777" w:rsidR="002102AA" w:rsidRDefault="002102AA" w:rsidP="00E07803">
    <w:pPr>
      <w:pStyle w:val="Footer"/>
    </w:pPr>
    <w:r w:rsidRPr="00004500">
      <w:rPr>
        <w:noProof/>
        <w:lang w:val="en-AU"/>
      </w:rPr>
      <w:drawing>
        <wp:anchor distT="0" distB="0" distL="114300" distR="114300" simplePos="0" relativeHeight="251637248" behindDoc="1" locked="1" layoutInCell="1" allowOverlap="1" wp14:anchorId="7DAA0C8D" wp14:editId="7DAA0C8E">
          <wp:simplePos x="0" y="0"/>
          <wp:positionH relativeFrom="page">
            <wp:posOffset>6000750</wp:posOffset>
          </wp:positionH>
          <wp:positionV relativeFrom="paragraph">
            <wp:posOffset>82550</wp:posOffset>
          </wp:positionV>
          <wp:extent cx="781050" cy="457200"/>
          <wp:effectExtent l="0" t="0" r="0" b="0"/>
          <wp:wrapNone/>
          <wp:docPr id="22" name="Picture 22" descr="DSDBI word template footer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DBI word template footer right"/>
                  <pic:cNvPicPr>
                    <a:picLocks noChangeAspect="1" noChangeArrowheads="1"/>
                  </pic:cNvPicPr>
                </pic:nvPicPr>
                <pic:blipFill rotWithShape="1">
                  <a:blip r:embed="rId1">
                    <a:extLst>
                      <a:ext uri="{28A0092B-C50C-407E-A947-70E740481C1C}">
                        <a14:useLocalDpi xmlns:a14="http://schemas.microsoft.com/office/drawing/2010/main" val="0"/>
                      </a:ext>
                    </a:extLst>
                  </a:blip>
                  <a:srcRect l="86695" t="17496" r="2914" b="26516"/>
                  <a:stretch/>
                </pic:blipFill>
                <pic:spPr bwMode="auto">
                  <a:xfrm>
                    <a:off x="0" y="0"/>
                    <a:ext cx="781050" cy="45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4"/>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6E" w14:textId="77777777" w:rsidR="002102AA" w:rsidRDefault="002102AA" w:rsidP="00E07803">
    <w:pPr>
      <w:pStyle w:val="Footer"/>
    </w:pPr>
    <w:r>
      <w:rPr>
        <w:noProof/>
        <w:color w:val="7F7F7F" w:themeColor="accent4"/>
        <w:lang w:val="en-AU"/>
      </w:rPr>
      <w:drawing>
        <wp:anchor distT="0" distB="0" distL="114300" distR="114300" simplePos="0" relativeHeight="251717120" behindDoc="0" locked="0" layoutInCell="1" allowOverlap="1" wp14:anchorId="7DAA0C8F" wp14:editId="7DAA0C90">
          <wp:simplePos x="0" y="0"/>
          <wp:positionH relativeFrom="page">
            <wp:posOffset>6192520</wp:posOffset>
          </wp:positionH>
          <wp:positionV relativeFrom="page">
            <wp:posOffset>10070465</wp:posOffset>
          </wp:positionV>
          <wp:extent cx="648000" cy="3672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GV Insignia PMS541.jpg"/>
                  <pic:cNvPicPr/>
                </pic:nvPicPr>
                <pic:blipFill>
                  <a:blip r:embed="rId1">
                    <a:extLst>
                      <a:ext uri="{28A0092B-C50C-407E-A947-70E740481C1C}">
                        <a14:useLocalDpi xmlns:a14="http://schemas.microsoft.com/office/drawing/2010/main" val="0"/>
                      </a:ext>
                    </a:extLst>
                  </a:blip>
                  <a:stretch>
                    <a:fillRect/>
                  </a:stretch>
                </pic:blipFill>
                <pic:spPr>
                  <a:xfrm>
                    <a:off x="0" y="0"/>
                    <a:ext cx="648000" cy="3672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74" w14:textId="37FA7E6E" w:rsidR="002102AA" w:rsidRPr="00345FB6" w:rsidRDefault="002102AA" w:rsidP="00345FB6">
    <w:pPr>
      <w:pStyle w:val="Footer"/>
      <w:rPr>
        <w:rStyle w:val="PageNumber"/>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8403255"/>
      <w:docPartObj>
        <w:docPartGallery w:val="Page Numbers (Bottom of Page)"/>
        <w:docPartUnique/>
      </w:docPartObj>
    </w:sdtPr>
    <w:sdtEndPr>
      <w:rPr>
        <w:rStyle w:val="PageNumber"/>
        <w:color w:val="auto"/>
      </w:rPr>
    </w:sdtEndPr>
    <w:sdtContent>
      <w:p w14:paraId="7DAA0C76" w14:textId="399A37D3" w:rsidR="002102AA" w:rsidRDefault="002102AA" w:rsidP="00EC40D5">
        <w:pPr>
          <w:pStyle w:val="Footer"/>
        </w:pPr>
        <w:r>
          <w:t>Otway region groundwater sampling and characterisation for hydrocarbons</w:t>
        </w:r>
      </w:p>
      <w:p w14:paraId="7DAA0C77" w14:textId="77777777" w:rsidR="002102AA" w:rsidRPr="00956A06" w:rsidRDefault="002102AA" w:rsidP="00724FC4">
        <w:pPr>
          <w:pStyle w:val="Footer"/>
          <w:rPr>
            <w:rStyle w:val="PageNumber"/>
          </w:rPr>
        </w:pPr>
        <w:r w:rsidRPr="00956A06">
          <w:rPr>
            <w:rStyle w:val="PageNumber"/>
          </w:rPr>
          <w:fldChar w:fldCharType="begin"/>
        </w:r>
        <w:r w:rsidRPr="00956A06">
          <w:rPr>
            <w:rStyle w:val="PageNumber"/>
          </w:rPr>
          <w:instrText xml:space="preserve"> PAGE   \* MERGEFORMAT </w:instrText>
        </w:r>
        <w:r w:rsidRPr="00956A06">
          <w:rPr>
            <w:rStyle w:val="PageNumber"/>
          </w:rPr>
          <w:fldChar w:fldCharType="separate"/>
        </w:r>
        <w:r w:rsidR="00BD60CC">
          <w:rPr>
            <w:rStyle w:val="PageNumber"/>
            <w:noProof/>
          </w:rPr>
          <w:t>19</w:t>
        </w:r>
        <w:r w:rsidRPr="00956A06">
          <w:rPr>
            <w:rStyle w:val="PageNumber"/>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4705078"/>
      <w:docPartObj>
        <w:docPartGallery w:val="Page Numbers (Bottom of Page)"/>
        <w:docPartUnique/>
      </w:docPartObj>
    </w:sdtPr>
    <w:sdtEndPr>
      <w:rPr>
        <w:rStyle w:val="PageNumber"/>
        <w:color w:val="000000"/>
      </w:rPr>
    </w:sdtEndPr>
    <w:sdtContent>
      <w:p w14:paraId="3F3D5CA6" w14:textId="39858A70" w:rsidR="002102AA" w:rsidRDefault="002102AA" w:rsidP="00EC40D5">
        <w:pPr>
          <w:pStyle w:val="Footer"/>
        </w:pPr>
        <w:r>
          <w:t>Otway region groundwater sampling and characterisation for hydrocarbons</w:t>
        </w:r>
      </w:p>
      <w:p w14:paraId="301817C2" w14:textId="0112757C" w:rsidR="002102AA" w:rsidRPr="00345FB6" w:rsidRDefault="002102AA" w:rsidP="00345FB6">
        <w:pPr>
          <w:pStyle w:val="Footer"/>
          <w:rPr>
            <w:rStyle w:val="PageNumber"/>
          </w:rPr>
        </w:pPr>
        <w:r w:rsidRPr="00956A06">
          <w:rPr>
            <w:rStyle w:val="PageNumber"/>
          </w:rPr>
          <w:fldChar w:fldCharType="begin"/>
        </w:r>
        <w:r w:rsidRPr="00956A06">
          <w:rPr>
            <w:rStyle w:val="PageNumber"/>
          </w:rPr>
          <w:instrText xml:space="preserve"> PAGE   \* MERGEFORMAT </w:instrText>
        </w:r>
        <w:r w:rsidRPr="00956A06">
          <w:rPr>
            <w:rStyle w:val="PageNumber"/>
          </w:rPr>
          <w:fldChar w:fldCharType="separate"/>
        </w:r>
        <w:r w:rsidR="00B91643">
          <w:rPr>
            <w:rStyle w:val="PageNumber"/>
            <w:noProof/>
          </w:rPr>
          <w:t>1</w:t>
        </w:r>
        <w:r w:rsidRPr="00956A06">
          <w:rPr>
            <w:rStyle w:val="PageNumber"/>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80" w14:textId="77777777" w:rsidR="002102AA" w:rsidRDefault="002102A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13607C" w14:textId="77777777" w:rsidR="00AF7EA2" w:rsidRDefault="00AF7EA2" w:rsidP="00AF7EA2">
    <w:pPr>
      <w:pStyle w:val="Footer"/>
    </w:pPr>
    <w:r>
      <w:t>Otway region groundwater sampling and characterisation for hydrocarbons</w:t>
    </w:r>
  </w:p>
  <w:p w14:paraId="7DAA0C86" w14:textId="77777777" w:rsidR="002102AA" w:rsidRPr="00345FB6" w:rsidRDefault="002102AA">
    <w:pPr>
      <w:pStyle w:val="Footer"/>
      <w:rPr>
        <w:b/>
        <w:color w:val="auto"/>
      </w:rPr>
    </w:pPr>
    <w:r w:rsidRPr="00345FB6">
      <w:rPr>
        <w:b/>
        <w:color w:val="auto"/>
      </w:rPr>
      <w:fldChar w:fldCharType="begin"/>
    </w:r>
    <w:r w:rsidRPr="00345FB6">
      <w:rPr>
        <w:color w:val="auto"/>
      </w:rPr>
      <w:instrText xml:space="preserve"> PAGE   \* MERGEFORMAT </w:instrText>
    </w:r>
    <w:r w:rsidRPr="00345FB6">
      <w:rPr>
        <w:b/>
        <w:color w:val="auto"/>
      </w:rPr>
      <w:fldChar w:fldCharType="separate"/>
    </w:r>
    <w:r w:rsidR="00BD60CC">
      <w:rPr>
        <w:noProof/>
        <w:color w:val="auto"/>
      </w:rPr>
      <w:t>59</w:t>
    </w:r>
    <w:r w:rsidRPr="00345FB6">
      <w:rPr>
        <w:b/>
        <w:noProof/>
        <w:color w:val="auto"/>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8A" w14:textId="77777777" w:rsidR="002102AA" w:rsidRPr="00345FB6" w:rsidRDefault="002102AA" w:rsidP="00345FB6">
    <w:pPr>
      <w:pStyle w:val="Footer"/>
      <w:rPr>
        <w:rStyle w:val="PageNumber"/>
        <w:color w:val="005A97"/>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8C" w14:textId="77777777" w:rsidR="002102AA" w:rsidRPr="00C253B0" w:rsidRDefault="002102AA" w:rsidP="00E07803">
    <w:pPr>
      <w:pStyle w:val="Footer"/>
      <w:rPr>
        <w:rStyle w:val="PageNumber"/>
        <w:color w:val="2A77B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822AA3" w14:textId="77777777" w:rsidR="00E85FF4" w:rsidRDefault="00E85FF4" w:rsidP="0060631A">
      <w:r>
        <w:separator/>
      </w:r>
    </w:p>
  </w:footnote>
  <w:footnote w:type="continuationSeparator" w:id="0">
    <w:p w14:paraId="2338E5AC" w14:textId="77777777" w:rsidR="00E85FF4" w:rsidRDefault="00E85FF4" w:rsidP="006063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6B" w14:textId="69D55920" w:rsidR="002102AA" w:rsidRPr="00960250" w:rsidRDefault="002102AA" w:rsidP="00960250">
    <w:pPr>
      <w:pStyle w:val="Heading2"/>
      <w:rPr>
        <w:rStyle w:val="Heading2Char"/>
      </w:rPr>
    </w:pPr>
    <w:r>
      <w:rPr>
        <w:rStyle w:val="Heading2Char"/>
      </w:rPr>
      <w:t xml:space="preserve">Onshore natural gas </w:t>
    </w:r>
    <w:r w:rsidRPr="00960250">
      <w:rPr>
        <w:rStyle w:val="Heading2Char"/>
      </w:rPr>
      <w:t>water science studies</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7D" w14:textId="40BFA0F1" w:rsidR="002102AA" w:rsidRPr="00960250" w:rsidRDefault="002102AA" w:rsidP="00960250">
    <w:pPr>
      <w:pStyle w:val="Heading2"/>
      <w:rPr>
        <w:rStyle w:val="Heading2Char"/>
      </w:rPr>
    </w:pPr>
    <w:r>
      <w:rPr>
        <w:rStyle w:val="Heading2Char"/>
      </w:rPr>
      <w:t xml:space="preserve">Onshore natural gas </w:t>
    </w:r>
    <w:r w:rsidRPr="00960250">
      <w:rPr>
        <w:rStyle w:val="Heading2Char"/>
      </w:rPr>
      <w:t>water science studies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7E" w14:textId="77777777" w:rsidR="002102AA" w:rsidRPr="00956A06" w:rsidRDefault="002102AA" w:rsidP="00957368">
    <w:pPr>
      <w:pStyle w:val="Reportseriestitleinsidepages"/>
      <w:spacing w:before="300" w:after="200"/>
      <w:ind w:right="3"/>
    </w:pPr>
    <w:r>
      <w:rPr>
        <w:rStyle w:val="Heading2Char"/>
        <w:color w:val="7F7F7F" w:themeColor="accent4"/>
        <w:sz w:val="28"/>
      </w:rPr>
      <w:t>Onshore natural gas water science studies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7F" w14:textId="77777777" w:rsidR="002102AA" w:rsidRDefault="002102AA">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2102AA" w:rsidRPr="00037461" w14:paraId="7DAA0C83" w14:textId="77777777" w:rsidTr="00F673E7">
      <w:trPr>
        <w:cantSplit/>
        <w:trHeight w:hRule="exact" w:val="1134"/>
      </w:trPr>
      <w:tc>
        <w:tcPr>
          <w:tcW w:w="6804" w:type="dxa"/>
          <w:shd w:val="clear" w:color="auto" w:fill="auto"/>
          <w:vAlign w:val="center"/>
        </w:tcPr>
        <w:p w14:paraId="7DAA0C81" w14:textId="77777777" w:rsidR="002102AA" w:rsidRPr="00037461" w:rsidRDefault="002102AA" w:rsidP="00F673E7">
          <w:pPr>
            <w:pStyle w:val="Header"/>
          </w:pPr>
          <w:r w:rsidRPr="00032A0D">
            <w:rPr>
              <w:noProof/>
              <w:lang w:val="en-AU"/>
            </w:rPr>
            <w:drawing>
              <wp:anchor distT="0" distB="0" distL="114300" distR="114300" simplePos="0" relativeHeight="251658240" behindDoc="1" locked="0" layoutInCell="0" allowOverlap="1" wp14:anchorId="7DAA0C91" wp14:editId="7DAA0C92">
                <wp:simplePos x="0" y="0"/>
                <wp:positionH relativeFrom="page">
                  <wp:posOffset>720090</wp:posOffset>
                </wp:positionH>
                <wp:positionV relativeFrom="page">
                  <wp:posOffset>360045</wp:posOffset>
                </wp:positionV>
                <wp:extent cx="4320000" cy="720000"/>
                <wp:effectExtent l="0" t="0" r="4445" b="4445"/>
                <wp:wrapNone/>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STYLEREF  "Document Title"  \* MERGEFORMAT </w:instrText>
          </w:r>
          <w:r>
            <w:fldChar w:fldCharType="separate"/>
          </w:r>
          <w:r w:rsidR="00BD60CC">
            <w:rPr>
              <w:b/>
              <w:bCs/>
              <w:noProof/>
              <w:lang w:val="en-US"/>
            </w:rPr>
            <w:t>Error! No text of specified style in document.</w:t>
          </w:r>
          <w:r>
            <w:rPr>
              <w:noProof/>
            </w:rPr>
            <w:fldChar w:fldCharType="end"/>
          </w:r>
        </w:p>
      </w:tc>
      <w:tc>
        <w:tcPr>
          <w:tcW w:w="3119" w:type="dxa"/>
          <w:shd w:val="clear" w:color="auto" w:fill="auto"/>
          <w:vAlign w:val="center"/>
        </w:tcPr>
        <w:p w14:paraId="7DAA0C82" w14:textId="77777777" w:rsidR="002102AA" w:rsidRPr="00037461" w:rsidRDefault="002102AA" w:rsidP="00F673E7">
          <w:pPr>
            <w:pStyle w:val="Bodynarrow"/>
          </w:pPr>
        </w:p>
      </w:tc>
    </w:tr>
  </w:tbl>
  <w:p w14:paraId="7DAA0C84" w14:textId="77777777" w:rsidR="002102AA" w:rsidRPr="00907910" w:rsidRDefault="002102AA" w:rsidP="00F673E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87" w14:textId="7001AA8D" w:rsidR="002102AA" w:rsidRPr="00960250" w:rsidRDefault="002102AA" w:rsidP="00960250">
    <w:pPr>
      <w:pStyle w:val="Heading2"/>
      <w:rPr>
        <w:rStyle w:val="Heading2Char"/>
      </w:rPr>
    </w:pPr>
    <w:r>
      <w:rPr>
        <w:rStyle w:val="Heading2Char"/>
      </w:rPr>
      <w:t xml:space="preserve">Onshore natural gas </w:t>
    </w:r>
    <w:r w:rsidRPr="00960250">
      <w:rPr>
        <w:rStyle w:val="Heading2Char"/>
      </w:rPr>
      <w:t>water science studies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88" w14:textId="77777777" w:rsidR="002102AA" w:rsidRPr="00960250" w:rsidRDefault="002102AA" w:rsidP="00A17263">
    <w:pPr>
      <w:pStyle w:val="Heading2"/>
      <w:rPr>
        <w:rStyle w:val="Heading2Char"/>
      </w:rPr>
    </w:pPr>
    <w:r w:rsidRPr="00960250">
      <w:rPr>
        <w:rStyle w:val="Heading2Char"/>
      </w:rPr>
      <w:t>Onshore natural gas water science studies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89" w14:textId="77777777" w:rsidR="002102AA" w:rsidRPr="00ED5019" w:rsidRDefault="002102AA" w:rsidP="00ED5019">
    <w:pPr>
      <w:pStyle w:val="Reportseriestitleinsidepages"/>
      <w:spacing w:before="300" w:after="200"/>
      <w:ind w:right="282"/>
      <w:rPr>
        <w:rStyle w:val="Heading2Char"/>
        <w:bCs/>
        <w:iCs/>
        <w:color w:val="7F7F7F" w:themeColor="accent4"/>
        <w:sz w:val="28"/>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8B" w14:textId="77777777" w:rsidR="002102AA" w:rsidRPr="00C253B0" w:rsidRDefault="002102AA" w:rsidP="00C253B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6D" w14:textId="56553C47" w:rsidR="002102AA" w:rsidRDefault="002102AA" w:rsidP="002760D3">
    <w:pPr>
      <w:pStyle w:val="Reportseriestitle"/>
      <w:spacing w:before="300"/>
    </w:pPr>
    <w:r>
      <w:rPr>
        <w:rStyle w:val="Heading2Char"/>
      </w:rPr>
      <w:t xml:space="preserve">Onshore natural gas </w:t>
    </w:r>
    <w:r w:rsidRPr="00A0039E">
      <w:rPr>
        <w:rStyle w:val="Heading2Char"/>
      </w:rPr>
      <w:t>water science studies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72" w14:textId="132BE2A9" w:rsidR="002102AA" w:rsidRPr="00960250" w:rsidRDefault="002102AA" w:rsidP="00960250">
    <w:pPr>
      <w:pStyle w:val="Heading2"/>
      <w:rPr>
        <w:rStyle w:val="Heading2Char"/>
      </w:rPr>
    </w:pPr>
    <w:r>
      <w:rPr>
        <w:rStyle w:val="Heading2Char"/>
      </w:rPr>
      <w:t xml:space="preserve">Onshore natural gas </w:t>
    </w:r>
    <w:r w:rsidRPr="00960250">
      <w:rPr>
        <w:rStyle w:val="Heading2Char"/>
      </w:rPr>
      <w:t>water science studies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75" w14:textId="3121FACD" w:rsidR="002102AA" w:rsidRPr="00960250" w:rsidRDefault="002102AA" w:rsidP="00960250">
    <w:pPr>
      <w:pStyle w:val="Heading2"/>
      <w:rPr>
        <w:rStyle w:val="Heading2Char"/>
      </w:rPr>
    </w:pPr>
    <w:r>
      <w:rPr>
        <w:rStyle w:val="Heading2Char"/>
      </w:rPr>
      <w:t xml:space="preserve">Onshore natural gas </w:t>
    </w:r>
    <w:r w:rsidRPr="00960250">
      <w:rPr>
        <w:rStyle w:val="Heading2Char"/>
      </w:rPr>
      <w:t>water science studies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78" w14:textId="77777777" w:rsidR="002102AA" w:rsidRPr="00956A06" w:rsidRDefault="002102AA" w:rsidP="004F0E33">
    <w:pPr>
      <w:pStyle w:val="Reportseriestitleinsidepages"/>
      <w:spacing w:before="300" w:after="200"/>
      <w:ind w:right="3"/>
    </w:pPr>
    <w:r>
      <w:rPr>
        <w:rStyle w:val="Heading2Char"/>
        <w:color w:val="7F7F7F" w:themeColor="accent4"/>
        <w:sz w:val="28"/>
      </w:rPr>
      <w:t>Onshore natural gas water science studies</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79" w14:textId="1FF22D15" w:rsidR="002102AA" w:rsidRPr="00960250" w:rsidRDefault="002102AA" w:rsidP="00960250">
    <w:pPr>
      <w:pStyle w:val="Heading2"/>
      <w:rPr>
        <w:rStyle w:val="Heading2Char"/>
      </w:rPr>
    </w:pPr>
    <w:r>
      <w:rPr>
        <w:rStyle w:val="Heading2Char"/>
      </w:rPr>
      <w:t xml:space="preserve">Onshore natural gas </w:t>
    </w:r>
    <w:r w:rsidRPr="00960250">
      <w:rPr>
        <w:rStyle w:val="Heading2Char"/>
      </w:rPr>
      <w:t>water science studies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7A" w14:textId="77777777" w:rsidR="002102AA" w:rsidRPr="00957368" w:rsidRDefault="002102AA" w:rsidP="00957368">
    <w:pPr>
      <w:pStyle w:val="Reportseriestitleinsidepages"/>
      <w:spacing w:before="300" w:after="200"/>
      <w:ind w:right="3"/>
      <w:rPr>
        <w:rStyle w:val="Heading2Char"/>
        <w:color w:val="7F7F7F" w:themeColor="accent5" w:themeTint="80"/>
      </w:rPr>
    </w:pPr>
    <w:r>
      <w:rPr>
        <w:rStyle w:val="Heading2Char"/>
        <w:color w:val="7F7F7F" w:themeColor="accent4"/>
        <w:sz w:val="28"/>
      </w:rPr>
      <w:t>Onshore natural gas water science studies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7B" w14:textId="77777777" w:rsidR="002102AA" w:rsidRPr="00956A06" w:rsidRDefault="002102AA" w:rsidP="00957368">
    <w:pPr>
      <w:pStyle w:val="Reportseriestitleinsidepages"/>
      <w:spacing w:before="300" w:after="200"/>
      <w:ind w:right="3"/>
    </w:pPr>
    <w:r>
      <w:rPr>
        <w:rStyle w:val="Heading2Char"/>
        <w:color w:val="7F7F7F" w:themeColor="accent4"/>
        <w:sz w:val="28"/>
      </w:rPr>
      <w:t>Onshore natural gas water science studies</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A0C7C" w14:textId="77777777" w:rsidR="002102AA" w:rsidRPr="00960250" w:rsidRDefault="002102AA" w:rsidP="0078722D">
    <w:pPr>
      <w:pStyle w:val="Heading2"/>
      <w:rPr>
        <w:rStyle w:val="Heading2Char"/>
      </w:rPr>
    </w:pPr>
    <w:r w:rsidRPr="00960250">
      <w:rPr>
        <w:rStyle w:val="Heading2Char"/>
      </w:rPr>
      <w:t>Onshore natural gas water science studies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00E14"/>
    <w:multiLevelType w:val="multilevel"/>
    <w:tmpl w:val="6098423A"/>
    <w:styleLink w:val="SKMTablesmallitem"/>
    <w:lvl w:ilvl="0">
      <w:start w:val="1"/>
      <w:numFmt w:val="decimal"/>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1" w15:restartNumberingAfterBreak="0">
    <w:nsid w:val="05D44D75"/>
    <w:multiLevelType w:val="multilevel"/>
    <w:tmpl w:val="AFFCFCD6"/>
    <w:styleLink w:val="SKMNumberedList2"/>
    <w:lvl w:ilvl="0">
      <w:start w:val="1"/>
      <w:numFmt w:val="lowerLetter"/>
      <w:pStyle w:val="Para0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2" w15:restartNumberingAfterBreak="0">
    <w:nsid w:val="07C845CD"/>
    <w:multiLevelType w:val="hybridMultilevel"/>
    <w:tmpl w:val="43206D3A"/>
    <w:lvl w:ilvl="0" w:tplc="D7264788">
      <w:start w:val="1"/>
      <w:numFmt w:val="bullet"/>
      <w:pStyle w:val="B110after"/>
      <w:lvlText w:val=""/>
      <w:lvlJc w:val="left"/>
      <w:pPr>
        <w:tabs>
          <w:tab w:val="num" w:pos="1260"/>
        </w:tabs>
        <w:ind w:left="1260" w:hanging="360"/>
      </w:pPr>
      <w:rPr>
        <w:rFonts w:ascii="Symbol" w:hAnsi="Symbol" w:hint="default"/>
        <w:b/>
        <w:i w:val="0"/>
        <w:color w:val="auto"/>
      </w:rPr>
    </w:lvl>
    <w:lvl w:ilvl="1" w:tplc="0C090003">
      <w:start w:val="1"/>
      <w:numFmt w:val="bullet"/>
      <w:lvlText w:val="o"/>
      <w:lvlJc w:val="left"/>
      <w:pPr>
        <w:tabs>
          <w:tab w:val="num" w:pos="1440"/>
        </w:tabs>
        <w:ind w:left="1440" w:hanging="360"/>
      </w:pPr>
      <w:rPr>
        <w:rFonts w:ascii="Courier New" w:hAnsi="Courier New"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Arial"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Arial"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CF0B20"/>
    <w:multiLevelType w:val="hybridMultilevel"/>
    <w:tmpl w:val="54BADBDC"/>
    <w:lvl w:ilvl="0" w:tplc="092C556A">
      <w:start w:val="1"/>
      <w:numFmt w:val="bullet"/>
      <w:pStyle w:val="ContentBulletsArrow"/>
      <w:lvlText w:val="&gt;"/>
      <w:lvlJc w:val="left"/>
      <w:pPr>
        <w:ind w:left="4298" w:hanging="851"/>
      </w:pPr>
      <w:rPr>
        <w:rFonts w:ascii="Arial" w:hAnsi="Arial" w:hint="default"/>
      </w:rPr>
    </w:lvl>
    <w:lvl w:ilvl="1" w:tplc="04090003" w:tentative="1">
      <w:start w:val="1"/>
      <w:numFmt w:val="bullet"/>
      <w:lvlText w:val="o"/>
      <w:lvlJc w:val="left"/>
      <w:pPr>
        <w:ind w:left="5171" w:hanging="360"/>
      </w:pPr>
      <w:rPr>
        <w:rFonts w:ascii="Courier New" w:hAnsi="Courier New" w:hint="default"/>
      </w:rPr>
    </w:lvl>
    <w:lvl w:ilvl="2" w:tplc="04090005" w:tentative="1">
      <w:start w:val="1"/>
      <w:numFmt w:val="bullet"/>
      <w:lvlText w:val=""/>
      <w:lvlJc w:val="left"/>
      <w:pPr>
        <w:ind w:left="5891" w:hanging="360"/>
      </w:pPr>
      <w:rPr>
        <w:rFonts w:ascii="Wingdings" w:hAnsi="Wingdings" w:hint="default"/>
      </w:rPr>
    </w:lvl>
    <w:lvl w:ilvl="3" w:tplc="04090001" w:tentative="1">
      <w:start w:val="1"/>
      <w:numFmt w:val="bullet"/>
      <w:lvlText w:val=""/>
      <w:lvlJc w:val="left"/>
      <w:pPr>
        <w:ind w:left="6611" w:hanging="360"/>
      </w:pPr>
      <w:rPr>
        <w:rFonts w:ascii="Symbol" w:hAnsi="Symbol" w:hint="default"/>
      </w:rPr>
    </w:lvl>
    <w:lvl w:ilvl="4" w:tplc="04090003" w:tentative="1">
      <w:start w:val="1"/>
      <w:numFmt w:val="bullet"/>
      <w:lvlText w:val="o"/>
      <w:lvlJc w:val="left"/>
      <w:pPr>
        <w:ind w:left="7331" w:hanging="360"/>
      </w:pPr>
      <w:rPr>
        <w:rFonts w:ascii="Courier New" w:hAnsi="Courier New" w:hint="default"/>
      </w:rPr>
    </w:lvl>
    <w:lvl w:ilvl="5" w:tplc="04090005" w:tentative="1">
      <w:start w:val="1"/>
      <w:numFmt w:val="bullet"/>
      <w:lvlText w:val=""/>
      <w:lvlJc w:val="left"/>
      <w:pPr>
        <w:ind w:left="8051" w:hanging="360"/>
      </w:pPr>
      <w:rPr>
        <w:rFonts w:ascii="Wingdings" w:hAnsi="Wingdings" w:hint="default"/>
      </w:rPr>
    </w:lvl>
    <w:lvl w:ilvl="6" w:tplc="04090001" w:tentative="1">
      <w:start w:val="1"/>
      <w:numFmt w:val="bullet"/>
      <w:lvlText w:val=""/>
      <w:lvlJc w:val="left"/>
      <w:pPr>
        <w:ind w:left="8771" w:hanging="360"/>
      </w:pPr>
      <w:rPr>
        <w:rFonts w:ascii="Symbol" w:hAnsi="Symbol" w:hint="default"/>
      </w:rPr>
    </w:lvl>
    <w:lvl w:ilvl="7" w:tplc="04090003" w:tentative="1">
      <w:start w:val="1"/>
      <w:numFmt w:val="bullet"/>
      <w:lvlText w:val="o"/>
      <w:lvlJc w:val="left"/>
      <w:pPr>
        <w:ind w:left="9491" w:hanging="360"/>
      </w:pPr>
      <w:rPr>
        <w:rFonts w:ascii="Courier New" w:hAnsi="Courier New" w:hint="default"/>
      </w:rPr>
    </w:lvl>
    <w:lvl w:ilvl="8" w:tplc="04090005" w:tentative="1">
      <w:start w:val="1"/>
      <w:numFmt w:val="bullet"/>
      <w:lvlText w:val=""/>
      <w:lvlJc w:val="left"/>
      <w:pPr>
        <w:ind w:left="10211" w:hanging="360"/>
      </w:pPr>
      <w:rPr>
        <w:rFonts w:ascii="Wingdings" w:hAnsi="Wingdings" w:hint="default"/>
      </w:rPr>
    </w:lvl>
  </w:abstractNum>
  <w:abstractNum w:abstractNumId="4" w15:restartNumberingAfterBreak="0">
    <w:nsid w:val="09E53B47"/>
    <w:multiLevelType w:val="hybridMultilevel"/>
    <w:tmpl w:val="255CAABC"/>
    <w:lvl w:ilvl="0" w:tplc="14CC1B92">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0329A8"/>
    <w:multiLevelType w:val="multilevel"/>
    <w:tmpl w:val="0C090025"/>
    <w:lvl w:ilvl="0">
      <w:start w:val="1"/>
      <w:numFmt w:val="decimal"/>
      <w:pStyle w:val="Heading1"/>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15:restartNumberingAfterBreak="0">
    <w:nsid w:val="0CE307CD"/>
    <w:multiLevelType w:val="hybridMultilevel"/>
    <w:tmpl w:val="0570D7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FA97530"/>
    <w:multiLevelType w:val="multilevel"/>
    <w:tmpl w:val="9A9A8116"/>
    <w:styleLink w:val="SKMSmallTableNumberedList1"/>
    <w:lvl w:ilvl="0">
      <w:start w:val="1"/>
      <w:numFmt w:val="decimal"/>
      <w:pStyle w:val="Tablesmall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8" w15:restartNumberingAfterBreak="0">
    <w:nsid w:val="112A2B08"/>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13D220C7"/>
    <w:multiLevelType w:val="multilevel"/>
    <w:tmpl w:val="3BA44F1A"/>
    <w:numStyleLink w:val="SKMTableList1"/>
  </w:abstractNum>
  <w:abstractNum w:abstractNumId="10" w15:restartNumberingAfterBreak="0">
    <w:nsid w:val="15156EB2"/>
    <w:multiLevelType w:val="multilevel"/>
    <w:tmpl w:val="AAF86D54"/>
    <w:styleLink w:val="SKM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11" w15:restartNumberingAfterBreak="0">
    <w:nsid w:val="17C10C25"/>
    <w:multiLevelType w:val="multilevel"/>
    <w:tmpl w:val="1DA0C402"/>
    <w:styleLink w:val="SKMBulletList1"/>
    <w:lvl w:ilvl="0">
      <w:start w:val="1"/>
      <w:numFmt w:val="bullet"/>
      <w:lvlText w:val=""/>
      <w:lvlJc w:val="left"/>
      <w:pPr>
        <w:ind w:left="425" w:hanging="425"/>
      </w:pPr>
      <w:rPr>
        <w:rFonts w:ascii="Symbol" w:hAnsi="Symbol" w:hint="default"/>
        <w:color w:val="auto"/>
        <w:sz w:val="18"/>
      </w:rPr>
    </w:lvl>
    <w:lvl w:ilvl="1">
      <w:start w:val="1"/>
      <w:numFmt w:val="bullet"/>
      <w:lvlText w:val="-"/>
      <w:lvlJc w:val="left"/>
      <w:pPr>
        <w:ind w:left="851" w:hanging="426"/>
      </w:pPr>
      <w:rPr>
        <w:rFonts w:ascii="Arial" w:hAnsi="Arial" w:hint="default"/>
        <w:color w:val="005A97"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2" w15:restartNumberingAfterBreak="0">
    <w:nsid w:val="1B096FA1"/>
    <w:multiLevelType w:val="hybridMultilevel"/>
    <w:tmpl w:val="9EBC1D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EFA1E83"/>
    <w:multiLevelType w:val="hybridMultilevel"/>
    <w:tmpl w:val="30B0540C"/>
    <w:lvl w:ilvl="0" w:tplc="880E0E60">
      <w:start w:val="1"/>
      <w:numFmt w:val="bullet"/>
      <w:lvlText w:val=""/>
      <w:lvlJc w:val="left"/>
      <w:pPr>
        <w:tabs>
          <w:tab w:val="num" w:pos="1080"/>
        </w:tabs>
        <w:ind w:left="1080" w:hanging="360"/>
      </w:pPr>
      <w:rPr>
        <w:rFonts w:ascii="Symbol" w:hAnsi="Symbol" w:hint="default"/>
      </w:rPr>
    </w:lvl>
    <w:lvl w:ilvl="1" w:tplc="DD9C5018">
      <w:start w:val="1"/>
      <w:numFmt w:val="bullet"/>
      <w:lvlText w:val="o"/>
      <w:lvlJc w:val="left"/>
      <w:pPr>
        <w:tabs>
          <w:tab w:val="num" w:pos="360"/>
        </w:tabs>
        <w:ind w:left="360" w:hanging="360"/>
      </w:pPr>
      <w:rPr>
        <w:rFonts w:ascii="Courier New" w:hAnsi="Courier New" w:cs="Arial" w:hint="default"/>
      </w:rPr>
    </w:lvl>
    <w:lvl w:ilvl="2" w:tplc="0C090005">
      <w:start w:val="1"/>
      <w:numFmt w:val="bullet"/>
      <w:lvlText w:val=""/>
      <w:lvlJc w:val="left"/>
      <w:pPr>
        <w:tabs>
          <w:tab w:val="num" w:pos="1080"/>
        </w:tabs>
        <w:ind w:left="1080" w:hanging="360"/>
      </w:pPr>
      <w:rPr>
        <w:rFonts w:ascii="Wingdings" w:hAnsi="Wingdings" w:hint="default"/>
      </w:rPr>
    </w:lvl>
    <w:lvl w:ilvl="3" w:tplc="0C090001" w:tentative="1">
      <w:start w:val="1"/>
      <w:numFmt w:val="bullet"/>
      <w:lvlText w:val=""/>
      <w:lvlJc w:val="left"/>
      <w:pPr>
        <w:tabs>
          <w:tab w:val="num" w:pos="1800"/>
        </w:tabs>
        <w:ind w:left="1800" w:hanging="360"/>
      </w:pPr>
      <w:rPr>
        <w:rFonts w:ascii="Symbol" w:hAnsi="Symbol" w:hint="default"/>
      </w:rPr>
    </w:lvl>
    <w:lvl w:ilvl="4" w:tplc="0C090003" w:tentative="1">
      <w:start w:val="1"/>
      <w:numFmt w:val="bullet"/>
      <w:lvlText w:val="o"/>
      <w:lvlJc w:val="left"/>
      <w:pPr>
        <w:tabs>
          <w:tab w:val="num" w:pos="2520"/>
        </w:tabs>
        <w:ind w:left="2520" w:hanging="360"/>
      </w:pPr>
      <w:rPr>
        <w:rFonts w:ascii="Courier New" w:hAnsi="Courier New" w:cs="Arial" w:hint="default"/>
      </w:rPr>
    </w:lvl>
    <w:lvl w:ilvl="5" w:tplc="0C090005" w:tentative="1">
      <w:start w:val="1"/>
      <w:numFmt w:val="bullet"/>
      <w:lvlText w:val=""/>
      <w:lvlJc w:val="left"/>
      <w:pPr>
        <w:tabs>
          <w:tab w:val="num" w:pos="3240"/>
        </w:tabs>
        <w:ind w:left="3240" w:hanging="360"/>
      </w:pPr>
      <w:rPr>
        <w:rFonts w:ascii="Wingdings" w:hAnsi="Wingdings" w:hint="default"/>
      </w:rPr>
    </w:lvl>
    <w:lvl w:ilvl="6" w:tplc="0C090001" w:tentative="1">
      <w:start w:val="1"/>
      <w:numFmt w:val="bullet"/>
      <w:lvlText w:val=""/>
      <w:lvlJc w:val="left"/>
      <w:pPr>
        <w:tabs>
          <w:tab w:val="num" w:pos="3960"/>
        </w:tabs>
        <w:ind w:left="3960" w:hanging="360"/>
      </w:pPr>
      <w:rPr>
        <w:rFonts w:ascii="Symbol" w:hAnsi="Symbol" w:hint="default"/>
      </w:rPr>
    </w:lvl>
    <w:lvl w:ilvl="7" w:tplc="0C090003" w:tentative="1">
      <w:start w:val="1"/>
      <w:numFmt w:val="bullet"/>
      <w:lvlText w:val="o"/>
      <w:lvlJc w:val="left"/>
      <w:pPr>
        <w:tabs>
          <w:tab w:val="num" w:pos="4680"/>
        </w:tabs>
        <w:ind w:left="4680" w:hanging="360"/>
      </w:pPr>
      <w:rPr>
        <w:rFonts w:ascii="Courier New" w:hAnsi="Courier New" w:cs="Arial" w:hint="default"/>
      </w:rPr>
    </w:lvl>
    <w:lvl w:ilvl="8" w:tplc="0C090005" w:tentative="1">
      <w:start w:val="1"/>
      <w:numFmt w:val="bullet"/>
      <w:lvlText w:val=""/>
      <w:lvlJc w:val="left"/>
      <w:pPr>
        <w:tabs>
          <w:tab w:val="num" w:pos="5400"/>
        </w:tabs>
        <w:ind w:left="5400" w:hanging="360"/>
      </w:pPr>
      <w:rPr>
        <w:rFonts w:ascii="Wingdings" w:hAnsi="Wingdings" w:hint="default"/>
      </w:rPr>
    </w:lvl>
  </w:abstractNum>
  <w:abstractNum w:abstractNumId="14" w15:restartNumberingAfterBreak="0">
    <w:nsid w:val="208F3C23"/>
    <w:multiLevelType w:val="multilevel"/>
    <w:tmpl w:val="6098423A"/>
    <w:lvl w:ilvl="0">
      <w:start w:val="1"/>
      <w:numFmt w:val="decimal"/>
      <w:pStyle w:val="Tablesmallitem"/>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15" w15:restartNumberingAfterBreak="0">
    <w:nsid w:val="20A93BB0"/>
    <w:multiLevelType w:val="multilevel"/>
    <w:tmpl w:val="403A3D04"/>
    <w:styleLink w:val="SKMNumberedList1"/>
    <w:lvl w:ilvl="0">
      <w:start w:val="1"/>
      <w:numFmt w:val="decimal"/>
      <w:pStyle w:val="Para0number"/>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pStyle w:val="Para2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16" w15:restartNumberingAfterBreak="0">
    <w:nsid w:val="20AA5FB0"/>
    <w:multiLevelType w:val="hybridMultilevel"/>
    <w:tmpl w:val="42402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2B52EA9"/>
    <w:multiLevelType w:val="multilevel"/>
    <w:tmpl w:val="7BFE535E"/>
    <w:lvl w:ilvl="0">
      <w:start w:val="1"/>
      <w:numFmt w:val="bullet"/>
      <w:lvlText w:val=""/>
      <w:lvlJc w:val="left"/>
      <w:pPr>
        <w:ind w:left="360" w:hanging="360"/>
      </w:pPr>
      <w:rPr>
        <w:rFonts w:ascii="Symbol" w:hAnsi="Symbol"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319309A"/>
    <w:multiLevelType w:val="multilevel"/>
    <w:tmpl w:val="4AEE2348"/>
    <w:styleLink w:val="SKMSmallTableList1"/>
    <w:lvl w:ilvl="0">
      <w:start w:val="1"/>
      <w:numFmt w:val="bullet"/>
      <w:pStyle w:val="Tablesmal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19" w15:restartNumberingAfterBreak="0">
    <w:nsid w:val="26A9571B"/>
    <w:multiLevelType w:val="hybridMultilevel"/>
    <w:tmpl w:val="21226768"/>
    <w:lvl w:ilvl="0" w:tplc="6E72A188">
      <w:start w:val="1"/>
      <w:numFmt w:val="bullet"/>
      <w:pStyle w:val="Para0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97D5DDB"/>
    <w:multiLevelType w:val="multilevel"/>
    <w:tmpl w:val="E8662322"/>
    <w:styleLink w:val="SKMBulletList3"/>
    <w:lvl w:ilvl="0">
      <w:start w:val="1"/>
      <w:numFmt w:val="bullet"/>
      <w:pStyle w:val="Para0arrow"/>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21" w15:restartNumberingAfterBreak="0">
    <w:nsid w:val="2AFC3193"/>
    <w:multiLevelType w:val="hybridMultilevel"/>
    <w:tmpl w:val="AC8AB024"/>
    <w:lvl w:ilvl="0" w:tplc="A02EA252">
      <w:start w:val="1"/>
      <w:numFmt w:val="lowerLetter"/>
      <w:pStyle w:val="ContentBulletsLetter"/>
      <w:lvlText w:val="%1)"/>
      <w:lvlJc w:val="left"/>
      <w:pPr>
        <w:ind w:left="1418" w:hanging="851"/>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E2B5A00"/>
    <w:multiLevelType w:val="multilevel"/>
    <w:tmpl w:val="2ADA3684"/>
    <w:lvl w:ilvl="0">
      <w:start w:val="1"/>
      <w:numFmt w:val="decimal"/>
      <w:pStyle w:val="Head1x"/>
      <w:lvlText w:val="%1"/>
      <w:lvlJc w:val="left"/>
      <w:pPr>
        <w:ind w:left="851" w:hanging="851"/>
      </w:pPr>
      <w:rPr>
        <w:rFonts w:hint="default"/>
      </w:rPr>
    </w:lvl>
    <w:lvl w:ilvl="1">
      <w:start w:val="1"/>
      <w:numFmt w:val="decimal"/>
      <w:pStyle w:val="Head2xx"/>
      <w:lvlText w:val="%1.%2"/>
      <w:lvlJc w:val="left"/>
      <w:pPr>
        <w:ind w:left="851" w:hanging="851"/>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pStyle w:val="Head3xxx"/>
      <w:lvlText w:val="%1.%2.%3"/>
      <w:lvlJc w:val="left"/>
      <w:pPr>
        <w:ind w:left="993" w:hanging="851"/>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EF47A25"/>
    <w:multiLevelType w:val="multilevel"/>
    <w:tmpl w:val="8BC81D84"/>
    <w:styleLink w:val="SKMSmallTableNumberedList2"/>
    <w:lvl w:ilvl="0">
      <w:start w:val="1"/>
      <w:numFmt w:val="lowerLetter"/>
      <w:pStyle w:val="Tablesmall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4" w15:restartNumberingAfterBreak="0">
    <w:nsid w:val="2F020EAA"/>
    <w:multiLevelType w:val="hybridMultilevel"/>
    <w:tmpl w:val="A350E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2D54839"/>
    <w:multiLevelType w:val="multilevel"/>
    <w:tmpl w:val="4AEE2348"/>
    <w:numStyleLink w:val="SKMSmallTableList1"/>
  </w:abstractNum>
  <w:abstractNum w:abstractNumId="26" w15:restartNumberingAfterBreak="0">
    <w:nsid w:val="34555BA7"/>
    <w:multiLevelType w:val="hybridMultilevel"/>
    <w:tmpl w:val="1BB093FC"/>
    <w:lvl w:ilvl="0" w:tplc="F8EE6AEA">
      <w:start w:val="1"/>
      <w:numFmt w:val="lowerRoman"/>
      <w:pStyle w:val="ContentBulletsRomanNumeral"/>
      <w:lvlText w:val="%1."/>
      <w:lvlJc w:val="left"/>
      <w:pPr>
        <w:ind w:left="1418" w:hanging="851"/>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AD53A78"/>
    <w:multiLevelType w:val="hybridMultilevel"/>
    <w:tmpl w:val="BA422C3C"/>
    <w:lvl w:ilvl="0" w:tplc="01C8CC56">
      <w:start w:val="1"/>
      <w:numFmt w:val="decimal"/>
      <w:pStyle w:val="ContentBulletsNumber"/>
      <w:lvlText w:val="%1."/>
      <w:lvlJc w:val="left"/>
      <w:pPr>
        <w:ind w:left="1418" w:hanging="851"/>
      </w:pPr>
      <w:rPr>
        <w:rFonts w:ascii="Arial" w:hAnsi="Arial" w:hint="default"/>
        <w:b w:val="0"/>
        <w:bCs w:val="0"/>
        <w:i w:val="0"/>
        <w:iCs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BC1256A"/>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15:restartNumberingAfterBreak="0">
    <w:nsid w:val="3D116354"/>
    <w:multiLevelType w:val="multilevel"/>
    <w:tmpl w:val="F5AC586E"/>
    <w:styleLink w:val="SKMBulletList2"/>
    <w:lvl w:ilvl="0">
      <w:start w:val="1"/>
      <w:numFmt w:val="bullet"/>
      <w:pStyle w:val="Para0dash"/>
      <w:lvlText w:val="-"/>
      <w:lvlJc w:val="left"/>
      <w:pPr>
        <w:ind w:left="425" w:hanging="425"/>
      </w:pPr>
      <w:rPr>
        <w:rFonts w:ascii="Arial" w:hAnsi="Arial" w:hint="default"/>
        <w:color w:val="005A97"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0" w15:restartNumberingAfterBreak="0">
    <w:nsid w:val="3EC2545F"/>
    <w:multiLevelType w:val="hybridMultilevel"/>
    <w:tmpl w:val="32C4FB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2D76D76"/>
    <w:multiLevelType w:val="multilevel"/>
    <w:tmpl w:val="0060B47C"/>
    <w:styleLink w:val="SKMBodyList"/>
    <w:lvl w:ilvl="0">
      <w:start w:val="1"/>
      <w:numFmt w:val="bullet"/>
      <w:pStyle w:val="Bodynarrowbullet"/>
      <w:lvlText w:val=""/>
      <w:lvlJc w:val="left"/>
      <w:pPr>
        <w:tabs>
          <w:tab w:val="num" w:pos="3600"/>
        </w:tabs>
        <w:ind w:left="3600" w:hanging="3600"/>
      </w:pPr>
      <w:rPr>
        <w:rFonts w:ascii="Symbol" w:hAnsi="Symbol" w:hint="default"/>
        <w:color w:val="auto"/>
      </w:rPr>
    </w:lvl>
    <w:lvl w:ilvl="1">
      <w:start w:val="1"/>
      <w:numFmt w:val="bullet"/>
      <w:lvlRestart w:val="0"/>
      <w:pStyle w:val="Bodynarrowarrow"/>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32" w15:restartNumberingAfterBreak="0">
    <w:nsid w:val="43195147"/>
    <w:multiLevelType w:val="multilevel"/>
    <w:tmpl w:val="B04275A2"/>
    <w:styleLink w:val="SKMTableNumberedList2"/>
    <w:lvl w:ilvl="0">
      <w:start w:val="1"/>
      <w:numFmt w:val="lowerLetter"/>
      <w:pStyle w:val="Table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33" w15:restartNumberingAfterBreak="0">
    <w:nsid w:val="446A46FF"/>
    <w:multiLevelType w:val="multilevel"/>
    <w:tmpl w:val="3BA44F1A"/>
    <w:styleLink w:val="SKMTableList1"/>
    <w:lvl w:ilvl="0">
      <w:start w:val="1"/>
      <w:numFmt w:val="bullet"/>
      <w:pStyle w:val="Table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34" w15:restartNumberingAfterBreak="0">
    <w:nsid w:val="447D2A0C"/>
    <w:multiLevelType w:val="hybridMultilevel"/>
    <w:tmpl w:val="855EF9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6D23207"/>
    <w:multiLevelType w:val="multilevel"/>
    <w:tmpl w:val="BFACDB88"/>
    <w:styleLink w:val="SKMSidebarList"/>
    <w:lvl w:ilvl="0">
      <w:start w:val="1"/>
      <w:numFmt w:val="bullet"/>
      <w:pStyle w:val="Sidebar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36" w15:restartNumberingAfterBreak="0">
    <w:nsid w:val="49975AAF"/>
    <w:multiLevelType w:val="hybridMultilevel"/>
    <w:tmpl w:val="43D0FF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B030469"/>
    <w:multiLevelType w:val="hybridMultilevel"/>
    <w:tmpl w:val="A6F6CB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C883A9E"/>
    <w:multiLevelType w:val="hybridMultilevel"/>
    <w:tmpl w:val="078E2AB8"/>
    <w:lvl w:ilvl="0" w:tplc="6100C628">
      <w:start w:val="1"/>
      <w:numFmt w:val="decimal"/>
      <w:lvlText w:val="%1)"/>
      <w:lvlJc w:val="left"/>
      <w:pPr>
        <w:ind w:left="1211" w:hanging="360"/>
      </w:pPr>
    </w:lvl>
    <w:lvl w:ilvl="1" w:tplc="0C090019" w:tentative="1">
      <w:start w:val="1"/>
      <w:numFmt w:val="lowerLetter"/>
      <w:pStyle w:val="Para2number"/>
      <w:lvlText w:val="%2."/>
      <w:lvlJc w:val="left"/>
      <w:pPr>
        <w:ind w:left="2291" w:hanging="360"/>
      </w:pPr>
    </w:lvl>
    <w:lvl w:ilvl="2" w:tplc="0C09001B" w:tentative="1">
      <w:start w:val="1"/>
      <w:numFmt w:val="lowerRoman"/>
      <w:lvlText w:val="%3."/>
      <w:lvlJc w:val="right"/>
      <w:pPr>
        <w:ind w:left="3011" w:hanging="180"/>
      </w:pPr>
    </w:lvl>
    <w:lvl w:ilvl="3" w:tplc="0C09000F" w:tentative="1">
      <w:start w:val="1"/>
      <w:numFmt w:val="decimal"/>
      <w:lvlText w:val="%4."/>
      <w:lvlJc w:val="left"/>
      <w:pPr>
        <w:ind w:left="3731" w:hanging="360"/>
      </w:pPr>
    </w:lvl>
    <w:lvl w:ilvl="4" w:tplc="0C090019" w:tentative="1">
      <w:start w:val="1"/>
      <w:numFmt w:val="lowerLetter"/>
      <w:lvlText w:val="%5."/>
      <w:lvlJc w:val="left"/>
      <w:pPr>
        <w:ind w:left="4451" w:hanging="360"/>
      </w:pPr>
    </w:lvl>
    <w:lvl w:ilvl="5" w:tplc="0C09001B" w:tentative="1">
      <w:start w:val="1"/>
      <w:numFmt w:val="lowerRoman"/>
      <w:lvlText w:val="%6."/>
      <w:lvlJc w:val="right"/>
      <w:pPr>
        <w:ind w:left="5171" w:hanging="180"/>
      </w:pPr>
    </w:lvl>
    <w:lvl w:ilvl="6" w:tplc="0C09000F" w:tentative="1">
      <w:start w:val="1"/>
      <w:numFmt w:val="decimal"/>
      <w:lvlText w:val="%7."/>
      <w:lvlJc w:val="left"/>
      <w:pPr>
        <w:ind w:left="5891" w:hanging="360"/>
      </w:pPr>
    </w:lvl>
    <w:lvl w:ilvl="7" w:tplc="0C090019" w:tentative="1">
      <w:start w:val="1"/>
      <w:numFmt w:val="lowerLetter"/>
      <w:lvlText w:val="%8."/>
      <w:lvlJc w:val="left"/>
      <w:pPr>
        <w:ind w:left="6611" w:hanging="360"/>
      </w:pPr>
    </w:lvl>
    <w:lvl w:ilvl="8" w:tplc="0C09001B" w:tentative="1">
      <w:start w:val="1"/>
      <w:numFmt w:val="lowerRoman"/>
      <w:lvlText w:val="%9."/>
      <w:lvlJc w:val="right"/>
      <w:pPr>
        <w:ind w:left="7331" w:hanging="180"/>
      </w:pPr>
    </w:lvl>
  </w:abstractNum>
  <w:abstractNum w:abstractNumId="39" w15:restartNumberingAfterBreak="0">
    <w:nsid w:val="57441F1E"/>
    <w:multiLevelType w:val="multilevel"/>
    <w:tmpl w:val="07F22186"/>
    <w:styleLink w:val="SKMTableItem"/>
    <w:lvl w:ilvl="0">
      <w:start w:val="1"/>
      <w:numFmt w:val="decimal"/>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40" w15:restartNumberingAfterBreak="0">
    <w:nsid w:val="5B0A5EAE"/>
    <w:multiLevelType w:val="hybridMultilevel"/>
    <w:tmpl w:val="1152D7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DE84CDA"/>
    <w:multiLevelType w:val="hybridMultilevel"/>
    <w:tmpl w:val="FF2E54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144297B"/>
    <w:multiLevelType w:val="multilevel"/>
    <w:tmpl w:val="348EA36E"/>
    <w:styleLink w:val="SKMTableNumberedList1"/>
    <w:lvl w:ilvl="0">
      <w:start w:val="1"/>
      <w:numFmt w:val="decimal"/>
      <w:pStyle w:val="Tablenumber"/>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43" w15:restartNumberingAfterBreak="0">
    <w:nsid w:val="61B061A8"/>
    <w:multiLevelType w:val="multilevel"/>
    <w:tmpl w:val="5AFCE06A"/>
    <w:styleLink w:val="SKM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44" w15:restartNumberingAfterBreak="0">
    <w:nsid w:val="64124D79"/>
    <w:multiLevelType w:val="hybridMultilevel"/>
    <w:tmpl w:val="B30C5A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662D2178"/>
    <w:multiLevelType w:val="hybridMultilevel"/>
    <w:tmpl w:val="7F1AB0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130135B"/>
    <w:multiLevelType w:val="hybridMultilevel"/>
    <w:tmpl w:val="638E984A"/>
    <w:lvl w:ilvl="0" w:tplc="880E0E60">
      <w:start w:val="1"/>
      <w:numFmt w:val="bullet"/>
      <w:lvlText w:val=""/>
      <w:lvlJc w:val="left"/>
      <w:pPr>
        <w:tabs>
          <w:tab w:val="num" w:pos="1080"/>
        </w:tabs>
        <w:ind w:left="1080" w:hanging="360"/>
      </w:pPr>
      <w:rPr>
        <w:rFonts w:ascii="Symbol" w:hAnsi="Symbol" w:hint="default"/>
      </w:rPr>
    </w:lvl>
    <w:lvl w:ilvl="1" w:tplc="C5724068">
      <w:start w:val="1"/>
      <w:numFmt w:val="bullet"/>
      <w:pStyle w:val="Bullet2"/>
      <w:lvlText w:val="-"/>
      <w:lvlJc w:val="left"/>
      <w:pPr>
        <w:tabs>
          <w:tab w:val="num" w:pos="360"/>
        </w:tabs>
        <w:ind w:left="360" w:hanging="360"/>
      </w:pPr>
      <w:rPr>
        <w:rFonts w:ascii="Arial" w:hAnsi="Arial" w:hint="default"/>
      </w:rPr>
    </w:lvl>
    <w:lvl w:ilvl="2" w:tplc="0C090005">
      <w:start w:val="1"/>
      <w:numFmt w:val="bullet"/>
      <w:lvlText w:val=""/>
      <w:lvlJc w:val="left"/>
      <w:pPr>
        <w:tabs>
          <w:tab w:val="num" w:pos="1080"/>
        </w:tabs>
        <w:ind w:left="1080" w:hanging="360"/>
      </w:pPr>
      <w:rPr>
        <w:rFonts w:ascii="Wingdings" w:hAnsi="Wingdings" w:hint="default"/>
      </w:rPr>
    </w:lvl>
    <w:lvl w:ilvl="3" w:tplc="0C090001" w:tentative="1">
      <w:start w:val="1"/>
      <w:numFmt w:val="bullet"/>
      <w:lvlText w:val=""/>
      <w:lvlJc w:val="left"/>
      <w:pPr>
        <w:tabs>
          <w:tab w:val="num" w:pos="1800"/>
        </w:tabs>
        <w:ind w:left="1800" w:hanging="360"/>
      </w:pPr>
      <w:rPr>
        <w:rFonts w:ascii="Symbol" w:hAnsi="Symbol" w:hint="default"/>
      </w:rPr>
    </w:lvl>
    <w:lvl w:ilvl="4" w:tplc="0C090003" w:tentative="1">
      <w:start w:val="1"/>
      <w:numFmt w:val="bullet"/>
      <w:lvlText w:val="o"/>
      <w:lvlJc w:val="left"/>
      <w:pPr>
        <w:tabs>
          <w:tab w:val="num" w:pos="2520"/>
        </w:tabs>
        <w:ind w:left="2520" w:hanging="360"/>
      </w:pPr>
      <w:rPr>
        <w:rFonts w:ascii="Courier New" w:hAnsi="Courier New" w:cs="Arial" w:hint="default"/>
      </w:rPr>
    </w:lvl>
    <w:lvl w:ilvl="5" w:tplc="0C090005" w:tentative="1">
      <w:start w:val="1"/>
      <w:numFmt w:val="bullet"/>
      <w:lvlText w:val=""/>
      <w:lvlJc w:val="left"/>
      <w:pPr>
        <w:tabs>
          <w:tab w:val="num" w:pos="3240"/>
        </w:tabs>
        <w:ind w:left="3240" w:hanging="360"/>
      </w:pPr>
      <w:rPr>
        <w:rFonts w:ascii="Wingdings" w:hAnsi="Wingdings" w:hint="default"/>
      </w:rPr>
    </w:lvl>
    <w:lvl w:ilvl="6" w:tplc="0C090001" w:tentative="1">
      <w:start w:val="1"/>
      <w:numFmt w:val="bullet"/>
      <w:lvlText w:val=""/>
      <w:lvlJc w:val="left"/>
      <w:pPr>
        <w:tabs>
          <w:tab w:val="num" w:pos="3960"/>
        </w:tabs>
        <w:ind w:left="3960" w:hanging="360"/>
      </w:pPr>
      <w:rPr>
        <w:rFonts w:ascii="Symbol" w:hAnsi="Symbol" w:hint="default"/>
      </w:rPr>
    </w:lvl>
    <w:lvl w:ilvl="7" w:tplc="0C090003" w:tentative="1">
      <w:start w:val="1"/>
      <w:numFmt w:val="bullet"/>
      <w:lvlText w:val="o"/>
      <w:lvlJc w:val="left"/>
      <w:pPr>
        <w:tabs>
          <w:tab w:val="num" w:pos="4680"/>
        </w:tabs>
        <w:ind w:left="4680" w:hanging="360"/>
      </w:pPr>
      <w:rPr>
        <w:rFonts w:ascii="Courier New" w:hAnsi="Courier New" w:cs="Arial" w:hint="default"/>
      </w:rPr>
    </w:lvl>
    <w:lvl w:ilvl="8" w:tplc="0C090005" w:tentative="1">
      <w:start w:val="1"/>
      <w:numFmt w:val="bullet"/>
      <w:lvlText w:val=""/>
      <w:lvlJc w:val="left"/>
      <w:pPr>
        <w:tabs>
          <w:tab w:val="num" w:pos="5400"/>
        </w:tabs>
        <w:ind w:left="5400" w:hanging="360"/>
      </w:pPr>
      <w:rPr>
        <w:rFonts w:ascii="Wingdings" w:hAnsi="Wingdings" w:hint="default"/>
      </w:rPr>
    </w:lvl>
  </w:abstractNum>
  <w:abstractNum w:abstractNumId="47" w15:restartNumberingAfterBreak="0">
    <w:nsid w:val="733B6855"/>
    <w:multiLevelType w:val="hybridMultilevel"/>
    <w:tmpl w:val="68F296FE"/>
    <w:lvl w:ilvl="0" w:tplc="6B6C78CA">
      <w:start w:val="1"/>
      <w:numFmt w:val="bullet"/>
      <w:pStyle w:val="ContentBulletsRound"/>
      <w:lvlText w:val=""/>
      <w:lvlJc w:val="left"/>
      <w:pPr>
        <w:ind w:left="1418" w:hanging="851"/>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84A74F1"/>
    <w:multiLevelType w:val="multilevel"/>
    <w:tmpl w:val="07F22186"/>
    <w:lvl w:ilvl="0">
      <w:start w:val="1"/>
      <w:numFmt w:val="decimal"/>
      <w:pStyle w:val="Tableitem"/>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49" w15:restartNumberingAfterBreak="0">
    <w:nsid w:val="78C74DF6"/>
    <w:multiLevelType w:val="hybridMultilevel"/>
    <w:tmpl w:val="1A5A4084"/>
    <w:lvl w:ilvl="0" w:tplc="0C090001">
      <w:start w:val="1"/>
      <w:numFmt w:val="bullet"/>
      <w:lvlText w:val=""/>
      <w:lvlJc w:val="left"/>
      <w:pPr>
        <w:ind w:left="3600" w:hanging="360"/>
      </w:pPr>
      <w:rPr>
        <w:rFonts w:ascii="Symbol" w:hAnsi="Symbol" w:hint="default"/>
      </w:rPr>
    </w:lvl>
    <w:lvl w:ilvl="1" w:tplc="0C090003" w:tentative="1">
      <w:start w:val="1"/>
      <w:numFmt w:val="bullet"/>
      <w:lvlText w:val="o"/>
      <w:lvlJc w:val="left"/>
      <w:pPr>
        <w:ind w:left="4320" w:hanging="360"/>
      </w:pPr>
      <w:rPr>
        <w:rFonts w:ascii="Courier New" w:hAnsi="Courier New" w:cs="Courier New" w:hint="default"/>
      </w:rPr>
    </w:lvl>
    <w:lvl w:ilvl="2" w:tplc="0C090005" w:tentative="1">
      <w:start w:val="1"/>
      <w:numFmt w:val="bullet"/>
      <w:lvlText w:val=""/>
      <w:lvlJc w:val="left"/>
      <w:pPr>
        <w:ind w:left="5040" w:hanging="360"/>
      </w:pPr>
      <w:rPr>
        <w:rFonts w:ascii="Wingdings" w:hAnsi="Wingdings" w:hint="default"/>
      </w:rPr>
    </w:lvl>
    <w:lvl w:ilvl="3" w:tplc="0C090001" w:tentative="1">
      <w:start w:val="1"/>
      <w:numFmt w:val="bullet"/>
      <w:lvlText w:val=""/>
      <w:lvlJc w:val="left"/>
      <w:pPr>
        <w:ind w:left="5760" w:hanging="360"/>
      </w:pPr>
      <w:rPr>
        <w:rFonts w:ascii="Symbol" w:hAnsi="Symbol" w:hint="default"/>
      </w:rPr>
    </w:lvl>
    <w:lvl w:ilvl="4" w:tplc="0C090003" w:tentative="1">
      <w:start w:val="1"/>
      <w:numFmt w:val="bullet"/>
      <w:lvlText w:val="o"/>
      <w:lvlJc w:val="left"/>
      <w:pPr>
        <w:ind w:left="6480" w:hanging="360"/>
      </w:pPr>
      <w:rPr>
        <w:rFonts w:ascii="Courier New" w:hAnsi="Courier New" w:cs="Courier New" w:hint="default"/>
      </w:rPr>
    </w:lvl>
    <w:lvl w:ilvl="5" w:tplc="0C090005" w:tentative="1">
      <w:start w:val="1"/>
      <w:numFmt w:val="bullet"/>
      <w:lvlText w:val=""/>
      <w:lvlJc w:val="left"/>
      <w:pPr>
        <w:ind w:left="7200" w:hanging="360"/>
      </w:pPr>
      <w:rPr>
        <w:rFonts w:ascii="Wingdings" w:hAnsi="Wingdings" w:hint="default"/>
      </w:rPr>
    </w:lvl>
    <w:lvl w:ilvl="6" w:tplc="0C090001" w:tentative="1">
      <w:start w:val="1"/>
      <w:numFmt w:val="bullet"/>
      <w:lvlText w:val=""/>
      <w:lvlJc w:val="left"/>
      <w:pPr>
        <w:ind w:left="7920" w:hanging="360"/>
      </w:pPr>
      <w:rPr>
        <w:rFonts w:ascii="Symbol" w:hAnsi="Symbol" w:hint="default"/>
      </w:rPr>
    </w:lvl>
    <w:lvl w:ilvl="7" w:tplc="0C090003" w:tentative="1">
      <w:start w:val="1"/>
      <w:numFmt w:val="bullet"/>
      <w:lvlText w:val="o"/>
      <w:lvlJc w:val="left"/>
      <w:pPr>
        <w:ind w:left="8640" w:hanging="360"/>
      </w:pPr>
      <w:rPr>
        <w:rFonts w:ascii="Courier New" w:hAnsi="Courier New" w:cs="Courier New" w:hint="default"/>
      </w:rPr>
    </w:lvl>
    <w:lvl w:ilvl="8" w:tplc="0C090005" w:tentative="1">
      <w:start w:val="1"/>
      <w:numFmt w:val="bullet"/>
      <w:lvlText w:val=""/>
      <w:lvlJc w:val="left"/>
      <w:pPr>
        <w:ind w:left="9360" w:hanging="360"/>
      </w:pPr>
      <w:rPr>
        <w:rFonts w:ascii="Wingdings" w:hAnsi="Wingdings" w:hint="default"/>
      </w:rPr>
    </w:lvl>
  </w:abstractNum>
  <w:abstractNum w:abstractNumId="50" w15:restartNumberingAfterBreak="0">
    <w:nsid w:val="7C7029C4"/>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1" w15:restartNumberingAfterBreak="0">
    <w:nsid w:val="7D12637D"/>
    <w:multiLevelType w:val="hybridMultilevel"/>
    <w:tmpl w:val="F26263C6"/>
    <w:lvl w:ilvl="0" w:tplc="B1B62FF4">
      <w:start w:val="1"/>
      <w:numFmt w:val="decimal"/>
      <w:pStyle w:val="Para1number"/>
      <w:lvlText w:val="%1)"/>
      <w:lvlJc w:val="left"/>
      <w:pPr>
        <w:ind w:left="1145" w:hanging="360"/>
      </w:pPr>
    </w:lvl>
    <w:lvl w:ilvl="1" w:tplc="0C090019" w:tentative="1">
      <w:start w:val="1"/>
      <w:numFmt w:val="lowerLetter"/>
      <w:lvlText w:val="%2."/>
      <w:lvlJc w:val="left"/>
      <w:pPr>
        <w:ind w:left="1865" w:hanging="360"/>
      </w:pPr>
    </w:lvl>
    <w:lvl w:ilvl="2" w:tplc="0C09001B" w:tentative="1">
      <w:start w:val="1"/>
      <w:numFmt w:val="lowerRoman"/>
      <w:lvlText w:val="%3."/>
      <w:lvlJc w:val="right"/>
      <w:pPr>
        <w:ind w:left="2585" w:hanging="180"/>
      </w:pPr>
    </w:lvl>
    <w:lvl w:ilvl="3" w:tplc="0C09000F" w:tentative="1">
      <w:start w:val="1"/>
      <w:numFmt w:val="decimal"/>
      <w:lvlText w:val="%4."/>
      <w:lvlJc w:val="left"/>
      <w:pPr>
        <w:ind w:left="3305" w:hanging="360"/>
      </w:pPr>
    </w:lvl>
    <w:lvl w:ilvl="4" w:tplc="0C090019" w:tentative="1">
      <w:start w:val="1"/>
      <w:numFmt w:val="lowerLetter"/>
      <w:lvlText w:val="%5."/>
      <w:lvlJc w:val="left"/>
      <w:pPr>
        <w:ind w:left="4025" w:hanging="360"/>
      </w:pPr>
    </w:lvl>
    <w:lvl w:ilvl="5" w:tplc="0C09001B" w:tentative="1">
      <w:start w:val="1"/>
      <w:numFmt w:val="lowerRoman"/>
      <w:lvlText w:val="%6."/>
      <w:lvlJc w:val="right"/>
      <w:pPr>
        <w:ind w:left="4745" w:hanging="180"/>
      </w:pPr>
    </w:lvl>
    <w:lvl w:ilvl="6" w:tplc="0C09000F" w:tentative="1">
      <w:start w:val="1"/>
      <w:numFmt w:val="decimal"/>
      <w:lvlText w:val="%7."/>
      <w:lvlJc w:val="left"/>
      <w:pPr>
        <w:ind w:left="5465" w:hanging="360"/>
      </w:pPr>
    </w:lvl>
    <w:lvl w:ilvl="7" w:tplc="0C090019" w:tentative="1">
      <w:start w:val="1"/>
      <w:numFmt w:val="lowerLetter"/>
      <w:lvlText w:val="%8."/>
      <w:lvlJc w:val="left"/>
      <w:pPr>
        <w:ind w:left="6185" w:hanging="360"/>
      </w:pPr>
    </w:lvl>
    <w:lvl w:ilvl="8" w:tplc="0C09001B" w:tentative="1">
      <w:start w:val="1"/>
      <w:numFmt w:val="lowerRoman"/>
      <w:lvlText w:val="%9."/>
      <w:lvlJc w:val="right"/>
      <w:pPr>
        <w:ind w:left="6905" w:hanging="180"/>
      </w:pPr>
    </w:lvl>
  </w:abstractNum>
  <w:abstractNum w:abstractNumId="52" w15:restartNumberingAfterBreak="0">
    <w:nsid w:val="7F733BE7"/>
    <w:multiLevelType w:val="hybridMultilevel"/>
    <w:tmpl w:val="7AD811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3"/>
  </w:num>
  <w:num w:numId="2">
    <w:abstractNumId w:val="2"/>
  </w:num>
  <w:num w:numId="3">
    <w:abstractNumId w:val="5"/>
  </w:num>
  <w:num w:numId="4">
    <w:abstractNumId w:val="22"/>
  </w:num>
  <w:num w:numId="5">
    <w:abstractNumId w:val="29"/>
  </w:num>
  <w:num w:numId="6">
    <w:abstractNumId w:val="8"/>
  </w:num>
  <w:num w:numId="7">
    <w:abstractNumId w:val="50"/>
  </w:num>
  <w:num w:numId="8">
    <w:abstractNumId w:val="28"/>
  </w:num>
  <w:num w:numId="9">
    <w:abstractNumId w:val="40"/>
  </w:num>
  <w:num w:numId="10">
    <w:abstractNumId w:val="34"/>
  </w:num>
  <w:num w:numId="11">
    <w:abstractNumId w:val="30"/>
  </w:num>
  <w:num w:numId="12">
    <w:abstractNumId w:val="16"/>
  </w:num>
  <w:num w:numId="13">
    <w:abstractNumId w:val="6"/>
  </w:num>
  <w:num w:numId="14">
    <w:abstractNumId w:val="52"/>
  </w:num>
  <w:num w:numId="15">
    <w:abstractNumId w:val="37"/>
  </w:num>
  <w:num w:numId="16">
    <w:abstractNumId w:val="36"/>
  </w:num>
  <w:num w:numId="17">
    <w:abstractNumId w:val="12"/>
  </w:num>
  <w:num w:numId="18">
    <w:abstractNumId w:val="45"/>
  </w:num>
  <w:num w:numId="19">
    <w:abstractNumId w:val="41"/>
  </w:num>
  <w:num w:numId="20">
    <w:abstractNumId w:val="44"/>
  </w:num>
  <w:num w:numId="21">
    <w:abstractNumId w:val="24"/>
  </w:num>
  <w:num w:numId="22">
    <w:abstractNumId w:val="39"/>
  </w:num>
  <w:num w:numId="23">
    <w:abstractNumId w:val="0"/>
  </w:num>
  <w:num w:numId="24">
    <w:abstractNumId w:val="3"/>
  </w:num>
  <w:num w:numId="25">
    <w:abstractNumId w:val="4"/>
  </w:num>
  <w:num w:numId="26">
    <w:abstractNumId w:val="21"/>
  </w:num>
  <w:num w:numId="27">
    <w:abstractNumId w:val="27"/>
  </w:num>
  <w:num w:numId="28">
    <w:abstractNumId w:val="26"/>
  </w:num>
  <w:num w:numId="29">
    <w:abstractNumId w:val="47"/>
  </w:num>
  <w:num w:numId="30">
    <w:abstractNumId w:val="31"/>
  </w:num>
  <w:num w:numId="31">
    <w:abstractNumId w:val="11"/>
  </w:num>
  <w:num w:numId="32">
    <w:abstractNumId w:val="20"/>
  </w:num>
  <w:num w:numId="33">
    <w:abstractNumId w:val="43"/>
  </w:num>
  <w:num w:numId="34">
    <w:abstractNumId w:val="15"/>
  </w:num>
  <w:num w:numId="35">
    <w:abstractNumId w:val="1"/>
  </w:num>
  <w:num w:numId="36">
    <w:abstractNumId w:val="10"/>
  </w:num>
  <w:num w:numId="37">
    <w:abstractNumId w:val="35"/>
  </w:num>
  <w:num w:numId="38">
    <w:abstractNumId w:val="18"/>
  </w:num>
  <w:num w:numId="39">
    <w:abstractNumId w:val="7"/>
  </w:num>
  <w:num w:numId="40">
    <w:abstractNumId w:val="23"/>
  </w:num>
  <w:num w:numId="41">
    <w:abstractNumId w:val="33"/>
  </w:num>
  <w:num w:numId="42">
    <w:abstractNumId w:val="42"/>
  </w:num>
  <w:num w:numId="43">
    <w:abstractNumId w:val="32"/>
  </w:num>
  <w:num w:numId="44">
    <w:abstractNumId w:val="9"/>
  </w:num>
  <w:num w:numId="45">
    <w:abstractNumId w:val="48"/>
  </w:num>
  <w:num w:numId="46">
    <w:abstractNumId w:val="25"/>
  </w:num>
  <w:num w:numId="47">
    <w:abstractNumId w:val="14"/>
  </w:num>
  <w:num w:numId="48">
    <w:abstractNumId w:val="51"/>
  </w:num>
  <w:num w:numId="49">
    <w:abstractNumId w:val="38"/>
  </w:num>
  <w:num w:numId="50">
    <w:abstractNumId w:val="19"/>
  </w:num>
  <w:num w:numId="51">
    <w:abstractNumId w:val="22"/>
    <w:lvlOverride w:ilvl="0">
      <w:startOverride w:val="2"/>
    </w:lvlOverride>
    <w:lvlOverride w:ilvl="1">
      <w:startOverride w:val="2"/>
    </w:lvlOverride>
    <w:lvlOverride w:ilvl="2">
      <w:startOverride w:val="1"/>
    </w:lvlOverride>
  </w:num>
  <w:num w:numId="52">
    <w:abstractNumId w:val="22"/>
    <w:lvlOverride w:ilvl="0">
      <w:startOverride w:val="2"/>
    </w:lvlOverride>
    <w:lvlOverride w:ilvl="1">
      <w:startOverride w:val="3"/>
    </w:lvlOverride>
    <w:lvlOverride w:ilvl="2">
      <w:startOverride w:val="1"/>
    </w:lvlOverride>
  </w:num>
  <w:num w:numId="53">
    <w:abstractNumId w:val="22"/>
    <w:lvlOverride w:ilvl="0">
      <w:startOverride w:val="2"/>
    </w:lvlOverride>
    <w:lvlOverride w:ilvl="1">
      <w:startOverride w:val="5"/>
    </w:lvlOverride>
    <w:lvlOverride w:ilvl="2">
      <w:startOverride w:val="1"/>
    </w:lvlOverride>
  </w:num>
  <w:num w:numId="54">
    <w:abstractNumId w:val="19"/>
  </w:num>
  <w:num w:numId="55">
    <w:abstractNumId w:val="19"/>
  </w:num>
  <w:num w:numId="56">
    <w:abstractNumId w:val="49"/>
  </w:num>
  <w:num w:numId="57">
    <w:abstractNumId w:val="2"/>
  </w:num>
  <w:num w:numId="58">
    <w:abstractNumId w:val="13"/>
  </w:num>
  <w:num w:numId="59">
    <w:abstractNumId w:val="19"/>
  </w:num>
  <w:num w:numId="60">
    <w:abstractNumId w:val="17"/>
  </w:num>
  <w:num w:numId="61">
    <w:abstractNumId w:val="22"/>
  </w:num>
  <w:num w:numId="6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6"/>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8193" style="mso-position-vertical-relative:line" fill="f" fillcolor="white" stroke="f">
      <v:fill color="white" on="f"/>
      <v:stroke on="f"/>
      <v:textbox style="mso-rotate-with-shape:t"/>
      <o:colormru v:ext="edit" colors="#e1e9f3,#e1ebf7,#cfdde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4C4A"/>
    <w:rsid w:val="000071F9"/>
    <w:rsid w:val="000100DF"/>
    <w:rsid w:val="00012896"/>
    <w:rsid w:val="000138D4"/>
    <w:rsid w:val="0001594D"/>
    <w:rsid w:val="000178E8"/>
    <w:rsid w:val="000216AE"/>
    <w:rsid w:val="00027A0D"/>
    <w:rsid w:val="00040827"/>
    <w:rsid w:val="00042D1E"/>
    <w:rsid w:val="00053B1F"/>
    <w:rsid w:val="00057F2C"/>
    <w:rsid w:val="00061D70"/>
    <w:rsid w:val="000762A2"/>
    <w:rsid w:val="00076EA2"/>
    <w:rsid w:val="000804F8"/>
    <w:rsid w:val="000818A7"/>
    <w:rsid w:val="0008200F"/>
    <w:rsid w:val="000834B6"/>
    <w:rsid w:val="00087447"/>
    <w:rsid w:val="0009113B"/>
    <w:rsid w:val="0009788D"/>
    <w:rsid w:val="000A5F33"/>
    <w:rsid w:val="000B596F"/>
    <w:rsid w:val="000B6DA5"/>
    <w:rsid w:val="000C564C"/>
    <w:rsid w:val="000C7910"/>
    <w:rsid w:val="000D1F60"/>
    <w:rsid w:val="000D4387"/>
    <w:rsid w:val="000D482F"/>
    <w:rsid w:val="000D655B"/>
    <w:rsid w:val="000E1728"/>
    <w:rsid w:val="000E2370"/>
    <w:rsid w:val="000E7B2A"/>
    <w:rsid w:val="000F7284"/>
    <w:rsid w:val="00101438"/>
    <w:rsid w:val="001028E6"/>
    <w:rsid w:val="0010753B"/>
    <w:rsid w:val="00107D85"/>
    <w:rsid w:val="00113F01"/>
    <w:rsid w:val="001179CD"/>
    <w:rsid w:val="00121B40"/>
    <w:rsid w:val="001304F2"/>
    <w:rsid w:val="00130E1C"/>
    <w:rsid w:val="00133D57"/>
    <w:rsid w:val="001364D1"/>
    <w:rsid w:val="0013709F"/>
    <w:rsid w:val="00140BBE"/>
    <w:rsid w:val="001423F3"/>
    <w:rsid w:val="00145DAB"/>
    <w:rsid w:val="00156BFB"/>
    <w:rsid w:val="001575A6"/>
    <w:rsid w:val="0017227C"/>
    <w:rsid w:val="00176BCF"/>
    <w:rsid w:val="00176D80"/>
    <w:rsid w:val="0018085D"/>
    <w:rsid w:val="00183074"/>
    <w:rsid w:val="00183EA2"/>
    <w:rsid w:val="00190D35"/>
    <w:rsid w:val="00196588"/>
    <w:rsid w:val="001A2E5B"/>
    <w:rsid w:val="001B31B0"/>
    <w:rsid w:val="001B3D7D"/>
    <w:rsid w:val="001C29BC"/>
    <w:rsid w:val="001C3DEC"/>
    <w:rsid w:val="001D6F3F"/>
    <w:rsid w:val="001D7F8F"/>
    <w:rsid w:val="001E38B0"/>
    <w:rsid w:val="001E696A"/>
    <w:rsid w:val="001F1874"/>
    <w:rsid w:val="001F4AE4"/>
    <w:rsid w:val="001F52E4"/>
    <w:rsid w:val="002017E3"/>
    <w:rsid w:val="00203D8E"/>
    <w:rsid w:val="00204888"/>
    <w:rsid w:val="0020518B"/>
    <w:rsid w:val="00206FC6"/>
    <w:rsid w:val="002102AA"/>
    <w:rsid w:val="002134B8"/>
    <w:rsid w:val="0021501F"/>
    <w:rsid w:val="0021617B"/>
    <w:rsid w:val="002200AA"/>
    <w:rsid w:val="002258FF"/>
    <w:rsid w:val="00234227"/>
    <w:rsid w:val="00237543"/>
    <w:rsid w:val="00241C1A"/>
    <w:rsid w:val="0024482F"/>
    <w:rsid w:val="00250A58"/>
    <w:rsid w:val="00250AE6"/>
    <w:rsid w:val="00251370"/>
    <w:rsid w:val="0025405F"/>
    <w:rsid w:val="00265A35"/>
    <w:rsid w:val="002760D3"/>
    <w:rsid w:val="00282BE0"/>
    <w:rsid w:val="00295BB4"/>
    <w:rsid w:val="002978BC"/>
    <w:rsid w:val="002A33C9"/>
    <w:rsid w:val="002B0EEF"/>
    <w:rsid w:val="002B36D9"/>
    <w:rsid w:val="002B3BDA"/>
    <w:rsid w:val="002B5F7D"/>
    <w:rsid w:val="002B6ED7"/>
    <w:rsid w:val="002C4338"/>
    <w:rsid w:val="002C460F"/>
    <w:rsid w:val="002D1CE6"/>
    <w:rsid w:val="002E0457"/>
    <w:rsid w:val="002E4CB3"/>
    <w:rsid w:val="002E5B93"/>
    <w:rsid w:val="002F0F6C"/>
    <w:rsid w:val="002F1BFC"/>
    <w:rsid w:val="002F4A45"/>
    <w:rsid w:val="003005F5"/>
    <w:rsid w:val="003025BF"/>
    <w:rsid w:val="0030564B"/>
    <w:rsid w:val="00311CBE"/>
    <w:rsid w:val="00313834"/>
    <w:rsid w:val="00316D43"/>
    <w:rsid w:val="00320573"/>
    <w:rsid w:val="00332228"/>
    <w:rsid w:val="00333B5A"/>
    <w:rsid w:val="00341CD7"/>
    <w:rsid w:val="00345FB6"/>
    <w:rsid w:val="00354FB2"/>
    <w:rsid w:val="00362072"/>
    <w:rsid w:val="00363AC6"/>
    <w:rsid w:val="00363D4B"/>
    <w:rsid w:val="0036422B"/>
    <w:rsid w:val="00364ADA"/>
    <w:rsid w:val="00365B68"/>
    <w:rsid w:val="003724C9"/>
    <w:rsid w:val="0037252C"/>
    <w:rsid w:val="00372E3B"/>
    <w:rsid w:val="00381EC9"/>
    <w:rsid w:val="00390875"/>
    <w:rsid w:val="003A465E"/>
    <w:rsid w:val="003A7EBA"/>
    <w:rsid w:val="003B379B"/>
    <w:rsid w:val="003B428E"/>
    <w:rsid w:val="003C3537"/>
    <w:rsid w:val="003C492C"/>
    <w:rsid w:val="003D0148"/>
    <w:rsid w:val="003D430C"/>
    <w:rsid w:val="003D5452"/>
    <w:rsid w:val="003E205E"/>
    <w:rsid w:val="003E2F94"/>
    <w:rsid w:val="003F40D7"/>
    <w:rsid w:val="00410D2F"/>
    <w:rsid w:val="00413AA7"/>
    <w:rsid w:val="00414715"/>
    <w:rsid w:val="00420831"/>
    <w:rsid w:val="00426693"/>
    <w:rsid w:val="004325A9"/>
    <w:rsid w:val="00433765"/>
    <w:rsid w:val="00445BFC"/>
    <w:rsid w:val="004546D6"/>
    <w:rsid w:val="0045754D"/>
    <w:rsid w:val="004703D4"/>
    <w:rsid w:val="00482CD3"/>
    <w:rsid w:val="00482FAA"/>
    <w:rsid w:val="00483F4E"/>
    <w:rsid w:val="00487FCC"/>
    <w:rsid w:val="0049244F"/>
    <w:rsid w:val="00492534"/>
    <w:rsid w:val="00494317"/>
    <w:rsid w:val="00495374"/>
    <w:rsid w:val="00496B73"/>
    <w:rsid w:val="004A1ED9"/>
    <w:rsid w:val="004A41ED"/>
    <w:rsid w:val="004C054E"/>
    <w:rsid w:val="004D2729"/>
    <w:rsid w:val="004D2BD5"/>
    <w:rsid w:val="004D2D3E"/>
    <w:rsid w:val="004D6337"/>
    <w:rsid w:val="004D7D8E"/>
    <w:rsid w:val="004E1B75"/>
    <w:rsid w:val="004F0E33"/>
    <w:rsid w:val="004F307F"/>
    <w:rsid w:val="004F3B85"/>
    <w:rsid w:val="004F6E04"/>
    <w:rsid w:val="00515821"/>
    <w:rsid w:val="005207FC"/>
    <w:rsid w:val="0052531A"/>
    <w:rsid w:val="00532F37"/>
    <w:rsid w:val="00544AE6"/>
    <w:rsid w:val="0054639E"/>
    <w:rsid w:val="00551642"/>
    <w:rsid w:val="0055262F"/>
    <w:rsid w:val="00555395"/>
    <w:rsid w:val="005710A9"/>
    <w:rsid w:val="00572C9A"/>
    <w:rsid w:val="00584C4A"/>
    <w:rsid w:val="005936B7"/>
    <w:rsid w:val="005966B9"/>
    <w:rsid w:val="005A3AB5"/>
    <w:rsid w:val="005B01A7"/>
    <w:rsid w:val="005C078D"/>
    <w:rsid w:val="005D1930"/>
    <w:rsid w:val="005D2617"/>
    <w:rsid w:val="005E2611"/>
    <w:rsid w:val="005E2C90"/>
    <w:rsid w:val="005E3231"/>
    <w:rsid w:val="005E36DC"/>
    <w:rsid w:val="005E7678"/>
    <w:rsid w:val="005F7E99"/>
    <w:rsid w:val="0060631A"/>
    <w:rsid w:val="00606750"/>
    <w:rsid w:val="0061195D"/>
    <w:rsid w:val="00616AB8"/>
    <w:rsid w:val="00617060"/>
    <w:rsid w:val="00620BFA"/>
    <w:rsid w:val="00621E22"/>
    <w:rsid w:val="0062671F"/>
    <w:rsid w:val="006335A5"/>
    <w:rsid w:val="0063692F"/>
    <w:rsid w:val="0064049F"/>
    <w:rsid w:val="00640762"/>
    <w:rsid w:val="00650563"/>
    <w:rsid w:val="006742B6"/>
    <w:rsid w:val="00675F6B"/>
    <w:rsid w:val="00691F15"/>
    <w:rsid w:val="00694FF3"/>
    <w:rsid w:val="0069713F"/>
    <w:rsid w:val="006A0D1B"/>
    <w:rsid w:val="006A5312"/>
    <w:rsid w:val="006B1F2D"/>
    <w:rsid w:val="006B530C"/>
    <w:rsid w:val="006C48F9"/>
    <w:rsid w:val="006C5A7C"/>
    <w:rsid w:val="006D6471"/>
    <w:rsid w:val="006E3030"/>
    <w:rsid w:val="006E62D6"/>
    <w:rsid w:val="006F0A17"/>
    <w:rsid w:val="006F2A59"/>
    <w:rsid w:val="006F7FED"/>
    <w:rsid w:val="00711D60"/>
    <w:rsid w:val="00720DEB"/>
    <w:rsid w:val="00724FC4"/>
    <w:rsid w:val="00725D8B"/>
    <w:rsid w:val="00734B0F"/>
    <w:rsid w:val="00734F99"/>
    <w:rsid w:val="00750BAC"/>
    <w:rsid w:val="00752504"/>
    <w:rsid w:val="00757DEA"/>
    <w:rsid w:val="00760F2E"/>
    <w:rsid w:val="00762845"/>
    <w:rsid w:val="00765CD1"/>
    <w:rsid w:val="0078366D"/>
    <w:rsid w:val="0078434D"/>
    <w:rsid w:val="00785FAC"/>
    <w:rsid w:val="0078722D"/>
    <w:rsid w:val="00787C30"/>
    <w:rsid w:val="007901DA"/>
    <w:rsid w:val="007912F4"/>
    <w:rsid w:val="007A2B14"/>
    <w:rsid w:val="007B6116"/>
    <w:rsid w:val="007C1677"/>
    <w:rsid w:val="007C452E"/>
    <w:rsid w:val="007C5BAA"/>
    <w:rsid w:val="007C7C94"/>
    <w:rsid w:val="007E0F71"/>
    <w:rsid w:val="007F4204"/>
    <w:rsid w:val="008100FC"/>
    <w:rsid w:val="00812277"/>
    <w:rsid w:val="00816E19"/>
    <w:rsid w:val="00817360"/>
    <w:rsid w:val="008202A7"/>
    <w:rsid w:val="00821CEE"/>
    <w:rsid w:val="00824D5F"/>
    <w:rsid w:val="00827246"/>
    <w:rsid w:val="0084308A"/>
    <w:rsid w:val="00843D37"/>
    <w:rsid w:val="00844650"/>
    <w:rsid w:val="00847F95"/>
    <w:rsid w:val="00847FA7"/>
    <w:rsid w:val="00854C6F"/>
    <w:rsid w:val="00857ACF"/>
    <w:rsid w:val="008639AD"/>
    <w:rsid w:val="00873500"/>
    <w:rsid w:val="00876513"/>
    <w:rsid w:val="008777D0"/>
    <w:rsid w:val="0089797E"/>
    <w:rsid w:val="008A6D3E"/>
    <w:rsid w:val="008B41DE"/>
    <w:rsid w:val="008C395B"/>
    <w:rsid w:val="008D0183"/>
    <w:rsid w:val="008D191C"/>
    <w:rsid w:val="008E31B0"/>
    <w:rsid w:val="008E3990"/>
    <w:rsid w:val="008E42B0"/>
    <w:rsid w:val="008E6E7C"/>
    <w:rsid w:val="008E714B"/>
    <w:rsid w:val="00900B06"/>
    <w:rsid w:val="009028B4"/>
    <w:rsid w:val="00940A5E"/>
    <w:rsid w:val="00942EC8"/>
    <w:rsid w:val="00954C75"/>
    <w:rsid w:val="00955937"/>
    <w:rsid w:val="00956A06"/>
    <w:rsid w:val="00957368"/>
    <w:rsid w:val="00960250"/>
    <w:rsid w:val="00966DF9"/>
    <w:rsid w:val="00966ED4"/>
    <w:rsid w:val="00976706"/>
    <w:rsid w:val="00991BED"/>
    <w:rsid w:val="00994879"/>
    <w:rsid w:val="009974E8"/>
    <w:rsid w:val="009A331A"/>
    <w:rsid w:val="009B67B3"/>
    <w:rsid w:val="009B6941"/>
    <w:rsid w:val="009B7BE5"/>
    <w:rsid w:val="009C00D1"/>
    <w:rsid w:val="009D3377"/>
    <w:rsid w:val="009D3782"/>
    <w:rsid w:val="009E1EFD"/>
    <w:rsid w:val="009E3B1C"/>
    <w:rsid w:val="009E3BB1"/>
    <w:rsid w:val="009F04F1"/>
    <w:rsid w:val="009F0FF8"/>
    <w:rsid w:val="009F1F2D"/>
    <w:rsid w:val="009F3B36"/>
    <w:rsid w:val="00A0188F"/>
    <w:rsid w:val="00A0761A"/>
    <w:rsid w:val="00A11B3F"/>
    <w:rsid w:val="00A12832"/>
    <w:rsid w:val="00A17263"/>
    <w:rsid w:val="00A3387D"/>
    <w:rsid w:val="00A33B00"/>
    <w:rsid w:val="00A34CA8"/>
    <w:rsid w:val="00A4283A"/>
    <w:rsid w:val="00A44602"/>
    <w:rsid w:val="00A44D2A"/>
    <w:rsid w:val="00A5204C"/>
    <w:rsid w:val="00A523BA"/>
    <w:rsid w:val="00A52C31"/>
    <w:rsid w:val="00A5429C"/>
    <w:rsid w:val="00A54B50"/>
    <w:rsid w:val="00A54E19"/>
    <w:rsid w:val="00A605FE"/>
    <w:rsid w:val="00A61A54"/>
    <w:rsid w:val="00A659A8"/>
    <w:rsid w:val="00A67814"/>
    <w:rsid w:val="00A83284"/>
    <w:rsid w:val="00A85047"/>
    <w:rsid w:val="00A94D5B"/>
    <w:rsid w:val="00A952AD"/>
    <w:rsid w:val="00AA292E"/>
    <w:rsid w:val="00AA57E4"/>
    <w:rsid w:val="00AA647F"/>
    <w:rsid w:val="00AA7387"/>
    <w:rsid w:val="00AC1DB7"/>
    <w:rsid w:val="00AC70AD"/>
    <w:rsid w:val="00AC71DA"/>
    <w:rsid w:val="00AD4497"/>
    <w:rsid w:val="00AD6625"/>
    <w:rsid w:val="00AE0736"/>
    <w:rsid w:val="00AE3024"/>
    <w:rsid w:val="00AE7D14"/>
    <w:rsid w:val="00AF31FD"/>
    <w:rsid w:val="00AF4FC8"/>
    <w:rsid w:val="00AF7EA2"/>
    <w:rsid w:val="00B007D1"/>
    <w:rsid w:val="00B04FBF"/>
    <w:rsid w:val="00B06114"/>
    <w:rsid w:val="00B12D8A"/>
    <w:rsid w:val="00B12E25"/>
    <w:rsid w:val="00B17FA6"/>
    <w:rsid w:val="00B26FF6"/>
    <w:rsid w:val="00B30C24"/>
    <w:rsid w:val="00B3155A"/>
    <w:rsid w:val="00B318DE"/>
    <w:rsid w:val="00B32FAC"/>
    <w:rsid w:val="00B45B2B"/>
    <w:rsid w:val="00B53DA9"/>
    <w:rsid w:val="00B637FD"/>
    <w:rsid w:val="00B65567"/>
    <w:rsid w:val="00B672B7"/>
    <w:rsid w:val="00B67330"/>
    <w:rsid w:val="00B705F9"/>
    <w:rsid w:val="00B71C7E"/>
    <w:rsid w:val="00B80D77"/>
    <w:rsid w:val="00B82127"/>
    <w:rsid w:val="00B91643"/>
    <w:rsid w:val="00BA5363"/>
    <w:rsid w:val="00BA5505"/>
    <w:rsid w:val="00BA623C"/>
    <w:rsid w:val="00BA6593"/>
    <w:rsid w:val="00BA7067"/>
    <w:rsid w:val="00BC7207"/>
    <w:rsid w:val="00BD0693"/>
    <w:rsid w:val="00BD1379"/>
    <w:rsid w:val="00BD60CC"/>
    <w:rsid w:val="00BE5B9A"/>
    <w:rsid w:val="00BF3ADB"/>
    <w:rsid w:val="00C0769F"/>
    <w:rsid w:val="00C120B4"/>
    <w:rsid w:val="00C125F3"/>
    <w:rsid w:val="00C129D5"/>
    <w:rsid w:val="00C16505"/>
    <w:rsid w:val="00C24DF0"/>
    <w:rsid w:val="00C253B0"/>
    <w:rsid w:val="00C27EE4"/>
    <w:rsid w:val="00C33169"/>
    <w:rsid w:val="00C4091E"/>
    <w:rsid w:val="00C40BA4"/>
    <w:rsid w:val="00C40F6B"/>
    <w:rsid w:val="00C448D4"/>
    <w:rsid w:val="00C45C29"/>
    <w:rsid w:val="00C5157F"/>
    <w:rsid w:val="00C57863"/>
    <w:rsid w:val="00C609AB"/>
    <w:rsid w:val="00C7710A"/>
    <w:rsid w:val="00C77878"/>
    <w:rsid w:val="00C824FC"/>
    <w:rsid w:val="00C848DC"/>
    <w:rsid w:val="00C87214"/>
    <w:rsid w:val="00C875D9"/>
    <w:rsid w:val="00C87ACC"/>
    <w:rsid w:val="00C91A60"/>
    <w:rsid w:val="00C968EA"/>
    <w:rsid w:val="00C96B39"/>
    <w:rsid w:val="00CA171A"/>
    <w:rsid w:val="00CA2F61"/>
    <w:rsid w:val="00CA6D0C"/>
    <w:rsid w:val="00CC1D48"/>
    <w:rsid w:val="00CD0354"/>
    <w:rsid w:val="00CD1F68"/>
    <w:rsid w:val="00CE6965"/>
    <w:rsid w:val="00CE7376"/>
    <w:rsid w:val="00CF64C3"/>
    <w:rsid w:val="00D00EA8"/>
    <w:rsid w:val="00D0375F"/>
    <w:rsid w:val="00D04A0D"/>
    <w:rsid w:val="00D101CE"/>
    <w:rsid w:val="00D17CCC"/>
    <w:rsid w:val="00D238EC"/>
    <w:rsid w:val="00D249DE"/>
    <w:rsid w:val="00D25AA0"/>
    <w:rsid w:val="00D327AC"/>
    <w:rsid w:val="00D546E9"/>
    <w:rsid w:val="00D5530F"/>
    <w:rsid w:val="00D65D2B"/>
    <w:rsid w:val="00D72733"/>
    <w:rsid w:val="00D73C23"/>
    <w:rsid w:val="00D75871"/>
    <w:rsid w:val="00D81285"/>
    <w:rsid w:val="00D81AE5"/>
    <w:rsid w:val="00D87C2D"/>
    <w:rsid w:val="00D87C3D"/>
    <w:rsid w:val="00D90A45"/>
    <w:rsid w:val="00D94E5C"/>
    <w:rsid w:val="00D971D4"/>
    <w:rsid w:val="00DB2899"/>
    <w:rsid w:val="00DB2EC5"/>
    <w:rsid w:val="00DB78E4"/>
    <w:rsid w:val="00DC525F"/>
    <w:rsid w:val="00DD363C"/>
    <w:rsid w:val="00DE1913"/>
    <w:rsid w:val="00DF5A02"/>
    <w:rsid w:val="00E045FD"/>
    <w:rsid w:val="00E07803"/>
    <w:rsid w:val="00E30317"/>
    <w:rsid w:val="00E31155"/>
    <w:rsid w:val="00E31C9D"/>
    <w:rsid w:val="00E3598E"/>
    <w:rsid w:val="00E41194"/>
    <w:rsid w:val="00E431C0"/>
    <w:rsid w:val="00E4431E"/>
    <w:rsid w:val="00E55D1C"/>
    <w:rsid w:val="00E569C6"/>
    <w:rsid w:val="00E57486"/>
    <w:rsid w:val="00E6074D"/>
    <w:rsid w:val="00E62E98"/>
    <w:rsid w:val="00E63375"/>
    <w:rsid w:val="00E6365E"/>
    <w:rsid w:val="00E714E1"/>
    <w:rsid w:val="00E71BA2"/>
    <w:rsid w:val="00E763B6"/>
    <w:rsid w:val="00E77E62"/>
    <w:rsid w:val="00E84359"/>
    <w:rsid w:val="00E85792"/>
    <w:rsid w:val="00E85FF4"/>
    <w:rsid w:val="00E86EEC"/>
    <w:rsid w:val="00E87D28"/>
    <w:rsid w:val="00E927B0"/>
    <w:rsid w:val="00E92DD4"/>
    <w:rsid w:val="00E94714"/>
    <w:rsid w:val="00E9739A"/>
    <w:rsid w:val="00E97BCA"/>
    <w:rsid w:val="00EA6E73"/>
    <w:rsid w:val="00EB6F5B"/>
    <w:rsid w:val="00EC2609"/>
    <w:rsid w:val="00EC28FD"/>
    <w:rsid w:val="00EC356C"/>
    <w:rsid w:val="00EC40D5"/>
    <w:rsid w:val="00ED5019"/>
    <w:rsid w:val="00ED715B"/>
    <w:rsid w:val="00EF6697"/>
    <w:rsid w:val="00EF7104"/>
    <w:rsid w:val="00EF7F2B"/>
    <w:rsid w:val="00F14BEC"/>
    <w:rsid w:val="00F14F4D"/>
    <w:rsid w:val="00F15C86"/>
    <w:rsid w:val="00F25C24"/>
    <w:rsid w:val="00F265C8"/>
    <w:rsid w:val="00F31854"/>
    <w:rsid w:val="00F46A0B"/>
    <w:rsid w:val="00F63938"/>
    <w:rsid w:val="00F64597"/>
    <w:rsid w:val="00F673E7"/>
    <w:rsid w:val="00F73033"/>
    <w:rsid w:val="00F73D6A"/>
    <w:rsid w:val="00FC28A0"/>
    <w:rsid w:val="00FC2A0F"/>
    <w:rsid w:val="00FE25F1"/>
    <w:rsid w:val="00FE6EC9"/>
    <w:rsid w:val="00FF0A81"/>
    <w:rsid w:val="00FF26F0"/>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style="mso-position-vertical-relative:line" fill="f" fillcolor="white" stroke="f">
      <v:fill color="white" on="f"/>
      <v:stroke on="f"/>
      <v:textbox style="mso-rotate-with-shape:t"/>
      <o:colormru v:ext="edit" colors="#e1e9f3,#e1ebf7,#cfdded"/>
    </o:shapedefaults>
    <o:shapelayout v:ext="edit">
      <o:idmap v:ext="edit" data="1"/>
    </o:shapelayout>
  </w:shapeDefaults>
  <w:decimalSymbol w:val="."/>
  <w:listSeparator w:val=","/>
  <w14:docId w14:val="7DAA00E0"/>
  <w15:docId w15:val="{83172F39-1876-46D5-A0B2-D399EF39EF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pPr>
        <w:spacing w:after="200" w:line="276" w:lineRule="auto"/>
      </w:pPr>
    </w:pPrDefault>
  </w:docDefaults>
  <w:latentStyles w:defLockedState="0" w:defUIPriority="0" w:defSemiHidden="0" w:defUnhideWhenUsed="0" w:defQFormat="0" w:count="375">
    <w:lsdException w:name="Normal" w:qFormat="1"/>
    <w:lsdException w:name="heading 1" w:uiPriority="9" w:qFormat="1"/>
    <w:lsdException w:name="heading 2" w:qFormat="1"/>
    <w:lsdException w:name="heading 3" w:uiPriority="9"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iPriority="35" w:unhideWhenUsed="1" w:qFormat="1"/>
    <w:lsdException w:name="table of figures" w:semiHidden="1" w:uiPriority="99" w:unhideWhenUsed="1"/>
    <w:lsdException w:name="envelope address" w:semiHidden="1" w:uiPriority="99" w:unhideWhenUsed="1"/>
    <w:lsdException w:name="envelope return" w:semiHidden="1" w:uiPriority="9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iPriority="99" w:unhideWhenUsed="1"/>
    <w:lsdException w:name="List 2" w:semiHidden="1" w:unhideWhenUsed="1"/>
    <w:lsdException w:name="List 3"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99" w:unhideWhenUsed="1"/>
    <w:lsdException w:name="List Number 4" w:semiHidden="1" w:unhideWhenUsed="1"/>
    <w:lsdException w:name="List Number 5" w:semiHidden="1" w:unhideWhenUsed="1"/>
    <w:lsdException w:name="Title" w:uiPriority="10"/>
    <w:lsdException w:name="Closing" w:semiHidden="1" w:uiPriority="99" w:unhideWhenUsed="1"/>
    <w:lsdException w:name="Signature" w:semiHidden="1" w:uiPriority="99"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uiPriority="99"/>
    <w:lsdException w:name="Date" w:uiPriority="99"/>
    <w:lsdException w:name="Body Text First Indent" w:uiPriority="99"/>
    <w:lsdException w:name="Body Text First Indent 2" w:semiHidden="1" w:uiPriority="99" w:unhideWhenUsed="1"/>
    <w:lsdException w:name="Note Heading" w:semiHidden="1" w:uiPriority="99"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lsdException w:name="Emphasis" w:uiPriority="20" w:qFormat="1"/>
    <w:lsdException w:name="Document Map" w:semiHidden="1" w:uiPriority="99" w:unhideWhenUsed="1"/>
    <w:lsdException w:name="Plain Text" w:semiHidden="1" w:uiPriority="99" w:unhideWhenUsed="1"/>
    <w:lsdException w:name="E-mail Signature" w:semiHidden="1" w:uiPriority="99" w:unhideWhenUsed="1"/>
    <w:lsdException w:name="HTML Top of Form" w:semiHidden="1" w:unhideWhenUsed="1"/>
    <w:lsdException w:name="HTML Bottom of Form" w:semiHidden="1"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iPriority="59" w:unhideWhenUsed="1"/>
    <w:lsdException w:name="Table Theme" w:semiHidden="1" w:unhideWhenUsed="1"/>
    <w:lsdException w:name="Placeholder Text" w:semiHidden="1" w:uiPriority="99" w:unhideWhenUsed="1"/>
    <w:lsdException w:name="No Spacing" w:uiPriority="99"/>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66"/>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lsdException w:name="Intense Quote" w:uiPriority="30"/>
    <w:lsdException w:name="Medium List 2 Accent 1" w:uiPriority="61"/>
    <w:lsdException w:name="Medium Grid 1 Accent 1" w:uiPriority="67"/>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E7D14"/>
    <w:rPr>
      <w:rFonts w:ascii="Arial" w:hAnsi="Arial"/>
      <w:lang w:val="en-GB"/>
    </w:rPr>
  </w:style>
  <w:style w:type="paragraph" w:styleId="Heading1">
    <w:name w:val="heading 1"/>
    <w:basedOn w:val="Normal"/>
    <w:next w:val="Normal"/>
    <w:link w:val="Heading1Char"/>
    <w:uiPriority w:val="9"/>
    <w:qFormat/>
    <w:rsid w:val="00B71C7E"/>
    <w:pPr>
      <w:keepNext/>
      <w:numPr>
        <w:numId w:val="3"/>
      </w:numPr>
      <w:spacing w:after="120"/>
      <w:outlineLvl w:val="0"/>
    </w:pPr>
    <w:rPr>
      <w:rFonts w:cs="Arial"/>
      <w:bCs/>
      <w:color w:val="005A97"/>
      <w:kern w:val="32"/>
      <w:sz w:val="52"/>
      <w:szCs w:val="32"/>
    </w:rPr>
  </w:style>
  <w:style w:type="paragraph" w:styleId="Heading2">
    <w:name w:val="heading 2"/>
    <w:basedOn w:val="reportseriesheader"/>
    <w:next w:val="Normal"/>
    <w:link w:val="Heading2Char"/>
    <w:qFormat/>
    <w:rsid w:val="00960250"/>
    <w:pPr>
      <w:outlineLvl w:val="1"/>
    </w:pPr>
  </w:style>
  <w:style w:type="paragraph" w:styleId="Heading3">
    <w:name w:val="heading 3"/>
    <w:basedOn w:val="Normal"/>
    <w:next w:val="Normal"/>
    <w:link w:val="Heading3Char"/>
    <w:uiPriority w:val="9"/>
    <w:qFormat/>
    <w:rsid w:val="00544AE6"/>
    <w:pPr>
      <w:keepNext/>
      <w:tabs>
        <w:tab w:val="left" w:pos="1080"/>
      </w:tabs>
      <w:spacing w:before="120" w:after="20"/>
      <w:outlineLvl w:val="2"/>
    </w:pPr>
    <w:rPr>
      <w:rFonts w:cs="Arial"/>
      <w:b/>
      <w:bCs/>
      <w:sz w:val="26"/>
      <w:szCs w:val="26"/>
    </w:rPr>
  </w:style>
  <w:style w:type="paragraph" w:styleId="Heading4">
    <w:name w:val="heading 4"/>
    <w:basedOn w:val="Normal"/>
    <w:next w:val="Normal"/>
    <w:link w:val="Heading4Char"/>
    <w:uiPriority w:val="9"/>
    <w:unhideWhenUsed/>
    <w:qFormat/>
    <w:rsid w:val="00544AE6"/>
    <w:pPr>
      <w:spacing w:before="100" w:after="0"/>
      <w:outlineLvl w:val="3"/>
    </w:pPr>
    <w:rPr>
      <w:b/>
    </w:rPr>
  </w:style>
  <w:style w:type="paragraph" w:styleId="Heading5">
    <w:name w:val="heading 5"/>
    <w:basedOn w:val="Normal"/>
    <w:next w:val="Normal"/>
    <w:link w:val="Heading5Char"/>
    <w:uiPriority w:val="9"/>
    <w:semiHidden/>
    <w:unhideWhenUsed/>
    <w:rsid w:val="00AE7D14"/>
    <w:pPr>
      <w:keepNext/>
      <w:keepLines/>
      <w:numPr>
        <w:ilvl w:val="4"/>
        <w:numId w:val="3"/>
      </w:numPr>
      <w:spacing w:before="160" w:after="0"/>
      <w:outlineLvl w:val="4"/>
    </w:pPr>
    <w:rPr>
      <w:rFonts w:eastAsiaTheme="majorEastAsia" w:cstheme="majorBidi"/>
      <w:i/>
      <w:color w:val="2A77BB"/>
    </w:rPr>
  </w:style>
  <w:style w:type="paragraph" w:styleId="Heading6">
    <w:name w:val="heading 6"/>
    <w:basedOn w:val="Normal"/>
    <w:next w:val="Normal"/>
    <w:link w:val="Heading6Char"/>
    <w:uiPriority w:val="9"/>
    <w:semiHidden/>
    <w:unhideWhenUsed/>
    <w:qFormat/>
    <w:rsid w:val="00203D8E"/>
    <w:pPr>
      <w:keepNext/>
      <w:keepLines/>
      <w:numPr>
        <w:ilvl w:val="5"/>
        <w:numId w:val="3"/>
      </w:numPr>
      <w:spacing w:before="40" w:after="0"/>
      <w:outlineLvl w:val="5"/>
    </w:pPr>
    <w:rPr>
      <w:rFonts w:asciiTheme="majorHAnsi" w:eastAsiaTheme="majorEastAsia" w:hAnsiTheme="majorHAnsi" w:cstheme="majorBidi"/>
      <w:color w:val="322C2B" w:themeColor="accent1" w:themeShade="7F"/>
    </w:rPr>
  </w:style>
  <w:style w:type="paragraph" w:styleId="Heading7">
    <w:name w:val="heading 7"/>
    <w:basedOn w:val="Normal"/>
    <w:next w:val="Normal"/>
    <w:link w:val="Heading7Char"/>
    <w:uiPriority w:val="9"/>
    <w:unhideWhenUsed/>
    <w:qFormat/>
    <w:rsid w:val="00203D8E"/>
    <w:pPr>
      <w:keepNext/>
      <w:keepLines/>
      <w:numPr>
        <w:ilvl w:val="6"/>
        <w:numId w:val="3"/>
      </w:numPr>
      <w:spacing w:before="40" w:after="0"/>
      <w:outlineLvl w:val="6"/>
    </w:pPr>
    <w:rPr>
      <w:rFonts w:asciiTheme="majorHAnsi" w:eastAsiaTheme="majorEastAsia" w:hAnsiTheme="majorHAnsi" w:cstheme="majorBidi"/>
      <w:i/>
      <w:iCs/>
      <w:color w:val="322C2B" w:themeColor="accent1" w:themeShade="7F"/>
    </w:rPr>
  </w:style>
  <w:style w:type="paragraph" w:styleId="Heading8">
    <w:name w:val="heading 8"/>
    <w:basedOn w:val="Normal"/>
    <w:next w:val="Normal"/>
    <w:link w:val="Heading8Char"/>
    <w:unhideWhenUsed/>
    <w:qFormat/>
    <w:rsid w:val="00203D8E"/>
    <w:pPr>
      <w:keepNext/>
      <w:keepLines/>
      <w:numPr>
        <w:ilvl w:val="7"/>
        <w:numId w:val="3"/>
      </w:numPr>
      <w:spacing w:before="40" w:after="0"/>
      <w:outlineLvl w:val="7"/>
    </w:pPr>
    <w:rPr>
      <w:rFonts w:asciiTheme="majorHAnsi" w:eastAsiaTheme="majorEastAsia" w:hAnsiTheme="majorHAnsi" w:cstheme="majorBidi"/>
      <w:color w:val="0079CD" w:themeColor="text1" w:themeTint="D8"/>
      <w:sz w:val="21"/>
      <w:szCs w:val="21"/>
    </w:rPr>
  </w:style>
  <w:style w:type="paragraph" w:styleId="Heading9">
    <w:name w:val="heading 9"/>
    <w:aliases w:val="Appendix"/>
    <w:basedOn w:val="Normal"/>
    <w:next w:val="Normal"/>
    <w:link w:val="Heading9Char"/>
    <w:unhideWhenUsed/>
    <w:qFormat/>
    <w:rsid w:val="00203D8E"/>
    <w:pPr>
      <w:keepNext/>
      <w:keepLines/>
      <w:numPr>
        <w:ilvl w:val="8"/>
        <w:numId w:val="3"/>
      </w:numPr>
      <w:spacing w:before="40" w:after="0"/>
      <w:outlineLvl w:val="8"/>
    </w:pPr>
    <w:rPr>
      <w:rFonts w:asciiTheme="majorHAnsi" w:eastAsiaTheme="majorEastAsia" w:hAnsiTheme="majorHAnsi" w:cstheme="majorBidi"/>
      <w:i/>
      <w:iCs/>
      <w:color w:val="0079CD"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1">
    <w:name w:val="Bullet 1"/>
    <w:basedOn w:val="Normal"/>
    <w:qFormat/>
    <w:rsid w:val="00827246"/>
    <w:pPr>
      <w:spacing w:after="120"/>
    </w:pPr>
  </w:style>
  <w:style w:type="paragraph" w:customStyle="1" w:styleId="Bullet2">
    <w:name w:val="Bullet 2"/>
    <w:basedOn w:val="Bullet1"/>
    <w:qFormat/>
    <w:rsid w:val="00A659A8"/>
    <w:pPr>
      <w:numPr>
        <w:ilvl w:val="1"/>
        <w:numId w:val="63"/>
      </w:numPr>
      <w:tabs>
        <w:tab w:val="clear" w:pos="360"/>
        <w:tab w:val="num" w:pos="851"/>
      </w:tabs>
      <w:ind w:left="851" w:hanging="425"/>
    </w:pPr>
  </w:style>
  <w:style w:type="paragraph" w:customStyle="1" w:styleId="TableHeaderrow">
    <w:name w:val="Table Header row"/>
    <w:basedOn w:val="Tabletext"/>
    <w:qFormat/>
    <w:rsid w:val="00E63375"/>
    <w:pPr>
      <w:spacing w:line="240" w:lineRule="auto"/>
    </w:pPr>
    <w:rPr>
      <w:rFonts w:eastAsiaTheme="minorEastAsia" w:cstheme="minorBidi"/>
      <w:b/>
      <w:bCs/>
      <w:color w:val="FFFFFF"/>
      <w:lang w:eastAsia="en-US"/>
    </w:rPr>
  </w:style>
  <w:style w:type="paragraph" w:customStyle="1" w:styleId="HeadingTOC">
    <w:name w:val="Heading TOC"/>
    <w:basedOn w:val="Normal"/>
    <w:rsid w:val="009504CB"/>
    <w:pPr>
      <w:spacing w:before="240" w:after="60" w:line="380" w:lineRule="atLeast"/>
    </w:pPr>
    <w:rPr>
      <w:color w:val="2A6EBB"/>
      <w:sz w:val="32"/>
    </w:rPr>
  </w:style>
  <w:style w:type="paragraph" w:styleId="TOC1">
    <w:name w:val="toc 1"/>
    <w:basedOn w:val="Normal"/>
    <w:next w:val="Normal"/>
    <w:autoRedefine/>
    <w:uiPriority w:val="39"/>
    <w:qFormat/>
    <w:rsid w:val="0063692F"/>
    <w:pPr>
      <w:tabs>
        <w:tab w:val="left" w:pos="567"/>
        <w:tab w:val="right" w:leader="dot" w:pos="9638"/>
      </w:tabs>
      <w:spacing w:before="200" w:after="60"/>
    </w:pPr>
    <w:rPr>
      <w:b/>
      <w:noProof/>
      <w:color w:val="005A97"/>
      <w:sz w:val="22"/>
      <w:szCs w:val="22"/>
    </w:rPr>
  </w:style>
  <w:style w:type="paragraph" w:styleId="TOC2">
    <w:name w:val="toc 2"/>
    <w:basedOn w:val="Normal"/>
    <w:next w:val="Normal"/>
    <w:autoRedefine/>
    <w:uiPriority w:val="39"/>
    <w:qFormat/>
    <w:rsid w:val="00D0375F"/>
    <w:pPr>
      <w:tabs>
        <w:tab w:val="left" w:pos="0"/>
        <w:tab w:val="right" w:leader="dot" w:pos="9638"/>
      </w:tabs>
      <w:ind w:left="567" w:hanging="567"/>
    </w:pPr>
    <w:rPr>
      <w:rFonts w:eastAsiaTheme="minorEastAsia" w:cs="Arial"/>
      <w:noProof/>
      <w:lang w:val="en-AU"/>
    </w:rPr>
  </w:style>
  <w:style w:type="character" w:styleId="Hyperlink">
    <w:name w:val="Hyperlink"/>
    <w:uiPriority w:val="99"/>
    <w:unhideWhenUsed/>
    <w:rsid w:val="00B71C7E"/>
  </w:style>
  <w:style w:type="paragraph" w:styleId="BalloonText">
    <w:name w:val="Balloon Text"/>
    <w:basedOn w:val="Normal"/>
    <w:link w:val="BalloonTextChar"/>
    <w:uiPriority w:val="99"/>
    <w:semiHidden/>
    <w:unhideWhenUsed/>
    <w:rsid w:val="001575A6"/>
    <w:pPr>
      <w:spacing w:after="0" w:line="240" w:lineRule="auto"/>
    </w:pPr>
    <w:rPr>
      <w:rFonts w:ascii="Segoe UI" w:hAnsi="Segoe UI" w:cs="Segoe UI"/>
      <w:sz w:val="18"/>
      <w:szCs w:val="18"/>
    </w:rPr>
  </w:style>
  <w:style w:type="table" w:styleId="TableGrid">
    <w:name w:val="Table Grid"/>
    <w:basedOn w:val="TableNormal"/>
    <w:uiPriority w:val="59"/>
    <w:rsid w:val="00A971F6"/>
    <w:pPr>
      <w:spacing w:line="260" w:lineRule="atLeast"/>
      <w:ind w:left="720"/>
    </w:pPr>
    <w:rPr>
      <w:rFonts w:ascii="Arial" w:hAnsi="Arial"/>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cPr>
      <w:shd w:val="clear" w:color="auto" w:fill="auto"/>
    </w:tcPr>
  </w:style>
  <w:style w:type="character" w:customStyle="1" w:styleId="BalloonTextChar">
    <w:name w:val="Balloon Text Char"/>
    <w:basedOn w:val="DefaultParagraphFont"/>
    <w:link w:val="BalloonText"/>
    <w:uiPriority w:val="99"/>
    <w:semiHidden/>
    <w:rsid w:val="001575A6"/>
    <w:rPr>
      <w:rFonts w:ascii="Segoe UI" w:hAnsi="Segoe UI" w:cs="Segoe UI"/>
      <w:sz w:val="18"/>
      <w:szCs w:val="18"/>
      <w:lang w:val="en-GB"/>
    </w:rPr>
  </w:style>
  <w:style w:type="paragraph" w:customStyle="1" w:styleId="imprint">
    <w:name w:val="imprint"/>
    <w:basedOn w:val="BodyText"/>
    <w:uiPriority w:val="99"/>
    <w:rsid w:val="001575A6"/>
    <w:pPr>
      <w:suppressAutoHyphens/>
      <w:autoSpaceDE w:val="0"/>
      <w:autoSpaceDN w:val="0"/>
      <w:adjustRightInd w:val="0"/>
      <w:spacing w:after="113" w:line="180" w:lineRule="atLeast"/>
      <w:textAlignment w:val="center"/>
    </w:pPr>
    <w:rPr>
      <w:rFonts w:ascii="Museo Sans 100" w:hAnsi="Museo Sans 100" w:cs="Museo Sans 100"/>
      <w:color w:val="000000"/>
      <w:sz w:val="14"/>
      <w:szCs w:val="14"/>
      <w:lang w:val="en-US"/>
    </w:rPr>
  </w:style>
  <w:style w:type="paragraph" w:styleId="Header">
    <w:name w:val="header"/>
    <w:basedOn w:val="Normal"/>
    <w:link w:val="HeaderChar"/>
    <w:rsid w:val="00272168"/>
    <w:pPr>
      <w:tabs>
        <w:tab w:val="center" w:pos="4153"/>
        <w:tab w:val="right" w:pos="8306"/>
      </w:tabs>
    </w:pPr>
  </w:style>
  <w:style w:type="paragraph" w:styleId="Footer">
    <w:name w:val="footer"/>
    <w:basedOn w:val="Normal"/>
    <w:link w:val="FooterChar"/>
    <w:uiPriority w:val="99"/>
    <w:rsid w:val="00E07803"/>
    <w:pPr>
      <w:tabs>
        <w:tab w:val="center" w:pos="4153"/>
        <w:tab w:val="right" w:pos="8306"/>
      </w:tabs>
      <w:spacing w:before="100" w:after="100"/>
      <w:jc w:val="center"/>
    </w:pPr>
    <w:rPr>
      <w:color w:val="005A97"/>
      <w:sz w:val="16"/>
      <w:szCs w:val="16"/>
    </w:rPr>
  </w:style>
  <w:style w:type="paragraph" w:styleId="BodyText">
    <w:name w:val="Body Text"/>
    <w:basedOn w:val="Normal"/>
    <w:link w:val="BodyTextChar"/>
    <w:uiPriority w:val="99"/>
    <w:semiHidden/>
    <w:unhideWhenUsed/>
    <w:rsid w:val="001575A6"/>
    <w:pPr>
      <w:spacing w:after="120"/>
    </w:pPr>
  </w:style>
  <w:style w:type="character" w:styleId="PageNumber">
    <w:name w:val="page number"/>
    <w:uiPriority w:val="99"/>
    <w:rsid w:val="00956A06"/>
    <w:rPr>
      <w:color w:val="auto"/>
    </w:rPr>
  </w:style>
  <w:style w:type="character" w:customStyle="1" w:styleId="Heading5Char">
    <w:name w:val="Heading 5 Char"/>
    <w:basedOn w:val="DefaultParagraphFont"/>
    <w:link w:val="Heading5"/>
    <w:uiPriority w:val="9"/>
    <w:semiHidden/>
    <w:rsid w:val="00AE7D14"/>
    <w:rPr>
      <w:rFonts w:ascii="Arial" w:eastAsiaTheme="majorEastAsia" w:hAnsi="Arial" w:cstheme="majorBidi"/>
      <w:i/>
      <w:color w:val="2A77BB"/>
      <w:lang w:val="en-GB"/>
    </w:rPr>
  </w:style>
  <w:style w:type="paragraph" w:styleId="FootnoteText">
    <w:name w:val="footnote text"/>
    <w:basedOn w:val="Normal"/>
    <w:link w:val="FootnoteTextChar"/>
    <w:uiPriority w:val="99"/>
    <w:rsid w:val="00C253B0"/>
    <w:pPr>
      <w:spacing w:after="80"/>
    </w:pPr>
    <w:rPr>
      <w:sz w:val="16"/>
      <w:szCs w:val="16"/>
    </w:rPr>
  </w:style>
  <w:style w:type="character" w:customStyle="1" w:styleId="FootnoteTextChar">
    <w:name w:val="Footnote Text Char"/>
    <w:link w:val="FootnoteText"/>
    <w:uiPriority w:val="99"/>
    <w:rsid w:val="00C253B0"/>
    <w:rPr>
      <w:rFonts w:ascii="Arial" w:hAnsi="Arial"/>
      <w:sz w:val="16"/>
      <w:szCs w:val="16"/>
      <w:lang w:val="en-GB"/>
    </w:rPr>
  </w:style>
  <w:style w:type="character" w:styleId="FootnoteReference">
    <w:name w:val="footnote reference"/>
    <w:uiPriority w:val="99"/>
    <w:unhideWhenUsed/>
    <w:rsid w:val="00265A35"/>
    <w:rPr>
      <w:vertAlign w:val="superscript"/>
    </w:rPr>
  </w:style>
  <w:style w:type="character" w:customStyle="1" w:styleId="BodyTextChar">
    <w:name w:val="Body Text Char"/>
    <w:basedOn w:val="DefaultParagraphFont"/>
    <w:link w:val="BodyText"/>
    <w:uiPriority w:val="99"/>
    <w:semiHidden/>
    <w:rsid w:val="001575A6"/>
    <w:rPr>
      <w:rFonts w:ascii="Arial" w:hAnsi="Arial"/>
      <w:lang w:val="en-GB"/>
    </w:rPr>
  </w:style>
  <w:style w:type="character" w:customStyle="1" w:styleId="Heading1Char">
    <w:name w:val="Heading 1 Char"/>
    <w:link w:val="Heading1"/>
    <w:uiPriority w:val="9"/>
    <w:rsid w:val="00B71C7E"/>
    <w:rPr>
      <w:rFonts w:ascii="Arial" w:hAnsi="Arial" w:cs="Arial"/>
      <w:bCs/>
      <w:color w:val="005A97"/>
      <w:kern w:val="32"/>
      <w:sz w:val="52"/>
      <w:szCs w:val="32"/>
      <w:lang w:val="en-GB"/>
    </w:rPr>
  </w:style>
  <w:style w:type="character" w:customStyle="1" w:styleId="Heading2Char">
    <w:name w:val="Heading 2 Char"/>
    <w:link w:val="Heading2"/>
    <w:rsid w:val="00960250"/>
    <w:rPr>
      <w:rFonts w:ascii="Arial" w:hAnsi="Arial"/>
      <w:color w:val="7F7F7F"/>
      <w:sz w:val="32"/>
      <w:szCs w:val="32"/>
      <w:lang w:val="en-GB"/>
    </w:rPr>
  </w:style>
  <w:style w:type="character" w:customStyle="1" w:styleId="Heading3Char">
    <w:name w:val="Heading 3 Char"/>
    <w:link w:val="Heading3"/>
    <w:uiPriority w:val="9"/>
    <w:rsid w:val="00544AE6"/>
    <w:rPr>
      <w:rFonts w:ascii="Arial" w:hAnsi="Arial" w:cs="Arial"/>
      <w:b/>
      <w:bCs/>
      <w:sz w:val="26"/>
      <w:szCs w:val="26"/>
      <w:lang w:val="en-GB"/>
    </w:rPr>
  </w:style>
  <w:style w:type="paragraph" w:styleId="Caption">
    <w:name w:val="caption"/>
    <w:basedOn w:val="Normal"/>
    <w:next w:val="Normal"/>
    <w:uiPriority w:val="35"/>
    <w:unhideWhenUsed/>
    <w:qFormat/>
    <w:rsid w:val="009B7BE5"/>
    <w:pPr>
      <w:spacing w:after="100"/>
    </w:pPr>
    <w:rPr>
      <w:i/>
      <w:sz w:val="18"/>
      <w:szCs w:val="18"/>
    </w:rPr>
  </w:style>
  <w:style w:type="character" w:styleId="PlaceholderText">
    <w:name w:val="Placeholder Text"/>
    <w:basedOn w:val="DefaultParagraphFont"/>
    <w:uiPriority w:val="99"/>
    <w:semiHidden/>
    <w:rsid w:val="00F15C86"/>
    <w:rPr>
      <w:color w:val="808080"/>
    </w:rPr>
  </w:style>
  <w:style w:type="character" w:customStyle="1" w:styleId="Heading4Char">
    <w:name w:val="Heading 4 Char"/>
    <w:basedOn w:val="DefaultParagraphFont"/>
    <w:link w:val="Heading4"/>
    <w:uiPriority w:val="9"/>
    <w:rsid w:val="00544AE6"/>
    <w:rPr>
      <w:rFonts w:ascii="Arial" w:hAnsi="Arial"/>
      <w:b/>
      <w:lang w:val="en-GB"/>
    </w:rPr>
  </w:style>
  <w:style w:type="character" w:customStyle="1" w:styleId="FooterChar">
    <w:name w:val="Footer Char"/>
    <w:basedOn w:val="DefaultParagraphFont"/>
    <w:link w:val="Footer"/>
    <w:uiPriority w:val="99"/>
    <w:rsid w:val="00E07803"/>
    <w:rPr>
      <w:rFonts w:ascii="Arial" w:hAnsi="Arial"/>
      <w:color w:val="005A97"/>
      <w:sz w:val="16"/>
      <w:szCs w:val="16"/>
      <w:lang w:val="en-GB"/>
    </w:rPr>
  </w:style>
  <w:style w:type="paragraph" w:customStyle="1" w:styleId="H2notinTOC">
    <w:name w:val="H2 not in TOC"/>
    <w:basedOn w:val="Heading2"/>
    <w:rsid w:val="00E86EEC"/>
  </w:style>
  <w:style w:type="paragraph" w:customStyle="1" w:styleId="H1notinTOC">
    <w:name w:val="H1 not in TOC"/>
    <w:basedOn w:val="Heading1"/>
    <w:rsid w:val="00D0375F"/>
    <w:pPr>
      <w:numPr>
        <w:numId w:val="0"/>
      </w:numPr>
      <w:spacing w:after="600"/>
    </w:pPr>
  </w:style>
  <w:style w:type="paragraph" w:customStyle="1" w:styleId="Tableheading">
    <w:name w:val="Table heading"/>
    <w:basedOn w:val="Heading3"/>
    <w:qFormat/>
    <w:rsid w:val="004F307F"/>
    <w:pPr>
      <w:spacing w:before="0" w:after="120"/>
    </w:pPr>
    <w:rPr>
      <w:sz w:val="20"/>
      <w:szCs w:val="20"/>
    </w:rPr>
  </w:style>
  <w:style w:type="paragraph" w:customStyle="1" w:styleId="Tabletext">
    <w:name w:val="Table text"/>
    <w:basedOn w:val="Normal"/>
    <w:qFormat/>
    <w:rsid w:val="00CE6965"/>
    <w:pPr>
      <w:spacing w:before="40" w:after="80"/>
    </w:pPr>
    <w:rPr>
      <w:sz w:val="18"/>
      <w:szCs w:val="18"/>
    </w:rPr>
  </w:style>
  <w:style w:type="paragraph" w:customStyle="1" w:styleId="Notetext">
    <w:name w:val="Note text"/>
    <w:basedOn w:val="Normal"/>
    <w:qFormat/>
    <w:rsid w:val="00C253B0"/>
    <w:pPr>
      <w:spacing w:after="60"/>
    </w:pPr>
    <w:rPr>
      <w:sz w:val="16"/>
      <w:szCs w:val="16"/>
    </w:rPr>
  </w:style>
  <w:style w:type="paragraph" w:customStyle="1" w:styleId="Figuretitle">
    <w:name w:val="Figure title"/>
    <w:basedOn w:val="Normal"/>
    <w:qFormat/>
    <w:rsid w:val="00D0375F"/>
    <w:pPr>
      <w:spacing w:before="40" w:after="100"/>
    </w:pPr>
    <w:rPr>
      <w:i/>
      <w:lang w:val="en-AU"/>
    </w:rPr>
  </w:style>
  <w:style w:type="table" w:customStyle="1" w:styleId="GridTable4-Accent31">
    <w:name w:val="Grid Table 4 - Accent 31"/>
    <w:basedOn w:val="TableNormal"/>
    <w:uiPriority w:val="49"/>
    <w:rsid w:val="00AE7D14"/>
    <w:pPr>
      <w:spacing w:after="0" w:line="240" w:lineRule="auto"/>
    </w:pPr>
    <w:tblPr>
      <w:tblStyleRowBandSize w:val="1"/>
      <w:tblStyleColBandSize w:val="1"/>
      <w:tblBorders>
        <w:top w:val="single" w:sz="4" w:space="0" w:color="8B8B8B" w:themeColor="accent3" w:themeTint="99"/>
        <w:left w:val="single" w:sz="4" w:space="0" w:color="8B8B8B" w:themeColor="accent3" w:themeTint="99"/>
        <w:bottom w:val="single" w:sz="4" w:space="0" w:color="8B8B8B" w:themeColor="accent3" w:themeTint="99"/>
        <w:right w:val="single" w:sz="4" w:space="0" w:color="8B8B8B" w:themeColor="accent3" w:themeTint="99"/>
        <w:insideH w:val="single" w:sz="4" w:space="0" w:color="8B8B8B" w:themeColor="accent3" w:themeTint="99"/>
        <w:insideV w:val="single" w:sz="4" w:space="0" w:color="8B8B8B" w:themeColor="accent3" w:themeTint="99"/>
      </w:tblBorders>
    </w:tblPr>
    <w:tblStylePr w:type="firstRow">
      <w:rPr>
        <w:b/>
        <w:bCs/>
        <w:color w:val="ADD1EB" w:themeColor="background1"/>
      </w:rPr>
      <w:tblPr/>
      <w:tcPr>
        <w:tcBorders>
          <w:top w:val="single" w:sz="4" w:space="0" w:color="3F3F3F" w:themeColor="accent3"/>
          <w:left w:val="single" w:sz="4" w:space="0" w:color="3F3F3F" w:themeColor="accent3"/>
          <w:bottom w:val="single" w:sz="4" w:space="0" w:color="3F3F3F" w:themeColor="accent3"/>
          <w:right w:val="single" w:sz="4" w:space="0" w:color="3F3F3F" w:themeColor="accent3"/>
          <w:insideH w:val="nil"/>
          <w:insideV w:val="nil"/>
        </w:tcBorders>
        <w:shd w:val="clear" w:color="auto" w:fill="3F3F3F" w:themeFill="accent3"/>
      </w:tcPr>
    </w:tblStylePr>
    <w:tblStylePr w:type="lastRow">
      <w:rPr>
        <w:b/>
        <w:bCs/>
      </w:rPr>
      <w:tblPr/>
      <w:tcPr>
        <w:tcBorders>
          <w:top w:val="double" w:sz="4" w:space="0" w:color="3F3F3F" w:themeColor="accent3"/>
        </w:tcBorders>
      </w:tcPr>
    </w:tblStylePr>
    <w:tblStylePr w:type="firstCol">
      <w:rPr>
        <w:b/>
        <w:bCs/>
      </w:rPr>
    </w:tblStylePr>
    <w:tblStylePr w:type="lastCol">
      <w:rPr>
        <w:b/>
        <w:bCs/>
      </w:rPr>
    </w:tblStylePr>
    <w:tblStylePr w:type="band1Vert">
      <w:tblPr/>
      <w:tcPr>
        <w:shd w:val="clear" w:color="auto" w:fill="D8D8D8" w:themeFill="accent3" w:themeFillTint="33"/>
      </w:tcPr>
    </w:tblStylePr>
    <w:tblStylePr w:type="band1Horz">
      <w:tblPr/>
      <w:tcPr>
        <w:shd w:val="clear" w:color="auto" w:fill="D8D8D8" w:themeFill="accent3" w:themeFillTint="33"/>
      </w:tcPr>
    </w:tblStylePr>
  </w:style>
  <w:style w:type="paragraph" w:styleId="ListParagraph">
    <w:name w:val="List Paragraph"/>
    <w:basedOn w:val="Normal"/>
    <w:uiPriority w:val="34"/>
    <w:qFormat/>
    <w:rsid w:val="00C57863"/>
    <w:pPr>
      <w:ind w:left="720"/>
      <w:contextualSpacing/>
    </w:pPr>
  </w:style>
  <w:style w:type="character" w:styleId="Strong">
    <w:name w:val="Strong"/>
    <w:basedOn w:val="DefaultParagraphFont"/>
    <w:uiPriority w:val="22"/>
    <w:rsid w:val="00E9739A"/>
    <w:rPr>
      <w:b/>
      <w:bCs/>
    </w:rPr>
  </w:style>
  <w:style w:type="paragraph" w:styleId="NormalWeb">
    <w:name w:val="Normal (Web)"/>
    <w:basedOn w:val="Normal"/>
    <w:uiPriority w:val="99"/>
    <w:unhideWhenUsed/>
    <w:rsid w:val="00E9739A"/>
    <w:pPr>
      <w:spacing w:before="144" w:after="324" w:line="240" w:lineRule="auto"/>
    </w:pPr>
    <w:rPr>
      <w:rFonts w:ascii="Times New Roman" w:hAnsi="Times New Roman"/>
      <w:sz w:val="24"/>
      <w:szCs w:val="24"/>
      <w:lang w:val="en-AU"/>
    </w:rPr>
  </w:style>
  <w:style w:type="paragraph" w:customStyle="1" w:styleId="Reportseriestitleinsidepages">
    <w:name w:val="Report series title inside pages"/>
    <w:rsid w:val="0017227C"/>
    <w:pPr>
      <w:spacing w:before="900" w:after="0"/>
      <w:jc w:val="right"/>
    </w:pPr>
    <w:rPr>
      <w:rFonts w:ascii="Arial" w:hAnsi="Arial"/>
      <w:color w:val="7F7F7F" w:themeColor="accent5" w:themeTint="80"/>
      <w:sz w:val="32"/>
      <w:szCs w:val="32"/>
      <w:lang w:val="en-GB"/>
    </w:rPr>
  </w:style>
  <w:style w:type="paragraph" w:customStyle="1" w:styleId="Reportcovertitle">
    <w:name w:val="Report cover title"/>
    <w:rsid w:val="00341CD7"/>
    <w:pPr>
      <w:jc w:val="right"/>
    </w:pPr>
    <w:rPr>
      <w:rFonts w:ascii="Arial" w:hAnsi="Arial" w:cs="Arial"/>
      <w:bCs/>
      <w:kern w:val="32"/>
      <w:sz w:val="52"/>
      <w:szCs w:val="32"/>
      <w:lang w:val="en-GB"/>
    </w:rPr>
  </w:style>
  <w:style w:type="paragraph" w:customStyle="1" w:styleId="Dateoncover">
    <w:name w:val="Date on cover"/>
    <w:basedOn w:val="Normal"/>
    <w:qFormat/>
    <w:rsid w:val="00D0375F"/>
    <w:pPr>
      <w:spacing w:after="0"/>
      <w:jc w:val="right"/>
    </w:pPr>
    <w:rPr>
      <w:b/>
      <w:color w:val="999999" w:themeColor="accent6" w:themeShade="BF"/>
      <w:sz w:val="24"/>
      <w:szCs w:val="24"/>
    </w:rPr>
  </w:style>
  <w:style w:type="paragraph" w:customStyle="1" w:styleId="Reportcoversubtitle">
    <w:name w:val="Report cover subtitle"/>
    <w:rsid w:val="00341CD7"/>
    <w:pPr>
      <w:jc w:val="right"/>
    </w:pPr>
    <w:rPr>
      <w:rFonts w:ascii="Arial" w:hAnsi="Arial" w:cs="Arial"/>
      <w:b/>
      <w:bCs/>
      <w:color w:val="1C1C1C"/>
      <w:sz w:val="26"/>
      <w:szCs w:val="26"/>
      <w:lang w:val="en-GB"/>
    </w:rPr>
  </w:style>
  <w:style w:type="paragraph" w:customStyle="1" w:styleId="Reportseriestitle">
    <w:name w:val="Report series title"/>
    <w:rsid w:val="00991BED"/>
    <w:pPr>
      <w:spacing w:before="900" w:after="0"/>
      <w:jc w:val="right"/>
    </w:pPr>
    <w:rPr>
      <w:rFonts w:ascii="Arial" w:hAnsi="Arial"/>
      <w:color w:val="2870A4" w:themeColor="background1" w:themeShade="80"/>
      <w:sz w:val="32"/>
      <w:szCs w:val="32"/>
      <w:lang w:val="en-GB"/>
    </w:rPr>
  </w:style>
  <w:style w:type="paragraph" w:customStyle="1" w:styleId="Head1x">
    <w:name w:val="Head 1 x"/>
    <w:next w:val="Normal"/>
    <w:uiPriority w:val="2"/>
    <w:qFormat/>
    <w:rsid w:val="00A33B00"/>
    <w:pPr>
      <w:numPr>
        <w:numId w:val="4"/>
      </w:numPr>
      <w:spacing w:after="600" w:line="560" w:lineRule="atLeast"/>
      <w:outlineLvl w:val="0"/>
    </w:pPr>
    <w:rPr>
      <w:rFonts w:ascii="Arial" w:hAnsi="Arial" w:cs="Arial"/>
      <w:color w:val="005A97" w:themeColor="text1"/>
      <w:sz w:val="52"/>
      <w:szCs w:val="48"/>
      <w:lang w:val="en-US" w:eastAsia="en-US"/>
    </w:rPr>
  </w:style>
  <w:style w:type="paragraph" w:customStyle="1" w:styleId="Head2xx">
    <w:name w:val="Head 2 x.x"/>
    <w:next w:val="Normal"/>
    <w:uiPriority w:val="2"/>
    <w:qFormat/>
    <w:rsid w:val="00544AE6"/>
    <w:pPr>
      <w:numPr>
        <w:ilvl w:val="1"/>
        <w:numId w:val="4"/>
      </w:numPr>
      <w:spacing w:before="120" w:after="60" w:line="320" w:lineRule="atLeast"/>
      <w:outlineLvl w:val="0"/>
    </w:pPr>
    <w:rPr>
      <w:rFonts w:ascii="Arial" w:hAnsi="Arial" w:cs="Arial"/>
      <w:color w:val="AEC12D" w:themeColor="text2"/>
      <w:sz w:val="32"/>
      <w:szCs w:val="32"/>
      <w:lang w:eastAsia="en-US"/>
    </w:rPr>
  </w:style>
  <w:style w:type="paragraph" w:customStyle="1" w:styleId="Head3xxx">
    <w:name w:val="Head 3 x.x.x"/>
    <w:basedOn w:val="Heading3"/>
    <w:uiPriority w:val="9"/>
    <w:qFormat/>
    <w:rsid w:val="00A33B00"/>
    <w:pPr>
      <w:numPr>
        <w:ilvl w:val="2"/>
        <w:numId w:val="4"/>
      </w:numPr>
      <w:tabs>
        <w:tab w:val="clear" w:pos="1080"/>
      </w:tabs>
    </w:pPr>
  </w:style>
  <w:style w:type="character" w:customStyle="1" w:styleId="Heading6Char">
    <w:name w:val="Heading 6 Char"/>
    <w:basedOn w:val="DefaultParagraphFont"/>
    <w:link w:val="Heading6"/>
    <w:uiPriority w:val="9"/>
    <w:semiHidden/>
    <w:rsid w:val="00203D8E"/>
    <w:rPr>
      <w:rFonts w:asciiTheme="majorHAnsi" w:eastAsiaTheme="majorEastAsia" w:hAnsiTheme="majorHAnsi" w:cstheme="majorBidi"/>
      <w:color w:val="322C2B" w:themeColor="accent1" w:themeShade="7F"/>
      <w:lang w:val="en-GB"/>
    </w:rPr>
  </w:style>
  <w:style w:type="character" w:customStyle="1" w:styleId="Heading7Char">
    <w:name w:val="Heading 7 Char"/>
    <w:basedOn w:val="DefaultParagraphFont"/>
    <w:link w:val="Heading7"/>
    <w:uiPriority w:val="9"/>
    <w:rsid w:val="00203D8E"/>
    <w:rPr>
      <w:rFonts w:asciiTheme="majorHAnsi" w:eastAsiaTheme="majorEastAsia" w:hAnsiTheme="majorHAnsi" w:cstheme="majorBidi"/>
      <w:i/>
      <w:iCs/>
      <w:color w:val="322C2B" w:themeColor="accent1" w:themeShade="7F"/>
      <w:lang w:val="en-GB"/>
    </w:rPr>
  </w:style>
  <w:style w:type="character" w:customStyle="1" w:styleId="Heading8Char">
    <w:name w:val="Heading 8 Char"/>
    <w:basedOn w:val="DefaultParagraphFont"/>
    <w:link w:val="Heading8"/>
    <w:rsid w:val="00203D8E"/>
    <w:rPr>
      <w:rFonts w:asciiTheme="majorHAnsi" w:eastAsiaTheme="majorEastAsia" w:hAnsiTheme="majorHAnsi" w:cstheme="majorBidi"/>
      <w:color w:val="0079CD" w:themeColor="text1" w:themeTint="D8"/>
      <w:sz w:val="21"/>
      <w:szCs w:val="21"/>
      <w:lang w:val="en-GB"/>
    </w:rPr>
  </w:style>
  <w:style w:type="character" w:customStyle="1" w:styleId="Heading9Char">
    <w:name w:val="Heading 9 Char"/>
    <w:aliases w:val="Appendix Char"/>
    <w:basedOn w:val="DefaultParagraphFont"/>
    <w:link w:val="Heading9"/>
    <w:rsid w:val="00203D8E"/>
    <w:rPr>
      <w:rFonts w:asciiTheme="majorHAnsi" w:eastAsiaTheme="majorEastAsia" w:hAnsiTheme="majorHAnsi" w:cstheme="majorBidi"/>
      <w:i/>
      <w:iCs/>
      <w:color w:val="0079CD" w:themeColor="text1" w:themeTint="D8"/>
      <w:sz w:val="21"/>
      <w:szCs w:val="21"/>
      <w:lang w:val="en-GB"/>
    </w:rPr>
  </w:style>
  <w:style w:type="paragraph" w:customStyle="1" w:styleId="Para0">
    <w:name w:val="Para 0"/>
    <w:aliases w:val="Auto,After:  3 pt"/>
    <w:basedOn w:val="Normal"/>
    <w:link w:val="Para0Char"/>
    <w:qFormat/>
    <w:rsid w:val="000C564C"/>
    <w:pPr>
      <w:spacing w:before="240" w:after="120" w:line="240" w:lineRule="atLeast"/>
    </w:pPr>
    <w:rPr>
      <w:rFonts w:eastAsiaTheme="minorEastAsia" w:cstheme="minorBidi"/>
      <w:szCs w:val="24"/>
      <w:lang w:val="en-AU" w:eastAsia="en-US"/>
    </w:rPr>
  </w:style>
  <w:style w:type="paragraph" w:customStyle="1" w:styleId="Para0dash">
    <w:name w:val="Para 0 dash"/>
    <w:basedOn w:val="Para0"/>
    <w:qFormat/>
    <w:rsid w:val="000C564C"/>
    <w:pPr>
      <w:numPr>
        <w:numId w:val="5"/>
      </w:numPr>
      <w:tabs>
        <w:tab w:val="left" w:pos="851"/>
        <w:tab w:val="num" w:pos="1260"/>
      </w:tabs>
      <w:spacing w:before="0"/>
      <w:ind w:left="1260" w:hanging="360"/>
    </w:pPr>
  </w:style>
  <w:style w:type="paragraph" w:customStyle="1" w:styleId="Para0bullet">
    <w:name w:val="Para 0 bullet"/>
    <w:basedOn w:val="Para0"/>
    <w:link w:val="Para0bulletChar"/>
    <w:qFormat/>
    <w:rsid w:val="00827246"/>
    <w:pPr>
      <w:numPr>
        <w:numId w:val="50"/>
      </w:numPr>
      <w:tabs>
        <w:tab w:val="left" w:pos="426"/>
      </w:tabs>
      <w:spacing w:before="0"/>
    </w:pPr>
  </w:style>
  <w:style w:type="numbering" w:customStyle="1" w:styleId="SKMBulletList2">
    <w:name w:val="SKM Bullet List 2"/>
    <w:uiPriority w:val="99"/>
    <w:rsid w:val="000C564C"/>
    <w:pPr>
      <w:numPr>
        <w:numId w:val="5"/>
      </w:numPr>
    </w:pPr>
  </w:style>
  <w:style w:type="character" w:customStyle="1" w:styleId="Para0Char">
    <w:name w:val="Para 0 Char"/>
    <w:aliases w:val="Auto Char,After:  3 pt Char Char"/>
    <w:basedOn w:val="DefaultParagraphFont"/>
    <w:link w:val="Para0"/>
    <w:rsid w:val="000C564C"/>
    <w:rPr>
      <w:rFonts w:ascii="Arial" w:eastAsiaTheme="minorEastAsia" w:hAnsi="Arial" w:cstheme="minorBidi"/>
      <w:szCs w:val="24"/>
      <w:lang w:eastAsia="en-US"/>
    </w:rPr>
  </w:style>
  <w:style w:type="character" w:customStyle="1" w:styleId="Para0bulletChar">
    <w:name w:val="Para 0 bullet Char"/>
    <w:basedOn w:val="DefaultParagraphFont"/>
    <w:link w:val="Para0bullet"/>
    <w:rsid w:val="00827246"/>
    <w:rPr>
      <w:rFonts w:ascii="Arial" w:eastAsiaTheme="minorEastAsia" w:hAnsi="Arial" w:cstheme="minorBidi"/>
      <w:szCs w:val="24"/>
      <w:lang w:eastAsia="en-US"/>
    </w:rPr>
  </w:style>
  <w:style w:type="paragraph" w:styleId="ListNumber3">
    <w:name w:val="List Number 3"/>
    <w:basedOn w:val="Normal"/>
    <w:uiPriority w:val="99"/>
    <w:semiHidden/>
    <w:unhideWhenUsed/>
    <w:rsid w:val="00420831"/>
    <w:pPr>
      <w:tabs>
        <w:tab w:val="num" w:pos="926"/>
      </w:tabs>
      <w:spacing w:after="220" w:line="240" w:lineRule="atLeast"/>
      <w:ind w:left="926" w:hanging="360"/>
      <w:contextualSpacing/>
    </w:pPr>
    <w:rPr>
      <w:rFonts w:eastAsiaTheme="minorEastAsia" w:cstheme="minorBidi"/>
      <w:szCs w:val="24"/>
      <w:lang w:val="en-AU" w:eastAsia="en-US"/>
    </w:rPr>
  </w:style>
  <w:style w:type="paragraph" w:customStyle="1" w:styleId="Tablesmalltext">
    <w:name w:val="Table small text"/>
    <w:basedOn w:val="Normal"/>
    <w:qFormat/>
    <w:rsid w:val="005E36DC"/>
    <w:pPr>
      <w:spacing w:before="40" w:after="40" w:line="240" w:lineRule="atLeast"/>
    </w:pPr>
    <w:rPr>
      <w:rFonts w:eastAsiaTheme="minorEastAsia" w:cstheme="minorBidi"/>
      <w:sz w:val="16"/>
      <w:szCs w:val="24"/>
      <w:lang w:val="en-AU" w:eastAsia="en-US"/>
    </w:rPr>
  </w:style>
  <w:style w:type="table" w:customStyle="1" w:styleId="Table2">
    <w:name w:val="Table2"/>
    <w:basedOn w:val="TableNormal"/>
    <w:uiPriority w:val="99"/>
    <w:rsid w:val="005E36DC"/>
    <w:pPr>
      <w:spacing w:after="0" w:line="240" w:lineRule="auto"/>
    </w:pPr>
    <w:rPr>
      <w:rFonts w:ascii="Arial" w:eastAsiaTheme="minorEastAsia" w:hAnsi="Arial" w:cstheme="minorBidi"/>
      <w:szCs w:val="24"/>
      <w:lang w:val="en-US" w:eastAsia="en-US"/>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style>
  <w:style w:type="table" w:customStyle="1" w:styleId="Table1">
    <w:name w:val="Table1"/>
    <w:basedOn w:val="TableNormal"/>
    <w:uiPriority w:val="99"/>
    <w:rsid w:val="008D0183"/>
    <w:pPr>
      <w:spacing w:after="0" w:line="240" w:lineRule="auto"/>
    </w:pPr>
    <w:rPr>
      <w:rFonts w:asciiTheme="minorHAnsi" w:eastAsiaTheme="minorEastAsia" w:hAnsiTheme="minorHAnsi" w:cstheme="minorBidi"/>
      <w:sz w:val="24"/>
      <w:szCs w:val="24"/>
      <w:lang w:val="en-US" w:eastAsia="en-US"/>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character" w:styleId="CommentReference">
    <w:name w:val="annotation reference"/>
    <w:basedOn w:val="DefaultParagraphFont"/>
    <w:uiPriority w:val="99"/>
    <w:semiHidden/>
    <w:unhideWhenUsed/>
    <w:rsid w:val="002017E3"/>
    <w:rPr>
      <w:sz w:val="16"/>
      <w:szCs w:val="16"/>
    </w:rPr>
  </w:style>
  <w:style w:type="paragraph" w:styleId="CommentText">
    <w:name w:val="annotation text"/>
    <w:basedOn w:val="Normal"/>
    <w:link w:val="CommentTextChar"/>
    <w:uiPriority w:val="99"/>
    <w:semiHidden/>
    <w:unhideWhenUsed/>
    <w:rsid w:val="002017E3"/>
    <w:pPr>
      <w:spacing w:line="240" w:lineRule="auto"/>
    </w:pPr>
  </w:style>
  <w:style w:type="character" w:customStyle="1" w:styleId="CommentTextChar">
    <w:name w:val="Comment Text Char"/>
    <w:basedOn w:val="DefaultParagraphFont"/>
    <w:link w:val="CommentText"/>
    <w:uiPriority w:val="99"/>
    <w:semiHidden/>
    <w:rsid w:val="002017E3"/>
    <w:rPr>
      <w:rFonts w:ascii="Arial" w:hAnsi="Arial"/>
      <w:lang w:val="en-GB"/>
    </w:rPr>
  </w:style>
  <w:style w:type="paragraph" w:styleId="CommentSubject">
    <w:name w:val="annotation subject"/>
    <w:basedOn w:val="CommentText"/>
    <w:next w:val="CommentText"/>
    <w:link w:val="CommentSubjectChar"/>
    <w:uiPriority w:val="99"/>
    <w:semiHidden/>
    <w:unhideWhenUsed/>
    <w:rsid w:val="002017E3"/>
    <w:rPr>
      <w:b/>
      <w:bCs/>
    </w:rPr>
  </w:style>
  <w:style w:type="character" w:customStyle="1" w:styleId="CommentSubjectChar">
    <w:name w:val="Comment Subject Char"/>
    <w:basedOn w:val="CommentTextChar"/>
    <w:link w:val="CommentSubject"/>
    <w:uiPriority w:val="99"/>
    <w:semiHidden/>
    <w:rsid w:val="002017E3"/>
    <w:rPr>
      <w:rFonts w:ascii="Arial" w:hAnsi="Arial"/>
      <w:b/>
      <w:bCs/>
      <w:lang w:val="en-GB"/>
    </w:rPr>
  </w:style>
  <w:style w:type="character" w:customStyle="1" w:styleId="apple-converted-space">
    <w:name w:val="apple-converted-space"/>
    <w:basedOn w:val="DefaultParagraphFont"/>
    <w:rsid w:val="00F31854"/>
  </w:style>
  <w:style w:type="character" w:styleId="Emphasis">
    <w:name w:val="Emphasis"/>
    <w:basedOn w:val="DefaultParagraphFont"/>
    <w:uiPriority w:val="20"/>
    <w:qFormat/>
    <w:rsid w:val="00F31854"/>
    <w:rPr>
      <w:i/>
      <w:iCs/>
    </w:rPr>
  </w:style>
  <w:style w:type="paragraph" w:customStyle="1" w:styleId="ContentBold">
    <w:name w:val="Content Bold"/>
    <w:basedOn w:val="Para0"/>
    <w:next w:val="Para0"/>
    <w:semiHidden/>
    <w:qFormat/>
    <w:rsid w:val="00E77E62"/>
    <w:rPr>
      <w:b/>
    </w:rPr>
  </w:style>
  <w:style w:type="paragraph" w:customStyle="1" w:styleId="CoverHeading">
    <w:name w:val="Cover Heading"/>
    <w:basedOn w:val="Normal"/>
    <w:next w:val="CoverSubheading"/>
    <w:rsid w:val="00E77E62"/>
    <w:pPr>
      <w:spacing w:line="360" w:lineRule="exact"/>
      <w:ind w:right="851"/>
      <w:jc w:val="right"/>
    </w:pPr>
    <w:rPr>
      <w:rFonts w:ascii="Arial Black" w:eastAsiaTheme="minorEastAsia" w:hAnsi="Arial Black" w:cstheme="minorBidi"/>
      <w:color w:val="D5E17F" w:themeColor="background2"/>
      <w:sz w:val="32"/>
      <w:szCs w:val="24"/>
      <w:lang w:val="en-AU" w:eastAsia="en-US"/>
    </w:rPr>
  </w:style>
  <w:style w:type="paragraph" w:customStyle="1" w:styleId="CoverSubheading">
    <w:name w:val="Cover Subheading"/>
    <w:basedOn w:val="CoverHeading"/>
    <w:next w:val="CoverDate"/>
    <w:rsid w:val="00E77E62"/>
    <w:pPr>
      <w:spacing w:line="280" w:lineRule="exact"/>
    </w:pPr>
    <w:rPr>
      <w:rFonts w:ascii="Arial" w:hAnsi="Arial"/>
      <w:caps/>
      <w:sz w:val="22"/>
      <w:szCs w:val="22"/>
    </w:rPr>
  </w:style>
  <w:style w:type="paragraph" w:customStyle="1" w:styleId="CoverDate">
    <w:name w:val="Cover Date"/>
    <w:basedOn w:val="CoverHeading"/>
    <w:next w:val="Para0"/>
    <w:rsid w:val="00E77E62"/>
    <w:pPr>
      <w:spacing w:line="280" w:lineRule="exact"/>
    </w:pPr>
    <w:rPr>
      <w:rFonts w:ascii="Arial" w:hAnsi="Arial"/>
      <w:sz w:val="22"/>
    </w:rPr>
  </w:style>
  <w:style w:type="paragraph" w:customStyle="1" w:styleId="PageTitle">
    <w:name w:val="Page Title"/>
    <w:basedOn w:val="Para0"/>
    <w:rsid w:val="00E77E62"/>
    <w:pPr>
      <w:spacing w:before="0" w:after="0" w:line="240" w:lineRule="auto"/>
      <w:ind w:left="3402"/>
    </w:pPr>
    <w:rPr>
      <w:rFonts w:ascii="Arial Black" w:hAnsi="Arial Black"/>
      <w:color w:val="999999"/>
      <w:sz w:val="24"/>
    </w:rPr>
  </w:style>
  <w:style w:type="paragraph" w:customStyle="1" w:styleId="CopyrightInfo">
    <w:name w:val="Copyright Info"/>
    <w:basedOn w:val="CoverHeading"/>
    <w:next w:val="Para0"/>
    <w:semiHidden/>
    <w:rsid w:val="00E77E62"/>
    <w:pPr>
      <w:spacing w:before="200" w:after="30" w:line="180" w:lineRule="exact"/>
      <w:jc w:val="both"/>
    </w:pPr>
    <w:rPr>
      <w:rFonts w:ascii="Arial" w:hAnsi="Arial"/>
      <w:color w:val="auto"/>
      <w:sz w:val="14"/>
    </w:rPr>
  </w:style>
  <w:style w:type="paragraph" w:customStyle="1" w:styleId="FooterText">
    <w:name w:val="Footer Text"/>
    <w:basedOn w:val="Para0"/>
    <w:semiHidden/>
    <w:qFormat/>
    <w:rsid w:val="00E77E62"/>
    <w:pPr>
      <w:spacing w:after="0" w:line="200" w:lineRule="exact"/>
      <w:ind w:left="567" w:right="284"/>
    </w:pPr>
    <w:rPr>
      <w:rFonts w:ascii="Arial Narrow" w:hAnsi="Arial Narrow"/>
      <w:b/>
      <w:sz w:val="16"/>
    </w:rPr>
  </w:style>
  <w:style w:type="paragraph" w:customStyle="1" w:styleId="Tablebullet">
    <w:name w:val="Table bullet"/>
    <w:basedOn w:val="Tabletext"/>
    <w:qFormat/>
    <w:rsid w:val="00E77E62"/>
    <w:pPr>
      <w:numPr>
        <w:numId w:val="44"/>
      </w:numPr>
      <w:spacing w:before="60" w:after="60" w:line="240" w:lineRule="atLeast"/>
    </w:pPr>
    <w:rPr>
      <w:rFonts w:eastAsiaTheme="minorEastAsia" w:cstheme="minorBidi"/>
      <w:sz w:val="20"/>
      <w:szCs w:val="24"/>
      <w:lang w:val="en-AU" w:eastAsia="en-US"/>
    </w:rPr>
  </w:style>
  <w:style w:type="paragraph" w:customStyle="1" w:styleId="ContentBulletsLetter">
    <w:name w:val="Content Bullets Letter"/>
    <w:basedOn w:val="Para0"/>
    <w:semiHidden/>
    <w:qFormat/>
    <w:rsid w:val="00E77E62"/>
    <w:pPr>
      <w:numPr>
        <w:numId w:val="26"/>
      </w:numPr>
    </w:pPr>
  </w:style>
  <w:style w:type="paragraph" w:customStyle="1" w:styleId="ContentBulletsRound">
    <w:name w:val="Content Bullets Round"/>
    <w:basedOn w:val="Para0"/>
    <w:semiHidden/>
    <w:qFormat/>
    <w:rsid w:val="00E77E62"/>
    <w:pPr>
      <w:numPr>
        <w:numId w:val="29"/>
      </w:numPr>
    </w:pPr>
    <w:rPr>
      <w:color w:val="000000"/>
    </w:rPr>
  </w:style>
  <w:style w:type="paragraph" w:customStyle="1" w:styleId="ContentBulletsArrow">
    <w:name w:val="Content Bullets Arrow"/>
    <w:basedOn w:val="Para0"/>
    <w:semiHidden/>
    <w:qFormat/>
    <w:rsid w:val="00E77E62"/>
    <w:pPr>
      <w:numPr>
        <w:numId w:val="24"/>
      </w:numPr>
    </w:pPr>
    <w:rPr>
      <w:color w:val="00338D"/>
    </w:rPr>
  </w:style>
  <w:style w:type="paragraph" w:customStyle="1" w:styleId="ContentBulletsNumber">
    <w:name w:val="Content Bullets Number"/>
    <w:basedOn w:val="Para0"/>
    <w:semiHidden/>
    <w:qFormat/>
    <w:rsid w:val="00E77E62"/>
    <w:pPr>
      <w:numPr>
        <w:numId w:val="27"/>
      </w:numPr>
    </w:pPr>
  </w:style>
  <w:style w:type="paragraph" w:customStyle="1" w:styleId="ProjectName">
    <w:name w:val="Project Name"/>
    <w:basedOn w:val="CoverHeading"/>
    <w:next w:val="Para0"/>
    <w:semiHidden/>
    <w:rsid w:val="00E77E62"/>
    <w:pPr>
      <w:spacing w:after="0" w:line="240" w:lineRule="auto"/>
      <w:ind w:right="0"/>
      <w:jc w:val="left"/>
    </w:pPr>
    <w:rPr>
      <w:color w:val="6C6F70"/>
      <w:sz w:val="22"/>
    </w:rPr>
  </w:style>
  <w:style w:type="paragraph" w:customStyle="1" w:styleId="PageHeading">
    <w:name w:val="Page Heading"/>
    <w:basedOn w:val="PageTitle"/>
    <w:next w:val="Para0"/>
    <w:semiHidden/>
    <w:rsid w:val="00E77E62"/>
    <w:pPr>
      <w:spacing w:after="240"/>
    </w:pPr>
    <w:rPr>
      <w:sz w:val="22"/>
    </w:rPr>
  </w:style>
  <w:style w:type="paragraph" w:customStyle="1" w:styleId="Tableletter">
    <w:name w:val="Table letter"/>
    <w:basedOn w:val="Tablebullet"/>
    <w:qFormat/>
    <w:rsid w:val="00E77E62"/>
    <w:pPr>
      <w:numPr>
        <w:numId w:val="43"/>
      </w:numPr>
    </w:pPr>
  </w:style>
  <w:style w:type="paragraph" w:styleId="TOC3">
    <w:name w:val="toc 3"/>
    <w:basedOn w:val="Normal"/>
    <w:next w:val="Normal"/>
    <w:autoRedefine/>
    <w:uiPriority w:val="39"/>
    <w:semiHidden/>
    <w:rsid w:val="00E77E62"/>
    <w:pPr>
      <w:tabs>
        <w:tab w:val="right" w:leader="dot" w:pos="9923"/>
      </w:tabs>
      <w:spacing w:after="100" w:line="240" w:lineRule="atLeast"/>
      <w:ind w:left="675" w:right="454" w:hanging="675"/>
    </w:pPr>
    <w:rPr>
      <w:rFonts w:ascii="Arial Narrow" w:eastAsiaTheme="minorEastAsia" w:hAnsi="Arial Narrow" w:cstheme="minorBidi"/>
      <w:noProof/>
      <w:szCs w:val="24"/>
      <w:lang w:val="en-AU" w:eastAsia="en-US"/>
    </w:rPr>
  </w:style>
  <w:style w:type="paragraph" w:customStyle="1" w:styleId="FooterNumbering">
    <w:name w:val="Footer Numbering"/>
    <w:basedOn w:val="FooterText"/>
    <w:next w:val="Para0"/>
    <w:semiHidden/>
    <w:qFormat/>
    <w:rsid w:val="00E77E62"/>
    <w:pPr>
      <w:ind w:left="0"/>
      <w:jc w:val="right"/>
    </w:pPr>
  </w:style>
  <w:style w:type="paragraph" w:customStyle="1" w:styleId="ContentBulletsDash">
    <w:name w:val="Content Bullets Dash"/>
    <w:basedOn w:val="Para0"/>
    <w:semiHidden/>
    <w:qFormat/>
    <w:rsid w:val="00E77E62"/>
    <w:pPr>
      <w:numPr>
        <w:numId w:val="25"/>
      </w:numPr>
    </w:pPr>
  </w:style>
  <w:style w:type="paragraph" w:customStyle="1" w:styleId="ContentBulletsRomanNumeral">
    <w:name w:val="Content Bullets Roman Numeral"/>
    <w:basedOn w:val="Para0"/>
    <w:semiHidden/>
    <w:qFormat/>
    <w:rsid w:val="00E77E62"/>
    <w:pPr>
      <w:numPr>
        <w:numId w:val="28"/>
      </w:numPr>
    </w:pPr>
  </w:style>
  <w:style w:type="paragraph" w:customStyle="1" w:styleId="Tablenumber">
    <w:name w:val="Table number"/>
    <w:basedOn w:val="Tablebullet"/>
    <w:qFormat/>
    <w:rsid w:val="00E77E62"/>
    <w:pPr>
      <w:numPr>
        <w:numId w:val="42"/>
      </w:numPr>
    </w:pPr>
  </w:style>
  <w:style w:type="paragraph" w:customStyle="1" w:styleId="Tablesmallbullet">
    <w:name w:val="Table small bullet"/>
    <w:basedOn w:val="Tablesmalltext"/>
    <w:qFormat/>
    <w:rsid w:val="00E77E62"/>
    <w:pPr>
      <w:numPr>
        <w:numId w:val="46"/>
      </w:numPr>
    </w:pPr>
  </w:style>
  <w:style w:type="paragraph" w:customStyle="1" w:styleId="Tablesmallheading">
    <w:name w:val="Table small heading"/>
    <w:basedOn w:val="Tableheading"/>
    <w:qFormat/>
    <w:rsid w:val="00E77E62"/>
    <w:pPr>
      <w:tabs>
        <w:tab w:val="clear" w:pos="1080"/>
      </w:tabs>
      <w:spacing w:before="60" w:after="60" w:line="240" w:lineRule="atLeast"/>
      <w:outlineLvl w:val="9"/>
    </w:pPr>
    <w:rPr>
      <w:rFonts w:eastAsiaTheme="minorEastAsia" w:cstheme="minorBidi"/>
      <w:b w:val="0"/>
      <w:bCs w:val="0"/>
      <w:sz w:val="16"/>
      <w:szCs w:val="24"/>
      <w:lang w:val="en-AU" w:eastAsia="en-US"/>
    </w:rPr>
  </w:style>
  <w:style w:type="paragraph" w:customStyle="1" w:styleId="Tablesmallletter">
    <w:name w:val="Table small letter"/>
    <w:basedOn w:val="Tablesmallbullet"/>
    <w:qFormat/>
    <w:rsid w:val="00E77E62"/>
    <w:pPr>
      <w:numPr>
        <w:numId w:val="40"/>
      </w:numPr>
    </w:pPr>
  </w:style>
  <w:style w:type="paragraph" w:customStyle="1" w:styleId="Tablesmallnumber">
    <w:name w:val="Table small number"/>
    <w:basedOn w:val="Tablesmallbullet"/>
    <w:qFormat/>
    <w:rsid w:val="00E77E62"/>
    <w:pPr>
      <w:numPr>
        <w:numId w:val="39"/>
      </w:numPr>
    </w:pPr>
  </w:style>
  <w:style w:type="paragraph" w:customStyle="1" w:styleId="Sectionheading">
    <w:name w:val="Section heading"/>
    <w:basedOn w:val="Summary"/>
    <w:next w:val="Para0"/>
    <w:qFormat/>
    <w:rsid w:val="00E77E62"/>
  </w:style>
  <w:style w:type="character" w:customStyle="1" w:styleId="HeaderChar">
    <w:name w:val="Header Char"/>
    <w:basedOn w:val="DefaultParagraphFont"/>
    <w:link w:val="Header"/>
    <w:rsid w:val="00E77E62"/>
    <w:rPr>
      <w:rFonts w:ascii="Arial" w:hAnsi="Arial"/>
      <w:lang w:val="en-GB"/>
    </w:rPr>
  </w:style>
  <w:style w:type="paragraph" w:styleId="TOCHeading">
    <w:name w:val="TOC Heading"/>
    <w:basedOn w:val="Heading1"/>
    <w:next w:val="Normal"/>
    <w:uiPriority w:val="39"/>
    <w:semiHidden/>
    <w:qFormat/>
    <w:rsid w:val="00E77E62"/>
    <w:pPr>
      <w:keepLines/>
      <w:numPr>
        <w:numId w:val="0"/>
      </w:numPr>
      <w:spacing w:before="480" w:after="0"/>
      <w:outlineLvl w:val="9"/>
    </w:pPr>
    <w:rPr>
      <w:rFonts w:asciiTheme="majorHAnsi" w:eastAsiaTheme="majorEastAsia" w:hAnsiTheme="majorHAnsi" w:cstheme="majorBidi"/>
      <w:b/>
      <w:color w:val="4C4341" w:themeColor="accent1" w:themeShade="BF"/>
      <w:kern w:val="0"/>
      <w:sz w:val="28"/>
      <w:szCs w:val="28"/>
      <w:lang w:val="en-AU" w:eastAsia="en-US"/>
    </w:rPr>
  </w:style>
  <w:style w:type="paragraph" w:customStyle="1" w:styleId="Sign">
    <w:name w:val="Sign"/>
    <w:basedOn w:val="Para0"/>
    <w:rsid w:val="00E77E62"/>
    <w:pPr>
      <w:spacing w:before="0" w:after="0"/>
    </w:pPr>
    <w:rPr>
      <w:rFonts w:eastAsia="Times New Roman" w:cs="Arial"/>
      <w:b/>
      <w:color w:val="000000"/>
      <w:szCs w:val="20"/>
      <w:lang w:val="en-GB" w:eastAsia="en-AU"/>
    </w:rPr>
  </w:style>
  <w:style w:type="paragraph" w:customStyle="1" w:styleId="SignTitle">
    <w:name w:val="SignTitle"/>
    <w:basedOn w:val="Sign"/>
    <w:rsid w:val="00E77E62"/>
    <w:rPr>
      <w:b w:val="0"/>
    </w:rPr>
  </w:style>
  <w:style w:type="paragraph" w:customStyle="1" w:styleId="ContactDetails">
    <w:name w:val="Contact Details"/>
    <w:basedOn w:val="Normal"/>
    <w:semiHidden/>
    <w:rsid w:val="00E77E62"/>
    <w:pPr>
      <w:tabs>
        <w:tab w:val="left" w:pos="170"/>
      </w:tabs>
      <w:autoSpaceDE w:val="0"/>
      <w:autoSpaceDN w:val="0"/>
      <w:adjustRightInd w:val="0"/>
      <w:spacing w:before="60" w:after="28" w:line="220" w:lineRule="atLeast"/>
      <w:jc w:val="center"/>
      <w:textAlignment w:val="baseline"/>
    </w:pPr>
    <w:rPr>
      <w:rFonts w:ascii="Verdana" w:eastAsia="Times" w:hAnsi="Verdana" w:cs="Frutiger 45 Light"/>
      <w:color w:val="333F7F"/>
      <w:szCs w:val="22"/>
      <w:lang w:val="en-AU"/>
    </w:rPr>
  </w:style>
  <w:style w:type="paragraph" w:customStyle="1" w:styleId="SignContact">
    <w:name w:val="SignContact"/>
    <w:basedOn w:val="Normal"/>
    <w:rsid w:val="00E77E62"/>
    <w:pPr>
      <w:spacing w:after="0" w:line="240" w:lineRule="exact"/>
    </w:pPr>
    <w:rPr>
      <w:rFonts w:cs="Arial"/>
      <w:color w:val="000000"/>
    </w:rPr>
  </w:style>
  <w:style w:type="paragraph" w:customStyle="1" w:styleId="Collateralheading">
    <w:name w:val="Collateral heading"/>
    <w:basedOn w:val="Normal"/>
    <w:next w:val="Normal"/>
    <w:semiHidden/>
    <w:rsid w:val="00E77E62"/>
    <w:pPr>
      <w:keepNext/>
      <w:spacing w:before="80" w:after="120" w:line="240" w:lineRule="atLeast"/>
    </w:pPr>
    <w:rPr>
      <w:rFonts w:ascii="Arial Black" w:eastAsiaTheme="minorEastAsia" w:hAnsi="Arial Black" w:cstheme="minorBidi"/>
      <w:color w:val="00338D"/>
      <w:sz w:val="18"/>
      <w:szCs w:val="24"/>
      <w:lang w:val="en-AU" w:eastAsia="en-US"/>
    </w:rPr>
  </w:style>
  <w:style w:type="paragraph" w:customStyle="1" w:styleId="Collateralsubheading">
    <w:name w:val="Collateral sub heading"/>
    <w:basedOn w:val="Collateralheading"/>
    <w:next w:val="Normal"/>
    <w:semiHidden/>
    <w:rsid w:val="00E77E62"/>
    <w:pPr>
      <w:widowControl w:val="0"/>
      <w:spacing w:after="160"/>
    </w:pPr>
    <w:rPr>
      <w:rFonts w:ascii="Arial" w:hAnsi="Arial"/>
      <w:b/>
      <w:sz w:val="19"/>
    </w:rPr>
  </w:style>
  <w:style w:type="paragraph" w:customStyle="1" w:styleId="Name1">
    <w:name w:val="Name 1"/>
    <w:basedOn w:val="Normal"/>
    <w:semiHidden/>
    <w:rsid w:val="00E77E62"/>
    <w:pPr>
      <w:spacing w:after="160" w:line="320" w:lineRule="exact"/>
      <w:jc w:val="right"/>
    </w:pPr>
    <w:rPr>
      <w:rFonts w:ascii="Arial Black" w:eastAsiaTheme="minorEastAsia" w:hAnsi="Arial Black" w:cstheme="minorBidi"/>
      <w:color w:val="00338D"/>
      <w:sz w:val="36"/>
      <w:szCs w:val="24"/>
      <w:lang w:val="en-AU" w:eastAsia="en-US"/>
    </w:rPr>
  </w:style>
  <w:style w:type="paragraph" w:styleId="ListBullet">
    <w:name w:val="List Bullet"/>
    <w:basedOn w:val="Normal"/>
    <w:uiPriority w:val="99"/>
    <w:semiHidden/>
    <w:unhideWhenUsed/>
    <w:rsid w:val="00E77E62"/>
    <w:pPr>
      <w:tabs>
        <w:tab w:val="num" w:pos="370"/>
      </w:tabs>
      <w:spacing w:after="220" w:line="240" w:lineRule="atLeast"/>
      <w:ind w:left="370" w:hanging="360"/>
      <w:contextualSpacing/>
    </w:pPr>
    <w:rPr>
      <w:rFonts w:eastAsiaTheme="minorEastAsia" w:cstheme="minorBidi"/>
      <w:szCs w:val="24"/>
      <w:lang w:val="en-AU" w:eastAsia="en-US"/>
    </w:rPr>
  </w:style>
  <w:style w:type="paragraph" w:customStyle="1" w:styleId="Name2">
    <w:name w:val="Name 2"/>
    <w:basedOn w:val="Name1"/>
    <w:semiHidden/>
    <w:rsid w:val="00E77E62"/>
  </w:style>
  <w:style w:type="paragraph" w:customStyle="1" w:styleId="Projectrole1">
    <w:name w:val="Project role 1"/>
    <w:basedOn w:val="Normal"/>
    <w:semiHidden/>
    <w:unhideWhenUsed/>
    <w:rsid w:val="00E77E62"/>
    <w:pPr>
      <w:spacing w:after="160" w:line="240" w:lineRule="atLeast"/>
      <w:jc w:val="right"/>
    </w:pPr>
    <w:rPr>
      <w:rFonts w:ascii="Arial Narrow" w:eastAsiaTheme="minorEastAsia" w:hAnsi="Arial Narrow" w:cstheme="minorBidi"/>
      <w:caps/>
      <w:color w:val="00338D"/>
      <w:szCs w:val="24"/>
      <w:lang w:val="en-AU" w:eastAsia="en-US"/>
    </w:rPr>
  </w:style>
  <w:style w:type="paragraph" w:customStyle="1" w:styleId="Projectrole2">
    <w:name w:val="Project role 2"/>
    <w:basedOn w:val="Projectrole1"/>
    <w:semiHidden/>
    <w:unhideWhenUsed/>
    <w:rsid w:val="00E77E62"/>
  </w:style>
  <w:style w:type="paragraph" w:customStyle="1" w:styleId="Bodynarrow">
    <w:name w:val="Body narrow"/>
    <w:basedOn w:val="Para0narrow"/>
    <w:qFormat/>
    <w:rsid w:val="00E77E62"/>
  </w:style>
  <w:style w:type="paragraph" w:customStyle="1" w:styleId="Bodynarrowbullet">
    <w:name w:val="Body narrow bullet"/>
    <w:basedOn w:val="Bodynarrow"/>
    <w:qFormat/>
    <w:rsid w:val="00E77E62"/>
    <w:pPr>
      <w:numPr>
        <w:numId w:val="30"/>
      </w:numPr>
      <w:tabs>
        <w:tab w:val="left" w:pos="198"/>
      </w:tabs>
      <w:spacing w:after="60"/>
    </w:pPr>
  </w:style>
  <w:style w:type="paragraph" w:customStyle="1" w:styleId="Bodynarrowarrow">
    <w:name w:val="Body narrow arrow"/>
    <w:basedOn w:val="Para1narrowarrow"/>
    <w:semiHidden/>
    <w:rsid w:val="00E77E62"/>
    <w:pPr>
      <w:numPr>
        <w:ilvl w:val="1"/>
        <w:numId w:val="30"/>
      </w:numPr>
    </w:pPr>
  </w:style>
  <w:style w:type="paragraph" w:customStyle="1" w:styleId="Disclaimer1">
    <w:name w:val="Disclaimer 1"/>
    <w:basedOn w:val="Normal"/>
    <w:semiHidden/>
    <w:rsid w:val="00E77E62"/>
    <w:pPr>
      <w:framePr w:hSpace="181" w:wrap="around" w:vAnchor="page" w:hAnchor="margin" w:y="12811"/>
      <w:spacing w:line="200" w:lineRule="exact"/>
    </w:pPr>
    <w:rPr>
      <w:rFonts w:eastAsiaTheme="minorEastAsia" w:cstheme="minorBidi"/>
      <w:b/>
      <w:color w:val="999999"/>
      <w:sz w:val="17"/>
      <w:szCs w:val="24"/>
      <w:lang w:val="en-AU" w:eastAsia="en-US"/>
    </w:rPr>
  </w:style>
  <w:style w:type="paragraph" w:customStyle="1" w:styleId="Disclaimer2">
    <w:name w:val="Disclaimer 2"/>
    <w:basedOn w:val="Disclaimer1"/>
    <w:semiHidden/>
    <w:rsid w:val="00E77E62"/>
    <w:pPr>
      <w:framePr w:wrap="around"/>
      <w:spacing w:before="80" w:after="40" w:line="180" w:lineRule="atLeast"/>
    </w:pPr>
    <w:rPr>
      <w:sz w:val="14"/>
    </w:rPr>
  </w:style>
  <w:style w:type="paragraph" w:customStyle="1" w:styleId="Para0narrow">
    <w:name w:val="Para 0 narrow"/>
    <w:basedOn w:val="Para0"/>
    <w:next w:val="Para0"/>
    <w:qFormat/>
    <w:rsid w:val="00E77E62"/>
  </w:style>
  <w:style w:type="paragraph" w:customStyle="1" w:styleId="Para0narrowbullet">
    <w:name w:val="Para 0 narrow bullet"/>
    <w:basedOn w:val="Para0bullet"/>
    <w:next w:val="Para0bullet"/>
    <w:qFormat/>
    <w:rsid w:val="00E77E62"/>
  </w:style>
  <w:style w:type="paragraph" w:customStyle="1" w:styleId="SummaryHeading">
    <w:name w:val="SummaryHeading"/>
    <w:basedOn w:val="Sectionheading"/>
    <w:semiHidden/>
    <w:qFormat/>
    <w:rsid w:val="00E77E62"/>
    <w:pPr>
      <w:spacing w:line="360" w:lineRule="exact"/>
    </w:pPr>
  </w:style>
  <w:style w:type="paragraph" w:customStyle="1" w:styleId="Para0bold">
    <w:name w:val="Para 0 bold"/>
    <w:basedOn w:val="Para0"/>
    <w:qFormat/>
    <w:rsid w:val="00E77E62"/>
    <w:rPr>
      <w:b/>
    </w:rPr>
  </w:style>
  <w:style w:type="paragraph" w:customStyle="1" w:styleId="Para0number">
    <w:name w:val="Para 0 number"/>
    <w:basedOn w:val="Para0"/>
    <w:qFormat/>
    <w:rsid w:val="00E77E62"/>
    <w:pPr>
      <w:numPr>
        <w:numId w:val="34"/>
      </w:numPr>
      <w:tabs>
        <w:tab w:val="left" w:pos="851"/>
      </w:tabs>
      <w:spacing w:before="0"/>
    </w:pPr>
  </w:style>
  <w:style w:type="paragraph" w:customStyle="1" w:styleId="Para0arrow">
    <w:name w:val="Para 0 arrow"/>
    <w:basedOn w:val="Para0"/>
    <w:qFormat/>
    <w:rsid w:val="00E77E62"/>
    <w:pPr>
      <w:numPr>
        <w:numId w:val="32"/>
      </w:numPr>
      <w:tabs>
        <w:tab w:val="left" w:pos="851"/>
      </w:tabs>
      <w:spacing w:before="0"/>
    </w:pPr>
  </w:style>
  <w:style w:type="paragraph" w:customStyle="1" w:styleId="Para0roman">
    <w:name w:val="Para 0 roman"/>
    <w:basedOn w:val="Para0"/>
    <w:qFormat/>
    <w:rsid w:val="00E77E62"/>
    <w:pPr>
      <w:numPr>
        <w:numId w:val="36"/>
      </w:numPr>
      <w:tabs>
        <w:tab w:val="left" w:pos="851"/>
      </w:tabs>
      <w:spacing w:before="0"/>
    </w:pPr>
  </w:style>
  <w:style w:type="paragraph" w:customStyle="1" w:styleId="Para0letter">
    <w:name w:val="Para 0 letter"/>
    <w:basedOn w:val="Para0"/>
    <w:qFormat/>
    <w:rsid w:val="00E77E62"/>
    <w:pPr>
      <w:numPr>
        <w:numId w:val="35"/>
      </w:numPr>
      <w:tabs>
        <w:tab w:val="left" w:pos="851"/>
      </w:tabs>
      <w:spacing w:before="0"/>
    </w:pPr>
  </w:style>
  <w:style w:type="paragraph" w:styleId="TOC9">
    <w:name w:val="toc 9"/>
    <w:basedOn w:val="Normal"/>
    <w:next w:val="Normal"/>
    <w:autoRedefine/>
    <w:uiPriority w:val="39"/>
    <w:rsid w:val="00E77E62"/>
    <w:pPr>
      <w:tabs>
        <w:tab w:val="right" w:leader="dot" w:pos="9923"/>
      </w:tabs>
      <w:spacing w:after="100" w:line="240" w:lineRule="atLeast"/>
    </w:pPr>
    <w:rPr>
      <w:rFonts w:eastAsiaTheme="minorEastAsia" w:cstheme="minorBidi"/>
      <w:b/>
      <w:noProof/>
      <w:szCs w:val="24"/>
      <w:lang w:val="en-AU" w:eastAsia="en-US"/>
    </w:rPr>
  </w:style>
  <w:style w:type="paragraph" w:customStyle="1" w:styleId="CVName">
    <w:name w:val="CVName"/>
    <w:basedOn w:val="Name1"/>
    <w:semiHidden/>
    <w:rsid w:val="00E77E62"/>
  </w:style>
  <w:style w:type="paragraph" w:customStyle="1" w:styleId="Content">
    <w:name w:val="Content"/>
    <w:basedOn w:val="Normal"/>
    <w:semiHidden/>
    <w:qFormat/>
    <w:rsid w:val="00E77E62"/>
    <w:pPr>
      <w:spacing w:after="220" w:line="280" w:lineRule="exact"/>
    </w:pPr>
    <w:rPr>
      <w:rFonts w:eastAsiaTheme="minorEastAsia" w:cstheme="minorBidi"/>
      <w:szCs w:val="24"/>
      <w:lang w:val="en-AU" w:eastAsia="en-US"/>
    </w:rPr>
  </w:style>
  <w:style w:type="paragraph" w:styleId="TOC4">
    <w:name w:val="toc 4"/>
    <w:basedOn w:val="Normal"/>
    <w:next w:val="Normal"/>
    <w:autoRedefine/>
    <w:uiPriority w:val="39"/>
    <w:semiHidden/>
    <w:rsid w:val="00E77E62"/>
    <w:pPr>
      <w:tabs>
        <w:tab w:val="right" w:leader="dot" w:pos="9906"/>
      </w:tabs>
      <w:spacing w:after="100" w:line="240" w:lineRule="atLeast"/>
      <w:ind w:left="1315" w:hanging="1315"/>
    </w:pPr>
    <w:rPr>
      <w:rFonts w:ascii="Arial Narrow" w:eastAsiaTheme="minorEastAsia" w:hAnsi="Arial Narrow" w:cstheme="minorBidi"/>
      <w:szCs w:val="24"/>
      <w:lang w:val="en-AU" w:eastAsia="en-US"/>
    </w:rPr>
  </w:style>
  <w:style w:type="paragraph" w:styleId="TOC5">
    <w:name w:val="toc 5"/>
    <w:basedOn w:val="Normal"/>
    <w:next w:val="Normal"/>
    <w:autoRedefine/>
    <w:uiPriority w:val="39"/>
    <w:semiHidden/>
    <w:unhideWhenUsed/>
    <w:rsid w:val="00E77E62"/>
    <w:pPr>
      <w:tabs>
        <w:tab w:val="right" w:leader="dot" w:pos="9923"/>
      </w:tabs>
      <w:spacing w:after="100" w:line="240" w:lineRule="atLeast"/>
      <w:ind w:left="1315" w:hanging="1315"/>
    </w:pPr>
    <w:rPr>
      <w:rFonts w:ascii="Arial Narrow" w:eastAsiaTheme="minorEastAsia" w:hAnsi="Arial Narrow" w:cstheme="minorBidi"/>
      <w:szCs w:val="24"/>
      <w:lang w:val="en-AU" w:eastAsia="en-US"/>
    </w:rPr>
  </w:style>
  <w:style w:type="paragraph" w:styleId="TOC6">
    <w:name w:val="toc 6"/>
    <w:basedOn w:val="Normal"/>
    <w:next w:val="Normal"/>
    <w:autoRedefine/>
    <w:uiPriority w:val="39"/>
    <w:semiHidden/>
    <w:unhideWhenUsed/>
    <w:rsid w:val="00E77E62"/>
    <w:pPr>
      <w:tabs>
        <w:tab w:val="left" w:pos="1315"/>
        <w:tab w:val="right" w:leader="dot" w:pos="9923"/>
      </w:tabs>
      <w:spacing w:after="100" w:line="240" w:lineRule="atLeast"/>
      <w:ind w:left="675" w:hanging="675"/>
    </w:pPr>
    <w:rPr>
      <w:rFonts w:ascii="Arial Narrow" w:eastAsiaTheme="minorEastAsia" w:hAnsi="Arial Narrow" w:cstheme="minorBidi"/>
      <w:szCs w:val="24"/>
      <w:lang w:val="en-AU" w:eastAsia="en-US"/>
    </w:rPr>
  </w:style>
  <w:style w:type="paragraph" w:styleId="TOC7">
    <w:name w:val="toc 7"/>
    <w:basedOn w:val="Normal"/>
    <w:next w:val="Normal"/>
    <w:autoRedefine/>
    <w:uiPriority w:val="39"/>
    <w:semiHidden/>
    <w:rsid w:val="00E77E62"/>
    <w:pPr>
      <w:tabs>
        <w:tab w:val="left" w:pos="1315"/>
        <w:tab w:val="right" w:leader="dot" w:pos="9923"/>
      </w:tabs>
      <w:spacing w:after="100" w:line="240" w:lineRule="atLeast"/>
      <w:ind w:left="675" w:hanging="675"/>
    </w:pPr>
    <w:rPr>
      <w:rFonts w:eastAsiaTheme="minorEastAsia" w:cstheme="minorBidi"/>
      <w:szCs w:val="24"/>
      <w:lang w:val="en-AU" w:eastAsia="en-US"/>
    </w:rPr>
  </w:style>
  <w:style w:type="paragraph" w:styleId="TOC8">
    <w:name w:val="toc 8"/>
    <w:basedOn w:val="Normal"/>
    <w:next w:val="Normal"/>
    <w:autoRedefine/>
    <w:uiPriority w:val="39"/>
    <w:semiHidden/>
    <w:unhideWhenUsed/>
    <w:rsid w:val="00E77E62"/>
    <w:pPr>
      <w:tabs>
        <w:tab w:val="left" w:pos="1315"/>
        <w:tab w:val="right" w:leader="dot" w:pos="9923"/>
      </w:tabs>
      <w:spacing w:after="100" w:line="240" w:lineRule="atLeast"/>
      <w:ind w:left="675" w:hanging="675"/>
    </w:pPr>
    <w:rPr>
      <w:rFonts w:ascii="Arial Narrow" w:eastAsiaTheme="minorEastAsia" w:hAnsi="Arial Narrow" w:cstheme="minorBidi"/>
      <w:szCs w:val="24"/>
      <w:lang w:val="en-AU" w:eastAsia="en-US"/>
    </w:rPr>
  </w:style>
  <w:style w:type="paragraph" w:customStyle="1" w:styleId="Para1narrowarrow">
    <w:name w:val="Para 1 narrow arrow"/>
    <w:basedOn w:val="Para0narrowbullet"/>
    <w:semiHidden/>
    <w:rsid w:val="00E77E62"/>
    <w:pPr>
      <w:ind w:left="851" w:hanging="426"/>
    </w:pPr>
  </w:style>
  <w:style w:type="paragraph" w:customStyle="1" w:styleId="Bodyheading">
    <w:name w:val="Body heading"/>
    <w:basedOn w:val="Collateralheading"/>
    <w:next w:val="Para0narrow"/>
    <w:qFormat/>
    <w:rsid w:val="00E77E62"/>
  </w:style>
  <w:style w:type="paragraph" w:customStyle="1" w:styleId="Bodysubheading">
    <w:name w:val="Body sub heading"/>
    <w:basedOn w:val="Collateralsubheading"/>
    <w:next w:val="Para0narrow"/>
    <w:qFormat/>
    <w:rsid w:val="00E77E62"/>
  </w:style>
  <w:style w:type="paragraph" w:customStyle="1" w:styleId="CVTitle">
    <w:name w:val="CVTitle"/>
    <w:basedOn w:val="Projectrole1"/>
    <w:semiHidden/>
    <w:rsid w:val="00E77E62"/>
  </w:style>
  <w:style w:type="paragraph" w:customStyle="1" w:styleId="CVHead">
    <w:name w:val="CVHead"/>
    <w:basedOn w:val="Collateralheading"/>
    <w:semiHidden/>
    <w:rsid w:val="00E77E62"/>
  </w:style>
  <w:style w:type="paragraph" w:customStyle="1" w:styleId="PHHeading1">
    <w:name w:val="PHHeading 1"/>
    <w:basedOn w:val="CVHead"/>
    <w:semiHidden/>
    <w:unhideWhenUsed/>
    <w:rsid w:val="00E77E62"/>
  </w:style>
  <w:style w:type="paragraph" w:customStyle="1" w:styleId="PHHeading2">
    <w:name w:val="PHHeading 2"/>
    <w:basedOn w:val="Collateralsubheading"/>
    <w:semiHidden/>
    <w:unhideWhenUsed/>
    <w:rsid w:val="00E77E62"/>
  </w:style>
  <w:style w:type="paragraph" w:customStyle="1" w:styleId="PHHeading3">
    <w:name w:val="PHHeading 3"/>
    <w:basedOn w:val="PHHeading2"/>
    <w:semiHidden/>
    <w:unhideWhenUsed/>
    <w:rsid w:val="00E77E62"/>
  </w:style>
  <w:style w:type="paragraph" w:customStyle="1" w:styleId="Para1">
    <w:name w:val="Para 1"/>
    <w:basedOn w:val="Para0"/>
    <w:rsid w:val="00E77E62"/>
    <w:pPr>
      <w:ind w:left="425"/>
    </w:pPr>
  </w:style>
  <w:style w:type="paragraph" w:customStyle="1" w:styleId="Para1bullet">
    <w:name w:val="Para 1 bullet"/>
    <w:basedOn w:val="Para0bullet"/>
    <w:rsid w:val="00E77E62"/>
  </w:style>
  <w:style w:type="paragraph" w:customStyle="1" w:styleId="Para1dash">
    <w:name w:val="Para 1 dash"/>
    <w:basedOn w:val="Para0dash"/>
    <w:rsid w:val="00E77E62"/>
    <w:pPr>
      <w:numPr>
        <w:numId w:val="0"/>
      </w:numPr>
    </w:pPr>
  </w:style>
  <w:style w:type="paragraph" w:customStyle="1" w:styleId="Para1letter">
    <w:name w:val="Para 1 letter"/>
    <w:basedOn w:val="Para0letter"/>
    <w:rsid w:val="00E77E62"/>
    <w:pPr>
      <w:numPr>
        <w:numId w:val="0"/>
      </w:numPr>
    </w:pPr>
  </w:style>
  <w:style w:type="paragraph" w:customStyle="1" w:styleId="Para1number">
    <w:name w:val="Para 1 number"/>
    <w:basedOn w:val="Para1bullet"/>
    <w:rsid w:val="00E77E62"/>
    <w:pPr>
      <w:numPr>
        <w:numId w:val="48"/>
      </w:numPr>
    </w:pPr>
  </w:style>
  <w:style w:type="paragraph" w:customStyle="1" w:styleId="Summary">
    <w:name w:val="Summary"/>
    <w:basedOn w:val="Normal"/>
    <w:next w:val="Para0"/>
    <w:qFormat/>
    <w:rsid w:val="00E77E62"/>
    <w:pPr>
      <w:spacing w:after="120" w:line="320" w:lineRule="exact"/>
    </w:pPr>
    <w:rPr>
      <w:rFonts w:eastAsiaTheme="minorEastAsia" w:cstheme="minorBidi"/>
      <w:b/>
      <w:color w:val="00338D"/>
      <w:sz w:val="32"/>
      <w:szCs w:val="24"/>
      <w:lang w:val="en-AU" w:eastAsia="en-US"/>
    </w:rPr>
  </w:style>
  <w:style w:type="paragraph" w:customStyle="1" w:styleId="SectionSubheading1">
    <w:name w:val="Section Sub heading 1"/>
    <w:basedOn w:val="Heading2"/>
    <w:next w:val="Para0"/>
    <w:qFormat/>
    <w:rsid w:val="00E77E62"/>
    <w:pPr>
      <w:keepLines/>
      <w:spacing w:before="240" w:after="120" w:line="240" w:lineRule="atLeast"/>
    </w:pPr>
    <w:rPr>
      <w:rFonts w:eastAsiaTheme="majorEastAsia" w:cstheme="majorBidi"/>
      <w:b/>
      <w:iCs/>
      <w:color w:val="00338D"/>
      <w:sz w:val="24"/>
      <w:szCs w:val="26"/>
      <w:lang w:val="en-AU" w:eastAsia="en-US"/>
    </w:rPr>
  </w:style>
  <w:style w:type="paragraph" w:customStyle="1" w:styleId="SectionSubheading2">
    <w:name w:val="Section Sub heading 2"/>
    <w:basedOn w:val="Heading3"/>
    <w:next w:val="Para0"/>
    <w:qFormat/>
    <w:rsid w:val="00E77E62"/>
    <w:pPr>
      <w:keepLines/>
      <w:tabs>
        <w:tab w:val="clear" w:pos="1080"/>
      </w:tabs>
      <w:spacing w:before="240" w:after="120" w:line="240" w:lineRule="atLeast"/>
    </w:pPr>
    <w:rPr>
      <w:rFonts w:eastAsiaTheme="majorEastAsia" w:cstheme="majorBidi"/>
      <w:color w:val="00338D"/>
      <w:sz w:val="20"/>
      <w:szCs w:val="24"/>
      <w:lang w:val="en-AU" w:eastAsia="en-US"/>
    </w:rPr>
  </w:style>
  <w:style w:type="paragraph" w:customStyle="1" w:styleId="DocumentTitle">
    <w:name w:val="Document Title"/>
    <w:basedOn w:val="Normal"/>
    <w:rsid w:val="00E77E62"/>
    <w:pPr>
      <w:spacing w:before="60" w:after="60" w:line="240" w:lineRule="atLeast"/>
    </w:pPr>
    <w:rPr>
      <w:rFonts w:eastAsiaTheme="minorEastAsia" w:cstheme="minorBidi"/>
      <w:szCs w:val="24"/>
      <w:lang w:val="en-AU" w:eastAsia="en-US"/>
    </w:rPr>
  </w:style>
  <w:style w:type="paragraph" w:customStyle="1" w:styleId="Para2">
    <w:name w:val="Para 2"/>
    <w:basedOn w:val="Para1"/>
    <w:rsid w:val="00E77E62"/>
    <w:pPr>
      <w:ind w:left="851"/>
    </w:pPr>
  </w:style>
  <w:style w:type="paragraph" w:customStyle="1" w:styleId="Para2bullet">
    <w:name w:val="Para 2 bullet"/>
    <w:basedOn w:val="Para1bullet"/>
    <w:rsid w:val="00E77E62"/>
  </w:style>
  <w:style w:type="paragraph" w:customStyle="1" w:styleId="Para2dash">
    <w:name w:val="Para 2 dash"/>
    <w:basedOn w:val="Para1dash"/>
    <w:rsid w:val="00E77E62"/>
  </w:style>
  <w:style w:type="paragraph" w:customStyle="1" w:styleId="Para2letter">
    <w:name w:val="Para 2 letter"/>
    <w:basedOn w:val="Para1letter"/>
    <w:rsid w:val="00E77E62"/>
  </w:style>
  <w:style w:type="paragraph" w:customStyle="1" w:styleId="Contents">
    <w:name w:val="Contents"/>
    <w:basedOn w:val="PageHeading"/>
    <w:next w:val="Para0"/>
    <w:rsid w:val="00E77E62"/>
    <w:pPr>
      <w:pageBreakBefore/>
      <w:spacing w:after="100"/>
      <w:ind w:left="0"/>
    </w:pPr>
    <w:rPr>
      <w:color w:val="6C6F70"/>
    </w:rPr>
  </w:style>
  <w:style w:type="paragraph" w:customStyle="1" w:styleId="Tablecaption">
    <w:name w:val="Table caption"/>
    <w:basedOn w:val="Caption"/>
    <w:next w:val="Para0"/>
    <w:rsid w:val="00E77E62"/>
    <w:pPr>
      <w:keepNext/>
      <w:spacing w:before="240" w:line="240" w:lineRule="atLeast"/>
    </w:pPr>
    <w:rPr>
      <w:rFonts w:eastAsiaTheme="minorEastAsia" w:cstheme="minorBidi"/>
      <w:b/>
      <w:i w:val="0"/>
      <w:sz w:val="20"/>
      <w:szCs w:val="24"/>
      <w:lang w:val="en-AU" w:eastAsia="en-US"/>
    </w:rPr>
  </w:style>
  <w:style w:type="paragraph" w:customStyle="1" w:styleId="Figurecaption">
    <w:name w:val="Figure caption"/>
    <w:basedOn w:val="Caption"/>
    <w:next w:val="Para0"/>
    <w:rsid w:val="00E77E62"/>
    <w:pPr>
      <w:keepNext/>
      <w:spacing w:before="240" w:line="240" w:lineRule="atLeast"/>
    </w:pPr>
    <w:rPr>
      <w:rFonts w:eastAsiaTheme="minorEastAsia" w:cstheme="minorBidi"/>
      <w:b/>
      <w:i w:val="0"/>
      <w:sz w:val="20"/>
      <w:szCs w:val="24"/>
      <w:lang w:val="en-AU" w:eastAsia="en-US"/>
    </w:rPr>
  </w:style>
  <w:style w:type="paragraph" w:customStyle="1" w:styleId="Appendixsubheading1">
    <w:name w:val="Appendix subheading 1"/>
    <w:basedOn w:val="Normal"/>
    <w:next w:val="Para0"/>
    <w:qFormat/>
    <w:rsid w:val="00E77E62"/>
    <w:pPr>
      <w:spacing w:before="240" w:after="120" w:line="280" w:lineRule="exact"/>
      <w:ind w:left="851" w:hanging="851"/>
    </w:pPr>
    <w:rPr>
      <w:rFonts w:eastAsiaTheme="minorEastAsia" w:cstheme="minorBidi"/>
      <w:b/>
      <w:color w:val="00338D"/>
      <w:sz w:val="24"/>
      <w:szCs w:val="24"/>
      <w:lang w:val="en-AU" w:eastAsia="en-US"/>
    </w:rPr>
  </w:style>
  <w:style w:type="paragraph" w:customStyle="1" w:styleId="Appendixsubheading2">
    <w:name w:val="Appendix subheading 2"/>
    <w:basedOn w:val="Normal"/>
    <w:next w:val="Para0"/>
    <w:qFormat/>
    <w:rsid w:val="00E77E62"/>
    <w:pPr>
      <w:spacing w:before="240" w:after="120" w:line="240" w:lineRule="atLeast"/>
      <w:ind w:left="851" w:hanging="851"/>
    </w:pPr>
    <w:rPr>
      <w:rFonts w:eastAsiaTheme="minorEastAsia" w:cstheme="minorBidi"/>
      <w:b/>
      <w:color w:val="00338D"/>
      <w:szCs w:val="24"/>
      <w:lang w:val="en-AU" w:eastAsia="en-US"/>
    </w:rPr>
  </w:style>
  <w:style w:type="paragraph" w:customStyle="1" w:styleId="Image">
    <w:name w:val="Image"/>
    <w:basedOn w:val="Normal"/>
    <w:semiHidden/>
    <w:rsid w:val="00E77E62"/>
    <w:pPr>
      <w:spacing w:after="0" w:line="240" w:lineRule="auto"/>
    </w:pPr>
    <w:rPr>
      <w:rFonts w:eastAsiaTheme="minorEastAsia" w:cstheme="minorBidi"/>
      <w:szCs w:val="24"/>
      <w:lang w:val="en-AU" w:eastAsia="en-US"/>
    </w:rPr>
  </w:style>
  <w:style w:type="paragraph" w:customStyle="1" w:styleId="Para1bold">
    <w:name w:val="Para 1 bold"/>
    <w:basedOn w:val="Para1"/>
    <w:rsid w:val="00E77E62"/>
    <w:rPr>
      <w:b/>
    </w:rPr>
  </w:style>
  <w:style w:type="paragraph" w:customStyle="1" w:styleId="Para1roman">
    <w:name w:val="Para 1 roman"/>
    <w:basedOn w:val="Para0roman"/>
    <w:rsid w:val="00E77E62"/>
    <w:pPr>
      <w:numPr>
        <w:numId w:val="0"/>
      </w:numPr>
    </w:pPr>
  </w:style>
  <w:style w:type="paragraph" w:customStyle="1" w:styleId="Para2bold">
    <w:name w:val="Para 2 bold"/>
    <w:basedOn w:val="Para2"/>
    <w:rsid w:val="00E77E62"/>
    <w:rPr>
      <w:b/>
    </w:rPr>
  </w:style>
  <w:style w:type="paragraph" w:customStyle="1" w:styleId="Para2number">
    <w:name w:val="Para 2 number"/>
    <w:basedOn w:val="Para2bullet"/>
    <w:rsid w:val="00E77E62"/>
    <w:pPr>
      <w:numPr>
        <w:ilvl w:val="1"/>
        <w:numId w:val="49"/>
      </w:numPr>
    </w:pPr>
  </w:style>
  <w:style w:type="paragraph" w:customStyle="1" w:styleId="Para2roman">
    <w:name w:val="Para 2 roman"/>
    <w:basedOn w:val="Para2number"/>
    <w:rsid w:val="00E77E62"/>
    <w:pPr>
      <w:numPr>
        <w:ilvl w:val="2"/>
        <w:numId w:val="34"/>
      </w:numPr>
      <w:ind w:left="2291" w:hanging="360"/>
    </w:pPr>
  </w:style>
  <w:style w:type="paragraph" w:customStyle="1" w:styleId="TableContent">
    <w:name w:val="Table Content"/>
    <w:basedOn w:val="Normal"/>
    <w:qFormat/>
    <w:rsid w:val="00E77E62"/>
    <w:pPr>
      <w:spacing w:before="60" w:after="60" w:line="240" w:lineRule="exact"/>
    </w:pPr>
    <w:rPr>
      <w:rFonts w:eastAsiaTheme="minorEastAsia" w:cstheme="minorBidi"/>
      <w:szCs w:val="24"/>
      <w:lang w:val="en-US" w:eastAsia="en-US"/>
    </w:rPr>
  </w:style>
  <w:style w:type="character" w:customStyle="1" w:styleId="Bodynarrowbold">
    <w:name w:val="Body narrow bold"/>
    <w:uiPriority w:val="1"/>
    <w:rsid w:val="00E77E62"/>
    <w:rPr>
      <w:rFonts w:ascii="Arial" w:hAnsi="Arial" w:hint="default"/>
      <w:b/>
      <w:bCs w:val="0"/>
      <w:sz w:val="19"/>
    </w:rPr>
  </w:style>
  <w:style w:type="numbering" w:customStyle="1" w:styleId="SKMNumberedList1">
    <w:name w:val="SKM Numbered List 1"/>
    <w:uiPriority w:val="99"/>
    <w:rsid w:val="00E77E62"/>
    <w:pPr>
      <w:numPr>
        <w:numId w:val="34"/>
      </w:numPr>
    </w:pPr>
  </w:style>
  <w:style w:type="numbering" w:customStyle="1" w:styleId="SKMNumberedList2">
    <w:name w:val="SKM Numbered List 2"/>
    <w:uiPriority w:val="99"/>
    <w:rsid w:val="00E77E62"/>
    <w:pPr>
      <w:numPr>
        <w:numId w:val="35"/>
      </w:numPr>
    </w:pPr>
  </w:style>
  <w:style w:type="numbering" w:customStyle="1" w:styleId="SKMNumberedList3">
    <w:name w:val="SKM Numbered List 3"/>
    <w:uiPriority w:val="99"/>
    <w:rsid w:val="00E77E62"/>
    <w:pPr>
      <w:numPr>
        <w:numId w:val="36"/>
      </w:numPr>
    </w:pPr>
  </w:style>
  <w:style w:type="numbering" w:customStyle="1" w:styleId="SKMBulletList1">
    <w:name w:val="SKM Bullet List 1"/>
    <w:uiPriority w:val="99"/>
    <w:rsid w:val="00E77E62"/>
    <w:pPr>
      <w:numPr>
        <w:numId w:val="31"/>
      </w:numPr>
    </w:pPr>
  </w:style>
  <w:style w:type="paragraph" w:customStyle="1" w:styleId="PurpleHeading">
    <w:name w:val="Purple Heading"/>
    <w:basedOn w:val="Normal"/>
    <w:rsid w:val="00E77E62"/>
    <w:pPr>
      <w:framePr w:hSpace="181" w:wrap="around" w:vAnchor="text" w:hAnchor="margin" w:x="142" w:y="456"/>
      <w:spacing w:before="80" w:after="0" w:line="320" w:lineRule="atLeast"/>
      <w:suppressOverlap/>
    </w:pPr>
    <w:rPr>
      <w:rFonts w:ascii="Arial Black" w:eastAsiaTheme="minorEastAsia" w:hAnsi="Arial Black" w:cstheme="minorBidi"/>
      <w:b/>
      <w:color w:val="00338D"/>
      <w:sz w:val="24"/>
      <w:szCs w:val="24"/>
      <w:lang w:val="en-AU" w:eastAsia="en-US"/>
    </w:rPr>
  </w:style>
  <w:style w:type="paragraph" w:customStyle="1" w:styleId="Purplenarrow">
    <w:name w:val="Purple narrow"/>
    <w:basedOn w:val="PurpleHeading"/>
    <w:rsid w:val="00E77E62"/>
    <w:pPr>
      <w:framePr w:wrap="around"/>
    </w:pPr>
  </w:style>
  <w:style w:type="table" w:styleId="MediumList2">
    <w:name w:val="Medium List 2"/>
    <w:basedOn w:val="TableNormal"/>
    <w:uiPriority w:val="66"/>
    <w:rsid w:val="00E77E62"/>
    <w:pPr>
      <w:spacing w:after="0" w:line="240" w:lineRule="auto"/>
    </w:pPr>
    <w:rPr>
      <w:rFonts w:asciiTheme="majorHAnsi" w:eastAsiaTheme="majorEastAsia" w:hAnsiTheme="majorHAnsi" w:cstheme="majorBidi"/>
      <w:color w:val="005A97" w:themeColor="text1"/>
      <w:sz w:val="24"/>
      <w:szCs w:val="24"/>
      <w:lang w:val="en-US" w:eastAsia="en-US"/>
    </w:rPr>
    <w:tblPr>
      <w:tblStyleRowBandSize w:val="1"/>
      <w:tblStyleColBandSize w:val="1"/>
      <w:tblBorders>
        <w:top w:val="single" w:sz="8" w:space="0" w:color="005A97" w:themeColor="text1"/>
        <w:left w:val="single" w:sz="8" w:space="0" w:color="005A97" w:themeColor="text1"/>
        <w:bottom w:val="single" w:sz="8" w:space="0" w:color="005A97" w:themeColor="text1"/>
        <w:right w:val="single" w:sz="8" w:space="0" w:color="005A97" w:themeColor="text1"/>
      </w:tblBorders>
    </w:tblPr>
    <w:tblStylePr w:type="firstRow">
      <w:rPr>
        <w:sz w:val="24"/>
        <w:szCs w:val="24"/>
      </w:rPr>
      <w:tblPr/>
      <w:tcPr>
        <w:tcBorders>
          <w:top w:val="nil"/>
          <w:left w:val="nil"/>
          <w:bottom w:val="single" w:sz="24" w:space="0" w:color="005A97" w:themeColor="text1"/>
          <w:right w:val="nil"/>
          <w:insideH w:val="nil"/>
          <w:insideV w:val="nil"/>
        </w:tcBorders>
        <w:shd w:val="clear" w:color="auto" w:fill="ADD1EB" w:themeFill="background1"/>
      </w:tcPr>
    </w:tblStylePr>
    <w:tblStylePr w:type="lastRow">
      <w:tblPr/>
      <w:tcPr>
        <w:tcBorders>
          <w:top w:val="single" w:sz="8" w:space="0" w:color="005A97" w:themeColor="text1"/>
          <w:left w:val="nil"/>
          <w:bottom w:val="nil"/>
          <w:right w:val="nil"/>
          <w:insideH w:val="nil"/>
          <w:insideV w:val="nil"/>
        </w:tcBorders>
        <w:shd w:val="clear" w:color="auto" w:fill="ADD1EB" w:themeFill="background1"/>
      </w:tcPr>
    </w:tblStylePr>
    <w:tblStylePr w:type="firstCol">
      <w:tblPr/>
      <w:tcPr>
        <w:tcBorders>
          <w:top w:val="nil"/>
          <w:left w:val="nil"/>
          <w:bottom w:val="nil"/>
          <w:right w:val="single" w:sz="8" w:space="0" w:color="005A97" w:themeColor="text1"/>
          <w:insideH w:val="nil"/>
          <w:insideV w:val="nil"/>
        </w:tcBorders>
        <w:shd w:val="clear" w:color="auto" w:fill="ADD1EB" w:themeFill="background1"/>
      </w:tcPr>
    </w:tblStylePr>
    <w:tblStylePr w:type="lastCol">
      <w:tblPr/>
      <w:tcPr>
        <w:tcBorders>
          <w:top w:val="nil"/>
          <w:left w:val="single" w:sz="8" w:space="0" w:color="005A97" w:themeColor="text1"/>
          <w:bottom w:val="nil"/>
          <w:right w:val="nil"/>
          <w:insideH w:val="nil"/>
          <w:insideV w:val="nil"/>
        </w:tcBorders>
        <w:shd w:val="clear" w:color="auto" w:fill="ADD1EB" w:themeFill="background1"/>
      </w:tcPr>
    </w:tblStylePr>
    <w:tblStylePr w:type="band1Vert">
      <w:tblPr/>
      <w:tcPr>
        <w:tcBorders>
          <w:left w:val="nil"/>
          <w:right w:val="nil"/>
          <w:insideH w:val="nil"/>
          <w:insideV w:val="nil"/>
        </w:tcBorders>
        <w:shd w:val="clear" w:color="auto" w:fill="A6DAFF" w:themeFill="text1" w:themeFillTint="3F"/>
      </w:tcPr>
    </w:tblStylePr>
    <w:tblStylePr w:type="band1Horz">
      <w:tblPr/>
      <w:tcPr>
        <w:tcBorders>
          <w:top w:val="nil"/>
          <w:bottom w:val="nil"/>
          <w:insideH w:val="nil"/>
          <w:insideV w:val="nil"/>
        </w:tcBorders>
        <w:shd w:val="clear" w:color="auto" w:fill="A6DAFF" w:themeFill="text1" w:themeFillTint="3F"/>
      </w:tcPr>
    </w:tblStylePr>
    <w:tblStylePr w:type="nwCell">
      <w:tblPr/>
      <w:tcPr>
        <w:shd w:val="clear" w:color="auto" w:fill="ADD1EB" w:themeFill="background1"/>
      </w:tcPr>
    </w:tblStylePr>
    <w:tblStylePr w:type="swCell">
      <w:tblPr/>
      <w:tcPr>
        <w:tcBorders>
          <w:top w:val="nil"/>
        </w:tcBorders>
      </w:tcPr>
    </w:tblStylePr>
  </w:style>
  <w:style w:type="table" w:styleId="MediumGrid1-Accent1">
    <w:name w:val="Medium Grid 1 Accent 1"/>
    <w:basedOn w:val="TableNormal"/>
    <w:uiPriority w:val="67"/>
    <w:rsid w:val="00E77E62"/>
    <w:pPr>
      <w:spacing w:after="0" w:line="240" w:lineRule="auto"/>
    </w:pPr>
    <w:rPr>
      <w:rFonts w:asciiTheme="minorHAnsi" w:eastAsiaTheme="minorEastAsia" w:hAnsiTheme="minorHAnsi" w:cstheme="minorBidi"/>
      <w:sz w:val="24"/>
      <w:szCs w:val="24"/>
      <w:lang w:val="en-US" w:eastAsia="en-US"/>
    </w:rPr>
    <w:tblPr>
      <w:tblStyleRowBandSize w:val="1"/>
      <w:tblStyleColBandSize w:val="1"/>
      <w:tblBorders>
        <w:top w:val="single" w:sz="8" w:space="0" w:color="8F807E" w:themeColor="accent1" w:themeTint="BF"/>
        <w:left w:val="single" w:sz="8" w:space="0" w:color="8F807E" w:themeColor="accent1" w:themeTint="BF"/>
        <w:bottom w:val="single" w:sz="8" w:space="0" w:color="8F807E" w:themeColor="accent1" w:themeTint="BF"/>
        <w:right w:val="single" w:sz="8" w:space="0" w:color="8F807E" w:themeColor="accent1" w:themeTint="BF"/>
        <w:insideH w:val="single" w:sz="8" w:space="0" w:color="8F807E" w:themeColor="accent1" w:themeTint="BF"/>
        <w:insideV w:val="single" w:sz="8" w:space="0" w:color="8F807E" w:themeColor="accent1" w:themeTint="BF"/>
      </w:tblBorders>
    </w:tblPr>
    <w:tcPr>
      <w:shd w:val="clear" w:color="auto" w:fill="DAD5D4" w:themeFill="accent1" w:themeFillTint="3F"/>
    </w:tcPr>
    <w:tblStylePr w:type="firstRow">
      <w:rPr>
        <w:b/>
        <w:bCs/>
      </w:rPr>
    </w:tblStylePr>
    <w:tblStylePr w:type="lastRow">
      <w:rPr>
        <w:b/>
        <w:bCs/>
      </w:rPr>
      <w:tblPr/>
      <w:tcPr>
        <w:tcBorders>
          <w:top w:val="single" w:sz="18" w:space="0" w:color="8F807E" w:themeColor="accent1" w:themeTint="BF"/>
        </w:tcBorders>
      </w:tcPr>
    </w:tblStylePr>
    <w:tblStylePr w:type="firstCol">
      <w:rPr>
        <w:b/>
        <w:bCs/>
      </w:rPr>
    </w:tblStylePr>
    <w:tblStylePr w:type="lastCol">
      <w:rPr>
        <w:b/>
        <w:bCs/>
      </w:rPr>
    </w:tblStylePr>
    <w:tblStylePr w:type="band1Vert">
      <w:tblPr/>
      <w:tcPr>
        <w:shd w:val="clear" w:color="auto" w:fill="B5AAA9" w:themeFill="accent1" w:themeFillTint="7F"/>
      </w:tcPr>
    </w:tblStylePr>
    <w:tblStylePr w:type="band1Horz">
      <w:tblPr/>
      <w:tcPr>
        <w:shd w:val="clear" w:color="auto" w:fill="B5AAA9" w:themeFill="accent1" w:themeFillTint="7F"/>
      </w:tcPr>
    </w:tblStylePr>
  </w:style>
  <w:style w:type="paragraph" w:customStyle="1" w:styleId="PenPicBodyheading">
    <w:name w:val="Pen Pic Body heading"/>
    <w:basedOn w:val="Bodyheading"/>
    <w:rsid w:val="00E77E62"/>
    <w:pPr>
      <w:ind w:left="284"/>
    </w:pPr>
  </w:style>
  <w:style w:type="paragraph" w:customStyle="1" w:styleId="PenPicSidebartext">
    <w:name w:val="Pen Pic Sidebar text"/>
    <w:basedOn w:val="Normal"/>
    <w:rsid w:val="00E77E62"/>
    <w:pPr>
      <w:suppressAutoHyphens/>
      <w:autoSpaceDE w:val="0"/>
      <w:autoSpaceDN w:val="0"/>
      <w:adjustRightInd w:val="0"/>
      <w:spacing w:before="60" w:after="60" w:line="240" w:lineRule="atLeast"/>
      <w:ind w:left="284"/>
      <w:textAlignment w:val="center"/>
    </w:pPr>
    <w:rPr>
      <w:rFonts w:eastAsiaTheme="minorEastAsia" w:cs="Arial Narrow"/>
      <w:color w:val="000000"/>
      <w:sz w:val="19"/>
      <w:szCs w:val="19"/>
      <w:lang w:val="en-AU" w:eastAsia="en-US"/>
    </w:rPr>
  </w:style>
  <w:style w:type="paragraph" w:customStyle="1" w:styleId="PenPicSidebarbullet">
    <w:name w:val="Pen Pic Sidebar bullet"/>
    <w:basedOn w:val="Sidebarbullet"/>
    <w:rsid w:val="00E77E62"/>
    <w:pPr>
      <w:framePr w:hSpace="0" w:wrap="auto" w:hAnchor="text" w:xAlign="left" w:yAlign="inline"/>
      <w:numPr>
        <w:numId w:val="0"/>
      </w:numPr>
    </w:pPr>
    <w:rPr>
      <w:color w:val="000000"/>
      <w:sz w:val="19"/>
    </w:rPr>
  </w:style>
  <w:style w:type="numbering" w:customStyle="1" w:styleId="SKMBulletList3">
    <w:name w:val="SKM Bullet List 3"/>
    <w:uiPriority w:val="99"/>
    <w:rsid w:val="00E77E62"/>
    <w:pPr>
      <w:numPr>
        <w:numId w:val="32"/>
      </w:numPr>
    </w:pPr>
  </w:style>
  <w:style w:type="numbering" w:customStyle="1" w:styleId="SKMTableList1">
    <w:name w:val="SKM Table List 1"/>
    <w:uiPriority w:val="99"/>
    <w:rsid w:val="00E77E62"/>
    <w:pPr>
      <w:numPr>
        <w:numId w:val="41"/>
      </w:numPr>
    </w:pPr>
  </w:style>
  <w:style w:type="numbering" w:customStyle="1" w:styleId="SKMTableNumberedList1">
    <w:name w:val="SKM Table Numbered List 1"/>
    <w:uiPriority w:val="99"/>
    <w:rsid w:val="00E77E62"/>
    <w:pPr>
      <w:numPr>
        <w:numId w:val="42"/>
      </w:numPr>
    </w:pPr>
  </w:style>
  <w:style w:type="numbering" w:customStyle="1" w:styleId="SKMTableNumberedList2">
    <w:name w:val="SKM Table Numbered List 2"/>
    <w:uiPriority w:val="99"/>
    <w:rsid w:val="00E77E62"/>
    <w:pPr>
      <w:numPr>
        <w:numId w:val="43"/>
      </w:numPr>
    </w:pPr>
  </w:style>
  <w:style w:type="numbering" w:customStyle="1" w:styleId="SKMSmallTableList1">
    <w:name w:val="SKM Small Table List 1"/>
    <w:uiPriority w:val="99"/>
    <w:rsid w:val="00E77E62"/>
    <w:pPr>
      <w:numPr>
        <w:numId w:val="38"/>
      </w:numPr>
    </w:pPr>
  </w:style>
  <w:style w:type="numbering" w:customStyle="1" w:styleId="SKMSmallTableNumberedList1">
    <w:name w:val="SKM Small Table Numbered List 1"/>
    <w:uiPriority w:val="99"/>
    <w:rsid w:val="00E77E62"/>
    <w:pPr>
      <w:numPr>
        <w:numId w:val="39"/>
      </w:numPr>
    </w:pPr>
  </w:style>
  <w:style w:type="numbering" w:customStyle="1" w:styleId="SKMSmallTableNumberedList2">
    <w:name w:val="SKM Small Table Numbered List 2"/>
    <w:uiPriority w:val="99"/>
    <w:rsid w:val="00E77E62"/>
    <w:pPr>
      <w:numPr>
        <w:numId w:val="40"/>
      </w:numPr>
    </w:pPr>
  </w:style>
  <w:style w:type="numbering" w:customStyle="1" w:styleId="SKMBodyList">
    <w:name w:val="SKM Body List"/>
    <w:uiPriority w:val="99"/>
    <w:rsid w:val="00E77E62"/>
    <w:pPr>
      <w:numPr>
        <w:numId w:val="30"/>
      </w:numPr>
    </w:pPr>
  </w:style>
  <w:style w:type="numbering" w:customStyle="1" w:styleId="SKMNarrowList">
    <w:name w:val="SKM Narrow List"/>
    <w:uiPriority w:val="99"/>
    <w:rsid w:val="00E77E62"/>
    <w:pPr>
      <w:numPr>
        <w:numId w:val="33"/>
      </w:numPr>
    </w:pPr>
  </w:style>
  <w:style w:type="numbering" w:customStyle="1" w:styleId="SKMSidebarList">
    <w:name w:val="SKM Sidebar List"/>
    <w:uiPriority w:val="99"/>
    <w:rsid w:val="00E77E62"/>
    <w:pPr>
      <w:numPr>
        <w:numId w:val="37"/>
      </w:numPr>
    </w:pPr>
  </w:style>
  <w:style w:type="paragraph" w:customStyle="1" w:styleId="DocumentTitle0">
    <w:name w:val="DocumentTitle"/>
    <w:basedOn w:val="Para0"/>
    <w:rsid w:val="00E77E62"/>
    <w:pPr>
      <w:spacing w:before="0" w:after="0" w:line="20" w:lineRule="exact"/>
      <w:jc w:val="right"/>
    </w:pPr>
    <w:rPr>
      <w:color w:val="D5E17F" w:themeColor="background2"/>
      <w:sz w:val="2"/>
    </w:rPr>
  </w:style>
  <w:style w:type="paragraph" w:customStyle="1" w:styleId="Reference">
    <w:name w:val="Reference"/>
    <w:basedOn w:val="Para0"/>
    <w:rsid w:val="00E77E62"/>
    <w:pPr>
      <w:spacing w:before="0"/>
      <w:contextualSpacing/>
    </w:pPr>
    <w:rPr>
      <w:i/>
      <w:sz w:val="14"/>
    </w:rPr>
  </w:style>
  <w:style w:type="paragraph" w:styleId="EndnoteText">
    <w:name w:val="endnote text"/>
    <w:basedOn w:val="Normal"/>
    <w:link w:val="EndnoteTextChar"/>
    <w:uiPriority w:val="99"/>
    <w:rsid w:val="00E77E62"/>
    <w:pPr>
      <w:spacing w:after="240" w:line="240" w:lineRule="auto"/>
      <w:ind w:left="170" w:hanging="170"/>
      <w:contextualSpacing/>
    </w:pPr>
    <w:rPr>
      <w:rFonts w:eastAsiaTheme="minorEastAsia" w:cstheme="minorBidi"/>
      <w:sz w:val="15"/>
      <w:lang w:val="en-AU" w:eastAsia="en-US"/>
    </w:rPr>
  </w:style>
  <w:style w:type="character" w:customStyle="1" w:styleId="EndnoteTextChar">
    <w:name w:val="Endnote Text Char"/>
    <w:basedOn w:val="DefaultParagraphFont"/>
    <w:link w:val="EndnoteText"/>
    <w:uiPriority w:val="99"/>
    <w:rsid w:val="00E77E62"/>
    <w:rPr>
      <w:rFonts w:ascii="Arial" w:eastAsiaTheme="minorEastAsia" w:hAnsi="Arial" w:cstheme="minorBidi"/>
      <w:sz w:val="15"/>
      <w:lang w:eastAsia="en-US"/>
    </w:rPr>
  </w:style>
  <w:style w:type="character" w:styleId="EndnoteReference">
    <w:name w:val="endnote reference"/>
    <w:basedOn w:val="DefaultParagraphFont"/>
    <w:uiPriority w:val="99"/>
    <w:rsid w:val="00E77E62"/>
    <w:rPr>
      <w:rFonts w:ascii="Arial" w:hAnsi="Arial"/>
      <w:sz w:val="15"/>
      <w:vertAlign w:val="superscript"/>
    </w:rPr>
  </w:style>
  <w:style w:type="paragraph" w:customStyle="1" w:styleId="Tableitem">
    <w:name w:val="Table item"/>
    <w:basedOn w:val="Tabletext"/>
    <w:rsid w:val="00E77E62"/>
    <w:pPr>
      <w:numPr>
        <w:numId w:val="45"/>
      </w:numPr>
      <w:spacing w:before="60" w:after="60" w:line="240" w:lineRule="atLeast"/>
    </w:pPr>
    <w:rPr>
      <w:rFonts w:eastAsiaTheme="minorEastAsia" w:cstheme="minorBidi"/>
      <w:sz w:val="20"/>
      <w:szCs w:val="24"/>
      <w:lang w:val="en-AU" w:eastAsia="en-US"/>
    </w:rPr>
  </w:style>
  <w:style w:type="numbering" w:customStyle="1" w:styleId="SKMTableItem">
    <w:name w:val="SKM Table Item"/>
    <w:uiPriority w:val="99"/>
    <w:rsid w:val="00E77E62"/>
    <w:pPr>
      <w:numPr>
        <w:numId w:val="22"/>
      </w:numPr>
    </w:pPr>
  </w:style>
  <w:style w:type="paragraph" w:customStyle="1" w:styleId="Tablesmallitem">
    <w:name w:val="Table small item"/>
    <w:basedOn w:val="Tablesmalltext"/>
    <w:rsid w:val="00E77E62"/>
    <w:pPr>
      <w:numPr>
        <w:numId w:val="47"/>
      </w:numPr>
    </w:pPr>
  </w:style>
  <w:style w:type="numbering" w:customStyle="1" w:styleId="SKMTablesmallitem">
    <w:name w:val="SKM Table small item"/>
    <w:uiPriority w:val="99"/>
    <w:rsid w:val="00E77E62"/>
    <w:pPr>
      <w:numPr>
        <w:numId w:val="23"/>
      </w:numPr>
    </w:pPr>
  </w:style>
  <w:style w:type="paragraph" w:styleId="Bibliography">
    <w:name w:val="Bibliography"/>
    <w:basedOn w:val="Normal"/>
    <w:next w:val="Normal"/>
    <w:uiPriority w:val="37"/>
    <w:semiHidden/>
    <w:rsid w:val="00E77E62"/>
    <w:pPr>
      <w:spacing w:after="220" w:line="240" w:lineRule="atLeast"/>
    </w:pPr>
    <w:rPr>
      <w:rFonts w:eastAsiaTheme="minorEastAsia" w:cstheme="minorBidi"/>
      <w:szCs w:val="24"/>
      <w:lang w:val="en-AU" w:eastAsia="en-US"/>
    </w:rPr>
  </w:style>
  <w:style w:type="paragraph" w:styleId="BlockText">
    <w:name w:val="Block Text"/>
    <w:basedOn w:val="Normal"/>
    <w:uiPriority w:val="99"/>
    <w:semiHidden/>
    <w:rsid w:val="00E77E62"/>
    <w:pPr>
      <w:pBdr>
        <w:top w:val="single" w:sz="2" w:space="10" w:color="665A58" w:themeColor="accent1" w:shadow="1"/>
        <w:left w:val="single" w:sz="2" w:space="10" w:color="665A58" w:themeColor="accent1" w:shadow="1"/>
        <w:bottom w:val="single" w:sz="2" w:space="10" w:color="665A58" w:themeColor="accent1" w:shadow="1"/>
        <w:right w:val="single" w:sz="2" w:space="10" w:color="665A58" w:themeColor="accent1" w:shadow="1"/>
      </w:pBdr>
      <w:spacing w:after="220" w:line="240" w:lineRule="atLeast"/>
      <w:ind w:left="1152" w:right="1152"/>
    </w:pPr>
    <w:rPr>
      <w:rFonts w:asciiTheme="minorHAnsi" w:eastAsiaTheme="minorEastAsia" w:hAnsiTheme="minorHAnsi" w:cstheme="minorBidi"/>
      <w:i/>
      <w:iCs/>
      <w:color w:val="665A58" w:themeColor="accent1"/>
      <w:szCs w:val="24"/>
      <w:lang w:val="en-AU" w:eastAsia="en-US"/>
    </w:rPr>
  </w:style>
  <w:style w:type="paragraph" w:styleId="BodyText2">
    <w:name w:val="Body Text 2"/>
    <w:basedOn w:val="Normal"/>
    <w:link w:val="BodyText2Char"/>
    <w:uiPriority w:val="99"/>
    <w:semiHidden/>
    <w:rsid w:val="00E77E62"/>
    <w:pPr>
      <w:spacing w:after="120" w:line="480" w:lineRule="auto"/>
    </w:pPr>
    <w:rPr>
      <w:rFonts w:eastAsiaTheme="minorEastAsia" w:cstheme="minorBidi"/>
      <w:szCs w:val="24"/>
      <w:lang w:val="en-AU" w:eastAsia="en-US"/>
    </w:rPr>
  </w:style>
  <w:style w:type="character" w:customStyle="1" w:styleId="BodyText2Char">
    <w:name w:val="Body Text 2 Char"/>
    <w:basedOn w:val="DefaultParagraphFont"/>
    <w:link w:val="BodyText2"/>
    <w:uiPriority w:val="99"/>
    <w:semiHidden/>
    <w:rsid w:val="00E77E62"/>
    <w:rPr>
      <w:rFonts w:ascii="Arial" w:eastAsiaTheme="minorEastAsia" w:hAnsi="Arial" w:cstheme="minorBidi"/>
      <w:szCs w:val="24"/>
      <w:lang w:eastAsia="en-US"/>
    </w:rPr>
  </w:style>
  <w:style w:type="paragraph" w:styleId="BodyText3">
    <w:name w:val="Body Text 3"/>
    <w:basedOn w:val="Normal"/>
    <w:link w:val="BodyText3Char"/>
    <w:uiPriority w:val="99"/>
    <w:semiHidden/>
    <w:rsid w:val="00E77E62"/>
    <w:pPr>
      <w:spacing w:after="120" w:line="240" w:lineRule="atLeast"/>
    </w:pPr>
    <w:rPr>
      <w:rFonts w:eastAsiaTheme="minorEastAsia" w:cstheme="minorBidi"/>
      <w:sz w:val="16"/>
      <w:szCs w:val="16"/>
      <w:lang w:val="en-AU" w:eastAsia="en-US"/>
    </w:rPr>
  </w:style>
  <w:style w:type="character" w:customStyle="1" w:styleId="BodyText3Char">
    <w:name w:val="Body Text 3 Char"/>
    <w:basedOn w:val="DefaultParagraphFont"/>
    <w:link w:val="BodyText3"/>
    <w:uiPriority w:val="99"/>
    <w:semiHidden/>
    <w:rsid w:val="00E77E62"/>
    <w:rPr>
      <w:rFonts w:ascii="Arial" w:eastAsiaTheme="minorEastAsia" w:hAnsi="Arial" w:cstheme="minorBidi"/>
      <w:sz w:val="16"/>
      <w:szCs w:val="16"/>
      <w:lang w:eastAsia="en-US"/>
    </w:rPr>
  </w:style>
  <w:style w:type="paragraph" w:styleId="BodyTextFirstIndent">
    <w:name w:val="Body Text First Indent"/>
    <w:basedOn w:val="BodyText"/>
    <w:link w:val="BodyTextFirstIndentChar"/>
    <w:uiPriority w:val="99"/>
    <w:rsid w:val="00E77E62"/>
    <w:pPr>
      <w:spacing w:after="220" w:line="240" w:lineRule="atLeast"/>
      <w:ind w:firstLine="360"/>
    </w:pPr>
    <w:rPr>
      <w:rFonts w:eastAsiaTheme="minorEastAsia" w:cstheme="minorBidi"/>
      <w:szCs w:val="24"/>
      <w:lang w:val="en-AU" w:eastAsia="en-US"/>
    </w:rPr>
  </w:style>
  <w:style w:type="character" w:customStyle="1" w:styleId="BodyTextFirstIndentChar">
    <w:name w:val="Body Text First Indent Char"/>
    <w:basedOn w:val="BodyTextChar"/>
    <w:link w:val="BodyTextFirstIndent"/>
    <w:uiPriority w:val="99"/>
    <w:rsid w:val="00E77E62"/>
    <w:rPr>
      <w:rFonts w:ascii="Arial" w:eastAsiaTheme="minorEastAsia" w:hAnsi="Arial" w:cstheme="minorBidi"/>
      <w:szCs w:val="24"/>
      <w:lang w:val="en-GB" w:eastAsia="en-US"/>
    </w:rPr>
  </w:style>
  <w:style w:type="paragraph" w:styleId="BodyTextIndent">
    <w:name w:val="Body Text Indent"/>
    <w:basedOn w:val="Normal"/>
    <w:link w:val="BodyTextIndentChar"/>
    <w:uiPriority w:val="99"/>
    <w:semiHidden/>
    <w:rsid w:val="00E77E62"/>
    <w:pPr>
      <w:spacing w:after="120" w:line="240" w:lineRule="atLeast"/>
      <w:ind w:left="283"/>
    </w:pPr>
    <w:rPr>
      <w:rFonts w:eastAsiaTheme="minorEastAsia" w:cstheme="minorBidi"/>
      <w:szCs w:val="24"/>
      <w:lang w:val="en-AU" w:eastAsia="en-US"/>
    </w:rPr>
  </w:style>
  <w:style w:type="character" w:customStyle="1" w:styleId="BodyTextIndentChar">
    <w:name w:val="Body Text Indent Char"/>
    <w:basedOn w:val="DefaultParagraphFont"/>
    <w:link w:val="BodyTextIndent"/>
    <w:uiPriority w:val="99"/>
    <w:semiHidden/>
    <w:rsid w:val="00E77E62"/>
    <w:rPr>
      <w:rFonts w:ascii="Arial" w:eastAsiaTheme="minorEastAsia" w:hAnsi="Arial" w:cstheme="minorBidi"/>
      <w:szCs w:val="24"/>
      <w:lang w:eastAsia="en-US"/>
    </w:rPr>
  </w:style>
  <w:style w:type="paragraph" w:styleId="BodyTextFirstIndent2">
    <w:name w:val="Body Text First Indent 2"/>
    <w:basedOn w:val="BodyTextIndent"/>
    <w:link w:val="BodyTextFirstIndent2Char"/>
    <w:uiPriority w:val="99"/>
    <w:semiHidden/>
    <w:rsid w:val="00E77E62"/>
    <w:pPr>
      <w:spacing w:after="220"/>
      <w:ind w:left="360" w:firstLine="360"/>
    </w:pPr>
  </w:style>
  <w:style w:type="character" w:customStyle="1" w:styleId="BodyTextFirstIndent2Char">
    <w:name w:val="Body Text First Indent 2 Char"/>
    <w:basedOn w:val="BodyTextIndentChar"/>
    <w:link w:val="BodyTextFirstIndent2"/>
    <w:uiPriority w:val="99"/>
    <w:semiHidden/>
    <w:rsid w:val="00E77E62"/>
    <w:rPr>
      <w:rFonts w:ascii="Arial" w:eastAsiaTheme="minorEastAsia" w:hAnsi="Arial" w:cstheme="minorBidi"/>
      <w:szCs w:val="24"/>
      <w:lang w:eastAsia="en-US"/>
    </w:rPr>
  </w:style>
  <w:style w:type="paragraph" w:styleId="BodyTextIndent2">
    <w:name w:val="Body Text Indent 2"/>
    <w:basedOn w:val="Normal"/>
    <w:link w:val="BodyTextIndent2Char"/>
    <w:uiPriority w:val="99"/>
    <w:semiHidden/>
    <w:rsid w:val="00E77E62"/>
    <w:pPr>
      <w:spacing w:after="120" w:line="480" w:lineRule="auto"/>
      <w:ind w:left="283"/>
    </w:pPr>
    <w:rPr>
      <w:rFonts w:eastAsiaTheme="minorEastAsia" w:cstheme="minorBidi"/>
      <w:szCs w:val="24"/>
      <w:lang w:val="en-AU" w:eastAsia="en-US"/>
    </w:rPr>
  </w:style>
  <w:style w:type="character" w:customStyle="1" w:styleId="BodyTextIndent2Char">
    <w:name w:val="Body Text Indent 2 Char"/>
    <w:basedOn w:val="DefaultParagraphFont"/>
    <w:link w:val="BodyTextIndent2"/>
    <w:uiPriority w:val="99"/>
    <w:semiHidden/>
    <w:rsid w:val="00E77E62"/>
    <w:rPr>
      <w:rFonts w:ascii="Arial" w:eastAsiaTheme="minorEastAsia" w:hAnsi="Arial" w:cstheme="minorBidi"/>
      <w:szCs w:val="24"/>
      <w:lang w:eastAsia="en-US"/>
    </w:rPr>
  </w:style>
  <w:style w:type="paragraph" w:styleId="BodyTextIndent3">
    <w:name w:val="Body Text Indent 3"/>
    <w:basedOn w:val="Normal"/>
    <w:link w:val="BodyTextIndent3Char"/>
    <w:uiPriority w:val="99"/>
    <w:semiHidden/>
    <w:rsid w:val="00E77E62"/>
    <w:pPr>
      <w:spacing w:after="120" w:line="240" w:lineRule="atLeast"/>
      <w:ind w:left="283"/>
    </w:pPr>
    <w:rPr>
      <w:rFonts w:eastAsiaTheme="minorEastAsia" w:cstheme="minorBidi"/>
      <w:sz w:val="16"/>
      <w:szCs w:val="16"/>
      <w:lang w:val="en-AU" w:eastAsia="en-US"/>
    </w:rPr>
  </w:style>
  <w:style w:type="character" w:customStyle="1" w:styleId="BodyTextIndent3Char">
    <w:name w:val="Body Text Indent 3 Char"/>
    <w:basedOn w:val="DefaultParagraphFont"/>
    <w:link w:val="BodyTextIndent3"/>
    <w:uiPriority w:val="99"/>
    <w:semiHidden/>
    <w:rsid w:val="00E77E62"/>
    <w:rPr>
      <w:rFonts w:ascii="Arial" w:eastAsiaTheme="minorEastAsia" w:hAnsi="Arial" w:cstheme="minorBidi"/>
      <w:sz w:val="16"/>
      <w:szCs w:val="16"/>
      <w:lang w:eastAsia="en-US"/>
    </w:rPr>
  </w:style>
  <w:style w:type="character" w:styleId="BookTitle">
    <w:name w:val="Book Title"/>
    <w:basedOn w:val="DefaultParagraphFont"/>
    <w:uiPriority w:val="33"/>
    <w:rsid w:val="00E77E62"/>
    <w:rPr>
      <w:b/>
      <w:bCs/>
      <w:smallCaps/>
      <w:spacing w:val="5"/>
    </w:rPr>
  </w:style>
  <w:style w:type="paragraph" w:styleId="Closing">
    <w:name w:val="Closing"/>
    <w:basedOn w:val="Normal"/>
    <w:link w:val="ClosingChar"/>
    <w:uiPriority w:val="99"/>
    <w:semiHidden/>
    <w:rsid w:val="00E77E62"/>
    <w:pPr>
      <w:spacing w:after="0" w:line="240" w:lineRule="auto"/>
      <w:ind w:left="4252"/>
    </w:pPr>
    <w:rPr>
      <w:rFonts w:eastAsiaTheme="minorEastAsia" w:cstheme="minorBidi"/>
      <w:szCs w:val="24"/>
      <w:lang w:val="en-AU" w:eastAsia="en-US"/>
    </w:rPr>
  </w:style>
  <w:style w:type="character" w:customStyle="1" w:styleId="ClosingChar">
    <w:name w:val="Closing Char"/>
    <w:basedOn w:val="DefaultParagraphFont"/>
    <w:link w:val="Closing"/>
    <w:uiPriority w:val="99"/>
    <w:semiHidden/>
    <w:rsid w:val="00E77E62"/>
    <w:rPr>
      <w:rFonts w:ascii="Arial" w:eastAsiaTheme="minorEastAsia" w:hAnsi="Arial" w:cstheme="minorBidi"/>
      <w:szCs w:val="24"/>
      <w:lang w:eastAsia="en-US"/>
    </w:rPr>
  </w:style>
  <w:style w:type="paragraph" w:styleId="Date">
    <w:name w:val="Date"/>
    <w:basedOn w:val="Normal"/>
    <w:next w:val="Normal"/>
    <w:link w:val="DateChar"/>
    <w:uiPriority w:val="99"/>
    <w:rsid w:val="00E77E62"/>
    <w:pPr>
      <w:spacing w:after="220" w:line="240" w:lineRule="atLeast"/>
    </w:pPr>
    <w:rPr>
      <w:rFonts w:eastAsiaTheme="minorEastAsia" w:cstheme="minorBidi"/>
      <w:szCs w:val="24"/>
      <w:lang w:val="en-AU" w:eastAsia="en-US"/>
    </w:rPr>
  </w:style>
  <w:style w:type="character" w:customStyle="1" w:styleId="DateChar">
    <w:name w:val="Date Char"/>
    <w:basedOn w:val="DefaultParagraphFont"/>
    <w:link w:val="Date"/>
    <w:uiPriority w:val="99"/>
    <w:rsid w:val="00E77E62"/>
    <w:rPr>
      <w:rFonts w:ascii="Arial" w:eastAsiaTheme="minorEastAsia" w:hAnsi="Arial" w:cstheme="minorBidi"/>
      <w:szCs w:val="24"/>
      <w:lang w:eastAsia="en-US"/>
    </w:rPr>
  </w:style>
  <w:style w:type="paragraph" w:styleId="DocumentMap">
    <w:name w:val="Document Map"/>
    <w:basedOn w:val="Normal"/>
    <w:link w:val="DocumentMapChar"/>
    <w:uiPriority w:val="99"/>
    <w:semiHidden/>
    <w:rsid w:val="00E77E62"/>
    <w:pPr>
      <w:spacing w:after="0" w:line="240" w:lineRule="auto"/>
    </w:pPr>
    <w:rPr>
      <w:rFonts w:ascii="Tahoma" w:eastAsiaTheme="minorEastAsia" w:hAnsi="Tahoma" w:cs="Tahoma"/>
      <w:sz w:val="16"/>
      <w:szCs w:val="16"/>
      <w:lang w:val="en-AU" w:eastAsia="en-US"/>
    </w:rPr>
  </w:style>
  <w:style w:type="character" w:customStyle="1" w:styleId="DocumentMapChar">
    <w:name w:val="Document Map Char"/>
    <w:basedOn w:val="DefaultParagraphFont"/>
    <w:link w:val="DocumentMap"/>
    <w:uiPriority w:val="99"/>
    <w:semiHidden/>
    <w:rsid w:val="00E77E62"/>
    <w:rPr>
      <w:rFonts w:ascii="Tahoma" w:eastAsiaTheme="minorEastAsia" w:hAnsi="Tahoma" w:cs="Tahoma"/>
      <w:sz w:val="16"/>
      <w:szCs w:val="16"/>
      <w:lang w:eastAsia="en-US"/>
    </w:rPr>
  </w:style>
  <w:style w:type="paragraph" w:styleId="E-mailSignature">
    <w:name w:val="E-mail Signature"/>
    <w:basedOn w:val="Normal"/>
    <w:link w:val="E-mailSignatureChar"/>
    <w:uiPriority w:val="99"/>
    <w:semiHidden/>
    <w:rsid w:val="00E77E62"/>
    <w:pPr>
      <w:spacing w:after="0" w:line="240" w:lineRule="auto"/>
    </w:pPr>
    <w:rPr>
      <w:rFonts w:eastAsiaTheme="minorEastAsia" w:cstheme="minorBidi"/>
      <w:szCs w:val="24"/>
      <w:lang w:val="en-AU" w:eastAsia="en-US"/>
    </w:rPr>
  </w:style>
  <w:style w:type="character" w:customStyle="1" w:styleId="E-mailSignatureChar">
    <w:name w:val="E-mail Signature Char"/>
    <w:basedOn w:val="DefaultParagraphFont"/>
    <w:link w:val="E-mailSignature"/>
    <w:uiPriority w:val="99"/>
    <w:semiHidden/>
    <w:rsid w:val="00E77E62"/>
    <w:rPr>
      <w:rFonts w:ascii="Arial" w:eastAsiaTheme="minorEastAsia" w:hAnsi="Arial" w:cstheme="minorBidi"/>
      <w:szCs w:val="24"/>
      <w:lang w:eastAsia="en-US"/>
    </w:rPr>
  </w:style>
  <w:style w:type="paragraph" w:styleId="EnvelopeAddress">
    <w:name w:val="envelope address"/>
    <w:basedOn w:val="Normal"/>
    <w:uiPriority w:val="99"/>
    <w:semiHidden/>
    <w:rsid w:val="00E77E62"/>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lang w:val="en-AU" w:eastAsia="en-US"/>
    </w:rPr>
  </w:style>
  <w:style w:type="paragraph" w:styleId="EnvelopeReturn">
    <w:name w:val="envelope return"/>
    <w:basedOn w:val="Normal"/>
    <w:uiPriority w:val="99"/>
    <w:semiHidden/>
    <w:rsid w:val="00E77E62"/>
    <w:pPr>
      <w:spacing w:after="0" w:line="240" w:lineRule="auto"/>
    </w:pPr>
    <w:rPr>
      <w:rFonts w:asciiTheme="majorHAnsi" w:eastAsiaTheme="majorEastAsia" w:hAnsiTheme="majorHAnsi" w:cstheme="majorBidi"/>
      <w:lang w:val="en-AU" w:eastAsia="en-US"/>
    </w:rPr>
  </w:style>
  <w:style w:type="character" w:styleId="FollowedHyperlink">
    <w:name w:val="FollowedHyperlink"/>
    <w:basedOn w:val="DefaultParagraphFont"/>
    <w:uiPriority w:val="99"/>
    <w:semiHidden/>
    <w:rsid w:val="00E77E62"/>
    <w:rPr>
      <w:color w:val="FFFFFF" w:themeColor="followedHyperlink"/>
      <w:u w:val="single"/>
    </w:rPr>
  </w:style>
  <w:style w:type="character" w:styleId="HTMLAcronym">
    <w:name w:val="HTML Acronym"/>
    <w:basedOn w:val="DefaultParagraphFont"/>
    <w:uiPriority w:val="99"/>
    <w:semiHidden/>
    <w:rsid w:val="00E77E62"/>
  </w:style>
  <w:style w:type="paragraph" w:styleId="HTMLAddress">
    <w:name w:val="HTML Address"/>
    <w:basedOn w:val="Normal"/>
    <w:link w:val="HTMLAddressChar"/>
    <w:uiPriority w:val="99"/>
    <w:semiHidden/>
    <w:rsid w:val="00E77E62"/>
    <w:pPr>
      <w:spacing w:after="0" w:line="240" w:lineRule="auto"/>
    </w:pPr>
    <w:rPr>
      <w:rFonts w:eastAsiaTheme="minorEastAsia" w:cstheme="minorBidi"/>
      <w:i/>
      <w:iCs/>
      <w:szCs w:val="24"/>
      <w:lang w:val="en-AU" w:eastAsia="en-US"/>
    </w:rPr>
  </w:style>
  <w:style w:type="character" w:customStyle="1" w:styleId="HTMLAddressChar">
    <w:name w:val="HTML Address Char"/>
    <w:basedOn w:val="DefaultParagraphFont"/>
    <w:link w:val="HTMLAddress"/>
    <w:uiPriority w:val="99"/>
    <w:semiHidden/>
    <w:rsid w:val="00E77E62"/>
    <w:rPr>
      <w:rFonts w:ascii="Arial" w:eastAsiaTheme="minorEastAsia" w:hAnsi="Arial" w:cstheme="minorBidi"/>
      <w:i/>
      <w:iCs/>
      <w:szCs w:val="24"/>
      <w:lang w:eastAsia="en-US"/>
    </w:rPr>
  </w:style>
  <w:style w:type="character" w:styleId="HTMLCite">
    <w:name w:val="HTML Cite"/>
    <w:basedOn w:val="DefaultParagraphFont"/>
    <w:uiPriority w:val="99"/>
    <w:semiHidden/>
    <w:rsid w:val="00E77E62"/>
    <w:rPr>
      <w:i/>
      <w:iCs/>
    </w:rPr>
  </w:style>
  <w:style w:type="paragraph" w:styleId="Index1">
    <w:name w:val="index 1"/>
    <w:basedOn w:val="Normal"/>
    <w:next w:val="Normal"/>
    <w:autoRedefine/>
    <w:uiPriority w:val="99"/>
    <w:semiHidden/>
    <w:rsid w:val="00E77E62"/>
    <w:pPr>
      <w:spacing w:after="0" w:line="240" w:lineRule="auto"/>
      <w:ind w:left="200" w:hanging="200"/>
    </w:pPr>
    <w:rPr>
      <w:rFonts w:eastAsiaTheme="minorEastAsia" w:cstheme="minorBidi"/>
      <w:szCs w:val="24"/>
      <w:lang w:val="en-AU" w:eastAsia="en-US"/>
    </w:rPr>
  </w:style>
  <w:style w:type="paragraph" w:styleId="IndexHeading">
    <w:name w:val="index heading"/>
    <w:basedOn w:val="Normal"/>
    <w:next w:val="Index1"/>
    <w:uiPriority w:val="99"/>
    <w:semiHidden/>
    <w:rsid w:val="00E77E62"/>
    <w:pPr>
      <w:spacing w:after="220" w:line="240" w:lineRule="atLeast"/>
    </w:pPr>
    <w:rPr>
      <w:rFonts w:asciiTheme="majorHAnsi" w:eastAsiaTheme="majorEastAsia" w:hAnsiTheme="majorHAnsi" w:cstheme="majorBidi"/>
      <w:b/>
      <w:bCs/>
      <w:szCs w:val="24"/>
      <w:lang w:val="en-AU" w:eastAsia="en-US"/>
    </w:rPr>
  </w:style>
  <w:style w:type="character" w:styleId="IntenseEmphasis">
    <w:name w:val="Intense Emphasis"/>
    <w:basedOn w:val="DefaultParagraphFont"/>
    <w:uiPriority w:val="21"/>
    <w:rsid w:val="00E77E62"/>
    <w:rPr>
      <w:b/>
      <w:bCs/>
      <w:i/>
      <w:iCs/>
      <w:color w:val="665A58" w:themeColor="accent1"/>
    </w:rPr>
  </w:style>
  <w:style w:type="paragraph" w:styleId="IntenseQuote">
    <w:name w:val="Intense Quote"/>
    <w:basedOn w:val="Normal"/>
    <w:next w:val="Normal"/>
    <w:link w:val="IntenseQuoteChar"/>
    <w:uiPriority w:val="30"/>
    <w:rsid w:val="00E77E62"/>
    <w:pPr>
      <w:pBdr>
        <w:bottom w:val="single" w:sz="4" w:space="4" w:color="665A58" w:themeColor="accent1"/>
      </w:pBdr>
      <w:spacing w:before="200" w:after="280" w:line="240" w:lineRule="atLeast"/>
      <w:ind w:left="936" w:right="936"/>
    </w:pPr>
    <w:rPr>
      <w:rFonts w:eastAsiaTheme="minorEastAsia" w:cstheme="minorBidi"/>
      <w:b/>
      <w:bCs/>
      <w:i/>
      <w:iCs/>
      <w:color w:val="665A58" w:themeColor="accent1"/>
      <w:szCs w:val="24"/>
      <w:lang w:val="en-AU" w:eastAsia="en-US"/>
    </w:rPr>
  </w:style>
  <w:style w:type="character" w:customStyle="1" w:styleId="IntenseQuoteChar">
    <w:name w:val="Intense Quote Char"/>
    <w:basedOn w:val="DefaultParagraphFont"/>
    <w:link w:val="IntenseQuote"/>
    <w:uiPriority w:val="30"/>
    <w:rsid w:val="00E77E62"/>
    <w:rPr>
      <w:rFonts w:ascii="Arial" w:eastAsiaTheme="minorEastAsia" w:hAnsi="Arial" w:cstheme="minorBidi"/>
      <w:b/>
      <w:bCs/>
      <w:i/>
      <w:iCs/>
      <w:color w:val="665A58" w:themeColor="accent1"/>
      <w:szCs w:val="24"/>
      <w:lang w:eastAsia="en-US"/>
    </w:rPr>
  </w:style>
  <w:style w:type="character" w:styleId="IntenseReference">
    <w:name w:val="Intense Reference"/>
    <w:basedOn w:val="DefaultParagraphFont"/>
    <w:uiPriority w:val="32"/>
    <w:rsid w:val="00E77E62"/>
    <w:rPr>
      <w:b/>
      <w:bCs/>
      <w:smallCaps/>
      <w:color w:val="C7BEBD" w:themeColor="accent2"/>
      <w:spacing w:val="5"/>
      <w:u w:val="single"/>
    </w:rPr>
  </w:style>
  <w:style w:type="character" w:styleId="LineNumber">
    <w:name w:val="line number"/>
    <w:basedOn w:val="DefaultParagraphFont"/>
    <w:uiPriority w:val="99"/>
    <w:semiHidden/>
    <w:rsid w:val="00E77E62"/>
  </w:style>
  <w:style w:type="paragraph" w:styleId="List3">
    <w:name w:val="List 3"/>
    <w:basedOn w:val="Normal"/>
    <w:uiPriority w:val="99"/>
    <w:semiHidden/>
    <w:rsid w:val="00E77E62"/>
    <w:pPr>
      <w:spacing w:after="220" w:line="240" w:lineRule="atLeast"/>
      <w:ind w:left="849" w:hanging="283"/>
      <w:contextualSpacing/>
    </w:pPr>
    <w:rPr>
      <w:rFonts w:eastAsiaTheme="minorEastAsia" w:cstheme="minorBidi"/>
      <w:szCs w:val="24"/>
      <w:lang w:val="en-AU" w:eastAsia="en-US"/>
    </w:rPr>
  </w:style>
  <w:style w:type="paragraph" w:styleId="ListContinue">
    <w:name w:val="List Continue"/>
    <w:basedOn w:val="Normal"/>
    <w:uiPriority w:val="99"/>
    <w:semiHidden/>
    <w:rsid w:val="00E77E62"/>
    <w:pPr>
      <w:spacing w:after="120" w:line="240" w:lineRule="atLeast"/>
      <w:ind w:left="283"/>
      <w:contextualSpacing/>
    </w:pPr>
    <w:rPr>
      <w:rFonts w:eastAsiaTheme="minorEastAsia" w:cstheme="minorBidi"/>
      <w:szCs w:val="24"/>
      <w:lang w:val="en-AU" w:eastAsia="en-US"/>
    </w:rPr>
  </w:style>
  <w:style w:type="paragraph" w:styleId="MacroText">
    <w:name w:val="macro"/>
    <w:link w:val="MacroTextChar"/>
    <w:uiPriority w:val="99"/>
    <w:semiHidden/>
    <w:rsid w:val="00E77E62"/>
    <w:pPr>
      <w:tabs>
        <w:tab w:val="left" w:pos="480"/>
        <w:tab w:val="left" w:pos="960"/>
        <w:tab w:val="left" w:pos="1440"/>
        <w:tab w:val="left" w:pos="1920"/>
        <w:tab w:val="left" w:pos="2400"/>
        <w:tab w:val="left" w:pos="2880"/>
        <w:tab w:val="left" w:pos="3360"/>
        <w:tab w:val="left" w:pos="3840"/>
        <w:tab w:val="left" w:pos="4320"/>
      </w:tabs>
      <w:spacing w:after="0" w:line="240" w:lineRule="atLeast"/>
    </w:pPr>
    <w:rPr>
      <w:rFonts w:ascii="Consolas" w:eastAsiaTheme="minorEastAsia" w:hAnsi="Consolas" w:cs="Consolas"/>
      <w:lang w:eastAsia="en-US"/>
    </w:rPr>
  </w:style>
  <w:style w:type="character" w:customStyle="1" w:styleId="MacroTextChar">
    <w:name w:val="Macro Text Char"/>
    <w:basedOn w:val="DefaultParagraphFont"/>
    <w:link w:val="MacroText"/>
    <w:uiPriority w:val="99"/>
    <w:semiHidden/>
    <w:rsid w:val="00E77E62"/>
    <w:rPr>
      <w:rFonts w:ascii="Consolas" w:eastAsiaTheme="minorEastAsia" w:hAnsi="Consolas" w:cs="Consolas"/>
      <w:lang w:eastAsia="en-US"/>
    </w:rPr>
  </w:style>
  <w:style w:type="paragraph" w:styleId="NormalIndent">
    <w:name w:val="Normal Indent"/>
    <w:basedOn w:val="Normal"/>
    <w:uiPriority w:val="99"/>
    <w:semiHidden/>
    <w:rsid w:val="00E77E62"/>
    <w:pPr>
      <w:spacing w:after="220" w:line="240" w:lineRule="atLeast"/>
      <w:ind w:left="720"/>
    </w:pPr>
    <w:rPr>
      <w:rFonts w:eastAsiaTheme="minorEastAsia" w:cstheme="minorBidi"/>
      <w:szCs w:val="24"/>
      <w:lang w:val="en-AU" w:eastAsia="en-US"/>
    </w:rPr>
  </w:style>
  <w:style w:type="paragraph" w:styleId="NoteHeading">
    <w:name w:val="Note Heading"/>
    <w:basedOn w:val="Normal"/>
    <w:next w:val="Normal"/>
    <w:link w:val="NoteHeadingChar"/>
    <w:uiPriority w:val="99"/>
    <w:semiHidden/>
    <w:rsid w:val="00E77E62"/>
    <w:pPr>
      <w:spacing w:after="0" w:line="240" w:lineRule="auto"/>
    </w:pPr>
    <w:rPr>
      <w:rFonts w:eastAsiaTheme="minorEastAsia" w:cstheme="minorBidi"/>
      <w:szCs w:val="24"/>
      <w:lang w:val="en-AU" w:eastAsia="en-US"/>
    </w:rPr>
  </w:style>
  <w:style w:type="character" w:customStyle="1" w:styleId="NoteHeadingChar">
    <w:name w:val="Note Heading Char"/>
    <w:basedOn w:val="DefaultParagraphFont"/>
    <w:link w:val="NoteHeading"/>
    <w:uiPriority w:val="99"/>
    <w:semiHidden/>
    <w:rsid w:val="00E77E62"/>
    <w:rPr>
      <w:rFonts w:ascii="Arial" w:eastAsiaTheme="minorEastAsia" w:hAnsi="Arial" w:cstheme="minorBidi"/>
      <w:szCs w:val="24"/>
      <w:lang w:eastAsia="en-US"/>
    </w:rPr>
  </w:style>
  <w:style w:type="paragraph" w:customStyle="1" w:styleId="Sidebarheading">
    <w:name w:val="Sidebar heading"/>
    <w:basedOn w:val="Normal"/>
    <w:next w:val="Normal"/>
    <w:qFormat/>
    <w:rsid w:val="00E77E62"/>
    <w:pPr>
      <w:framePr w:hSpace="181" w:wrap="around" w:hAnchor="margin" w:x="109" w:y="182"/>
      <w:spacing w:before="40" w:after="120" w:line="240" w:lineRule="atLeast"/>
      <w:ind w:left="113"/>
    </w:pPr>
    <w:rPr>
      <w:rFonts w:eastAsiaTheme="minorEastAsia" w:cstheme="minorBidi"/>
      <w:b/>
      <w:caps/>
      <w:color w:val="00338D"/>
      <w:sz w:val="18"/>
      <w:szCs w:val="24"/>
      <w:lang w:val="en-AU" w:eastAsia="en-US"/>
    </w:rPr>
  </w:style>
  <w:style w:type="paragraph" w:customStyle="1" w:styleId="Sidebartext">
    <w:name w:val="Sidebar text"/>
    <w:basedOn w:val="Sidebarheading"/>
    <w:qFormat/>
    <w:rsid w:val="00E77E62"/>
    <w:pPr>
      <w:framePr w:wrap="around"/>
    </w:pPr>
    <w:rPr>
      <w:b w:val="0"/>
      <w:caps w:val="0"/>
      <w:color w:val="auto"/>
    </w:rPr>
  </w:style>
  <w:style w:type="paragraph" w:customStyle="1" w:styleId="Sidebarbullet">
    <w:name w:val="Sidebar bullet"/>
    <w:basedOn w:val="Sidebartext"/>
    <w:qFormat/>
    <w:rsid w:val="00E77E62"/>
    <w:pPr>
      <w:framePr w:wrap="around"/>
      <w:numPr>
        <w:numId w:val="37"/>
      </w:numPr>
      <w:spacing w:after="60"/>
    </w:pPr>
  </w:style>
  <w:style w:type="paragraph" w:styleId="PlainText">
    <w:name w:val="Plain Text"/>
    <w:basedOn w:val="Normal"/>
    <w:link w:val="PlainTextChar"/>
    <w:uiPriority w:val="99"/>
    <w:semiHidden/>
    <w:rsid w:val="00E77E62"/>
    <w:pPr>
      <w:spacing w:after="0" w:line="240" w:lineRule="auto"/>
    </w:pPr>
    <w:rPr>
      <w:rFonts w:ascii="Consolas" w:eastAsiaTheme="minorEastAsia" w:hAnsi="Consolas" w:cs="Consolas"/>
      <w:sz w:val="21"/>
      <w:szCs w:val="21"/>
      <w:lang w:val="en-AU" w:eastAsia="en-US"/>
    </w:rPr>
  </w:style>
  <w:style w:type="character" w:customStyle="1" w:styleId="PlainTextChar">
    <w:name w:val="Plain Text Char"/>
    <w:basedOn w:val="DefaultParagraphFont"/>
    <w:link w:val="PlainText"/>
    <w:uiPriority w:val="99"/>
    <w:semiHidden/>
    <w:rsid w:val="00E77E62"/>
    <w:rPr>
      <w:rFonts w:ascii="Consolas" w:eastAsiaTheme="minorEastAsia" w:hAnsi="Consolas" w:cs="Consolas"/>
      <w:sz w:val="21"/>
      <w:szCs w:val="21"/>
      <w:lang w:eastAsia="en-US"/>
    </w:rPr>
  </w:style>
  <w:style w:type="paragraph" w:styleId="Quote">
    <w:name w:val="Quote"/>
    <w:basedOn w:val="Normal"/>
    <w:next w:val="Normal"/>
    <w:link w:val="QuoteChar"/>
    <w:uiPriority w:val="29"/>
    <w:rsid w:val="00E77E62"/>
    <w:pPr>
      <w:spacing w:after="220" w:line="240" w:lineRule="atLeast"/>
    </w:pPr>
    <w:rPr>
      <w:rFonts w:eastAsiaTheme="minorEastAsia" w:cstheme="minorBidi"/>
      <w:i/>
      <w:iCs/>
      <w:color w:val="00338D"/>
      <w:szCs w:val="24"/>
      <w:lang w:val="en-AU" w:eastAsia="en-US"/>
    </w:rPr>
  </w:style>
  <w:style w:type="character" w:customStyle="1" w:styleId="QuoteChar">
    <w:name w:val="Quote Char"/>
    <w:basedOn w:val="DefaultParagraphFont"/>
    <w:link w:val="Quote"/>
    <w:uiPriority w:val="29"/>
    <w:rsid w:val="00E77E62"/>
    <w:rPr>
      <w:rFonts w:ascii="Arial" w:eastAsiaTheme="minorEastAsia" w:hAnsi="Arial" w:cstheme="minorBidi"/>
      <w:i/>
      <w:iCs/>
      <w:color w:val="00338D"/>
      <w:szCs w:val="24"/>
      <w:lang w:eastAsia="en-US"/>
    </w:rPr>
  </w:style>
  <w:style w:type="paragraph" w:styleId="Salutation">
    <w:name w:val="Salutation"/>
    <w:basedOn w:val="Normal"/>
    <w:next w:val="Normal"/>
    <w:link w:val="SalutationChar"/>
    <w:uiPriority w:val="99"/>
    <w:rsid w:val="00E77E62"/>
    <w:pPr>
      <w:spacing w:after="220" w:line="240" w:lineRule="atLeast"/>
    </w:pPr>
    <w:rPr>
      <w:rFonts w:eastAsiaTheme="minorEastAsia" w:cstheme="minorBidi"/>
      <w:szCs w:val="24"/>
      <w:lang w:val="en-AU" w:eastAsia="en-US"/>
    </w:rPr>
  </w:style>
  <w:style w:type="character" w:customStyle="1" w:styleId="SalutationChar">
    <w:name w:val="Salutation Char"/>
    <w:basedOn w:val="DefaultParagraphFont"/>
    <w:link w:val="Salutation"/>
    <w:uiPriority w:val="99"/>
    <w:rsid w:val="00E77E62"/>
    <w:rPr>
      <w:rFonts w:ascii="Arial" w:eastAsiaTheme="minorEastAsia" w:hAnsi="Arial" w:cstheme="minorBidi"/>
      <w:szCs w:val="24"/>
      <w:lang w:eastAsia="en-US"/>
    </w:rPr>
  </w:style>
  <w:style w:type="paragraph" w:styleId="Signature">
    <w:name w:val="Signature"/>
    <w:basedOn w:val="Normal"/>
    <w:link w:val="SignatureChar"/>
    <w:uiPriority w:val="99"/>
    <w:semiHidden/>
    <w:rsid w:val="00E77E62"/>
    <w:pPr>
      <w:spacing w:after="0" w:line="240" w:lineRule="auto"/>
      <w:ind w:left="4252"/>
    </w:pPr>
    <w:rPr>
      <w:rFonts w:eastAsiaTheme="minorEastAsia" w:cstheme="minorBidi"/>
      <w:szCs w:val="24"/>
      <w:lang w:val="en-AU" w:eastAsia="en-US"/>
    </w:rPr>
  </w:style>
  <w:style w:type="character" w:customStyle="1" w:styleId="SignatureChar">
    <w:name w:val="Signature Char"/>
    <w:basedOn w:val="DefaultParagraphFont"/>
    <w:link w:val="Signature"/>
    <w:uiPriority w:val="99"/>
    <w:semiHidden/>
    <w:rsid w:val="00E77E62"/>
    <w:rPr>
      <w:rFonts w:ascii="Arial" w:eastAsiaTheme="minorEastAsia" w:hAnsi="Arial" w:cstheme="minorBidi"/>
      <w:szCs w:val="24"/>
      <w:lang w:eastAsia="en-US"/>
    </w:rPr>
  </w:style>
  <w:style w:type="paragraph" w:customStyle="1" w:styleId="Style">
    <w:name w:val="Style"/>
    <w:basedOn w:val="Para0"/>
    <w:rsid w:val="00E77E62"/>
    <w:rPr>
      <w:color w:val="597AB5"/>
    </w:rPr>
  </w:style>
  <w:style w:type="paragraph" w:styleId="Subtitle">
    <w:name w:val="Subtitle"/>
    <w:basedOn w:val="Normal"/>
    <w:next w:val="Normal"/>
    <w:link w:val="SubtitleChar"/>
    <w:uiPriority w:val="11"/>
    <w:rsid w:val="00E77E62"/>
    <w:pPr>
      <w:numPr>
        <w:ilvl w:val="1"/>
      </w:numPr>
      <w:spacing w:after="220" w:line="240" w:lineRule="atLeast"/>
    </w:pPr>
    <w:rPr>
      <w:rFonts w:asciiTheme="majorHAnsi" w:eastAsiaTheme="majorEastAsia" w:hAnsiTheme="majorHAnsi" w:cstheme="majorBidi"/>
      <w:i/>
      <w:iCs/>
      <w:color w:val="665A58" w:themeColor="accent1"/>
      <w:spacing w:val="15"/>
      <w:sz w:val="24"/>
      <w:szCs w:val="24"/>
      <w:lang w:val="en-AU" w:eastAsia="en-US"/>
    </w:rPr>
  </w:style>
  <w:style w:type="character" w:customStyle="1" w:styleId="SubtitleChar">
    <w:name w:val="Subtitle Char"/>
    <w:basedOn w:val="DefaultParagraphFont"/>
    <w:link w:val="Subtitle"/>
    <w:uiPriority w:val="11"/>
    <w:rsid w:val="00E77E62"/>
    <w:rPr>
      <w:rFonts w:asciiTheme="majorHAnsi" w:eastAsiaTheme="majorEastAsia" w:hAnsiTheme="majorHAnsi" w:cstheme="majorBidi"/>
      <w:i/>
      <w:iCs/>
      <w:color w:val="665A58" w:themeColor="accent1"/>
      <w:spacing w:val="15"/>
      <w:sz w:val="24"/>
      <w:szCs w:val="24"/>
      <w:lang w:eastAsia="en-US"/>
    </w:rPr>
  </w:style>
  <w:style w:type="character" w:styleId="SubtleEmphasis">
    <w:name w:val="Subtle Emphasis"/>
    <w:basedOn w:val="DefaultParagraphFont"/>
    <w:uiPriority w:val="19"/>
    <w:rsid w:val="00E77E62"/>
    <w:rPr>
      <w:i/>
      <w:iCs/>
      <w:color w:val="4CB5FF" w:themeColor="text1" w:themeTint="7F"/>
    </w:rPr>
  </w:style>
  <w:style w:type="character" w:styleId="SubtleReference">
    <w:name w:val="Subtle Reference"/>
    <w:basedOn w:val="DefaultParagraphFont"/>
    <w:uiPriority w:val="31"/>
    <w:rsid w:val="00E77E62"/>
    <w:rPr>
      <w:smallCaps/>
      <w:color w:val="C7BEBD" w:themeColor="accent2"/>
      <w:u w:val="single"/>
    </w:rPr>
  </w:style>
  <w:style w:type="paragraph" w:styleId="TableofAuthorities">
    <w:name w:val="table of authorities"/>
    <w:basedOn w:val="Normal"/>
    <w:next w:val="Normal"/>
    <w:uiPriority w:val="99"/>
    <w:semiHidden/>
    <w:rsid w:val="00E77E62"/>
    <w:pPr>
      <w:spacing w:after="0" w:line="240" w:lineRule="atLeast"/>
      <w:ind w:left="200" w:hanging="200"/>
    </w:pPr>
    <w:rPr>
      <w:rFonts w:eastAsiaTheme="minorEastAsia" w:cstheme="minorBidi"/>
      <w:szCs w:val="24"/>
      <w:lang w:val="en-AU" w:eastAsia="en-US"/>
    </w:rPr>
  </w:style>
  <w:style w:type="paragraph" w:styleId="TableofFigures">
    <w:name w:val="table of figures"/>
    <w:basedOn w:val="Normal"/>
    <w:next w:val="Normal"/>
    <w:uiPriority w:val="99"/>
    <w:rsid w:val="00E77E62"/>
    <w:pPr>
      <w:spacing w:after="0" w:line="240" w:lineRule="atLeast"/>
    </w:pPr>
    <w:rPr>
      <w:rFonts w:eastAsiaTheme="minorEastAsia" w:cstheme="minorBidi"/>
      <w:szCs w:val="24"/>
      <w:lang w:val="en-AU" w:eastAsia="en-US"/>
    </w:rPr>
  </w:style>
  <w:style w:type="paragraph" w:styleId="Title">
    <w:name w:val="Title"/>
    <w:basedOn w:val="Normal"/>
    <w:next w:val="Normal"/>
    <w:link w:val="TitleChar"/>
    <w:uiPriority w:val="10"/>
    <w:rsid w:val="00E77E62"/>
    <w:pPr>
      <w:pBdr>
        <w:bottom w:val="single" w:sz="8" w:space="4" w:color="665A58" w:themeColor="accent1"/>
      </w:pBdr>
      <w:spacing w:after="300" w:line="240" w:lineRule="auto"/>
      <w:contextualSpacing/>
    </w:pPr>
    <w:rPr>
      <w:rFonts w:asciiTheme="majorHAnsi" w:eastAsiaTheme="majorEastAsia" w:hAnsiTheme="majorHAnsi" w:cstheme="majorBidi"/>
      <w:color w:val="819021" w:themeColor="text2" w:themeShade="BF"/>
      <w:spacing w:val="5"/>
      <w:kern w:val="28"/>
      <w:sz w:val="52"/>
      <w:szCs w:val="52"/>
      <w:lang w:val="en-AU" w:eastAsia="en-US"/>
    </w:rPr>
  </w:style>
  <w:style w:type="character" w:customStyle="1" w:styleId="TitleChar">
    <w:name w:val="Title Char"/>
    <w:basedOn w:val="DefaultParagraphFont"/>
    <w:link w:val="Title"/>
    <w:uiPriority w:val="10"/>
    <w:rsid w:val="00E77E62"/>
    <w:rPr>
      <w:rFonts w:asciiTheme="majorHAnsi" w:eastAsiaTheme="majorEastAsia" w:hAnsiTheme="majorHAnsi" w:cstheme="majorBidi"/>
      <w:color w:val="819021" w:themeColor="text2" w:themeShade="BF"/>
      <w:spacing w:val="5"/>
      <w:kern w:val="28"/>
      <w:sz w:val="52"/>
      <w:szCs w:val="52"/>
      <w:lang w:eastAsia="en-US"/>
    </w:rPr>
  </w:style>
  <w:style w:type="paragraph" w:styleId="TOAHeading">
    <w:name w:val="toa heading"/>
    <w:basedOn w:val="Normal"/>
    <w:next w:val="Normal"/>
    <w:uiPriority w:val="99"/>
    <w:semiHidden/>
    <w:rsid w:val="00E77E62"/>
    <w:pPr>
      <w:spacing w:before="120" w:after="220" w:line="240" w:lineRule="atLeast"/>
    </w:pPr>
    <w:rPr>
      <w:rFonts w:asciiTheme="majorHAnsi" w:eastAsiaTheme="majorEastAsia" w:hAnsiTheme="majorHAnsi" w:cstheme="majorBidi"/>
      <w:b/>
      <w:bCs/>
      <w:sz w:val="24"/>
      <w:szCs w:val="24"/>
      <w:lang w:val="en-AU" w:eastAsia="en-US"/>
    </w:rPr>
  </w:style>
  <w:style w:type="paragraph" w:customStyle="1" w:styleId="EmptyHeader">
    <w:name w:val="Empty Header"/>
    <w:basedOn w:val="Header"/>
    <w:rsid w:val="00E77E62"/>
    <w:pPr>
      <w:tabs>
        <w:tab w:val="clear" w:pos="4153"/>
        <w:tab w:val="clear" w:pos="8306"/>
      </w:tabs>
      <w:spacing w:after="0" w:line="20" w:lineRule="exact"/>
      <w:ind w:left="227"/>
    </w:pPr>
    <w:rPr>
      <w:rFonts w:ascii="Arial Black" w:eastAsiaTheme="minorEastAsia" w:hAnsi="Arial Black" w:cstheme="minorBidi"/>
      <w:color w:val="999999"/>
      <w:sz w:val="2"/>
      <w:szCs w:val="24"/>
      <w:lang w:val="en-AU" w:eastAsia="en-US"/>
    </w:rPr>
  </w:style>
  <w:style w:type="paragraph" w:customStyle="1" w:styleId="figurereturn">
    <w:name w:val="figure return"/>
    <w:basedOn w:val="Normal"/>
    <w:qFormat/>
    <w:rsid w:val="00A61A54"/>
    <w:pPr>
      <w:spacing w:after="0"/>
      <w:jc w:val="center"/>
    </w:pPr>
    <w:rPr>
      <w:noProof/>
      <w:lang w:val="en-AU"/>
    </w:rPr>
  </w:style>
  <w:style w:type="paragraph" w:customStyle="1" w:styleId="reportseriesheader">
    <w:name w:val="report series header"/>
    <w:basedOn w:val="Reportseriestitleinsidepages"/>
    <w:qFormat/>
    <w:rsid w:val="00960250"/>
    <w:pPr>
      <w:spacing w:before="300"/>
    </w:pPr>
    <w:rPr>
      <w:color w:val="7F7F7F"/>
    </w:rPr>
  </w:style>
  <w:style w:type="paragraph" w:customStyle="1" w:styleId="H2green">
    <w:name w:val="H2 green"/>
    <w:basedOn w:val="Normal"/>
    <w:qFormat/>
    <w:rsid w:val="00D0375F"/>
    <w:pPr>
      <w:keepNext/>
      <w:tabs>
        <w:tab w:val="left" w:pos="720"/>
      </w:tabs>
      <w:spacing w:before="120" w:after="60" w:line="320" w:lineRule="atLeast"/>
      <w:outlineLvl w:val="1"/>
    </w:pPr>
    <w:rPr>
      <w:rFonts w:cs="Arial"/>
      <w:bCs/>
      <w:iCs/>
      <w:color w:val="AEC12D"/>
      <w:sz w:val="32"/>
      <w:szCs w:val="28"/>
    </w:rPr>
  </w:style>
  <w:style w:type="paragraph" w:customStyle="1" w:styleId="B110after">
    <w:name w:val="B1 10 after"/>
    <w:basedOn w:val="Bullet1"/>
    <w:qFormat/>
    <w:rsid w:val="00A659A8"/>
    <w:pPr>
      <w:numPr>
        <w:numId w:val="2"/>
      </w:numPr>
      <w:tabs>
        <w:tab w:val="num" w:pos="426"/>
      </w:tabs>
      <w:spacing w:after="200"/>
      <w:ind w:left="426" w:hanging="426"/>
    </w:pPr>
    <w:rPr>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11215159">
      <w:bodyDiv w:val="1"/>
      <w:marLeft w:val="0"/>
      <w:marRight w:val="0"/>
      <w:marTop w:val="0"/>
      <w:marBottom w:val="0"/>
      <w:divBdr>
        <w:top w:val="none" w:sz="0" w:space="0" w:color="auto"/>
        <w:left w:val="none" w:sz="0" w:space="0" w:color="auto"/>
        <w:bottom w:val="none" w:sz="0" w:space="0" w:color="auto"/>
        <w:right w:val="none" w:sz="0" w:space="0" w:color="auto"/>
      </w:divBdr>
      <w:divsChild>
        <w:div w:id="326594697">
          <w:marLeft w:val="0"/>
          <w:marRight w:val="0"/>
          <w:marTop w:val="0"/>
          <w:marBottom w:val="0"/>
          <w:divBdr>
            <w:top w:val="none" w:sz="0" w:space="0" w:color="auto"/>
            <w:left w:val="none" w:sz="0" w:space="0" w:color="auto"/>
            <w:bottom w:val="none" w:sz="0" w:space="0" w:color="auto"/>
            <w:right w:val="none" w:sz="0" w:space="0" w:color="auto"/>
          </w:divBdr>
          <w:divsChild>
            <w:div w:id="32461480">
              <w:marLeft w:val="0"/>
              <w:marRight w:val="0"/>
              <w:marTop w:val="0"/>
              <w:marBottom w:val="0"/>
              <w:divBdr>
                <w:top w:val="none" w:sz="0" w:space="0" w:color="auto"/>
                <w:left w:val="none" w:sz="0" w:space="0" w:color="auto"/>
                <w:bottom w:val="none" w:sz="0" w:space="0" w:color="auto"/>
                <w:right w:val="none" w:sz="0" w:space="0" w:color="auto"/>
              </w:divBdr>
              <w:divsChild>
                <w:div w:id="74595906">
                  <w:marLeft w:val="0"/>
                  <w:marRight w:val="0"/>
                  <w:marTop w:val="0"/>
                  <w:marBottom w:val="0"/>
                  <w:divBdr>
                    <w:top w:val="none" w:sz="0" w:space="0" w:color="auto"/>
                    <w:left w:val="none" w:sz="0" w:space="0" w:color="auto"/>
                    <w:bottom w:val="none" w:sz="0" w:space="0" w:color="auto"/>
                    <w:right w:val="none" w:sz="0" w:space="0" w:color="auto"/>
                  </w:divBdr>
                  <w:divsChild>
                    <w:div w:id="489253772">
                      <w:marLeft w:val="0"/>
                      <w:marRight w:val="0"/>
                      <w:marTop w:val="0"/>
                      <w:marBottom w:val="450"/>
                      <w:divBdr>
                        <w:top w:val="none" w:sz="0" w:space="0" w:color="auto"/>
                        <w:left w:val="none" w:sz="0" w:space="0" w:color="auto"/>
                        <w:bottom w:val="none" w:sz="0" w:space="0" w:color="auto"/>
                        <w:right w:val="none" w:sz="0" w:space="0" w:color="auto"/>
                      </w:divBdr>
                      <w:divsChild>
                        <w:div w:id="2118206753">
                          <w:marLeft w:val="1"/>
                          <w:marRight w:val="1"/>
                          <w:marTop w:val="0"/>
                          <w:marBottom w:val="0"/>
                          <w:divBdr>
                            <w:top w:val="none" w:sz="0" w:space="0" w:color="auto"/>
                            <w:left w:val="none" w:sz="0" w:space="0" w:color="auto"/>
                            <w:bottom w:val="none" w:sz="0" w:space="0" w:color="auto"/>
                            <w:right w:val="none" w:sz="0" w:space="0" w:color="auto"/>
                          </w:divBdr>
                          <w:divsChild>
                            <w:div w:id="1472016100">
                              <w:marLeft w:val="0"/>
                              <w:marRight w:val="0"/>
                              <w:marTop w:val="0"/>
                              <w:marBottom w:val="0"/>
                              <w:divBdr>
                                <w:top w:val="none" w:sz="0" w:space="0" w:color="auto"/>
                                <w:left w:val="none" w:sz="0" w:space="0" w:color="auto"/>
                                <w:bottom w:val="none" w:sz="0" w:space="0" w:color="auto"/>
                                <w:right w:val="none" w:sz="0" w:space="0" w:color="auto"/>
                              </w:divBdr>
                              <w:divsChild>
                                <w:div w:id="143381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hyperlink" Target="http://dbforms.ga.gov.au/www/npm.well.search" TargetMode="External"/><Relationship Id="rId42" Type="http://schemas.openxmlformats.org/officeDocument/2006/relationships/image" Target="media/image20.png"/><Relationship Id="rId47" Type="http://schemas.openxmlformats.org/officeDocument/2006/relationships/image" Target="media/image22.emf"/><Relationship Id="rId63" Type="http://schemas.openxmlformats.org/officeDocument/2006/relationships/image" Target="media/image33.emf"/><Relationship Id="rId68" Type="http://schemas.openxmlformats.org/officeDocument/2006/relationships/image" Target="media/image38.emf"/><Relationship Id="rId84" Type="http://schemas.openxmlformats.org/officeDocument/2006/relationships/image" Target="media/image54.emf"/><Relationship Id="rId89" Type="http://schemas.openxmlformats.org/officeDocument/2006/relationships/image" Target="media/image59.emf"/><Relationship Id="rId7" Type="http://schemas.openxmlformats.org/officeDocument/2006/relationships/settings" Target="settings.xml"/><Relationship Id="rId71" Type="http://schemas.openxmlformats.org/officeDocument/2006/relationships/image" Target="media/image41.emf"/><Relationship Id="rId92" Type="http://schemas.openxmlformats.org/officeDocument/2006/relationships/image" Target="media/image62.emf"/><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eader" Target="header7.xml"/><Relationship Id="rId107" Type="http://schemas.openxmlformats.org/officeDocument/2006/relationships/theme" Target="theme/theme1.xml"/><Relationship Id="rId11" Type="http://schemas.openxmlformats.org/officeDocument/2006/relationships/header" Target="header1.xml"/><Relationship Id="rId24" Type="http://schemas.openxmlformats.org/officeDocument/2006/relationships/image" Target="media/image5.png"/><Relationship Id="rId32" Type="http://schemas.openxmlformats.org/officeDocument/2006/relationships/image" Target="media/image10.png"/><Relationship Id="rId37" Type="http://schemas.openxmlformats.org/officeDocument/2006/relationships/image" Target="media/image15.emf"/><Relationship Id="rId40" Type="http://schemas.openxmlformats.org/officeDocument/2006/relationships/image" Target="media/image18.emf"/><Relationship Id="rId45" Type="http://schemas.openxmlformats.org/officeDocument/2006/relationships/image" Target="media/image21.emf"/><Relationship Id="rId53" Type="http://schemas.openxmlformats.org/officeDocument/2006/relationships/footer" Target="footer7.xml"/><Relationship Id="rId58" Type="http://schemas.openxmlformats.org/officeDocument/2006/relationships/image" Target="media/image28.jpeg"/><Relationship Id="rId66" Type="http://schemas.openxmlformats.org/officeDocument/2006/relationships/image" Target="media/image36.emf"/><Relationship Id="rId74" Type="http://schemas.openxmlformats.org/officeDocument/2006/relationships/image" Target="media/image44.emf"/><Relationship Id="rId79" Type="http://schemas.openxmlformats.org/officeDocument/2006/relationships/image" Target="media/image49.emf"/><Relationship Id="rId87" Type="http://schemas.openxmlformats.org/officeDocument/2006/relationships/image" Target="media/image57.emf"/><Relationship Id="rId102" Type="http://schemas.openxmlformats.org/officeDocument/2006/relationships/header" Target="header16.xml"/><Relationship Id="rId5" Type="http://schemas.openxmlformats.org/officeDocument/2006/relationships/numbering" Target="numbering.xml"/><Relationship Id="rId61" Type="http://schemas.openxmlformats.org/officeDocument/2006/relationships/image" Target="media/image31.jpeg"/><Relationship Id="rId82" Type="http://schemas.openxmlformats.org/officeDocument/2006/relationships/image" Target="media/image52.emf"/><Relationship Id="rId90" Type="http://schemas.openxmlformats.org/officeDocument/2006/relationships/image" Target="media/image60.emf"/><Relationship Id="rId95" Type="http://schemas.openxmlformats.org/officeDocument/2006/relationships/image" Target="media/image65.emf"/><Relationship Id="rId19" Type="http://schemas.openxmlformats.org/officeDocument/2006/relationships/footer" Target="footer5.xml"/><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7.emf"/><Relationship Id="rId30" Type="http://schemas.openxmlformats.org/officeDocument/2006/relationships/header" Target="header8.xml"/><Relationship Id="rId35" Type="http://schemas.openxmlformats.org/officeDocument/2006/relationships/image" Target="media/image13.emf"/><Relationship Id="rId43" Type="http://schemas.openxmlformats.org/officeDocument/2006/relationships/header" Target="header9.xml"/><Relationship Id="rId48" Type="http://schemas.openxmlformats.org/officeDocument/2006/relationships/image" Target="media/image23.JPG"/><Relationship Id="rId56" Type="http://schemas.openxmlformats.org/officeDocument/2006/relationships/header" Target="header15.xml"/><Relationship Id="rId64" Type="http://schemas.openxmlformats.org/officeDocument/2006/relationships/image" Target="media/image34.emf"/><Relationship Id="rId69" Type="http://schemas.openxmlformats.org/officeDocument/2006/relationships/image" Target="media/image39.emf"/><Relationship Id="rId77" Type="http://schemas.openxmlformats.org/officeDocument/2006/relationships/image" Target="media/image47.emf"/><Relationship Id="rId100" Type="http://schemas.openxmlformats.org/officeDocument/2006/relationships/hyperlink" Target="http://www.relayservice.com.au" TargetMode="External"/><Relationship Id="rId105" Type="http://schemas.openxmlformats.org/officeDocument/2006/relationships/footer" Target="footer9.xml"/><Relationship Id="rId8" Type="http://schemas.openxmlformats.org/officeDocument/2006/relationships/webSettings" Target="webSettings.xml"/><Relationship Id="rId51" Type="http://schemas.openxmlformats.org/officeDocument/2006/relationships/footer" Target="footer6.xml"/><Relationship Id="rId72" Type="http://schemas.openxmlformats.org/officeDocument/2006/relationships/image" Target="media/image42.emf"/><Relationship Id="rId80" Type="http://schemas.openxmlformats.org/officeDocument/2006/relationships/image" Target="media/image50.emf"/><Relationship Id="rId85" Type="http://schemas.openxmlformats.org/officeDocument/2006/relationships/image" Target="media/image55.emf"/><Relationship Id="rId93" Type="http://schemas.openxmlformats.org/officeDocument/2006/relationships/image" Target="media/image63.emf"/><Relationship Id="rId98" Type="http://schemas.openxmlformats.org/officeDocument/2006/relationships/hyperlink" Target="http://creativecommons.org/licenses/by/4.0/"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eader" Target="header6.xml"/><Relationship Id="rId33" Type="http://schemas.openxmlformats.org/officeDocument/2006/relationships/image" Target="media/image11.png"/><Relationship Id="rId38" Type="http://schemas.openxmlformats.org/officeDocument/2006/relationships/image" Target="media/image16.emf"/><Relationship Id="rId46" Type="http://schemas.openxmlformats.org/officeDocument/2006/relationships/header" Target="header11.xml"/><Relationship Id="rId59" Type="http://schemas.openxmlformats.org/officeDocument/2006/relationships/image" Target="media/image29.jpeg"/><Relationship Id="rId67" Type="http://schemas.openxmlformats.org/officeDocument/2006/relationships/image" Target="media/image37.emf"/><Relationship Id="rId103" Type="http://schemas.openxmlformats.org/officeDocument/2006/relationships/footer" Target="footer8.xml"/><Relationship Id="rId20" Type="http://schemas.openxmlformats.org/officeDocument/2006/relationships/image" Target="media/image3.png"/><Relationship Id="rId41" Type="http://schemas.openxmlformats.org/officeDocument/2006/relationships/image" Target="media/image19.emf"/><Relationship Id="rId54" Type="http://schemas.openxmlformats.org/officeDocument/2006/relationships/header" Target="header14.xml"/><Relationship Id="rId62" Type="http://schemas.openxmlformats.org/officeDocument/2006/relationships/image" Target="media/image32.png"/><Relationship Id="rId70" Type="http://schemas.openxmlformats.org/officeDocument/2006/relationships/image" Target="media/image40.emf"/><Relationship Id="rId75" Type="http://schemas.openxmlformats.org/officeDocument/2006/relationships/image" Target="media/image45.emf"/><Relationship Id="rId83" Type="http://schemas.openxmlformats.org/officeDocument/2006/relationships/image" Target="media/image53.emf"/><Relationship Id="rId88" Type="http://schemas.openxmlformats.org/officeDocument/2006/relationships/image" Target="media/image58.emf"/><Relationship Id="rId91" Type="http://schemas.openxmlformats.org/officeDocument/2006/relationships/image" Target="media/image61.emf"/><Relationship Id="rId96"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header" Target="header5.xml"/><Relationship Id="rId28" Type="http://schemas.openxmlformats.org/officeDocument/2006/relationships/image" Target="media/image8.emf"/><Relationship Id="rId36" Type="http://schemas.openxmlformats.org/officeDocument/2006/relationships/image" Target="media/image14.emf"/><Relationship Id="rId49" Type="http://schemas.openxmlformats.org/officeDocument/2006/relationships/image" Target="media/image24.JPG"/><Relationship Id="rId57" Type="http://schemas.openxmlformats.org/officeDocument/2006/relationships/image" Target="media/image27.png"/><Relationship Id="rId106"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9.png"/><Relationship Id="rId44" Type="http://schemas.openxmlformats.org/officeDocument/2006/relationships/header" Target="header10.xml"/><Relationship Id="rId52" Type="http://schemas.openxmlformats.org/officeDocument/2006/relationships/header" Target="header13.xml"/><Relationship Id="rId60" Type="http://schemas.openxmlformats.org/officeDocument/2006/relationships/image" Target="media/image30.jpeg"/><Relationship Id="rId65" Type="http://schemas.openxmlformats.org/officeDocument/2006/relationships/image" Target="media/image35.emf"/><Relationship Id="rId73" Type="http://schemas.openxmlformats.org/officeDocument/2006/relationships/image" Target="media/image43.emf"/><Relationship Id="rId78" Type="http://schemas.openxmlformats.org/officeDocument/2006/relationships/image" Target="media/image48.emf"/><Relationship Id="rId81" Type="http://schemas.openxmlformats.org/officeDocument/2006/relationships/image" Target="media/image51.emf"/><Relationship Id="rId86" Type="http://schemas.openxmlformats.org/officeDocument/2006/relationships/image" Target="media/image56.emf"/><Relationship Id="rId94" Type="http://schemas.openxmlformats.org/officeDocument/2006/relationships/image" Target="media/image64.emf"/><Relationship Id="rId99" Type="http://schemas.openxmlformats.org/officeDocument/2006/relationships/hyperlink" Target="mailto:customer.service@delwp.vic.gov.au" TargetMode="External"/><Relationship Id="rId101" Type="http://schemas.openxmlformats.org/officeDocument/2006/relationships/hyperlink" Target="http://www.onshoregas.vic.gov.au/"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header" Target="header12.xml"/><Relationship Id="rId55" Type="http://schemas.openxmlformats.org/officeDocument/2006/relationships/image" Target="media/image26.png"/><Relationship Id="rId76" Type="http://schemas.openxmlformats.org/officeDocument/2006/relationships/image" Target="media/image46.emf"/><Relationship Id="rId97" Type="http://schemas.openxmlformats.org/officeDocument/2006/relationships/hyperlink" Target="http://creativecommons.org/licenses/by/4.0/" TargetMode="External"/><Relationship Id="rId104" Type="http://schemas.openxmlformats.org/officeDocument/2006/relationships/header" Target="header17.xml"/></Relationships>
</file>

<file path=word/_rels/footer1.xml.rels><?xml version="1.0" encoding="UTF-8" standalone="yes"?>
<Relationships xmlns="http://schemas.openxmlformats.org/package/2006/relationships"><Relationship Id="rId1" Type="http://schemas.openxmlformats.org/officeDocument/2006/relationships/image" Target="media/image1.jpeg"/></Relationships>
</file>

<file path=word/_rels/footer2.xml.rels><?xml version="1.0" encoding="UTF-8" standalone="yes"?>
<Relationships xmlns="http://schemas.openxmlformats.org/package/2006/relationships"><Relationship Id="rId1" Type="http://schemas.openxmlformats.org/officeDocument/2006/relationships/image" Target="media/image2.jpg"/></Relationships>
</file>

<file path=word/_rels/header13.xml.rels><?xml version="1.0" encoding="UTF-8" standalone="yes"?>
<Relationships xmlns="http://schemas.openxmlformats.org/package/2006/relationships"><Relationship Id="rId1" Type="http://schemas.openxmlformats.org/officeDocument/2006/relationships/image" Target="media/image25.jpg"/></Relationships>
</file>

<file path=word/theme/theme1.xml><?xml version="1.0" encoding="utf-8"?>
<a:theme xmlns:a="http://schemas.openxmlformats.org/drawingml/2006/main" name="Office Theme">
  <a:themeElements>
    <a:clrScheme name="WSS colour palette">
      <a:dk1>
        <a:srgbClr val="005A97"/>
      </a:dk1>
      <a:lt1>
        <a:srgbClr val="ADD1EB"/>
      </a:lt1>
      <a:dk2>
        <a:srgbClr val="AEC12D"/>
      </a:dk2>
      <a:lt2>
        <a:srgbClr val="D5E17F"/>
      </a:lt2>
      <a:accent1>
        <a:srgbClr val="665A58"/>
      </a:accent1>
      <a:accent2>
        <a:srgbClr val="C7BEBD"/>
      </a:accent2>
      <a:accent3>
        <a:srgbClr val="3F3F3F"/>
      </a:accent3>
      <a:accent4>
        <a:srgbClr val="7F7F7F"/>
      </a:accent4>
      <a:accent5>
        <a:srgbClr val="000000"/>
      </a:accent5>
      <a:accent6>
        <a:srgbClr val="CDCDCD"/>
      </a:accent6>
      <a:hlink>
        <a:srgbClr val="FFFFFF"/>
      </a:hlink>
      <a:folHlink>
        <a:srgbClr val="FFFFFF"/>
      </a:folHlink>
    </a:clrScheme>
    <a:fontScheme name="WoVG">
      <a:majorFont>
        <a:latin typeface="Cambria"/>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MCALTDocNo xmlns="$ListId:ExtranetStagingLibrary;" xsi:nil="true"/>
    <DMCASKMDocumentTitle xmlns="46d34be3-b1cf-4620-9e2c-f7b2904d8528" xsi:nil="true"/>
    <DMCATransmittalNumber xmlns="$ListId:ExtranetStagingLibrary;" xsi:nil="true"/>
    <DMCANotes xmlns="$ListId:ExtranetStagingLibrary;"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A8770122668C8469186463C2E5F9B8D" ma:contentTypeVersion="" ma:contentTypeDescription="Create a new document." ma:contentTypeScope="" ma:versionID="da487dc2af786b5a748960d7dbb851bd">
  <xsd:schema xmlns:xsd="http://www.w3.org/2001/XMLSchema" xmlns:xs="http://www.w3.org/2001/XMLSchema" xmlns:p="http://schemas.microsoft.com/office/2006/metadata/properties" xmlns:ns2="46d34be3-b1cf-4620-9e2c-f7b2904d8528" xmlns:ns3="$ListId:ExtranetStagingLibrary;" targetNamespace="http://schemas.microsoft.com/office/2006/metadata/properties" ma:root="true" ma:fieldsID="1a8ee62289adee376d32fa431a34a108" ns2:_="" ns3:_="">
    <xsd:import namespace="46d34be3-b1cf-4620-9e2c-f7b2904d8528"/>
    <xsd:import namespace="$ListId:ExtranetStagingLibrary;"/>
    <xsd:element name="properties">
      <xsd:complexType>
        <xsd:sequence>
          <xsd:element name="documentManagement">
            <xsd:complexType>
              <xsd:all>
                <xsd:element ref="ns2:DMCASKMDocumentTitle" minOccurs="0"/>
                <xsd:element ref="ns3:DMCALTDocNo" minOccurs="0"/>
                <xsd:element ref="ns3:DMCANotes" minOccurs="0"/>
                <xsd:element ref="ns3:DMCATransmittal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d34be3-b1cf-4620-9e2c-f7b2904d8528" elementFormDefault="qualified">
    <xsd:import namespace="http://schemas.microsoft.com/office/2006/documentManagement/types"/>
    <xsd:import namespace="http://schemas.microsoft.com/office/infopath/2007/PartnerControls"/>
    <xsd:element name="DMCASKMDocumentTitle" ma:index="1" nillable="true" ma:displayName="SKM Document Title" ma:internalName="DMCASKMDocumentTitl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ListId:ExtranetStagingLibrary;" elementFormDefault="qualified">
    <xsd:import namespace="http://schemas.microsoft.com/office/2006/documentManagement/types"/>
    <xsd:import namespace="http://schemas.microsoft.com/office/infopath/2007/PartnerControls"/>
    <xsd:element name="DMCALTDocNo" ma:index="3" nillable="true" ma:displayName="SKM Document No" ma:internalName="DMCALTDocNo">
      <xsd:simpleType>
        <xsd:restriction base="dms:Text">
          <xsd:maxLength value="255"/>
        </xsd:restriction>
      </xsd:simpleType>
    </xsd:element>
    <xsd:element name="DMCANotes" ma:index="4" nillable="true" ma:displayName="Notes" ma:internalName="DMCANotes">
      <xsd:simpleType>
        <xsd:restriction base="dms:Note">
          <xsd:maxLength value="255"/>
        </xsd:restriction>
      </xsd:simpleType>
    </xsd:element>
    <xsd:element name="DMCATransmittalNumber" ma:index="5" nillable="true" ma:displayName="Transmittal Reference No" ma:internalName="DMCATransmittal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8"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446943-4FBE-4B35-A540-EB3B742F9E49}">
  <ds:schemaRefs>
    <ds:schemaRef ds:uri="http://schemas.microsoft.com/sharepoint/v3/contenttype/forms"/>
  </ds:schemaRefs>
</ds:datastoreItem>
</file>

<file path=customXml/itemProps2.xml><?xml version="1.0" encoding="utf-8"?>
<ds:datastoreItem xmlns:ds="http://schemas.openxmlformats.org/officeDocument/2006/customXml" ds:itemID="{35BB45C6-9D59-475B-8EFB-D57102324140}">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ListId:ExtranetStagingLibrary;"/>
    <ds:schemaRef ds:uri="46d34be3-b1cf-4620-9e2c-f7b2904d8528"/>
    <ds:schemaRef ds:uri="http://www.w3.org/XML/1998/namespace"/>
    <ds:schemaRef ds:uri="http://purl.org/dc/dcmitype/"/>
  </ds:schemaRefs>
</ds:datastoreItem>
</file>

<file path=customXml/itemProps3.xml><?xml version="1.0" encoding="utf-8"?>
<ds:datastoreItem xmlns:ds="http://schemas.openxmlformats.org/officeDocument/2006/customXml" ds:itemID="{4F4E220C-9F49-4B84-8CC6-3804A24D7AD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d34be3-b1cf-4620-9e2c-f7b2904d8528"/>
    <ds:schemaRef ds:uri="$ListId:ExtranetStagingLibrary;"/>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9538283-D293-4759-8BFA-64757C1F8A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19304</Words>
  <Characters>110036</Characters>
  <Application>Microsoft Office Word</Application>
  <DocSecurity>0</DocSecurity>
  <Lines>916</Lines>
  <Paragraphs>258</Paragraphs>
  <ScaleCrop>false</ScaleCrop>
  <HeadingPairs>
    <vt:vector size="2" baseType="variant">
      <vt:variant>
        <vt:lpstr>Title</vt:lpstr>
      </vt:variant>
      <vt:variant>
        <vt:i4>1</vt:i4>
      </vt:variant>
    </vt:vector>
  </HeadingPairs>
  <TitlesOfParts>
    <vt:vector size="1" baseType="lpstr">
      <vt:lpstr>Otway Basin Baseline Monitoring Program</vt:lpstr>
    </vt:vector>
  </TitlesOfParts>
  <Company>Department of Innovation, Industry and Regional Development</Company>
  <LinksUpToDate>false</LinksUpToDate>
  <CharactersWithSpaces>129082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Otway Basin Baseline Monitoring Program</dc:title>
  <dc:creator>Amanda Curlewis</dc:creator>
  <cp:lastModifiedBy>Paula Farren (DEDJTR)</cp:lastModifiedBy>
  <cp:revision>2</cp:revision>
  <cp:lastPrinted>2015-07-07T01:27:00Z</cp:lastPrinted>
  <dcterms:created xsi:type="dcterms:W3CDTF">2017-11-30T04:13:00Z</dcterms:created>
  <dcterms:modified xsi:type="dcterms:W3CDTF">2017-11-30T04:13:00Z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0x0101005A8770122668C8469186463C2E5F9B8D</vt:lpwstr>
  </property>
  <property fmtid="{D5CDD505-2E9C-101B-9397-08002B2CF9AE}" pid="3" name="TitusGUID">
    <vt:lpwstr>23acbcef-8fba-4b8b-9231-f949471f1e4c</vt:lpwstr>
  </property>
  <property fmtid="{D5CDD505-2E9C-101B-9397-08002B2CF9AE}" pid="4" name="DSDBI ClassificationCLASSIFICATION">
    <vt:lpwstr>UNCLASSIFIED</vt:lpwstr>
  </property>
  <property fmtid="{D5CDD505-2E9C-101B-9397-08002B2CF9AE}" pid="5" name="DSDBI ClassificationDLM FOR SEC-MARKINGS">
    <vt:lpwstr>NONE</vt:lpwstr>
  </property>
  <property fmtid="{D5CDD505-2E9C-101B-9397-08002B2CF9AE}" pid="6" name="Classification">
    <vt:lpwstr>UNCLASSIFIED
NONE
Anthony Feigl</vt:lpwstr>
  </property>
</Properties>
</file>