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0E806" w14:textId="77777777" w:rsidR="00D21507" w:rsidRDefault="00B04F91" w:rsidP="00862057">
      <w:pPr>
        <w:pStyle w:val="Title"/>
        <w:rPr>
          <w:color w:val="FF0000"/>
        </w:rPr>
      </w:pPr>
      <w:bookmarkStart w:id="0" w:name="_Toc106305998"/>
      <w:r>
        <w:rPr>
          <w:noProof/>
        </w:rPr>
        <w:drawing>
          <wp:anchor distT="0" distB="0" distL="114300" distR="114300" simplePos="0" relativeHeight="251658257" behindDoc="0" locked="1" layoutInCell="1" allowOverlap="1" wp14:anchorId="134EFF12" wp14:editId="737CE7E3">
            <wp:simplePos x="0" y="0"/>
            <wp:positionH relativeFrom="page">
              <wp:posOffset>6515735</wp:posOffset>
            </wp:positionH>
            <wp:positionV relativeFrom="page">
              <wp:posOffset>7127875</wp:posOffset>
            </wp:positionV>
            <wp:extent cx="1051200" cy="2228400"/>
            <wp:effectExtent l="0" t="0" r="0" b="63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Triangle_Forestry">
                      <a:extLst>
                        <a:ext uri="{C183D7F6-B498-43B3-948B-1728B52AA6E4}">
                          <adec:decorative xmlns:adec="http://schemas.microsoft.com/office/drawing/2017/decorative" val="1"/>
                        </a:ext>
                      </a:extLst>
                    </pic:cNvPr>
                    <pic:cNvPicPr/>
                  </pic:nvPicPr>
                  <pic:blipFill>
                    <a:blip r:embed="rId12"/>
                    <a:stretch>
                      <a:fillRect/>
                    </a:stretch>
                  </pic:blipFill>
                  <pic:spPr>
                    <a:xfrm>
                      <a:off x="0" y="0"/>
                      <a:ext cx="1051200" cy="2228400"/>
                    </a:xfrm>
                    <a:prstGeom prst="rect">
                      <a:avLst/>
                    </a:prstGeom>
                  </pic:spPr>
                </pic:pic>
              </a:graphicData>
            </a:graphic>
            <wp14:sizeRelH relativeFrom="page">
              <wp14:pctWidth>0</wp14:pctWidth>
            </wp14:sizeRelH>
            <wp14:sizeRelV relativeFrom="page">
              <wp14:pctHeight>0</wp14:pctHeight>
            </wp14:sizeRelV>
          </wp:anchor>
        </w:drawing>
      </w:r>
      <w:r w:rsidR="00C6229E" w:rsidRPr="00DF15B3">
        <w:t>Extractive Resources</w:t>
      </w:r>
      <w:r w:rsidR="00C6229E" w:rsidRPr="00541633">
        <w:rPr>
          <w:color w:val="FF0000"/>
        </w:rPr>
        <w:t xml:space="preserve"> </w:t>
      </w:r>
    </w:p>
    <w:p w14:paraId="5312A4D9" w14:textId="67F2248B" w:rsidR="003F4354" w:rsidRDefault="00000000" w:rsidP="00862057">
      <w:pPr>
        <w:pStyle w:val="Title"/>
      </w:pPr>
      <w:sdt>
        <w:sdtPr>
          <w:alias w:val="Document Title"/>
          <w:tag w:val=""/>
          <w:id w:val="-432211567"/>
          <w:placeholder>
            <w:docPart w:val="0614E43925B242C09D4C951CB52C9CA9"/>
          </w:placeholder>
          <w:dataBinding w:prefixMappings="xmlns:ns0='http://purl.org/dc/elements/1.1/' xmlns:ns1='http://schemas.openxmlformats.org/package/2006/metadata/core-properties' " w:xpath="/ns1:coreProperties[1]/ns0:title[1]" w:storeItemID="{6C3C8BC8-F283-45AE-878A-BAB7291924A1}"/>
          <w:text/>
        </w:sdtPr>
        <w:sdtContent>
          <w:r w:rsidR="003F4354" w:rsidRPr="003F4354">
            <w:t>Supply and Demand Study 2022-30</w:t>
          </w:r>
        </w:sdtContent>
      </w:sdt>
    </w:p>
    <w:p w14:paraId="18EF4973" w14:textId="22167852" w:rsidR="00254F12" w:rsidRPr="004C1F02" w:rsidRDefault="00254F12" w:rsidP="004E51DB">
      <w:pPr>
        <w:pStyle w:val="xVicLogo"/>
        <w:framePr w:wrap="around"/>
      </w:pPr>
      <w:r w:rsidRPr="004C1F02">
        <w:rPr>
          <w:noProof/>
        </w:rPr>
        <w:drawing>
          <wp:inline distT="0" distB="0" distL="0" distR="0" wp14:anchorId="294C1429" wp14:editId="66AE3EFC">
            <wp:extent cx="1738080" cy="444948"/>
            <wp:effectExtent l="0" t="0" r="0" b="0"/>
            <wp:docPr id="36" name="Picture 36" descr="The State of Victoria Department of Energy, Environment and Climate Ac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Cover_Logo_StateGovt" descr="The State of Victoria Department of Energy, Environment and Climate Action">
                      <a:extLst>
                        <a:ext uri="{C183D7F6-B498-43B3-948B-1728B52AA6E4}">
                          <adec:decorative xmlns:adec="http://schemas.microsoft.com/office/drawing/2017/decorative" val="0"/>
                        </a:ext>
                      </a:extLst>
                    </pic:cNvPr>
                    <pic:cNvPicPr/>
                  </pic:nvPicPr>
                  <pic:blipFill>
                    <a:blip r:embed="rId13" cstate="print">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738080" cy="444948"/>
                    </a:xfrm>
                    <a:prstGeom prst="rect">
                      <a:avLst/>
                    </a:prstGeom>
                  </pic:spPr>
                </pic:pic>
              </a:graphicData>
            </a:graphic>
          </wp:inline>
        </w:drawing>
      </w:r>
    </w:p>
    <w:p w14:paraId="2EE173F4" w14:textId="38603EEA" w:rsidR="00254F12" w:rsidRPr="004C1F02" w:rsidRDefault="004B575F" w:rsidP="004C1F02">
      <w:r>
        <w:rPr>
          <w:noProof/>
        </w:rPr>
        <w:drawing>
          <wp:anchor distT="0" distB="0" distL="114300" distR="114300" simplePos="0" relativeHeight="251658240" behindDoc="1" locked="0" layoutInCell="1" allowOverlap="1" wp14:anchorId="62B1220B" wp14:editId="5F5A64B5">
            <wp:simplePos x="0" y="0"/>
            <wp:positionH relativeFrom="margin">
              <wp:posOffset>-2974975</wp:posOffset>
            </wp:positionH>
            <wp:positionV relativeFrom="paragraph">
              <wp:posOffset>1019175</wp:posOffset>
            </wp:positionV>
            <wp:extent cx="12673409" cy="7120800"/>
            <wp:effectExtent l="0" t="0" r="0" b="4445"/>
            <wp:wrapNone/>
            <wp:docPr id="755649903" name="Picture 755649903" descr="A picture containing sky, outdoor, ground, tran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649903" name="Picture 1" descr="A picture containing sky, outdoor, ground, transpor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673409" cy="7120800"/>
                    </a:xfrm>
                    <a:prstGeom prst="rect">
                      <a:avLst/>
                    </a:prstGeom>
                  </pic:spPr>
                </pic:pic>
              </a:graphicData>
            </a:graphic>
            <wp14:sizeRelH relativeFrom="margin">
              <wp14:pctWidth>0</wp14:pctWidth>
            </wp14:sizeRelH>
            <wp14:sizeRelV relativeFrom="margin">
              <wp14:pctHeight>0</wp14:pctHeight>
            </wp14:sizeRelV>
          </wp:anchor>
        </w:drawing>
      </w:r>
      <w:r w:rsidR="00985DB8" w:rsidRPr="004C1F02">
        <w:rPr>
          <w:noProof/>
        </w:rPr>
        <w:drawing>
          <wp:anchor distT="0" distB="0" distL="114300" distR="114300" simplePos="0" relativeHeight="251658248" behindDoc="1" locked="1" layoutInCell="1" allowOverlap="1" wp14:anchorId="45B33E6F" wp14:editId="3D8EBA29">
            <wp:simplePos x="0" y="0"/>
            <wp:positionH relativeFrom="page">
              <wp:posOffset>2509520</wp:posOffset>
            </wp:positionH>
            <wp:positionV relativeFrom="page">
              <wp:posOffset>8457565</wp:posOffset>
            </wp:positionV>
            <wp:extent cx="2322000" cy="2232000"/>
            <wp:effectExtent l="0" t="0" r="254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ver_RibbonElement3">
                      <a:extLst>
                        <a:ext uri="{C183D7F6-B498-43B3-948B-1728B52AA6E4}">
                          <adec:decorative xmlns:adec="http://schemas.microsoft.com/office/drawing/2017/decorative" val="1"/>
                        </a:ext>
                      </a:extLst>
                    </pic:cNvPr>
                    <pic:cNvPicPr/>
                  </pic:nvPicPr>
                  <pic:blipFill>
                    <a:blip r:embed="rId16">
                      <a:extLst>
                        <a:ext uri="{96DAC541-7B7A-43D3-8B79-37D633B846F1}">
                          <asvg:svgBlip xmlns:asvg="http://schemas.microsoft.com/office/drawing/2016/SVG/main" r:embed="rId17"/>
                        </a:ext>
                      </a:extLst>
                    </a:blip>
                    <a:stretch>
                      <a:fillRect/>
                    </a:stretch>
                  </pic:blipFill>
                  <pic:spPr>
                    <a:xfrm>
                      <a:off x="0" y="0"/>
                      <a:ext cx="2322000" cy="2232000"/>
                    </a:xfrm>
                    <a:prstGeom prst="rect">
                      <a:avLst/>
                    </a:prstGeom>
                  </pic:spPr>
                </pic:pic>
              </a:graphicData>
            </a:graphic>
            <wp14:sizeRelH relativeFrom="margin">
              <wp14:pctWidth>0</wp14:pctWidth>
            </wp14:sizeRelH>
            <wp14:sizeRelV relativeFrom="margin">
              <wp14:pctHeight>0</wp14:pctHeight>
            </wp14:sizeRelV>
          </wp:anchor>
        </w:drawing>
      </w:r>
      <w:r w:rsidR="00872D01" w:rsidRPr="004C1F02">
        <w:rPr>
          <w:noProof/>
        </w:rPr>
        <mc:AlternateContent>
          <mc:Choice Requires="wps">
            <w:drawing>
              <wp:anchor distT="0" distB="0" distL="114300" distR="114300" simplePos="0" relativeHeight="251658241" behindDoc="1" locked="1" layoutInCell="1" allowOverlap="1" wp14:anchorId="27C3BF23" wp14:editId="278891EF">
                <wp:simplePos x="0" y="0"/>
                <wp:positionH relativeFrom="page">
                  <wp:posOffset>0</wp:posOffset>
                </wp:positionH>
                <wp:positionV relativeFrom="page">
                  <wp:posOffset>2228850</wp:posOffset>
                </wp:positionV>
                <wp:extent cx="7563600" cy="7120800"/>
                <wp:effectExtent l="0" t="0" r="0" b="0"/>
                <wp:wrapNone/>
                <wp:docPr id="16" name="Freeform: Shape 16"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7120800"/>
                        </a:xfrm>
                        <a:custGeom>
                          <a:avLst/>
                          <a:gdLst>
                            <a:gd name="connsiteX0" fmla="*/ 0 w 7563408"/>
                            <a:gd name="connsiteY0" fmla="*/ 0 h 7131432"/>
                            <a:gd name="connsiteX1" fmla="*/ 0 w 7563408"/>
                            <a:gd name="connsiteY1" fmla="*/ 7131433 h 7131432"/>
                            <a:gd name="connsiteX2" fmla="*/ 4832160 w 7563408"/>
                            <a:gd name="connsiteY2" fmla="*/ 7131433 h 7131432"/>
                            <a:gd name="connsiteX3" fmla="*/ 7563408 w 7563408"/>
                            <a:gd name="connsiteY3" fmla="*/ 1337144 h 7131432"/>
                            <a:gd name="connsiteX4" fmla="*/ 7563408 w 7563408"/>
                            <a:gd name="connsiteY4" fmla="*/ 0 h 7131432"/>
                            <a:gd name="connsiteX5" fmla="*/ 0 w 7563408"/>
                            <a:gd name="connsiteY5" fmla="*/ 0 h 71314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08" h="7131432">
                              <a:moveTo>
                                <a:pt x="0" y="0"/>
                              </a:moveTo>
                              <a:lnTo>
                                <a:pt x="0" y="7131433"/>
                              </a:lnTo>
                              <a:lnTo>
                                <a:pt x="4832160" y="7131433"/>
                              </a:lnTo>
                              <a:lnTo>
                                <a:pt x="7563408" y="1337144"/>
                              </a:lnTo>
                              <a:lnTo>
                                <a:pt x="7563408" y="0"/>
                              </a:lnTo>
                              <a:lnTo>
                                <a:pt x="0" y="0"/>
                              </a:lnTo>
                              <a:close/>
                            </a:path>
                          </a:pathLst>
                        </a:custGeom>
                        <a:solidFill>
                          <a:schemeClr val="dk2"/>
                        </a:solid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8F060" id="Freeform: Shape 16" o:spid="_x0000_s1026" alt="&quot;&quot;" style="position:absolute;margin-left:0;margin-top:175.5pt;width:595.55pt;height:560.7pt;z-index:-25165823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08,71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" path="m,l,7131433r4832160,l7563408,1337144,7563408,,,xe" fillcolor="#201547 [3202]" stroked="f" strokeweight=".35264mm">
                <v:stroke joinstyle="miter"/>
                <v:path arrowok="t" o:connecttype="custom" o:connectlocs="0,0;0,7120801;4832283,7120801;7563600,1335150;7563600,0;0,0" o:connectangles="0,0,0,0,0,0"/>
                <w10:wrap anchorx="page" anchory="page"/>
                <w10:anchorlock/>
              </v:shape>
            </w:pict>
          </mc:Fallback>
        </mc:AlternateContent>
      </w:r>
      <w:r w:rsidR="008B1109">
        <w:rPr>
          <w:noProof/>
        </w:rPr>
        <mc:AlternateContent>
          <mc:Choice Requires="wps">
            <w:drawing>
              <wp:anchor distT="0" distB="0" distL="114300" distR="114300" simplePos="0" relativeHeight="251658252" behindDoc="1" locked="1" layoutInCell="1" allowOverlap="1" wp14:anchorId="5980BBBA" wp14:editId="3D534BE6">
                <wp:simplePos x="0" y="0"/>
                <wp:positionH relativeFrom="page">
                  <wp:posOffset>0</wp:posOffset>
                </wp:positionH>
                <wp:positionV relativeFrom="page">
                  <wp:posOffset>2228850</wp:posOffset>
                </wp:positionV>
                <wp:extent cx="9435465" cy="442595"/>
                <wp:effectExtent l="0" t="0" r="0" b="0"/>
                <wp:wrapNone/>
                <wp:docPr id="18" name="Freeform: Shape 18"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9435465" cy="442595"/>
                        </a:xfrm>
                        <a:custGeom>
                          <a:avLst/>
                          <a:gdLst>
                            <a:gd name="connsiteX0" fmla="*/ 0 w 9435280"/>
                            <a:gd name="connsiteY0" fmla="*/ 0 h 443520"/>
                            <a:gd name="connsiteX1" fmla="*/ 9435280 w 9435280"/>
                            <a:gd name="connsiteY1" fmla="*/ 0 h 443520"/>
                            <a:gd name="connsiteX2" fmla="*/ 9226217 w 9435280"/>
                            <a:gd name="connsiteY2" fmla="*/ 443520 h 443520"/>
                            <a:gd name="connsiteX3" fmla="*/ 0 w 9435280"/>
                            <a:gd name="connsiteY3" fmla="*/ 443520 h 443520"/>
                          </a:gdLst>
                          <a:ahLst/>
                          <a:cxnLst>
                            <a:cxn ang="0">
                              <a:pos x="connsiteX0" y="connsiteY0"/>
                            </a:cxn>
                            <a:cxn ang="0">
                              <a:pos x="connsiteX1" y="connsiteY1"/>
                            </a:cxn>
                            <a:cxn ang="0">
                              <a:pos x="connsiteX2" y="connsiteY2"/>
                            </a:cxn>
                            <a:cxn ang="0">
                              <a:pos x="connsiteX3" y="connsiteY3"/>
                            </a:cxn>
                          </a:cxnLst>
                          <a:rect l="l" t="t" r="r" b="b"/>
                          <a:pathLst>
                            <a:path w="9435280" h="443520">
                              <a:moveTo>
                                <a:pt x="0" y="0"/>
                              </a:moveTo>
                              <a:lnTo>
                                <a:pt x="9435280" y="0"/>
                              </a:lnTo>
                              <a:lnTo>
                                <a:pt x="9226217" y="443520"/>
                              </a:lnTo>
                              <a:lnTo>
                                <a:pt x="0" y="443520"/>
                              </a:lnTo>
                              <a:close/>
                            </a:path>
                          </a:pathLst>
                        </a:custGeom>
                        <a:solidFill>
                          <a:schemeClr val="tx2"/>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6C6C0" id="Freeform: Shape 18" o:spid="_x0000_s1026" alt="&quot;&quot;" style="position:absolute;margin-left:0;margin-top:175.5pt;width:742.95pt;height:34.85pt;z-index:-2516582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9435280,44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" path="m,l9435280,,9226217,443520,,443520,,xe" fillcolor="#201547 [3215]" stroked="f">
                <v:stroke joinstyle="miter"/>
                <v:path arrowok="t" o:connecttype="custom" o:connectlocs="0,0;9435465,0;9226398,442595;0,442595" o:connectangles="0,0,0,0"/>
                <w10:wrap anchorx="page" anchory="page"/>
                <w10:anchorlock/>
              </v:shape>
            </w:pict>
          </mc:Fallback>
        </mc:AlternateContent>
      </w:r>
      <w:r w:rsidR="00B8541F" w:rsidRPr="004C1F02">
        <w:rPr>
          <w:noProof/>
        </w:rPr>
        <mc:AlternateContent>
          <mc:Choice Requires="wps">
            <w:drawing>
              <wp:anchor distT="0" distB="0" distL="114300" distR="114300" simplePos="0" relativeHeight="251658251" behindDoc="1" locked="1" layoutInCell="1" allowOverlap="1" wp14:anchorId="5DC3E4AC" wp14:editId="3F939ABC">
                <wp:simplePos x="0" y="0"/>
                <wp:positionH relativeFrom="page">
                  <wp:posOffset>0</wp:posOffset>
                </wp:positionH>
                <wp:positionV relativeFrom="page">
                  <wp:posOffset>2228850</wp:posOffset>
                </wp:positionV>
                <wp:extent cx="4413600" cy="3567600"/>
                <wp:effectExtent l="0" t="0" r="0" b="0"/>
                <wp:wrapNone/>
                <wp:docPr id="13" name="Freeform: Shape 13"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13600" cy="3567600"/>
                        </a:xfrm>
                        <a:custGeom>
                          <a:avLst/>
                          <a:gdLst>
                            <a:gd name="connsiteX0" fmla="*/ 0 w 4413050"/>
                            <a:gd name="connsiteY0" fmla="*/ 0 h 3566624"/>
                            <a:gd name="connsiteX1" fmla="*/ 0 w 4413050"/>
                            <a:gd name="connsiteY1" fmla="*/ 3566625 h 3566624"/>
                            <a:gd name="connsiteX2" fmla="*/ 2731785 w 4413050"/>
                            <a:gd name="connsiteY2" fmla="*/ 3566625 h 3566624"/>
                            <a:gd name="connsiteX3" fmla="*/ 4413050 w 4413050"/>
                            <a:gd name="connsiteY3" fmla="*/ 0 h 3566624"/>
                            <a:gd name="connsiteX4" fmla="*/ 0 w 4413050"/>
                            <a:gd name="connsiteY4" fmla="*/ 0 h 356662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13050" h="3566624">
                              <a:moveTo>
                                <a:pt x="0" y="0"/>
                              </a:moveTo>
                              <a:lnTo>
                                <a:pt x="0" y="3566625"/>
                              </a:lnTo>
                              <a:lnTo>
                                <a:pt x="2731785" y="3566625"/>
                              </a:lnTo>
                              <a:lnTo>
                                <a:pt x="4413050" y="0"/>
                              </a:lnTo>
                              <a:lnTo>
                                <a:pt x="0" y="0"/>
                              </a:lnTo>
                              <a:close/>
                            </a:path>
                          </a:pathLst>
                        </a:custGeom>
                        <a:blipFill dpi="0" rotWithShape="1">
                          <a:blip r:embed="rId18" cstate="print">
                            <a:extLst>
                              <a:ext uri="{28A0092B-C50C-407E-A947-70E740481C1C}">
                                <a14:useLocalDpi xmlns:a14="http://schemas.microsoft.com/office/drawing/2010/main" val="0"/>
                              </a:ext>
                            </a:extLst>
                          </a:blip>
                          <a:srcRect/>
                          <a:stretch>
                            <a:fillRect t="-84" b="-84"/>
                          </a:stretch>
                        </a:blipFill>
                        <a:ln w="12682"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6D86" id="Freeform: Shape 13" o:spid="_x0000_s1026" alt="&quot;&quot;" style="position:absolute;margin-left:0;margin-top:175.5pt;width:347.55pt;height:280.9pt;z-index:-251658229;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441305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" path="m,l,3566625r2731785,l4413050,,,xe" stroked="f" strokeweight=".35228mm">
                <v:fill r:id="rId19" o:title="" recolor="t" rotate="t" type="frame"/>
                <v:stroke joinstyle="miter"/>
                <v:path arrowok="t" o:connecttype="custom" o:connectlocs="0,0;0,3567601;2732125,3567601;4413600,0;0,0" o:connectangles="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2" behindDoc="1" locked="1" layoutInCell="1" allowOverlap="1" wp14:anchorId="0EFA9AB5" wp14:editId="1CA3F285">
                <wp:simplePos x="0" y="0"/>
                <wp:positionH relativeFrom="page">
                  <wp:posOffset>0</wp:posOffset>
                </wp:positionH>
                <wp:positionV relativeFrom="page">
                  <wp:posOffset>5800725</wp:posOffset>
                </wp:positionV>
                <wp:extent cx="6501600" cy="3542400"/>
                <wp:effectExtent l="0" t="0" r="0" b="0"/>
                <wp:wrapNone/>
                <wp:docPr id="14" name="Freeform: Shape 14"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501600" cy="3542400"/>
                        </a:xfrm>
                        <a:custGeom>
                          <a:avLst/>
                          <a:gdLst>
                            <a:gd name="connsiteX0" fmla="*/ 0 w 6501736"/>
                            <a:gd name="connsiteY0" fmla="*/ 0 h 3559192"/>
                            <a:gd name="connsiteX1" fmla="*/ 6501736 w 6501736"/>
                            <a:gd name="connsiteY1" fmla="*/ 0 h 3559192"/>
                            <a:gd name="connsiteX2" fmla="*/ 4824067 w 6501736"/>
                            <a:gd name="connsiteY2" fmla="*/ 3559192 h 3559192"/>
                            <a:gd name="connsiteX3" fmla="*/ 0 w 6501736"/>
                            <a:gd name="connsiteY3" fmla="*/ 3559192 h 3559192"/>
                          </a:gdLst>
                          <a:ahLst/>
                          <a:cxnLst>
                            <a:cxn ang="0">
                              <a:pos x="connsiteX0" y="connsiteY0"/>
                            </a:cxn>
                            <a:cxn ang="0">
                              <a:pos x="connsiteX1" y="connsiteY1"/>
                            </a:cxn>
                            <a:cxn ang="0">
                              <a:pos x="connsiteX2" y="connsiteY2"/>
                            </a:cxn>
                            <a:cxn ang="0">
                              <a:pos x="connsiteX3" y="connsiteY3"/>
                            </a:cxn>
                          </a:cxnLst>
                          <a:rect l="l" t="t" r="r" b="b"/>
                          <a:pathLst>
                            <a:path w="6501736" h="3559192">
                              <a:moveTo>
                                <a:pt x="0" y="0"/>
                              </a:moveTo>
                              <a:lnTo>
                                <a:pt x="6501736" y="0"/>
                              </a:lnTo>
                              <a:lnTo>
                                <a:pt x="4824067" y="3559192"/>
                              </a:lnTo>
                              <a:lnTo>
                                <a:pt x="0" y="3559192"/>
                              </a:lnTo>
                              <a:close/>
                            </a:path>
                          </a:pathLst>
                        </a:custGeom>
                        <a:blipFill dpi="0" rotWithShape="1">
                          <a:blip r:embed="rId20" cstate="print">
                            <a:extLst>
                              <a:ext uri="{28A0092B-C50C-407E-A947-70E740481C1C}">
                                <a14:useLocalDpi xmlns:a14="http://schemas.microsoft.com/office/drawing/2010/main" val="0"/>
                              </a:ext>
                            </a:extLst>
                          </a:blip>
                          <a:srcRect/>
                          <a:stretch>
                            <a:fillRect l="-10" r="-10"/>
                          </a:stretch>
                        </a:blipFill>
                        <a:ln w="12673"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4D4EB" id="Freeform: Shape 14" o:spid="_x0000_s1026" alt="&quot;&quot;" style="position:absolute;margin-left:0;margin-top:456.75pt;width:511.95pt;height:278.95pt;z-index:-25165823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6501736,35591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" path="m,l6501736,,4824067,3559192,,3559192,,xe" stroked="f" strokeweight=".35203mm">
                <v:fill r:id="rId21" o:title="" recolor="t" rotate="t" type="frame"/>
                <v:stroke joinstyle="miter"/>
                <v:path arrowok="t" o:connecttype="custom" o:connectlocs="0,0;6501600,0;4823966,3542400;0,3542400" o:connectangles="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3" behindDoc="1" locked="1" layoutInCell="1" allowOverlap="1" wp14:anchorId="0CE44AAA" wp14:editId="589B9216">
                <wp:simplePos x="0" y="0"/>
                <wp:positionH relativeFrom="page">
                  <wp:posOffset>0</wp:posOffset>
                </wp:positionH>
                <wp:positionV relativeFrom="page">
                  <wp:posOffset>2228850</wp:posOffset>
                </wp:positionV>
                <wp:extent cx="7563600" cy="3571200"/>
                <wp:effectExtent l="0" t="0" r="0" b="0"/>
                <wp:wrapNone/>
                <wp:docPr id="15" name="Freeform: Shape 15" hidden="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3600" cy="3571200"/>
                        </a:xfrm>
                        <a:custGeom>
                          <a:avLst/>
                          <a:gdLst>
                            <a:gd name="connsiteX0" fmla="*/ 0 w 7563430"/>
                            <a:gd name="connsiteY0" fmla="*/ 0 h 3566624"/>
                            <a:gd name="connsiteX1" fmla="*/ 0 w 7563430"/>
                            <a:gd name="connsiteY1" fmla="*/ 3566625 h 3566624"/>
                            <a:gd name="connsiteX2" fmla="*/ 6513035 w 7563430"/>
                            <a:gd name="connsiteY2" fmla="*/ 3566625 h 3566624"/>
                            <a:gd name="connsiteX3" fmla="*/ 7563431 w 7563430"/>
                            <a:gd name="connsiteY3" fmla="*/ 1337484 h 3566624"/>
                            <a:gd name="connsiteX4" fmla="*/ 7563431 w 7563430"/>
                            <a:gd name="connsiteY4" fmla="*/ 0 h 3566624"/>
                            <a:gd name="connsiteX5" fmla="*/ 0 w 7563430"/>
                            <a:gd name="connsiteY5" fmla="*/ 0 h 3566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563430" h="3566624">
                              <a:moveTo>
                                <a:pt x="0" y="0"/>
                              </a:moveTo>
                              <a:lnTo>
                                <a:pt x="0" y="3566625"/>
                              </a:lnTo>
                              <a:lnTo>
                                <a:pt x="6513035" y="3566625"/>
                              </a:lnTo>
                              <a:lnTo>
                                <a:pt x="7563431" y="1337484"/>
                              </a:lnTo>
                              <a:lnTo>
                                <a:pt x="7563431" y="0"/>
                              </a:lnTo>
                              <a:lnTo>
                                <a:pt x="0" y="0"/>
                              </a:lnTo>
                              <a:close/>
                            </a:path>
                          </a:pathLst>
                        </a:custGeom>
                        <a:blipFill dpi="0" rotWithShape="1">
                          <a:blip r:embed="rId22" cstate="print">
                            <a:extLst>
                              <a:ext uri="{28A0092B-C50C-407E-A947-70E740481C1C}">
                                <a14:useLocalDpi xmlns:a14="http://schemas.microsoft.com/office/drawing/2010/main" val="0"/>
                              </a:ext>
                            </a:extLst>
                          </a:blip>
                          <a:srcRect/>
                          <a:stretch>
                            <a:fillRect t="-19" b="-19"/>
                          </a:stretch>
                        </a:blipFill>
                        <a:ln w="1269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F8305" id="Freeform: Shape 15" o:spid="_x0000_s1026" alt="&quot;&quot;" style="position:absolute;margin-left:0;margin-top:175.5pt;width:595.55pt;height:281.2pt;z-index:-251658237;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7563430,35666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" path="m,l,3566625r6513035,l7563431,1337484,7563431,,,xe" stroked="f" strokeweight=".35264mm">
                <v:fill r:id="rId23" o:title="" recolor="t" rotate="t" type="frame"/>
                <v:stroke joinstyle="miter"/>
                <v:path arrowok="t" o:connecttype="custom" o:connectlocs="0,0;0,3571201;6513181,3571201;7563601,1339200;7563601,0;0,0" o:connectangles="0,0,0,0,0,0"/>
                <w10:wrap anchorx="page" anchory="page"/>
                <w10:anchorlock/>
              </v:shape>
            </w:pict>
          </mc:Fallback>
        </mc:AlternateContent>
      </w:r>
      <w:r w:rsidR="00254F12" w:rsidRPr="004C1F02">
        <w:rPr>
          <w:noProof/>
        </w:rPr>
        <mc:AlternateContent>
          <mc:Choice Requires="wps">
            <w:drawing>
              <wp:anchor distT="0" distB="0" distL="114300" distR="114300" simplePos="0" relativeHeight="251658246" behindDoc="1" locked="1" layoutInCell="1" allowOverlap="1" wp14:anchorId="010113CD" wp14:editId="6340318D">
                <wp:simplePos x="0" y="0"/>
                <wp:positionH relativeFrom="page">
                  <wp:posOffset>0</wp:posOffset>
                </wp:positionH>
                <wp:positionV relativeFrom="page">
                  <wp:align>bottom</wp:align>
                </wp:positionV>
                <wp:extent cx="5256000" cy="1346400"/>
                <wp:effectExtent l="0" t="0" r="1905" b="6350"/>
                <wp:wrapNone/>
                <wp:docPr id="39" name="Rectangle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56000" cy="1346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3AC894" id="Rectangle 39" o:spid="_x0000_s1026" alt="&quot;&quot;" style="position:absolute;margin-left:0;margin-top:0;width:413.85pt;height:106pt;z-index:-251658234;visibility:visible;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" fillcolor="white [3212]" stroked="f" strokeweight="2pt">
                <w10:wrap anchorx="page" anchory="page"/>
                <w10:anchorlock/>
              </v:rect>
            </w:pict>
          </mc:Fallback>
        </mc:AlternateContent>
      </w:r>
      <w:r w:rsidR="00254F12" w:rsidRPr="004C1F02">
        <w:rPr>
          <w:noProof/>
        </w:rPr>
        <mc:AlternateContent>
          <mc:Choice Requires="wpc">
            <w:drawing>
              <wp:anchor distT="0" distB="0" distL="114300" distR="114300" simplePos="0" relativeHeight="251658250" behindDoc="0" locked="1" layoutInCell="1" allowOverlap="1" wp14:anchorId="2FEB6C9B" wp14:editId="30B9ED14">
                <wp:simplePos x="0" y="0"/>
                <wp:positionH relativeFrom="page">
                  <wp:align>left</wp:align>
                </wp:positionH>
                <wp:positionV relativeFrom="page">
                  <wp:align>bottom</wp:align>
                </wp:positionV>
                <wp:extent cx="2275205" cy="899795"/>
                <wp:effectExtent l="0" t="0" r="10795" b="0"/>
                <wp:wrapNone/>
                <wp:docPr id="1868055640" name="Canvas 1868055640"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7" name="Cover_TextBoxWeb"/>
                        <wps:cNvSpPr txBox="1"/>
                        <wps:spPr>
                          <a:xfrm>
                            <a:off x="540385" y="125730"/>
                            <a:ext cx="1735200" cy="360000"/>
                          </a:xfrm>
                          <a:prstGeom prst="rect">
                            <a:avLst/>
                          </a:prstGeom>
                          <a:noFill/>
                          <a:ln w="6350">
                            <a:noFill/>
                          </a:ln>
                        </wps:spPr>
                        <wps:txbx>
                          <w:txbxContent>
                            <w:p w14:paraId="5E6C1432" w14:textId="06A57679" w:rsidR="00254F12" w:rsidRPr="00FA0BCA" w:rsidRDefault="00000000" w:rsidP="00254F12">
                              <w:pPr>
                                <w:pStyle w:val="xWebCoverPage"/>
                              </w:pPr>
                              <w:hyperlink r:id="rId24" w:history="1">
                                <w:r w:rsidR="00254F12" w:rsidRPr="00FA0BCA">
                                  <w:t>deeca.vic.gov.au</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c:wpc>
                  </a:graphicData>
                </a:graphic>
                <wp14:sizeRelH relativeFrom="margin">
                  <wp14:pctWidth>0</wp14:pctWidth>
                </wp14:sizeRelH>
                <wp14:sizeRelV relativeFrom="margin">
                  <wp14:pctHeight>0</wp14:pctHeight>
                </wp14:sizeRelV>
              </wp:anchor>
            </w:drawing>
          </mc:Choice>
          <mc:Fallback>
            <w:pict>
              <v:group w14:anchorId="2FEB6C9B" id="Canvas 1868055640" o:spid="_x0000_s1026" editas="canvas" alt="&quot;&quot;" style="position:absolute;margin-left:0;margin-top:0;width:179.15pt;height:70.85pt;z-index:251658250;visibility:hidden;mso-position-horizontal:left;mso-position-horizontal-relative:page;mso-position-vertical:bottom;mso-position-vertical-relative:page;mso-width-relative:margin;mso-height-relative:margin" coordsize="22752,89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quot;&quot;" style="position:absolute;width:22752;height:8997;visibility:hidden;mso-wrap-style:square">
                  <v:fill o:detectmouseclick="t"/>
                  <v:path o:connecttype="none"/>
                </v:shape>
                <v:shapetype id="_x0000_t202" coordsize="21600,21600" o:spt="202" path="m,l,21600r21600,l21600,xe">
                  <v:stroke joinstyle="miter"/>
                  <v:path gradientshapeok="t" o:connecttype="rect"/>
                </v:shapetype>
                <v:shape id="Cover_TextBoxWeb" o:spid="_x0000_s1028" type="#_x0000_t202" style="position:absolute;left:5403;top:1257;width:17352;height:3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14:paraId="5E6C1432" w14:textId="06A57679" w:rsidR="00254F12" w:rsidRPr="00FA0BCA" w:rsidRDefault="00000000" w:rsidP="00254F12">
                        <w:pPr>
                          <w:pStyle w:val="xWebCoverPage"/>
                        </w:pPr>
                        <w:hyperlink r:id="rId25" w:history="1">
                          <w:r w:rsidR="00254F12" w:rsidRPr="00FA0BCA">
                            <w:t>deeca.vic.gov.au</w:t>
                          </w:r>
                        </w:hyperlink>
                      </w:p>
                    </w:txbxContent>
                  </v:textbox>
                </v:shape>
                <w10:wrap anchorx="page" anchory="page"/>
                <w10:anchorlock/>
              </v:group>
            </w:pict>
          </mc:Fallback>
        </mc:AlternateContent>
      </w:r>
      <w:r w:rsidR="00254F12" w:rsidRPr="004C1F02">
        <w:rPr>
          <w:noProof/>
        </w:rPr>
        <w:drawing>
          <wp:anchor distT="0" distB="0" distL="114300" distR="114300" simplePos="0" relativeHeight="251658253" behindDoc="0" locked="1" layoutInCell="1" allowOverlap="1" wp14:anchorId="5051563C" wp14:editId="67C8DF98">
            <wp:simplePos x="0" y="0"/>
            <wp:positionH relativeFrom="page">
              <wp:posOffset>6515735</wp:posOffset>
            </wp:positionH>
            <wp:positionV relativeFrom="page">
              <wp:posOffset>7127875</wp:posOffset>
            </wp:positionV>
            <wp:extent cx="1058400" cy="2228400"/>
            <wp:effectExtent l="0" t="0" r="8890" b="635"/>
            <wp:wrapNone/>
            <wp:docPr id="9" name="Picture 9" hidden="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ver_Triangle_None" hidden="1">
                      <a:extLst>
                        <a:ext uri="{C183D7F6-B498-43B3-948B-1728B52AA6E4}">
                          <adec:decorative xmlns:adec="http://schemas.microsoft.com/office/drawing/2017/decorative" val="1"/>
                        </a:ext>
                      </a:extLst>
                    </pic:cNvPr>
                    <pic:cNvPicPr/>
                  </pic:nvPicPr>
                  <pic:blipFill>
                    <a:blip r:embed="rId26">
                      <a:extLst>
                        <a:ext uri="{96DAC541-7B7A-43D3-8B79-37D633B846F1}">
                          <asvg:svgBlip xmlns:asvg="http://schemas.microsoft.com/office/drawing/2016/SVG/main" r:embed="rId27"/>
                        </a:ext>
                      </a:extLst>
                    </a:blip>
                    <a:stretch>
                      <a:fillRect/>
                    </a:stretch>
                  </pic:blipFill>
                  <pic:spPr>
                    <a:xfrm>
                      <a:off x="0" y="0"/>
                      <a:ext cx="1058400" cy="222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7" behindDoc="1" locked="1" layoutInCell="1" allowOverlap="1" wp14:anchorId="7A18F4B0" wp14:editId="2036C76D">
            <wp:simplePos x="0" y="0"/>
            <wp:positionH relativeFrom="page">
              <wp:posOffset>4406900</wp:posOffset>
            </wp:positionH>
            <wp:positionV relativeFrom="page">
              <wp:posOffset>8457565</wp:posOffset>
            </wp:positionV>
            <wp:extent cx="838800" cy="889200"/>
            <wp:effectExtent l="0" t="0" r="0" b="635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ver_RibbonElement2">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5" behindDoc="1" locked="1" layoutInCell="1" allowOverlap="1" wp14:anchorId="26FCA396" wp14:editId="708D6814">
            <wp:simplePos x="0" y="0"/>
            <wp:positionH relativeFrom="page">
              <wp:posOffset>3989070</wp:posOffset>
            </wp:positionH>
            <wp:positionV relativeFrom="page">
              <wp:posOffset>7567930</wp:posOffset>
            </wp:positionV>
            <wp:extent cx="2098800" cy="17784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_RibbonElement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2098800" cy="17784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9" behindDoc="1" locked="1" layoutInCell="1" allowOverlap="1" wp14:anchorId="6E3D658C" wp14:editId="7BDEAC0A">
            <wp:simplePos x="0" y="0"/>
            <wp:positionH relativeFrom="page">
              <wp:posOffset>5667375</wp:posOffset>
            </wp:positionH>
            <wp:positionV relativeFrom="page">
              <wp:posOffset>7567930</wp:posOffset>
            </wp:positionV>
            <wp:extent cx="838800" cy="889200"/>
            <wp:effectExtent l="0" t="0" r="0" b="635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_RibbonElement1">
                      <a:extLst>
                        <a:ext uri="{C183D7F6-B498-43B3-948B-1728B52AA6E4}">
                          <adec:decorative xmlns:adec="http://schemas.microsoft.com/office/drawing/2017/decorative" val="1"/>
                        </a:ext>
                      </a:extLst>
                    </pic:cNvPr>
                    <pic:cNvPicPr/>
                  </pic:nvPicPr>
                  <pic:blipFill>
                    <a:blip r:embed="rId28">
                      <a:extLst>
                        <a:ext uri="{96DAC541-7B7A-43D3-8B79-37D633B846F1}">
                          <asvg:svgBlip xmlns:asvg="http://schemas.microsoft.com/office/drawing/2016/SVG/main" r:embed="rId29"/>
                        </a:ext>
                      </a:extLst>
                    </a:blip>
                    <a:stretch>
                      <a:fillRect/>
                    </a:stretch>
                  </pic:blipFill>
                  <pic:spPr>
                    <a:xfrm>
                      <a:off x="0" y="0"/>
                      <a:ext cx="838800" cy="889200"/>
                    </a:xfrm>
                    <a:prstGeom prst="rect">
                      <a:avLst/>
                    </a:prstGeom>
                  </pic:spPr>
                </pic:pic>
              </a:graphicData>
            </a:graphic>
            <wp14:sizeRelH relativeFrom="margin">
              <wp14:pctWidth>0</wp14:pctWidth>
            </wp14:sizeRelH>
            <wp14:sizeRelV relativeFrom="margin">
              <wp14:pctHeight>0</wp14:pctHeight>
            </wp14:sizeRelV>
          </wp:anchor>
        </w:drawing>
      </w:r>
      <w:r w:rsidR="00254F12" w:rsidRPr="004C1F02">
        <w:rPr>
          <w:noProof/>
        </w:rPr>
        <w:drawing>
          <wp:anchor distT="0" distB="0" distL="114300" distR="114300" simplePos="0" relativeHeight="251658244" behindDoc="1" locked="1" layoutInCell="1" allowOverlap="1" wp14:anchorId="3B91B477" wp14:editId="287B07AD">
            <wp:simplePos x="0" y="0"/>
            <wp:positionH relativeFrom="page">
              <wp:posOffset>5248275</wp:posOffset>
            </wp:positionH>
            <wp:positionV relativeFrom="page">
              <wp:posOffset>3562350</wp:posOffset>
            </wp:positionV>
            <wp:extent cx="2311200" cy="4896000"/>
            <wp:effectExtent l="0" t="0" r="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RibbonElement5">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311200" cy="4896000"/>
                    </a:xfrm>
                    <a:prstGeom prst="rect">
                      <a:avLst/>
                    </a:prstGeom>
                  </pic:spPr>
                </pic:pic>
              </a:graphicData>
            </a:graphic>
            <wp14:sizeRelH relativeFrom="page">
              <wp14:pctWidth>0</wp14:pctWidth>
            </wp14:sizeRelH>
            <wp14:sizeRelV relativeFrom="page">
              <wp14:pctHeight>0</wp14:pctHeight>
            </wp14:sizeRelV>
          </wp:anchor>
        </w:drawing>
      </w:r>
    </w:p>
    <w:p w14:paraId="1A2A33CE" w14:textId="77777777" w:rsidR="00254F12" w:rsidRPr="004C1F02" w:rsidRDefault="00254F12" w:rsidP="004C1F02">
      <w:pPr>
        <w:sectPr w:rsidR="00254F12" w:rsidRPr="004C1F02" w:rsidSect="00543080">
          <w:headerReference w:type="even" r:id="rId34"/>
          <w:headerReference w:type="default" r:id="rId35"/>
          <w:footerReference w:type="even" r:id="rId36"/>
          <w:footerReference w:type="default" r:id="rId37"/>
          <w:headerReference w:type="first" r:id="rId38"/>
          <w:footerReference w:type="first" r:id="rId39"/>
          <w:type w:val="continuous"/>
          <w:pgSz w:w="11907" w:h="16839" w:code="9"/>
          <w:pgMar w:top="1418" w:right="850" w:bottom="850" w:left="850" w:header="283" w:footer="283" w:gutter="0"/>
          <w:cols w:space="454"/>
          <w:noEndnote/>
          <w:titlePg/>
          <w:docGrid w:linePitch="360"/>
        </w:sectPr>
      </w:pPr>
    </w:p>
    <w:bookmarkEnd w:id="0"/>
    <w:p w14:paraId="4BF23373" w14:textId="77777777" w:rsidR="00DB690A" w:rsidRDefault="00DB690A" w:rsidP="00EE4D70">
      <w:pPr>
        <w:pStyle w:val="BoldBodyText"/>
      </w:pPr>
    </w:p>
    <w:p w14:paraId="6BF83470" w14:textId="77777777" w:rsidR="00DB690A" w:rsidRDefault="00DB690A" w:rsidP="00EE4D70">
      <w:pPr>
        <w:pStyle w:val="BoldBodyText"/>
      </w:pPr>
    </w:p>
    <w:p w14:paraId="4247014A" w14:textId="25ACA9BB" w:rsidR="006614E4" w:rsidRPr="003055C4" w:rsidRDefault="006614E4" w:rsidP="00EE4D70">
      <w:pPr>
        <w:pStyle w:val="BoldBodyText"/>
      </w:pPr>
      <w:r w:rsidRPr="00064813">
        <w:t>Acknowledgements</w:t>
      </w:r>
    </w:p>
    <w:p w14:paraId="3909458E" w14:textId="20B0049C" w:rsidR="006614E4" w:rsidRPr="00576720" w:rsidRDefault="00CC0459" w:rsidP="003055C4">
      <w:pPr>
        <w:pStyle w:val="NoSpacing"/>
      </w:pPr>
      <w:r>
        <w:t xml:space="preserve">The Department </w:t>
      </w:r>
      <w:r w:rsidR="00272B62">
        <w:t>ackno</w:t>
      </w:r>
      <w:r w:rsidR="00D97EE5">
        <w:t>w</w:t>
      </w:r>
      <w:r w:rsidR="00332556">
        <w:t xml:space="preserve">ledges the contributions to the </w:t>
      </w:r>
      <w:r w:rsidR="00E8024E">
        <w:t>development of the Report made by Extractiv</w:t>
      </w:r>
      <w:r w:rsidR="00CD5553">
        <w:t>e</w:t>
      </w:r>
      <w:r w:rsidR="002F6486">
        <w:t>s Strategy</w:t>
      </w:r>
      <w:r w:rsidR="00CD5553">
        <w:t xml:space="preserve"> </w:t>
      </w:r>
      <w:r w:rsidR="00E8024E">
        <w:t xml:space="preserve">Taskforce and </w:t>
      </w:r>
      <w:r w:rsidR="005E21D7">
        <w:t>extractive industry operators</w:t>
      </w:r>
      <w:r w:rsidR="00AB5F60">
        <w:t xml:space="preserve"> involved in the project</w:t>
      </w:r>
      <w:r w:rsidR="005E21D7">
        <w:t>.</w:t>
      </w:r>
    </w:p>
    <w:p w14:paraId="32291E7A" w14:textId="6EAA4F77" w:rsidR="006614E4" w:rsidRPr="008D2527" w:rsidRDefault="006614E4" w:rsidP="003055C4">
      <w:pPr>
        <w:pStyle w:val="NoSpacing"/>
        <w:rPr>
          <w:color w:val="FF0000"/>
        </w:rPr>
      </w:pPr>
    </w:p>
    <w:p w14:paraId="6E8303F6" w14:textId="77777777" w:rsidR="00073EF4" w:rsidRDefault="00073EF4" w:rsidP="003214C0">
      <w:pPr>
        <w:pStyle w:val="DisclaimerText"/>
        <w:framePr w:wrap="around"/>
      </w:pPr>
      <w:bookmarkStart w:id="1" w:name="_Hlk131848832"/>
      <w:r>
        <w:rPr>
          <w:noProof/>
        </w:rPr>
        <mc:AlternateContent>
          <mc:Choice Requires="wps">
            <w:drawing>
              <wp:inline distT="0" distB="0" distL="0" distR="0" wp14:anchorId="32459DD4" wp14:editId="33C4A8D4">
                <wp:extent cx="4512215" cy="1476000"/>
                <wp:effectExtent l="0" t="0" r="3175" b="0"/>
                <wp:docPr id="44" name="Freeform: Shape 44" descr="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512215" cy="1476000"/>
                        </a:xfrm>
                        <a:custGeom>
                          <a:avLst/>
                          <a:gdLst>
                            <a:gd name="connsiteX0" fmla="*/ 0 w 3389661"/>
                            <a:gd name="connsiteY0" fmla="*/ 1106043 h 1106043"/>
                            <a:gd name="connsiteX1" fmla="*/ 0 w 3389661"/>
                            <a:gd name="connsiteY1" fmla="*/ 0 h 1106043"/>
                            <a:gd name="connsiteX2" fmla="*/ 3389662 w 3389661"/>
                            <a:gd name="connsiteY2" fmla="*/ 0 h 1106043"/>
                            <a:gd name="connsiteX3" fmla="*/ 2866835 w 3389661"/>
                            <a:gd name="connsiteY3" fmla="*/ 1106043 h 1106043"/>
                            <a:gd name="connsiteX4" fmla="*/ 0 w 3389661"/>
                            <a:gd name="connsiteY4" fmla="*/ 1106043 h 110604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9661" h="1106043">
                              <a:moveTo>
                                <a:pt x="0" y="1106043"/>
                              </a:moveTo>
                              <a:lnTo>
                                <a:pt x="0" y="0"/>
                              </a:lnTo>
                              <a:lnTo>
                                <a:pt x="3389662" y="0"/>
                              </a:lnTo>
                              <a:lnTo>
                                <a:pt x="2866835" y="1106043"/>
                              </a:lnTo>
                              <a:lnTo>
                                <a:pt x="0" y="1106043"/>
                              </a:lnTo>
                              <a:close/>
                            </a:path>
                          </a:pathLst>
                        </a:custGeom>
                        <a:solidFill>
                          <a:schemeClr val="tx2"/>
                        </a:solidFill>
                        <a:ln w="9525" cap="flat">
                          <a:noFill/>
                          <a:prstDash val="solid"/>
                          <a:miter/>
                        </a:ln>
                      </wps:spPr>
                      <wps:txbx>
                        <w:txbxContent>
                          <w:p w14:paraId="522EAC5E"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39778B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4FF449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wps:txbx>
                      <wps:bodyPr rot="0" spcFirstLastPara="0" vertOverflow="overflow" horzOverflow="overflow" vert="horz" wrap="square" lIns="180000" tIns="90000" rIns="504000" bIns="108000" numCol="1" spcCol="0" rtlCol="0" fromWordArt="0" anchor="t" anchorCtr="0" forceAA="0" compatLnSpc="1">
                        <a:prstTxWarp prst="textNoShape">
                          <a:avLst/>
                        </a:prstTxWarp>
                        <a:noAutofit/>
                      </wps:bodyPr>
                    </wps:wsp>
                  </a:graphicData>
                </a:graphic>
              </wp:inline>
            </w:drawing>
          </mc:Choice>
          <mc:Fallback>
            <w:pict>
              <v:shape w14:anchorId="32459DD4" id="Freeform: Shape 44" o:spid="_x0000_s1029" alt="We acknowledge and respect Victorian Traditional Owners as the original custodians of Victoria’s land and waters, their unique ability to care for Country and deep spiritual connection to it.&#10;We honour Elders past and present whose knowledge and wisdom has ensured the continuation of culture and traditional practices.&#10;The Department of Energy, Environment and Climate Action is committed to genuinely partnering with Victorian Traditional Owners and Victoria’s Aboriginal community to progress their aspirations." style="width:355.3pt;height:116.2pt;visibility:visible;mso-wrap-style:square;mso-left-percent:-10001;mso-top-percent:-10001;mso-position-horizontal:absolute;mso-position-horizontal-relative:char;mso-position-vertical:absolute;mso-position-vertical-relative:line;mso-left-percent:-10001;mso-top-percent:-10001;v-text-anchor:top" coordsize="3389661,110604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" adj="-11796480,,5400" path="m,1106043l,,3389662,,2866835,1106043,,1106043xe" fillcolor="#201547 [3215]" stroked="f">
                <v:stroke joinstyle="miter"/>
                <v:formulas/>
                <v:path arrowok="t" o:connecttype="custom" o:connectlocs="0,1476000;0,0;4512216,0;3816245,1476000;0,1476000" o:connectangles="0,0,0,0,0" textboxrect="0,0,3389661,1106043"/>
                <o:lock v:ext="edit" aspectratio="t"/>
                <v:textbox inset="5mm,2.5mm,14mm,3mm">
                  <w:txbxContent>
                    <w:p w14:paraId="522EAC5E" w14:textId="77777777" w:rsidR="001167C6" w:rsidRDefault="001167C6" w:rsidP="001167C6">
                      <w:pPr>
                        <w:pStyle w:val="SmallBodyText"/>
                      </w:pPr>
                      <w:r>
                        <w:t>We acknowledge and respect Victorian Traditional Owners as the original custodians of Victoria’s land and waters, their unique ability to care for Country and deep spiritual connection to it.</w:t>
                      </w:r>
                    </w:p>
                    <w:p w14:paraId="639778B9" w14:textId="77777777" w:rsidR="001167C6" w:rsidRDefault="001167C6" w:rsidP="001167C6">
                      <w:pPr>
                        <w:pStyle w:val="SmallBodyText"/>
                      </w:pPr>
                      <w:r>
                        <w:t xml:space="preserve">We honour Elders past and present whose knowledge and wisdom </w:t>
                      </w:r>
                      <w:r w:rsidR="00E84093">
                        <w:br/>
                      </w:r>
                      <w:r>
                        <w:t>has ensured the continuation of culture and traditional practices.</w:t>
                      </w:r>
                    </w:p>
                    <w:p w14:paraId="44FF4499" w14:textId="77777777" w:rsidR="00073EF4" w:rsidRDefault="00EE4D70" w:rsidP="001167C6">
                      <w:pPr>
                        <w:pStyle w:val="SmallBodyText"/>
                      </w:pPr>
                      <w:r>
                        <w:t>DEECA</w:t>
                      </w:r>
                      <w:r w:rsidR="001167C6">
                        <w:t xml:space="preserve"> is committed to genuinely partnering with Victorian Traditional</w:t>
                      </w:r>
                      <w:r w:rsidR="00201CDB">
                        <w:t> </w:t>
                      </w:r>
                      <w:r w:rsidR="001167C6">
                        <w:t>Owners and Victoria’s Aboriginal community to</w:t>
                      </w:r>
                      <w:r w:rsidR="00201CDB">
                        <w:t> </w:t>
                      </w:r>
                      <w:r w:rsidR="001167C6">
                        <w:t>progress</w:t>
                      </w:r>
                      <w:r w:rsidR="00201CDB">
                        <w:t> </w:t>
                      </w:r>
                      <w:r w:rsidR="001167C6">
                        <w:t>their</w:t>
                      </w:r>
                      <w:r w:rsidR="00201CDB">
                        <w:t> </w:t>
                      </w:r>
                      <w:r w:rsidR="001167C6">
                        <w:t>aspirations.</w:t>
                      </w:r>
                    </w:p>
                  </w:txbxContent>
                </v:textbox>
                <w10:anchorlock/>
              </v:shape>
            </w:pict>
          </mc:Fallback>
        </mc:AlternateContent>
      </w:r>
      <w:r w:rsidR="00A1582B" w:rsidRPr="00A1582B">
        <w:rPr>
          <w:noProof/>
        </w:rPr>
        <w:t xml:space="preserve"> </w:t>
      </w:r>
      <w:r w:rsidR="00A1582B">
        <w:rPr>
          <w:noProof/>
        </w:rPr>
        <w:drawing>
          <wp:anchor distT="0" distB="0" distL="114300" distR="114300" simplePos="0" relativeHeight="251658254" behindDoc="1" locked="1" layoutInCell="1" allowOverlap="1" wp14:anchorId="1A8DAC8D" wp14:editId="48216767">
            <wp:simplePos x="0" y="0"/>
            <wp:positionH relativeFrom="margin">
              <wp:align>right</wp:align>
            </wp:positionH>
            <wp:positionV relativeFrom="paragraph">
              <wp:posOffset>0</wp:posOffset>
            </wp:positionV>
            <wp:extent cx="2296800" cy="1476000"/>
            <wp:effectExtent l="0" t="0" r="8255"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cknowledgement Artwork">
                      <a:extLst>
                        <a:ext uri="{C183D7F6-B498-43B3-948B-1728B52AA6E4}">
                          <adec:decorative xmlns:adec="http://schemas.microsoft.com/office/drawing/2017/decorative" val="1"/>
                        </a:ext>
                      </a:extLst>
                    </pic:cNvPr>
                    <pic:cNvPicPr/>
                  </pic:nvPicPr>
                  <pic:blipFill>
                    <a:blip r:embed="rId40" cstate="print">
                      <a:extLst>
                        <a:ext uri="{28A0092B-C50C-407E-A947-70E740481C1C}">
                          <a14:useLocalDpi xmlns:a14="http://schemas.microsoft.com/office/drawing/2010/main" val="0"/>
                        </a:ext>
                      </a:extLst>
                    </a:blip>
                    <a:stretch>
                      <a:fillRect/>
                    </a:stretch>
                  </pic:blipFill>
                  <pic:spPr>
                    <a:xfrm>
                      <a:off x="0" y="0"/>
                      <a:ext cx="2296800" cy="1476000"/>
                    </a:xfrm>
                    <a:prstGeom prst="rect">
                      <a:avLst/>
                    </a:prstGeom>
                  </pic:spPr>
                </pic:pic>
              </a:graphicData>
            </a:graphic>
            <wp14:sizeRelH relativeFrom="page">
              <wp14:pctWidth>0</wp14:pctWidth>
            </wp14:sizeRelH>
            <wp14:sizeRelV relativeFrom="page">
              <wp14:pctHeight>0</wp14:pctHeight>
            </wp14:sizeRelV>
          </wp:anchor>
        </w:drawing>
      </w:r>
    </w:p>
    <w:p w14:paraId="333BE5CF" w14:textId="4A339A18" w:rsidR="006614E4" w:rsidRPr="006614E4" w:rsidRDefault="006614E4" w:rsidP="00A52913">
      <w:pPr>
        <w:pStyle w:val="DisclaimerTextLeft"/>
        <w:framePr w:wrap="around"/>
      </w:pPr>
      <w:r w:rsidRPr="00576720">
        <w:t>©</w:t>
      </w:r>
      <w:bookmarkStart w:id="2" w:name="_Copyright"/>
      <w:bookmarkEnd w:id="2"/>
      <w:r w:rsidRPr="00576720">
        <w:t xml:space="preserve"> The State </w:t>
      </w:r>
      <w:r w:rsidRPr="006614E4">
        <w:t xml:space="preserve">of Victoria Department of </w:t>
      </w:r>
      <w:r w:rsidR="002A4F2A">
        <w:t xml:space="preserve">Energy, </w:t>
      </w:r>
      <w:r w:rsidRPr="006614E4">
        <w:t>Environment</w:t>
      </w:r>
      <w:r w:rsidR="002A4F2A">
        <w:t xml:space="preserve"> a</w:t>
      </w:r>
      <w:r w:rsidRPr="006614E4">
        <w:t xml:space="preserve">nd </w:t>
      </w:r>
      <w:r w:rsidR="002A4F2A">
        <w:t>Climate Action</w:t>
      </w:r>
      <w:r w:rsidR="00AF08F0">
        <w:t>,</w:t>
      </w:r>
      <w:r w:rsidRPr="006614E4">
        <w:t xml:space="preserve"> </w:t>
      </w:r>
      <w:r w:rsidR="00AF08F0">
        <w:t xml:space="preserve">August </w:t>
      </w:r>
      <w:r w:rsidR="00E438DF">
        <w:t>2023</w:t>
      </w:r>
      <w:r w:rsidR="00F61065">
        <w:t>.</w:t>
      </w:r>
    </w:p>
    <w:p w14:paraId="1BEC1057" w14:textId="77777777" w:rsidR="00740ECE" w:rsidRPr="00C87F39" w:rsidRDefault="00740ECE" w:rsidP="00740ECE">
      <w:pPr>
        <w:pStyle w:val="DisclaimerTextLeftBold"/>
        <w:framePr w:wrap="around"/>
      </w:pPr>
      <w:bookmarkStart w:id="3" w:name="_CreativeCommonsMarker"/>
      <w:bookmarkStart w:id="4" w:name="_CreativeCommonsContent"/>
      <w:bookmarkEnd w:id="1"/>
      <w:bookmarkEnd w:id="3"/>
      <w:r w:rsidRPr="00C87F39">
        <w:t>Creative Commons</w:t>
      </w:r>
    </w:p>
    <w:p w14:paraId="4A3BA0C9" w14:textId="467C83AE" w:rsidR="00740ECE" w:rsidRPr="00973D7E" w:rsidRDefault="00740ECE" w:rsidP="00740ECE">
      <w:pPr>
        <w:pStyle w:val="DisclaimerTextLeft"/>
        <w:framePr w:wrap="around"/>
        <w:rPr>
          <w:rFonts w:ascii="Arial Bold" w:hAnsi="Arial Bold"/>
        </w:rPr>
      </w:pPr>
      <w:r w:rsidRPr="00973D7E">
        <w:t xml:space="preserve">This work is licensed under a Creative Commons Attribution 4.0 International licence, visit the </w:t>
      </w:r>
      <w:hyperlink r:id="rId41" w:tooltip="Creative Commons website" w:history="1">
        <w:r w:rsidRPr="00973D7E">
          <w:rPr>
            <w:rStyle w:val="Hyperlink"/>
            <w:color w:val="232222" w:themeColor="text1"/>
          </w:rPr>
          <w:t>Creative Commons website</w:t>
        </w:r>
      </w:hyperlink>
      <w:r w:rsidRPr="00973D7E">
        <w:t xml:space="preserve"> (</w:t>
      </w:r>
      <w:hyperlink r:id="rId42" w:history="1">
        <w:r w:rsidRPr="00973D7E">
          <w:rPr>
            <w:rStyle w:val="Hyperlink"/>
            <w:color w:val="232222" w:themeColor="text1"/>
            <w:u w:val="none"/>
          </w:rPr>
          <w:t>http://creativecommons.org/licenses/by/4.0/</w:t>
        </w:r>
      </w:hyperlink>
      <w:r w:rsidRPr="00973D7E">
        <w:t>).</w:t>
      </w:r>
    </w:p>
    <w:p w14:paraId="6C942E49" w14:textId="77777777" w:rsidR="00740ECE" w:rsidRDefault="00740ECE" w:rsidP="00740ECE">
      <w:pPr>
        <w:pStyle w:val="DisclaimerTextLeft"/>
        <w:framePr w:wrap="around"/>
      </w:pPr>
      <w:r w:rsidRPr="00973D7E">
        <w:t>You are free to re-use the work under that licence, on the condition that you credit the State of Victoria as author. The licence does not apply to any images, photographs or branding, including the Victorian Coat of Arms, and the Victorian Government and Department logos.</w:t>
      </w:r>
    </w:p>
    <w:p w14:paraId="41226037" w14:textId="678CFD34" w:rsidR="005B4C31" w:rsidRPr="00973D7E" w:rsidRDefault="005B4C31" w:rsidP="00740ECE">
      <w:pPr>
        <w:pStyle w:val="DisclaimerTextLeft"/>
        <w:framePr w:wrap="around"/>
        <w:rPr>
          <w:strike/>
        </w:rPr>
      </w:pPr>
      <w:r>
        <w:rPr>
          <w:rFonts w:ascii="Arial" w:hAnsi="Arial"/>
          <w:b/>
          <w:bCs/>
          <w:color w:val="000000"/>
        </w:rPr>
        <w:t xml:space="preserve">ISBN </w:t>
      </w:r>
      <w:r>
        <w:rPr>
          <w:rFonts w:ascii="Arial" w:hAnsi="Arial"/>
          <w:color w:val="000000"/>
        </w:rPr>
        <w:t xml:space="preserve">978-1-76136-326-9 </w:t>
      </w:r>
      <w:r>
        <w:rPr>
          <w:rFonts w:ascii="Arial" w:hAnsi="Arial"/>
          <w:b/>
          <w:bCs/>
          <w:color w:val="000000"/>
        </w:rPr>
        <w:t>(pdf/online/MS word)</w:t>
      </w:r>
    </w:p>
    <w:bookmarkEnd w:id="4"/>
    <w:p w14:paraId="3283B5D6" w14:textId="77777777" w:rsidR="00233D6B" w:rsidRDefault="00233D6B">
      <w:pPr>
        <w:sectPr w:rsidR="00233D6B" w:rsidSect="0055029B">
          <w:pgSz w:w="11907" w:h="16839" w:code="9"/>
          <w:pgMar w:top="737" w:right="1134" w:bottom="851" w:left="1134" w:header="284" w:footer="284" w:gutter="0"/>
          <w:cols w:space="454"/>
          <w:noEndnote/>
          <w:titlePg/>
          <w:docGrid w:linePitch="360"/>
        </w:sectPr>
      </w:pPr>
    </w:p>
    <w:p w14:paraId="01E3AB9C" w14:textId="77777777" w:rsidR="00233D6B" w:rsidRPr="00F7242A" w:rsidRDefault="00233D6B" w:rsidP="00474212">
      <w:pPr>
        <w:pStyle w:val="TOCHeading"/>
      </w:pPr>
      <w:r w:rsidRPr="00474212">
        <w:lastRenderedPageBreak/>
        <w:t>Contents</w:t>
      </w:r>
      <w:bookmarkStart w:id="5" w:name="_TOCMarker"/>
      <w:bookmarkEnd w:id="5"/>
    </w:p>
    <w:p w14:paraId="199A9CA7" w14:textId="14AAE6C2" w:rsidR="007731AE" w:rsidRDefault="00977F6D">
      <w:pPr>
        <w:pStyle w:val="TOC1"/>
        <w:rPr>
          <w:rFonts w:eastAsiaTheme="minorEastAsia" w:cstheme="minorBidi"/>
          <w:b w:val="0"/>
          <w:color w:val="auto"/>
          <w:kern w:val="2"/>
          <w:lang w:eastAsia="en-GB"/>
          <w14:ligatures w14:val="standardContextual"/>
        </w:rPr>
      </w:pPr>
      <w:r>
        <w:rPr>
          <w:rFonts w:eastAsiaTheme="majorEastAsia"/>
          <w:b w:val="0"/>
        </w:rPr>
        <w:fldChar w:fldCharType="begin"/>
      </w:r>
      <w:r>
        <w:rPr>
          <w:rFonts w:eastAsiaTheme="majorEastAsia"/>
          <w:b w:val="0"/>
        </w:rPr>
        <w:instrText xml:space="preserve"> TOC \o "1-4" \h \z \u \t  </w:instrText>
      </w:r>
      <w:r>
        <w:rPr>
          <w:rFonts w:eastAsiaTheme="majorEastAsia"/>
          <w:b w:val="0"/>
        </w:rPr>
        <w:fldChar w:fldCharType="separate"/>
      </w:r>
      <w:hyperlink w:anchor="_Toc137567761" w:history="1">
        <w:r w:rsidR="007731AE" w:rsidRPr="007063D8">
          <w:rPr>
            <w:rStyle w:val="Hyperlink"/>
          </w:rPr>
          <w:t>Summary</w:t>
        </w:r>
        <w:r w:rsidR="007731AE">
          <w:rPr>
            <w:webHidden/>
          </w:rPr>
          <w:tab/>
        </w:r>
        <w:r w:rsidR="007731AE">
          <w:rPr>
            <w:webHidden/>
          </w:rPr>
          <w:fldChar w:fldCharType="begin"/>
        </w:r>
        <w:r w:rsidR="007731AE">
          <w:rPr>
            <w:webHidden/>
          </w:rPr>
          <w:instrText xml:space="preserve"> PAGEREF _Toc137567761 \h </w:instrText>
        </w:r>
        <w:r w:rsidR="007731AE">
          <w:rPr>
            <w:webHidden/>
          </w:rPr>
        </w:r>
        <w:r w:rsidR="007731AE">
          <w:rPr>
            <w:webHidden/>
          </w:rPr>
          <w:fldChar w:fldCharType="separate"/>
        </w:r>
        <w:r w:rsidR="000154C7">
          <w:rPr>
            <w:webHidden/>
          </w:rPr>
          <w:t>3</w:t>
        </w:r>
        <w:r w:rsidR="007731AE">
          <w:rPr>
            <w:webHidden/>
          </w:rPr>
          <w:fldChar w:fldCharType="end"/>
        </w:r>
      </w:hyperlink>
    </w:p>
    <w:p w14:paraId="5B786608" w14:textId="22D21DFC" w:rsidR="007731AE" w:rsidRDefault="00000000">
      <w:pPr>
        <w:pStyle w:val="TOC1"/>
        <w:tabs>
          <w:tab w:val="left" w:pos="454"/>
        </w:tabs>
        <w:rPr>
          <w:rFonts w:eastAsiaTheme="minorEastAsia" w:cstheme="minorBidi"/>
          <w:b w:val="0"/>
          <w:color w:val="auto"/>
          <w:kern w:val="2"/>
          <w:lang w:eastAsia="en-GB"/>
          <w14:ligatures w14:val="standardContextual"/>
        </w:rPr>
      </w:pPr>
      <w:hyperlink w:anchor="_Toc137567762" w:history="1">
        <w:r w:rsidR="007731AE" w:rsidRPr="007063D8">
          <w:rPr>
            <w:rStyle w:val="Hyperlink"/>
          </w:rPr>
          <w:t>1.</w:t>
        </w:r>
        <w:r w:rsidR="007731AE">
          <w:rPr>
            <w:rFonts w:eastAsiaTheme="minorEastAsia" w:cstheme="minorBidi"/>
            <w:b w:val="0"/>
            <w:color w:val="auto"/>
            <w:kern w:val="2"/>
            <w:lang w:eastAsia="en-GB"/>
            <w14:ligatures w14:val="standardContextual"/>
          </w:rPr>
          <w:tab/>
        </w:r>
        <w:r w:rsidR="007731AE" w:rsidRPr="007063D8">
          <w:rPr>
            <w:rStyle w:val="Hyperlink"/>
          </w:rPr>
          <w:t>Introduction</w:t>
        </w:r>
        <w:r w:rsidR="007731AE">
          <w:rPr>
            <w:webHidden/>
          </w:rPr>
          <w:tab/>
        </w:r>
        <w:r w:rsidR="007731AE">
          <w:rPr>
            <w:webHidden/>
          </w:rPr>
          <w:fldChar w:fldCharType="begin"/>
        </w:r>
        <w:r w:rsidR="007731AE">
          <w:rPr>
            <w:webHidden/>
          </w:rPr>
          <w:instrText xml:space="preserve"> PAGEREF _Toc137567762 \h </w:instrText>
        </w:r>
        <w:r w:rsidR="007731AE">
          <w:rPr>
            <w:webHidden/>
          </w:rPr>
        </w:r>
        <w:r w:rsidR="007731AE">
          <w:rPr>
            <w:webHidden/>
          </w:rPr>
          <w:fldChar w:fldCharType="separate"/>
        </w:r>
        <w:r w:rsidR="000154C7">
          <w:rPr>
            <w:webHidden/>
          </w:rPr>
          <w:t>6</w:t>
        </w:r>
        <w:r w:rsidR="007731AE">
          <w:rPr>
            <w:webHidden/>
          </w:rPr>
          <w:fldChar w:fldCharType="end"/>
        </w:r>
      </w:hyperlink>
    </w:p>
    <w:p w14:paraId="34EF1B4F" w14:textId="14322F0F" w:rsidR="007731AE" w:rsidRDefault="00000000">
      <w:pPr>
        <w:pStyle w:val="TOC2"/>
        <w:rPr>
          <w:rFonts w:eastAsiaTheme="minorEastAsia" w:cstheme="minorBidi"/>
          <w:color w:val="auto"/>
          <w:kern w:val="2"/>
          <w:sz w:val="24"/>
          <w:szCs w:val="24"/>
          <w:lang w:eastAsia="en-GB"/>
          <w14:ligatures w14:val="standardContextual"/>
        </w:rPr>
      </w:pPr>
      <w:hyperlink w:anchor="_Toc137567763" w:history="1">
        <w:r w:rsidR="007731AE" w:rsidRPr="007063D8">
          <w:rPr>
            <w:rStyle w:val="Hyperlink"/>
          </w:rPr>
          <w:t>1.1 Problem statement and project scope</w:t>
        </w:r>
        <w:r w:rsidR="007731AE">
          <w:rPr>
            <w:webHidden/>
          </w:rPr>
          <w:tab/>
        </w:r>
        <w:r w:rsidR="007731AE">
          <w:rPr>
            <w:webHidden/>
          </w:rPr>
          <w:fldChar w:fldCharType="begin"/>
        </w:r>
        <w:r w:rsidR="007731AE">
          <w:rPr>
            <w:webHidden/>
          </w:rPr>
          <w:instrText xml:space="preserve"> PAGEREF _Toc137567763 \h </w:instrText>
        </w:r>
        <w:r w:rsidR="007731AE">
          <w:rPr>
            <w:webHidden/>
          </w:rPr>
        </w:r>
        <w:r w:rsidR="007731AE">
          <w:rPr>
            <w:webHidden/>
          </w:rPr>
          <w:fldChar w:fldCharType="separate"/>
        </w:r>
        <w:r w:rsidR="000154C7">
          <w:rPr>
            <w:webHidden/>
          </w:rPr>
          <w:t>6</w:t>
        </w:r>
        <w:r w:rsidR="007731AE">
          <w:rPr>
            <w:webHidden/>
          </w:rPr>
          <w:fldChar w:fldCharType="end"/>
        </w:r>
      </w:hyperlink>
    </w:p>
    <w:p w14:paraId="53F77220" w14:textId="2497F940" w:rsidR="007731AE" w:rsidRDefault="00000000">
      <w:pPr>
        <w:pStyle w:val="TOC2"/>
        <w:rPr>
          <w:rFonts w:eastAsiaTheme="minorEastAsia" w:cstheme="minorBidi"/>
          <w:color w:val="auto"/>
          <w:kern w:val="2"/>
          <w:sz w:val="24"/>
          <w:szCs w:val="24"/>
          <w:lang w:eastAsia="en-GB"/>
          <w14:ligatures w14:val="standardContextual"/>
        </w:rPr>
      </w:pPr>
      <w:hyperlink w:anchor="_Toc137567764" w:history="1">
        <w:r w:rsidR="007731AE" w:rsidRPr="007063D8">
          <w:rPr>
            <w:rStyle w:val="Hyperlink"/>
          </w:rPr>
          <w:t>1.2 Extractive materials</w:t>
        </w:r>
        <w:r w:rsidR="007731AE">
          <w:rPr>
            <w:webHidden/>
          </w:rPr>
          <w:tab/>
        </w:r>
        <w:r w:rsidR="007731AE">
          <w:rPr>
            <w:webHidden/>
          </w:rPr>
          <w:fldChar w:fldCharType="begin"/>
        </w:r>
        <w:r w:rsidR="007731AE">
          <w:rPr>
            <w:webHidden/>
          </w:rPr>
          <w:instrText xml:space="preserve"> PAGEREF _Toc137567764 \h </w:instrText>
        </w:r>
        <w:r w:rsidR="007731AE">
          <w:rPr>
            <w:webHidden/>
          </w:rPr>
        </w:r>
        <w:r w:rsidR="007731AE">
          <w:rPr>
            <w:webHidden/>
          </w:rPr>
          <w:fldChar w:fldCharType="separate"/>
        </w:r>
        <w:r w:rsidR="000154C7">
          <w:rPr>
            <w:webHidden/>
          </w:rPr>
          <w:t>7</w:t>
        </w:r>
        <w:r w:rsidR="007731AE">
          <w:rPr>
            <w:webHidden/>
          </w:rPr>
          <w:fldChar w:fldCharType="end"/>
        </w:r>
      </w:hyperlink>
    </w:p>
    <w:p w14:paraId="56E219F4" w14:textId="7767C89A" w:rsidR="007731AE" w:rsidRDefault="00000000">
      <w:pPr>
        <w:pStyle w:val="TOC3"/>
        <w:rPr>
          <w:b w:val="0"/>
          <w:color w:val="auto"/>
          <w:kern w:val="2"/>
          <w:sz w:val="24"/>
          <w:szCs w:val="24"/>
          <w:lang w:eastAsia="en-GB"/>
          <w14:ligatures w14:val="standardContextual"/>
        </w:rPr>
      </w:pPr>
      <w:hyperlink w:anchor="_Toc137567765" w:history="1">
        <w:r w:rsidR="007731AE" w:rsidRPr="007063D8">
          <w:rPr>
            <w:rStyle w:val="Hyperlink"/>
          </w:rPr>
          <w:t>What are extractive materials and what are they used for</w:t>
        </w:r>
        <w:r w:rsidR="007731AE" w:rsidRPr="007063D8">
          <w:rPr>
            <w:rStyle w:val="Hyperlink"/>
            <w:rFonts w:cstheme="minorHAnsi"/>
          </w:rPr>
          <w:t>?</w:t>
        </w:r>
        <w:r w:rsidR="007731AE">
          <w:rPr>
            <w:webHidden/>
          </w:rPr>
          <w:tab/>
        </w:r>
        <w:r w:rsidR="007731AE">
          <w:rPr>
            <w:webHidden/>
          </w:rPr>
          <w:fldChar w:fldCharType="begin"/>
        </w:r>
        <w:r w:rsidR="007731AE">
          <w:rPr>
            <w:webHidden/>
          </w:rPr>
          <w:instrText xml:space="preserve"> PAGEREF _Toc137567765 \h </w:instrText>
        </w:r>
        <w:r w:rsidR="007731AE">
          <w:rPr>
            <w:webHidden/>
          </w:rPr>
        </w:r>
        <w:r w:rsidR="007731AE">
          <w:rPr>
            <w:webHidden/>
          </w:rPr>
          <w:fldChar w:fldCharType="separate"/>
        </w:r>
        <w:r w:rsidR="000154C7">
          <w:rPr>
            <w:webHidden/>
          </w:rPr>
          <w:t>7</w:t>
        </w:r>
        <w:r w:rsidR="007731AE">
          <w:rPr>
            <w:webHidden/>
          </w:rPr>
          <w:fldChar w:fldCharType="end"/>
        </w:r>
      </w:hyperlink>
    </w:p>
    <w:p w14:paraId="3B0A87CC" w14:textId="65617C8E" w:rsidR="007731AE" w:rsidRDefault="00000000">
      <w:pPr>
        <w:pStyle w:val="TOC3"/>
        <w:rPr>
          <w:b w:val="0"/>
          <w:color w:val="auto"/>
          <w:kern w:val="2"/>
          <w:sz w:val="24"/>
          <w:szCs w:val="24"/>
          <w:lang w:eastAsia="en-GB"/>
          <w14:ligatures w14:val="standardContextual"/>
        </w:rPr>
      </w:pPr>
      <w:hyperlink w:anchor="_Toc137567766" w:history="1">
        <w:r w:rsidR="007731AE" w:rsidRPr="007063D8">
          <w:rPr>
            <w:rStyle w:val="Hyperlink"/>
          </w:rPr>
          <w:t>Hard rock</w:t>
        </w:r>
        <w:r w:rsidR="007731AE">
          <w:rPr>
            <w:webHidden/>
          </w:rPr>
          <w:tab/>
        </w:r>
        <w:r w:rsidR="007731AE">
          <w:rPr>
            <w:webHidden/>
          </w:rPr>
          <w:fldChar w:fldCharType="begin"/>
        </w:r>
        <w:r w:rsidR="007731AE">
          <w:rPr>
            <w:webHidden/>
          </w:rPr>
          <w:instrText xml:space="preserve"> PAGEREF _Toc137567766 \h </w:instrText>
        </w:r>
        <w:r w:rsidR="007731AE">
          <w:rPr>
            <w:webHidden/>
          </w:rPr>
        </w:r>
        <w:r w:rsidR="007731AE">
          <w:rPr>
            <w:webHidden/>
          </w:rPr>
          <w:fldChar w:fldCharType="separate"/>
        </w:r>
        <w:r w:rsidR="000154C7">
          <w:rPr>
            <w:webHidden/>
          </w:rPr>
          <w:t>7</w:t>
        </w:r>
        <w:r w:rsidR="007731AE">
          <w:rPr>
            <w:webHidden/>
          </w:rPr>
          <w:fldChar w:fldCharType="end"/>
        </w:r>
      </w:hyperlink>
    </w:p>
    <w:p w14:paraId="1E087501" w14:textId="20ACFBAC" w:rsidR="007731AE" w:rsidRDefault="00000000">
      <w:pPr>
        <w:pStyle w:val="TOC3"/>
        <w:rPr>
          <w:b w:val="0"/>
          <w:color w:val="auto"/>
          <w:kern w:val="2"/>
          <w:sz w:val="24"/>
          <w:szCs w:val="24"/>
          <w:lang w:eastAsia="en-GB"/>
          <w14:ligatures w14:val="standardContextual"/>
        </w:rPr>
      </w:pPr>
      <w:hyperlink w:anchor="_Toc137567767" w:history="1">
        <w:r w:rsidR="007731AE" w:rsidRPr="007063D8">
          <w:rPr>
            <w:rStyle w:val="Hyperlink"/>
          </w:rPr>
          <w:t>Sand and gravel</w:t>
        </w:r>
        <w:r w:rsidR="007731AE">
          <w:rPr>
            <w:webHidden/>
          </w:rPr>
          <w:tab/>
        </w:r>
        <w:r w:rsidR="007731AE">
          <w:rPr>
            <w:webHidden/>
          </w:rPr>
          <w:fldChar w:fldCharType="begin"/>
        </w:r>
        <w:r w:rsidR="007731AE">
          <w:rPr>
            <w:webHidden/>
          </w:rPr>
          <w:instrText xml:space="preserve"> PAGEREF _Toc137567767 \h </w:instrText>
        </w:r>
        <w:r w:rsidR="007731AE">
          <w:rPr>
            <w:webHidden/>
          </w:rPr>
        </w:r>
        <w:r w:rsidR="007731AE">
          <w:rPr>
            <w:webHidden/>
          </w:rPr>
          <w:fldChar w:fldCharType="separate"/>
        </w:r>
        <w:r w:rsidR="000154C7">
          <w:rPr>
            <w:webHidden/>
          </w:rPr>
          <w:t>7</w:t>
        </w:r>
        <w:r w:rsidR="007731AE">
          <w:rPr>
            <w:webHidden/>
          </w:rPr>
          <w:fldChar w:fldCharType="end"/>
        </w:r>
      </w:hyperlink>
    </w:p>
    <w:p w14:paraId="457D5D50" w14:textId="53A2F01C" w:rsidR="007731AE" w:rsidRDefault="00000000">
      <w:pPr>
        <w:pStyle w:val="TOC3"/>
        <w:rPr>
          <w:b w:val="0"/>
          <w:color w:val="auto"/>
          <w:kern w:val="2"/>
          <w:sz w:val="24"/>
          <w:szCs w:val="24"/>
          <w:lang w:eastAsia="en-GB"/>
          <w14:ligatures w14:val="standardContextual"/>
        </w:rPr>
      </w:pPr>
      <w:hyperlink w:anchor="_Toc137567768" w:history="1">
        <w:r w:rsidR="007731AE" w:rsidRPr="007063D8">
          <w:rPr>
            <w:rStyle w:val="Hyperlink"/>
          </w:rPr>
          <w:t>Clay</w:t>
        </w:r>
        <w:r w:rsidR="007731AE">
          <w:rPr>
            <w:webHidden/>
          </w:rPr>
          <w:tab/>
        </w:r>
        <w:r w:rsidR="007731AE">
          <w:rPr>
            <w:webHidden/>
          </w:rPr>
          <w:fldChar w:fldCharType="begin"/>
        </w:r>
        <w:r w:rsidR="007731AE">
          <w:rPr>
            <w:webHidden/>
          </w:rPr>
          <w:instrText xml:space="preserve"> PAGEREF _Toc137567768 \h </w:instrText>
        </w:r>
        <w:r w:rsidR="007731AE">
          <w:rPr>
            <w:webHidden/>
          </w:rPr>
        </w:r>
        <w:r w:rsidR="007731AE">
          <w:rPr>
            <w:webHidden/>
          </w:rPr>
          <w:fldChar w:fldCharType="separate"/>
        </w:r>
        <w:r w:rsidR="000154C7">
          <w:rPr>
            <w:webHidden/>
          </w:rPr>
          <w:t>8</w:t>
        </w:r>
        <w:r w:rsidR="007731AE">
          <w:rPr>
            <w:webHidden/>
          </w:rPr>
          <w:fldChar w:fldCharType="end"/>
        </w:r>
      </w:hyperlink>
    </w:p>
    <w:p w14:paraId="75719782" w14:textId="01E80571" w:rsidR="007731AE" w:rsidRDefault="00000000">
      <w:pPr>
        <w:pStyle w:val="TOC3"/>
        <w:rPr>
          <w:b w:val="0"/>
          <w:color w:val="auto"/>
          <w:kern w:val="2"/>
          <w:sz w:val="24"/>
          <w:szCs w:val="24"/>
          <w:lang w:eastAsia="en-GB"/>
          <w14:ligatures w14:val="standardContextual"/>
        </w:rPr>
      </w:pPr>
      <w:hyperlink w:anchor="_Toc137567769" w:history="1">
        <w:r w:rsidR="007731AE" w:rsidRPr="007063D8">
          <w:rPr>
            <w:rStyle w:val="Hyperlink"/>
          </w:rPr>
          <w:t>Clay shale</w:t>
        </w:r>
        <w:r w:rsidR="007731AE">
          <w:rPr>
            <w:webHidden/>
          </w:rPr>
          <w:tab/>
        </w:r>
        <w:r w:rsidR="007731AE">
          <w:rPr>
            <w:webHidden/>
          </w:rPr>
          <w:fldChar w:fldCharType="begin"/>
        </w:r>
        <w:r w:rsidR="007731AE">
          <w:rPr>
            <w:webHidden/>
          </w:rPr>
          <w:instrText xml:space="preserve"> PAGEREF _Toc137567769 \h </w:instrText>
        </w:r>
        <w:r w:rsidR="007731AE">
          <w:rPr>
            <w:webHidden/>
          </w:rPr>
        </w:r>
        <w:r w:rsidR="007731AE">
          <w:rPr>
            <w:webHidden/>
          </w:rPr>
          <w:fldChar w:fldCharType="separate"/>
        </w:r>
        <w:r w:rsidR="000154C7">
          <w:rPr>
            <w:webHidden/>
          </w:rPr>
          <w:t>8</w:t>
        </w:r>
        <w:r w:rsidR="007731AE">
          <w:rPr>
            <w:webHidden/>
          </w:rPr>
          <w:fldChar w:fldCharType="end"/>
        </w:r>
      </w:hyperlink>
    </w:p>
    <w:p w14:paraId="21CE4114" w14:textId="60D0B396" w:rsidR="007731AE" w:rsidRDefault="00000000">
      <w:pPr>
        <w:pStyle w:val="TOC3"/>
        <w:rPr>
          <w:b w:val="0"/>
          <w:color w:val="auto"/>
          <w:kern w:val="2"/>
          <w:sz w:val="24"/>
          <w:szCs w:val="24"/>
          <w:lang w:eastAsia="en-GB"/>
          <w14:ligatures w14:val="standardContextual"/>
        </w:rPr>
      </w:pPr>
      <w:hyperlink w:anchor="_Toc137567770" w:history="1">
        <w:r w:rsidR="007731AE" w:rsidRPr="007063D8">
          <w:rPr>
            <w:rStyle w:val="Hyperlink"/>
          </w:rPr>
          <w:t>Limestone</w:t>
        </w:r>
        <w:r w:rsidR="007731AE">
          <w:rPr>
            <w:webHidden/>
          </w:rPr>
          <w:tab/>
        </w:r>
        <w:r w:rsidR="007731AE">
          <w:rPr>
            <w:webHidden/>
          </w:rPr>
          <w:fldChar w:fldCharType="begin"/>
        </w:r>
        <w:r w:rsidR="007731AE">
          <w:rPr>
            <w:webHidden/>
          </w:rPr>
          <w:instrText xml:space="preserve"> PAGEREF _Toc137567770 \h </w:instrText>
        </w:r>
        <w:r w:rsidR="007731AE">
          <w:rPr>
            <w:webHidden/>
          </w:rPr>
        </w:r>
        <w:r w:rsidR="007731AE">
          <w:rPr>
            <w:webHidden/>
          </w:rPr>
          <w:fldChar w:fldCharType="separate"/>
        </w:r>
        <w:r w:rsidR="000154C7">
          <w:rPr>
            <w:webHidden/>
          </w:rPr>
          <w:t>8</w:t>
        </w:r>
        <w:r w:rsidR="007731AE">
          <w:rPr>
            <w:webHidden/>
          </w:rPr>
          <w:fldChar w:fldCharType="end"/>
        </w:r>
      </w:hyperlink>
    </w:p>
    <w:p w14:paraId="00A350A5" w14:textId="5D2DBDBC" w:rsidR="007731AE" w:rsidRDefault="00000000">
      <w:pPr>
        <w:pStyle w:val="TOC3"/>
        <w:rPr>
          <w:b w:val="0"/>
          <w:color w:val="auto"/>
          <w:kern w:val="2"/>
          <w:sz w:val="24"/>
          <w:szCs w:val="24"/>
          <w:lang w:eastAsia="en-GB"/>
          <w14:ligatures w14:val="standardContextual"/>
        </w:rPr>
      </w:pPr>
      <w:hyperlink w:anchor="_Toc137567771" w:history="1">
        <w:r w:rsidR="007731AE" w:rsidRPr="007063D8">
          <w:rPr>
            <w:rStyle w:val="Hyperlink"/>
          </w:rPr>
          <w:t>Recycled materials</w:t>
        </w:r>
        <w:r w:rsidR="007731AE">
          <w:rPr>
            <w:webHidden/>
          </w:rPr>
          <w:tab/>
        </w:r>
        <w:r w:rsidR="007731AE">
          <w:rPr>
            <w:webHidden/>
          </w:rPr>
          <w:fldChar w:fldCharType="begin"/>
        </w:r>
        <w:r w:rsidR="007731AE">
          <w:rPr>
            <w:webHidden/>
          </w:rPr>
          <w:instrText xml:space="preserve"> PAGEREF _Toc137567771 \h </w:instrText>
        </w:r>
        <w:r w:rsidR="007731AE">
          <w:rPr>
            <w:webHidden/>
          </w:rPr>
        </w:r>
        <w:r w:rsidR="007731AE">
          <w:rPr>
            <w:webHidden/>
          </w:rPr>
          <w:fldChar w:fldCharType="separate"/>
        </w:r>
        <w:r w:rsidR="000154C7">
          <w:rPr>
            <w:webHidden/>
          </w:rPr>
          <w:t>8</w:t>
        </w:r>
        <w:r w:rsidR="007731AE">
          <w:rPr>
            <w:webHidden/>
          </w:rPr>
          <w:fldChar w:fldCharType="end"/>
        </w:r>
      </w:hyperlink>
    </w:p>
    <w:p w14:paraId="14597C25" w14:textId="038B7E25" w:rsidR="007731AE" w:rsidRDefault="00000000">
      <w:pPr>
        <w:pStyle w:val="TOC3"/>
        <w:rPr>
          <w:b w:val="0"/>
          <w:color w:val="auto"/>
          <w:kern w:val="2"/>
          <w:sz w:val="24"/>
          <w:szCs w:val="24"/>
          <w:lang w:eastAsia="en-GB"/>
          <w14:ligatures w14:val="standardContextual"/>
        </w:rPr>
      </w:pPr>
      <w:hyperlink w:anchor="_Toc137567772" w:history="1">
        <w:r w:rsidR="007731AE" w:rsidRPr="007063D8">
          <w:rPr>
            <w:rStyle w:val="Hyperlink"/>
          </w:rPr>
          <w:t>Factors influencing the supply of raw materials</w:t>
        </w:r>
        <w:r w:rsidR="007731AE">
          <w:rPr>
            <w:webHidden/>
          </w:rPr>
          <w:tab/>
        </w:r>
        <w:r w:rsidR="007731AE">
          <w:rPr>
            <w:webHidden/>
          </w:rPr>
          <w:fldChar w:fldCharType="begin"/>
        </w:r>
        <w:r w:rsidR="007731AE">
          <w:rPr>
            <w:webHidden/>
          </w:rPr>
          <w:instrText xml:space="preserve"> PAGEREF _Toc137567772 \h </w:instrText>
        </w:r>
        <w:r w:rsidR="007731AE">
          <w:rPr>
            <w:webHidden/>
          </w:rPr>
        </w:r>
        <w:r w:rsidR="007731AE">
          <w:rPr>
            <w:webHidden/>
          </w:rPr>
          <w:fldChar w:fldCharType="separate"/>
        </w:r>
        <w:r w:rsidR="000154C7">
          <w:rPr>
            <w:webHidden/>
          </w:rPr>
          <w:t>8</w:t>
        </w:r>
        <w:r w:rsidR="007731AE">
          <w:rPr>
            <w:webHidden/>
          </w:rPr>
          <w:fldChar w:fldCharType="end"/>
        </w:r>
      </w:hyperlink>
    </w:p>
    <w:p w14:paraId="47FC65BE" w14:textId="6CDB39AE" w:rsidR="007731AE" w:rsidRDefault="00000000">
      <w:pPr>
        <w:pStyle w:val="TOC2"/>
        <w:rPr>
          <w:rFonts w:eastAsiaTheme="minorEastAsia" w:cstheme="minorBidi"/>
          <w:color w:val="auto"/>
          <w:kern w:val="2"/>
          <w:sz w:val="24"/>
          <w:szCs w:val="24"/>
          <w:lang w:eastAsia="en-GB"/>
          <w14:ligatures w14:val="standardContextual"/>
        </w:rPr>
      </w:pPr>
      <w:hyperlink w:anchor="_Toc137567773" w:history="1">
        <w:r w:rsidR="007731AE" w:rsidRPr="007063D8">
          <w:rPr>
            <w:rStyle w:val="Hyperlink"/>
          </w:rPr>
          <w:t>1.3 Market analysis</w:t>
        </w:r>
        <w:r w:rsidR="007731AE">
          <w:rPr>
            <w:webHidden/>
          </w:rPr>
          <w:tab/>
        </w:r>
        <w:r w:rsidR="007731AE">
          <w:rPr>
            <w:webHidden/>
          </w:rPr>
          <w:fldChar w:fldCharType="begin"/>
        </w:r>
        <w:r w:rsidR="007731AE">
          <w:rPr>
            <w:webHidden/>
          </w:rPr>
          <w:instrText xml:space="preserve"> PAGEREF _Toc137567773 \h </w:instrText>
        </w:r>
        <w:r w:rsidR="007731AE">
          <w:rPr>
            <w:webHidden/>
          </w:rPr>
        </w:r>
        <w:r w:rsidR="007731AE">
          <w:rPr>
            <w:webHidden/>
          </w:rPr>
          <w:fldChar w:fldCharType="separate"/>
        </w:r>
        <w:r w:rsidR="000154C7">
          <w:rPr>
            <w:webHidden/>
          </w:rPr>
          <w:t>9</w:t>
        </w:r>
        <w:r w:rsidR="007731AE">
          <w:rPr>
            <w:webHidden/>
          </w:rPr>
          <w:fldChar w:fldCharType="end"/>
        </w:r>
      </w:hyperlink>
    </w:p>
    <w:p w14:paraId="38D8083F" w14:textId="18B5118A" w:rsidR="007731AE" w:rsidRDefault="00000000">
      <w:pPr>
        <w:pStyle w:val="TOC3"/>
        <w:rPr>
          <w:b w:val="0"/>
          <w:color w:val="auto"/>
          <w:kern w:val="2"/>
          <w:sz w:val="24"/>
          <w:szCs w:val="24"/>
          <w:lang w:eastAsia="en-GB"/>
          <w14:ligatures w14:val="standardContextual"/>
        </w:rPr>
      </w:pPr>
      <w:hyperlink w:anchor="_Toc137567774" w:history="1">
        <w:r w:rsidR="007731AE" w:rsidRPr="007063D8">
          <w:rPr>
            <w:rStyle w:val="Hyperlink"/>
          </w:rPr>
          <w:t>Previous Supply Demand Study</w:t>
        </w:r>
        <w:r w:rsidR="007731AE">
          <w:rPr>
            <w:webHidden/>
          </w:rPr>
          <w:tab/>
        </w:r>
        <w:r w:rsidR="007731AE">
          <w:rPr>
            <w:webHidden/>
          </w:rPr>
          <w:fldChar w:fldCharType="begin"/>
        </w:r>
        <w:r w:rsidR="007731AE">
          <w:rPr>
            <w:webHidden/>
          </w:rPr>
          <w:instrText xml:space="preserve"> PAGEREF _Toc137567774 \h </w:instrText>
        </w:r>
        <w:r w:rsidR="007731AE">
          <w:rPr>
            <w:webHidden/>
          </w:rPr>
        </w:r>
        <w:r w:rsidR="007731AE">
          <w:rPr>
            <w:webHidden/>
          </w:rPr>
          <w:fldChar w:fldCharType="separate"/>
        </w:r>
        <w:r w:rsidR="000154C7">
          <w:rPr>
            <w:webHidden/>
          </w:rPr>
          <w:t>9</w:t>
        </w:r>
        <w:r w:rsidR="007731AE">
          <w:rPr>
            <w:webHidden/>
          </w:rPr>
          <w:fldChar w:fldCharType="end"/>
        </w:r>
      </w:hyperlink>
    </w:p>
    <w:p w14:paraId="52C12F5A" w14:textId="2FD74C06" w:rsidR="007731AE" w:rsidRDefault="00000000">
      <w:pPr>
        <w:pStyle w:val="TOC3"/>
        <w:rPr>
          <w:b w:val="0"/>
          <w:color w:val="auto"/>
          <w:kern w:val="2"/>
          <w:sz w:val="24"/>
          <w:szCs w:val="24"/>
          <w:lang w:eastAsia="en-GB"/>
          <w14:ligatures w14:val="standardContextual"/>
        </w:rPr>
      </w:pPr>
      <w:hyperlink w:anchor="_Toc137567775" w:history="1">
        <w:r w:rsidR="007731AE" w:rsidRPr="007063D8">
          <w:rPr>
            <w:rStyle w:val="Hyperlink"/>
          </w:rPr>
          <w:t>Recent Demand Changes</w:t>
        </w:r>
        <w:r w:rsidR="007731AE">
          <w:rPr>
            <w:webHidden/>
          </w:rPr>
          <w:tab/>
        </w:r>
        <w:r w:rsidR="007731AE">
          <w:rPr>
            <w:webHidden/>
          </w:rPr>
          <w:fldChar w:fldCharType="begin"/>
        </w:r>
        <w:r w:rsidR="007731AE">
          <w:rPr>
            <w:webHidden/>
          </w:rPr>
          <w:instrText xml:space="preserve"> PAGEREF _Toc137567775 \h </w:instrText>
        </w:r>
        <w:r w:rsidR="007731AE">
          <w:rPr>
            <w:webHidden/>
          </w:rPr>
        </w:r>
        <w:r w:rsidR="007731AE">
          <w:rPr>
            <w:webHidden/>
          </w:rPr>
          <w:fldChar w:fldCharType="separate"/>
        </w:r>
        <w:r w:rsidR="000154C7">
          <w:rPr>
            <w:webHidden/>
          </w:rPr>
          <w:t>9</w:t>
        </w:r>
        <w:r w:rsidR="007731AE">
          <w:rPr>
            <w:webHidden/>
          </w:rPr>
          <w:fldChar w:fldCharType="end"/>
        </w:r>
      </w:hyperlink>
    </w:p>
    <w:p w14:paraId="58428110" w14:textId="2D9F60ED" w:rsidR="007731AE" w:rsidRDefault="00000000">
      <w:pPr>
        <w:pStyle w:val="TOC3"/>
        <w:rPr>
          <w:b w:val="0"/>
          <w:color w:val="auto"/>
          <w:kern w:val="2"/>
          <w:sz w:val="24"/>
          <w:szCs w:val="24"/>
          <w:lang w:eastAsia="en-GB"/>
          <w14:ligatures w14:val="standardContextual"/>
        </w:rPr>
      </w:pPr>
      <w:hyperlink w:anchor="_Toc137567776" w:history="1">
        <w:r w:rsidR="007731AE" w:rsidRPr="007063D8">
          <w:rPr>
            <w:rStyle w:val="Hyperlink"/>
          </w:rPr>
          <w:t>Recent production changes</w:t>
        </w:r>
        <w:r w:rsidR="007731AE">
          <w:rPr>
            <w:webHidden/>
          </w:rPr>
          <w:tab/>
        </w:r>
        <w:r w:rsidR="007731AE">
          <w:rPr>
            <w:webHidden/>
          </w:rPr>
          <w:fldChar w:fldCharType="begin"/>
        </w:r>
        <w:r w:rsidR="007731AE">
          <w:rPr>
            <w:webHidden/>
          </w:rPr>
          <w:instrText xml:space="preserve"> PAGEREF _Toc137567776 \h </w:instrText>
        </w:r>
        <w:r w:rsidR="007731AE">
          <w:rPr>
            <w:webHidden/>
          </w:rPr>
        </w:r>
        <w:r w:rsidR="007731AE">
          <w:rPr>
            <w:webHidden/>
          </w:rPr>
          <w:fldChar w:fldCharType="separate"/>
        </w:r>
        <w:r w:rsidR="000154C7">
          <w:rPr>
            <w:webHidden/>
          </w:rPr>
          <w:t>10</w:t>
        </w:r>
        <w:r w:rsidR="007731AE">
          <w:rPr>
            <w:webHidden/>
          </w:rPr>
          <w:fldChar w:fldCharType="end"/>
        </w:r>
      </w:hyperlink>
    </w:p>
    <w:p w14:paraId="0A5E15D6" w14:textId="42401824" w:rsidR="007731AE" w:rsidRDefault="00000000">
      <w:pPr>
        <w:pStyle w:val="TOC3"/>
        <w:rPr>
          <w:b w:val="0"/>
          <w:color w:val="auto"/>
          <w:kern w:val="2"/>
          <w:sz w:val="24"/>
          <w:szCs w:val="24"/>
          <w:lang w:eastAsia="en-GB"/>
          <w14:ligatures w14:val="standardContextual"/>
        </w:rPr>
      </w:pPr>
      <w:hyperlink w:anchor="_Toc137567777" w:history="1">
        <w:r w:rsidR="007731AE" w:rsidRPr="007063D8">
          <w:rPr>
            <w:rStyle w:val="Hyperlink"/>
          </w:rPr>
          <w:t>Drivers of Victorian demand</w:t>
        </w:r>
        <w:r w:rsidR="007731AE">
          <w:rPr>
            <w:webHidden/>
          </w:rPr>
          <w:tab/>
        </w:r>
        <w:r w:rsidR="007731AE">
          <w:rPr>
            <w:webHidden/>
          </w:rPr>
          <w:fldChar w:fldCharType="begin"/>
        </w:r>
        <w:r w:rsidR="007731AE">
          <w:rPr>
            <w:webHidden/>
          </w:rPr>
          <w:instrText xml:space="preserve"> PAGEREF _Toc137567777 \h </w:instrText>
        </w:r>
        <w:r w:rsidR="007731AE">
          <w:rPr>
            <w:webHidden/>
          </w:rPr>
        </w:r>
        <w:r w:rsidR="007731AE">
          <w:rPr>
            <w:webHidden/>
          </w:rPr>
          <w:fldChar w:fldCharType="separate"/>
        </w:r>
        <w:r w:rsidR="000154C7">
          <w:rPr>
            <w:webHidden/>
          </w:rPr>
          <w:t>11</w:t>
        </w:r>
        <w:r w:rsidR="007731AE">
          <w:rPr>
            <w:webHidden/>
          </w:rPr>
          <w:fldChar w:fldCharType="end"/>
        </w:r>
      </w:hyperlink>
    </w:p>
    <w:p w14:paraId="5678701B" w14:textId="62D33544" w:rsidR="007731AE" w:rsidRDefault="00000000">
      <w:pPr>
        <w:pStyle w:val="TOC3"/>
        <w:rPr>
          <w:b w:val="0"/>
          <w:color w:val="auto"/>
          <w:kern w:val="2"/>
          <w:sz w:val="24"/>
          <w:szCs w:val="24"/>
          <w:lang w:eastAsia="en-GB"/>
          <w14:ligatures w14:val="standardContextual"/>
        </w:rPr>
      </w:pPr>
      <w:hyperlink w:anchor="_Toc137567778" w:history="1">
        <w:r w:rsidR="007731AE" w:rsidRPr="007063D8">
          <w:rPr>
            <w:rStyle w:val="Hyperlink"/>
          </w:rPr>
          <w:t>Current production figures, by rock category</w:t>
        </w:r>
        <w:r w:rsidR="007731AE">
          <w:rPr>
            <w:webHidden/>
          </w:rPr>
          <w:tab/>
        </w:r>
        <w:r w:rsidR="007731AE">
          <w:rPr>
            <w:webHidden/>
          </w:rPr>
          <w:fldChar w:fldCharType="begin"/>
        </w:r>
        <w:r w:rsidR="007731AE">
          <w:rPr>
            <w:webHidden/>
          </w:rPr>
          <w:instrText xml:space="preserve"> PAGEREF _Toc137567778 \h </w:instrText>
        </w:r>
        <w:r w:rsidR="007731AE">
          <w:rPr>
            <w:webHidden/>
          </w:rPr>
        </w:r>
        <w:r w:rsidR="007731AE">
          <w:rPr>
            <w:webHidden/>
          </w:rPr>
          <w:fldChar w:fldCharType="separate"/>
        </w:r>
        <w:r w:rsidR="000154C7">
          <w:rPr>
            <w:webHidden/>
          </w:rPr>
          <w:t>11</w:t>
        </w:r>
        <w:r w:rsidR="007731AE">
          <w:rPr>
            <w:webHidden/>
          </w:rPr>
          <w:fldChar w:fldCharType="end"/>
        </w:r>
      </w:hyperlink>
    </w:p>
    <w:p w14:paraId="6571B2F1" w14:textId="73922FE2" w:rsidR="007731AE" w:rsidRDefault="00000000">
      <w:pPr>
        <w:pStyle w:val="TOC3"/>
        <w:rPr>
          <w:b w:val="0"/>
          <w:color w:val="auto"/>
          <w:kern w:val="2"/>
          <w:sz w:val="24"/>
          <w:szCs w:val="24"/>
          <w:lang w:eastAsia="en-GB"/>
          <w14:ligatures w14:val="standardContextual"/>
        </w:rPr>
      </w:pPr>
      <w:hyperlink w:anchor="_Toc137567779" w:history="1">
        <w:r w:rsidR="007731AE" w:rsidRPr="007063D8">
          <w:rPr>
            <w:rStyle w:val="Hyperlink"/>
          </w:rPr>
          <w:t>Coronavirus (COVID-19) pandemic impacts</w:t>
        </w:r>
        <w:r w:rsidR="007731AE">
          <w:rPr>
            <w:webHidden/>
          </w:rPr>
          <w:tab/>
        </w:r>
        <w:r w:rsidR="007731AE">
          <w:rPr>
            <w:webHidden/>
          </w:rPr>
          <w:fldChar w:fldCharType="begin"/>
        </w:r>
        <w:r w:rsidR="007731AE">
          <w:rPr>
            <w:webHidden/>
          </w:rPr>
          <w:instrText xml:space="preserve"> PAGEREF _Toc137567779 \h </w:instrText>
        </w:r>
        <w:r w:rsidR="007731AE">
          <w:rPr>
            <w:webHidden/>
          </w:rPr>
        </w:r>
        <w:r w:rsidR="007731AE">
          <w:rPr>
            <w:webHidden/>
          </w:rPr>
          <w:fldChar w:fldCharType="separate"/>
        </w:r>
        <w:r w:rsidR="000154C7">
          <w:rPr>
            <w:webHidden/>
          </w:rPr>
          <w:t>12</w:t>
        </w:r>
        <w:r w:rsidR="007731AE">
          <w:rPr>
            <w:webHidden/>
          </w:rPr>
          <w:fldChar w:fldCharType="end"/>
        </w:r>
      </w:hyperlink>
    </w:p>
    <w:p w14:paraId="55EAC069" w14:textId="2A0060EE" w:rsidR="007731AE" w:rsidRDefault="00000000">
      <w:pPr>
        <w:pStyle w:val="TOC2"/>
        <w:rPr>
          <w:rFonts w:eastAsiaTheme="minorEastAsia" w:cstheme="minorBidi"/>
          <w:color w:val="auto"/>
          <w:kern w:val="2"/>
          <w:sz w:val="24"/>
          <w:szCs w:val="24"/>
          <w:lang w:eastAsia="en-GB"/>
          <w14:ligatures w14:val="standardContextual"/>
        </w:rPr>
      </w:pPr>
      <w:hyperlink w:anchor="_Toc137567780" w:history="1">
        <w:r w:rsidR="007731AE" w:rsidRPr="007063D8">
          <w:rPr>
            <w:rStyle w:val="Hyperlink"/>
          </w:rPr>
          <w:t>1.4 Resources vs reserves</w:t>
        </w:r>
        <w:r w:rsidR="007731AE">
          <w:rPr>
            <w:webHidden/>
          </w:rPr>
          <w:tab/>
        </w:r>
        <w:r w:rsidR="007731AE">
          <w:rPr>
            <w:webHidden/>
          </w:rPr>
          <w:fldChar w:fldCharType="begin"/>
        </w:r>
        <w:r w:rsidR="007731AE">
          <w:rPr>
            <w:webHidden/>
          </w:rPr>
          <w:instrText xml:space="preserve"> PAGEREF _Toc137567780 \h </w:instrText>
        </w:r>
        <w:r w:rsidR="007731AE">
          <w:rPr>
            <w:webHidden/>
          </w:rPr>
        </w:r>
        <w:r w:rsidR="007731AE">
          <w:rPr>
            <w:webHidden/>
          </w:rPr>
          <w:fldChar w:fldCharType="separate"/>
        </w:r>
        <w:r w:rsidR="000154C7">
          <w:rPr>
            <w:webHidden/>
          </w:rPr>
          <w:t>12</w:t>
        </w:r>
        <w:r w:rsidR="007731AE">
          <w:rPr>
            <w:webHidden/>
          </w:rPr>
          <w:fldChar w:fldCharType="end"/>
        </w:r>
      </w:hyperlink>
    </w:p>
    <w:p w14:paraId="29E45576" w14:textId="10731009" w:rsidR="007731AE" w:rsidRDefault="00000000">
      <w:pPr>
        <w:pStyle w:val="TOC3"/>
        <w:rPr>
          <w:b w:val="0"/>
          <w:color w:val="auto"/>
          <w:kern w:val="2"/>
          <w:sz w:val="24"/>
          <w:szCs w:val="24"/>
          <w:lang w:eastAsia="en-GB"/>
          <w14:ligatures w14:val="standardContextual"/>
        </w:rPr>
      </w:pPr>
      <w:hyperlink w:anchor="_Toc137567781" w:history="1">
        <w:r w:rsidR="007731AE" w:rsidRPr="007063D8">
          <w:rPr>
            <w:rStyle w:val="Hyperlink"/>
          </w:rPr>
          <w:t>Resources and reserves</w:t>
        </w:r>
        <w:r w:rsidR="007731AE">
          <w:rPr>
            <w:webHidden/>
          </w:rPr>
          <w:tab/>
        </w:r>
        <w:r w:rsidR="007731AE">
          <w:rPr>
            <w:webHidden/>
          </w:rPr>
          <w:fldChar w:fldCharType="begin"/>
        </w:r>
        <w:r w:rsidR="007731AE">
          <w:rPr>
            <w:webHidden/>
          </w:rPr>
          <w:instrText xml:space="preserve"> PAGEREF _Toc137567781 \h </w:instrText>
        </w:r>
        <w:r w:rsidR="007731AE">
          <w:rPr>
            <w:webHidden/>
          </w:rPr>
        </w:r>
        <w:r w:rsidR="007731AE">
          <w:rPr>
            <w:webHidden/>
          </w:rPr>
          <w:fldChar w:fldCharType="separate"/>
        </w:r>
        <w:r w:rsidR="000154C7">
          <w:rPr>
            <w:webHidden/>
          </w:rPr>
          <w:t>12</w:t>
        </w:r>
        <w:r w:rsidR="007731AE">
          <w:rPr>
            <w:webHidden/>
          </w:rPr>
          <w:fldChar w:fldCharType="end"/>
        </w:r>
      </w:hyperlink>
    </w:p>
    <w:p w14:paraId="37AF5720" w14:textId="53FF485E" w:rsidR="007731AE" w:rsidRDefault="00000000">
      <w:pPr>
        <w:pStyle w:val="TOC2"/>
        <w:rPr>
          <w:rFonts w:eastAsiaTheme="minorEastAsia" w:cstheme="minorBidi"/>
          <w:color w:val="auto"/>
          <w:kern w:val="2"/>
          <w:sz w:val="24"/>
          <w:szCs w:val="24"/>
          <w:lang w:eastAsia="en-GB"/>
          <w14:ligatures w14:val="standardContextual"/>
        </w:rPr>
      </w:pPr>
      <w:hyperlink w:anchor="_Toc137567782" w:history="1">
        <w:r w:rsidR="007731AE" w:rsidRPr="007063D8">
          <w:rPr>
            <w:rStyle w:val="Hyperlink"/>
          </w:rPr>
          <w:t>1.5 Victorian Government initiatives to ensure reliable and affordable supply</w:t>
        </w:r>
        <w:r w:rsidR="007731AE">
          <w:rPr>
            <w:webHidden/>
          </w:rPr>
          <w:tab/>
        </w:r>
        <w:r w:rsidR="007731AE">
          <w:rPr>
            <w:webHidden/>
          </w:rPr>
          <w:fldChar w:fldCharType="begin"/>
        </w:r>
        <w:r w:rsidR="007731AE">
          <w:rPr>
            <w:webHidden/>
          </w:rPr>
          <w:instrText xml:space="preserve"> PAGEREF _Toc137567782 \h </w:instrText>
        </w:r>
        <w:r w:rsidR="007731AE">
          <w:rPr>
            <w:webHidden/>
          </w:rPr>
        </w:r>
        <w:r w:rsidR="007731AE">
          <w:rPr>
            <w:webHidden/>
          </w:rPr>
          <w:fldChar w:fldCharType="separate"/>
        </w:r>
        <w:r w:rsidR="000154C7">
          <w:rPr>
            <w:webHidden/>
          </w:rPr>
          <w:t>13</w:t>
        </w:r>
        <w:r w:rsidR="007731AE">
          <w:rPr>
            <w:webHidden/>
          </w:rPr>
          <w:fldChar w:fldCharType="end"/>
        </w:r>
      </w:hyperlink>
    </w:p>
    <w:p w14:paraId="5CAE367F" w14:textId="15E7E3C7" w:rsidR="007731AE" w:rsidRDefault="00000000">
      <w:pPr>
        <w:pStyle w:val="TOC3"/>
        <w:rPr>
          <w:b w:val="0"/>
          <w:color w:val="auto"/>
          <w:kern w:val="2"/>
          <w:sz w:val="24"/>
          <w:szCs w:val="24"/>
          <w:lang w:eastAsia="en-GB"/>
          <w14:ligatures w14:val="standardContextual"/>
        </w:rPr>
      </w:pPr>
      <w:hyperlink w:anchor="_Toc137567783" w:history="1">
        <w:r w:rsidR="007731AE" w:rsidRPr="007063D8">
          <w:rPr>
            <w:rStyle w:val="Hyperlink"/>
          </w:rPr>
          <w:t xml:space="preserve">Resource and land use planning theme from the </w:t>
        </w:r>
        <w:r w:rsidR="007731AE" w:rsidRPr="007063D8">
          <w:rPr>
            <w:rStyle w:val="Hyperlink"/>
            <w:i/>
            <w:iCs/>
          </w:rPr>
          <w:t>Extractive Resources Strategy</w:t>
        </w:r>
        <w:r w:rsidR="007731AE">
          <w:rPr>
            <w:webHidden/>
          </w:rPr>
          <w:tab/>
        </w:r>
        <w:r w:rsidR="007731AE">
          <w:rPr>
            <w:webHidden/>
          </w:rPr>
          <w:fldChar w:fldCharType="begin"/>
        </w:r>
        <w:r w:rsidR="007731AE">
          <w:rPr>
            <w:webHidden/>
          </w:rPr>
          <w:instrText xml:space="preserve"> PAGEREF _Toc137567783 \h </w:instrText>
        </w:r>
        <w:r w:rsidR="007731AE">
          <w:rPr>
            <w:webHidden/>
          </w:rPr>
        </w:r>
        <w:r w:rsidR="007731AE">
          <w:rPr>
            <w:webHidden/>
          </w:rPr>
          <w:fldChar w:fldCharType="separate"/>
        </w:r>
        <w:r w:rsidR="000154C7">
          <w:rPr>
            <w:webHidden/>
          </w:rPr>
          <w:t>14</w:t>
        </w:r>
        <w:r w:rsidR="007731AE">
          <w:rPr>
            <w:webHidden/>
          </w:rPr>
          <w:fldChar w:fldCharType="end"/>
        </w:r>
      </w:hyperlink>
    </w:p>
    <w:p w14:paraId="226D981B" w14:textId="0BB266DD" w:rsidR="007731AE" w:rsidRDefault="00000000">
      <w:pPr>
        <w:pStyle w:val="TOC3"/>
        <w:rPr>
          <w:b w:val="0"/>
          <w:color w:val="auto"/>
          <w:kern w:val="2"/>
          <w:sz w:val="24"/>
          <w:szCs w:val="24"/>
          <w:lang w:eastAsia="en-GB"/>
          <w14:ligatures w14:val="standardContextual"/>
        </w:rPr>
      </w:pPr>
      <w:hyperlink w:anchor="_Toc137567784" w:history="1">
        <w:r w:rsidR="007731AE" w:rsidRPr="007063D8">
          <w:rPr>
            <w:rStyle w:val="Hyperlink"/>
          </w:rPr>
          <w:t xml:space="preserve">Efficient regulation theme from the </w:t>
        </w:r>
        <w:r w:rsidR="007731AE" w:rsidRPr="007063D8">
          <w:rPr>
            <w:rStyle w:val="Hyperlink"/>
            <w:i/>
            <w:iCs/>
          </w:rPr>
          <w:t>Extractive Resources Strategy</w:t>
        </w:r>
        <w:r w:rsidR="007731AE">
          <w:rPr>
            <w:webHidden/>
          </w:rPr>
          <w:tab/>
        </w:r>
        <w:r w:rsidR="007731AE">
          <w:rPr>
            <w:webHidden/>
          </w:rPr>
          <w:fldChar w:fldCharType="begin"/>
        </w:r>
        <w:r w:rsidR="007731AE">
          <w:rPr>
            <w:webHidden/>
          </w:rPr>
          <w:instrText xml:space="preserve"> PAGEREF _Toc137567784 \h </w:instrText>
        </w:r>
        <w:r w:rsidR="007731AE">
          <w:rPr>
            <w:webHidden/>
          </w:rPr>
        </w:r>
        <w:r w:rsidR="007731AE">
          <w:rPr>
            <w:webHidden/>
          </w:rPr>
          <w:fldChar w:fldCharType="separate"/>
        </w:r>
        <w:r w:rsidR="000154C7">
          <w:rPr>
            <w:webHidden/>
          </w:rPr>
          <w:t>14</w:t>
        </w:r>
        <w:r w:rsidR="007731AE">
          <w:rPr>
            <w:webHidden/>
          </w:rPr>
          <w:fldChar w:fldCharType="end"/>
        </w:r>
      </w:hyperlink>
    </w:p>
    <w:p w14:paraId="617101D9" w14:textId="46350D83" w:rsidR="007731AE" w:rsidRDefault="00000000">
      <w:pPr>
        <w:pStyle w:val="TOC3"/>
        <w:rPr>
          <w:b w:val="0"/>
          <w:color w:val="auto"/>
          <w:kern w:val="2"/>
          <w:sz w:val="24"/>
          <w:szCs w:val="24"/>
          <w:lang w:eastAsia="en-GB"/>
          <w14:ligatures w14:val="standardContextual"/>
        </w:rPr>
      </w:pPr>
      <w:hyperlink w:anchor="_Toc137567785" w:history="1">
        <w:r w:rsidR="007731AE" w:rsidRPr="007063D8">
          <w:rPr>
            <w:rStyle w:val="Hyperlink"/>
          </w:rPr>
          <w:t xml:space="preserve">Transport and local infrastructure planning theme from the </w:t>
        </w:r>
        <w:r w:rsidR="007731AE" w:rsidRPr="007063D8">
          <w:rPr>
            <w:rStyle w:val="Hyperlink"/>
            <w:i/>
            <w:iCs/>
          </w:rPr>
          <w:t>Extractive Resources Strategy</w:t>
        </w:r>
        <w:r w:rsidR="007731AE">
          <w:rPr>
            <w:webHidden/>
          </w:rPr>
          <w:tab/>
        </w:r>
        <w:r w:rsidR="007731AE">
          <w:rPr>
            <w:webHidden/>
          </w:rPr>
          <w:fldChar w:fldCharType="begin"/>
        </w:r>
        <w:r w:rsidR="007731AE">
          <w:rPr>
            <w:webHidden/>
          </w:rPr>
          <w:instrText xml:space="preserve"> PAGEREF _Toc137567785 \h </w:instrText>
        </w:r>
        <w:r w:rsidR="007731AE">
          <w:rPr>
            <w:webHidden/>
          </w:rPr>
        </w:r>
        <w:r w:rsidR="007731AE">
          <w:rPr>
            <w:webHidden/>
          </w:rPr>
          <w:fldChar w:fldCharType="separate"/>
        </w:r>
        <w:r w:rsidR="000154C7">
          <w:rPr>
            <w:webHidden/>
          </w:rPr>
          <w:t>14</w:t>
        </w:r>
        <w:r w:rsidR="007731AE">
          <w:rPr>
            <w:webHidden/>
          </w:rPr>
          <w:fldChar w:fldCharType="end"/>
        </w:r>
      </w:hyperlink>
    </w:p>
    <w:p w14:paraId="4760CAF5" w14:textId="455AF269" w:rsidR="007731AE" w:rsidRDefault="00000000">
      <w:pPr>
        <w:pStyle w:val="TOC1"/>
        <w:rPr>
          <w:rFonts w:eastAsiaTheme="minorEastAsia" w:cstheme="minorBidi"/>
          <w:b w:val="0"/>
          <w:color w:val="auto"/>
          <w:kern w:val="2"/>
          <w:lang w:eastAsia="en-GB"/>
          <w14:ligatures w14:val="standardContextual"/>
        </w:rPr>
      </w:pPr>
      <w:hyperlink w:anchor="_Toc137567786" w:history="1">
        <w:r w:rsidR="007731AE" w:rsidRPr="007063D8">
          <w:rPr>
            <w:rStyle w:val="Hyperlink"/>
          </w:rPr>
          <w:t>2. Demand analysis</w:t>
        </w:r>
        <w:r w:rsidR="007731AE">
          <w:rPr>
            <w:webHidden/>
          </w:rPr>
          <w:tab/>
        </w:r>
        <w:r w:rsidR="007731AE">
          <w:rPr>
            <w:webHidden/>
          </w:rPr>
          <w:fldChar w:fldCharType="begin"/>
        </w:r>
        <w:r w:rsidR="007731AE">
          <w:rPr>
            <w:webHidden/>
          </w:rPr>
          <w:instrText xml:space="preserve"> PAGEREF _Toc137567786 \h </w:instrText>
        </w:r>
        <w:r w:rsidR="007731AE">
          <w:rPr>
            <w:webHidden/>
          </w:rPr>
        </w:r>
        <w:r w:rsidR="007731AE">
          <w:rPr>
            <w:webHidden/>
          </w:rPr>
          <w:fldChar w:fldCharType="separate"/>
        </w:r>
        <w:r w:rsidR="000154C7">
          <w:rPr>
            <w:webHidden/>
          </w:rPr>
          <w:t>15</w:t>
        </w:r>
        <w:r w:rsidR="007731AE">
          <w:rPr>
            <w:webHidden/>
          </w:rPr>
          <w:fldChar w:fldCharType="end"/>
        </w:r>
      </w:hyperlink>
    </w:p>
    <w:p w14:paraId="6756ECC6" w14:textId="57A85088" w:rsidR="007731AE" w:rsidRDefault="00000000">
      <w:pPr>
        <w:pStyle w:val="TOC2"/>
        <w:rPr>
          <w:rFonts w:eastAsiaTheme="minorEastAsia" w:cstheme="minorBidi"/>
          <w:color w:val="auto"/>
          <w:kern w:val="2"/>
          <w:sz w:val="24"/>
          <w:szCs w:val="24"/>
          <w:lang w:eastAsia="en-GB"/>
          <w14:ligatures w14:val="standardContextual"/>
        </w:rPr>
      </w:pPr>
      <w:hyperlink w:anchor="_Toc137567787" w:history="1">
        <w:r w:rsidR="007731AE" w:rsidRPr="007063D8">
          <w:rPr>
            <w:rStyle w:val="Hyperlink"/>
          </w:rPr>
          <w:t>2.1 Methodology and assumptions</w:t>
        </w:r>
        <w:r w:rsidR="007731AE">
          <w:rPr>
            <w:webHidden/>
          </w:rPr>
          <w:tab/>
        </w:r>
        <w:r w:rsidR="007731AE">
          <w:rPr>
            <w:webHidden/>
          </w:rPr>
          <w:fldChar w:fldCharType="begin"/>
        </w:r>
        <w:r w:rsidR="007731AE">
          <w:rPr>
            <w:webHidden/>
          </w:rPr>
          <w:instrText xml:space="preserve"> PAGEREF _Toc137567787 \h </w:instrText>
        </w:r>
        <w:r w:rsidR="007731AE">
          <w:rPr>
            <w:webHidden/>
          </w:rPr>
        </w:r>
        <w:r w:rsidR="007731AE">
          <w:rPr>
            <w:webHidden/>
          </w:rPr>
          <w:fldChar w:fldCharType="separate"/>
        </w:r>
        <w:r w:rsidR="000154C7">
          <w:rPr>
            <w:webHidden/>
          </w:rPr>
          <w:t>15</w:t>
        </w:r>
        <w:r w:rsidR="007731AE">
          <w:rPr>
            <w:webHidden/>
          </w:rPr>
          <w:fldChar w:fldCharType="end"/>
        </w:r>
      </w:hyperlink>
    </w:p>
    <w:p w14:paraId="0CC6449F" w14:textId="2C2FB567" w:rsidR="007731AE" w:rsidRDefault="00000000">
      <w:pPr>
        <w:pStyle w:val="TOC2"/>
        <w:rPr>
          <w:rFonts w:eastAsiaTheme="minorEastAsia" w:cstheme="minorBidi"/>
          <w:color w:val="auto"/>
          <w:kern w:val="2"/>
          <w:sz w:val="24"/>
          <w:szCs w:val="24"/>
          <w:lang w:eastAsia="en-GB"/>
          <w14:ligatures w14:val="standardContextual"/>
        </w:rPr>
      </w:pPr>
      <w:hyperlink w:anchor="_Toc137567788" w:history="1">
        <w:r w:rsidR="007731AE" w:rsidRPr="007063D8">
          <w:rPr>
            <w:rStyle w:val="Hyperlink"/>
          </w:rPr>
          <w:t>2.2 Actual demand vs the 2016 Supply Demand Study</w:t>
        </w:r>
        <w:r w:rsidR="007731AE">
          <w:rPr>
            <w:webHidden/>
          </w:rPr>
          <w:tab/>
        </w:r>
        <w:r w:rsidR="007731AE">
          <w:rPr>
            <w:webHidden/>
          </w:rPr>
          <w:fldChar w:fldCharType="begin"/>
        </w:r>
        <w:r w:rsidR="007731AE">
          <w:rPr>
            <w:webHidden/>
          </w:rPr>
          <w:instrText xml:space="preserve"> PAGEREF _Toc137567788 \h </w:instrText>
        </w:r>
        <w:r w:rsidR="007731AE">
          <w:rPr>
            <w:webHidden/>
          </w:rPr>
        </w:r>
        <w:r w:rsidR="007731AE">
          <w:rPr>
            <w:webHidden/>
          </w:rPr>
          <w:fldChar w:fldCharType="separate"/>
        </w:r>
        <w:r w:rsidR="000154C7">
          <w:rPr>
            <w:webHidden/>
          </w:rPr>
          <w:t>16</w:t>
        </w:r>
        <w:r w:rsidR="007731AE">
          <w:rPr>
            <w:webHidden/>
          </w:rPr>
          <w:fldChar w:fldCharType="end"/>
        </w:r>
      </w:hyperlink>
    </w:p>
    <w:p w14:paraId="2D432F53" w14:textId="1BA85EE5" w:rsidR="007731AE" w:rsidRDefault="00000000">
      <w:pPr>
        <w:pStyle w:val="TOC2"/>
        <w:rPr>
          <w:rFonts w:eastAsiaTheme="minorEastAsia" w:cstheme="minorBidi"/>
          <w:color w:val="auto"/>
          <w:kern w:val="2"/>
          <w:sz w:val="24"/>
          <w:szCs w:val="24"/>
          <w:lang w:eastAsia="en-GB"/>
          <w14:ligatures w14:val="standardContextual"/>
        </w:rPr>
      </w:pPr>
      <w:hyperlink w:anchor="_Toc137567789" w:history="1">
        <w:r w:rsidR="007731AE" w:rsidRPr="007063D8">
          <w:rPr>
            <w:rStyle w:val="Hyperlink"/>
          </w:rPr>
          <w:t>2.3 Statewide demand forecast</w:t>
        </w:r>
        <w:r w:rsidR="007731AE">
          <w:rPr>
            <w:webHidden/>
          </w:rPr>
          <w:tab/>
        </w:r>
        <w:r w:rsidR="007731AE">
          <w:rPr>
            <w:webHidden/>
          </w:rPr>
          <w:fldChar w:fldCharType="begin"/>
        </w:r>
        <w:r w:rsidR="007731AE">
          <w:rPr>
            <w:webHidden/>
          </w:rPr>
          <w:instrText xml:space="preserve"> PAGEREF _Toc137567789 \h </w:instrText>
        </w:r>
        <w:r w:rsidR="007731AE">
          <w:rPr>
            <w:webHidden/>
          </w:rPr>
        </w:r>
        <w:r w:rsidR="007731AE">
          <w:rPr>
            <w:webHidden/>
          </w:rPr>
          <w:fldChar w:fldCharType="separate"/>
        </w:r>
        <w:r w:rsidR="000154C7">
          <w:rPr>
            <w:webHidden/>
          </w:rPr>
          <w:t>16</w:t>
        </w:r>
        <w:r w:rsidR="007731AE">
          <w:rPr>
            <w:webHidden/>
          </w:rPr>
          <w:fldChar w:fldCharType="end"/>
        </w:r>
      </w:hyperlink>
    </w:p>
    <w:p w14:paraId="057B5966" w14:textId="1C707389" w:rsidR="007731AE" w:rsidRDefault="00000000">
      <w:pPr>
        <w:pStyle w:val="TOC2"/>
        <w:rPr>
          <w:rFonts w:eastAsiaTheme="minorEastAsia" w:cstheme="minorBidi"/>
          <w:color w:val="auto"/>
          <w:kern w:val="2"/>
          <w:sz w:val="24"/>
          <w:szCs w:val="24"/>
          <w:lang w:eastAsia="en-GB"/>
          <w14:ligatures w14:val="standardContextual"/>
        </w:rPr>
      </w:pPr>
      <w:hyperlink w:anchor="_Toc137567790" w:history="1">
        <w:r w:rsidR="007731AE" w:rsidRPr="007063D8">
          <w:rPr>
            <w:rStyle w:val="Hyperlink"/>
          </w:rPr>
          <w:t>2.4. Demand by local government area</w:t>
        </w:r>
        <w:r w:rsidR="007731AE">
          <w:rPr>
            <w:webHidden/>
          </w:rPr>
          <w:tab/>
        </w:r>
        <w:r w:rsidR="007731AE">
          <w:rPr>
            <w:webHidden/>
          </w:rPr>
          <w:fldChar w:fldCharType="begin"/>
        </w:r>
        <w:r w:rsidR="007731AE">
          <w:rPr>
            <w:webHidden/>
          </w:rPr>
          <w:instrText xml:space="preserve"> PAGEREF _Toc137567790 \h </w:instrText>
        </w:r>
        <w:r w:rsidR="007731AE">
          <w:rPr>
            <w:webHidden/>
          </w:rPr>
        </w:r>
        <w:r w:rsidR="007731AE">
          <w:rPr>
            <w:webHidden/>
          </w:rPr>
          <w:fldChar w:fldCharType="separate"/>
        </w:r>
        <w:r w:rsidR="000154C7">
          <w:rPr>
            <w:webHidden/>
          </w:rPr>
          <w:t>17</w:t>
        </w:r>
        <w:r w:rsidR="007731AE">
          <w:rPr>
            <w:webHidden/>
          </w:rPr>
          <w:fldChar w:fldCharType="end"/>
        </w:r>
      </w:hyperlink>
    </w:p>
    <w:p w14:paraId="68215427" w14:textId="0F8E4959" w:rsidR="007731AE" w:rsidRDefault="00000000">
      <w:pPr>
        <w:pStyle w:val="TOC2"/>
        <w:rPr>
          <w:rFonts w:eastAsiaTheme="minorEastAsia" w:cstheme="minorBidi"/>
          <w:color w:val="auto"/>
          <w:kern w:val="2"/>
          <w:sz w:val="24"/>
          <w:szCs w:val="24"/>
          <w:lang w:eastAsia="en-GB"/>
          <w14:ligatures w14:val="standardContextual"/>
        </w:rPr>
      </w:pPr>
      <w:hyperlink w:anchor="_Toc137567791" w:history="1">
        <w:r w:rsidR="007731AE" w:rsidRPr="007063D8">
          <w:rPr>
            <w:rStyle w:val="Hyperlink"/>
          </w:rPr>
          <w:t>2.5. Demand by sector</w:t>
        </w:r>
        <w:r w:rsidR="007731AE">
          <w:rPr>
            <w:webHidden/>
          </w:rPr>
          <w:tab/>
        </w:r>
        <w:r w:rsidR="007731AE">
          <w:rPr>
            <w:webHidden/>
          </w:rPr>
          <w:fldChar w:fldCharType="begin"/>
        </w:r>
        <w:r w:rsidR="007731AE">
          <w:rPr>
            <w:webHidden/>
          </w:rPr>
          <w:instrText xml:space="preserve"> PAGEREF _Toc137567791 \h </w:instrText>
        </w:r>
        <w:r w:rsidR="007731AE">
          <w:rPr>
            <w:webHidden/>
          </w:rPr>
        </w:r>
        <w:r w:rsidR="007731AE">
          <w:rPr>
            <w:webHidden/>
          </w:rPr>
          <w:fldChar w:fldCharType="separate"/>
        </w:r>
        <w:r w:rsidR="000154C7">
          <w:rPr>
            <w:webHidden/>
          </w:rPr>
          <w:t>19</w:t>
        </w:r>
        <w:r w:rsidR="007731AE">
          <w:rPr>
            <w:webHidden/>
          </w:rPr>
          <w:fldChar w:fldCharType="end"/>
        </w:r>
      </w:hyperlink>
    </w:p>
    <w:p w14:paraId="61A63B8D" w14:textId="0D288F21" w:rsidR="007731AE" w:rsidRDefault="00000000">
      <w:pPr>
        <w:pStyle w:val="TOC2"/>
        <w:rPr>
          <w:rFonts w:eastAsiaTheme="minorEastAsia" w:cstheme="minorBidi"/>
          <w:color w:val="auto"/>
          <w:kern w:val="2"/>
          <w:sz w:val="24"/>
          <w:szCs w:val="24"/>
          <w:lang w:eastAsia="en-GB"/>
          <w14:ligatures w14:val="standardContextual"/>
        </w:rPr>
      </w:pPr>
      <w:hyperlink w:anchor="_Toc137567792" w:history="1">
        <w:r w:rsidR="007731AE" w:rsidRPr="007063D8">
          <w:rPr>
            <w:rStyle w:val="Hyperlink"/>
          </w:rPr>
          <w:t>2.6. Demand for limestone</w:t>
        </w:r>
        <w:r w:rsidR="007731AE">
          <w:rPr>
            <w:webHidden/>
          </w:rPr>
          <w:tab/>
        </w:r>
        <w:r w:rsidR="007731AE">
          <w:rPr>
            <w:webHidden/>
          </w:rPr>
          <w:fldChar w:fldCharType="begin"/>
        </w:r>
        <w:r w:rsidR="007731AE">
          <w:rPr>
            <w:webHidden/>
          </w:rPr>
          <w:instrText xml:space="preserve"> PAGEREF _Toc137567792 \h </w:instrText>
        </w:r>
        <w:r w:rsidR="007731AE">
          <w:rPr>
            <w:webHidden/>
          </w:rPr>
        </w:r>
        <w:r w:rsidR="007731AE">
          <w:rPr>
            <w:webHidden/>
          </w:rPr>
          <w:fldChar w:fldCharType="separate"/>
        </w:r>
        <w:r w:rsidR="000154C7">
          <w:rPr>
            <w:webHidden/>
          </w:rPr>
          <w:t>21</w:t>
        </w:r>
        <w:r w:rsidR="007731AE">
          <w:rPr>
            <w:webHidden/>
          </w:rPr>
          <w:fldChar w:fldCharType="end"/>
        </w:r>
      </w:hyperlink>
    </w:p>
    <w:p w14:paraId="414772D4" w14:textId="080ECC48" w:rsidR="007731AE" w:rsidRDefault="00000000">
      <w:pPr>
        <w:pStyle w:val="TOC2"/>
        <w:rPr>
          <w:rFonts w:eastAsiaTheme="minorEastAsia" w:cstheme="minorBidi"/>
          <w:color w:val="auto"/>
          <w:kern w:val="2"/>
          <w:sz w:val="24"/>
          <w:szCs w:val="24"/>
          <w:lang w:eastAsia="en-GB"/>
          <w14:ligatures w14:val="standardContextual"/>
        </w:rPr>
      </w:pPr>
      <w:hyperlink w:anchor="_Toc137567793" w:history="1">
        <w:r w:rsidR="007731AE" w:rsidRPr="007063D8">
          <w:rPr>
            <w:rStyle w:val="Hyperlink"/>
          </w:rPr>
          <w:t>2.7 Conclusions relating to demand analysis</w:t>
        </w:r>
        <w:r w:rsidR="007731AE">
          <w:rPr>
            <w:webHidden/>
          </w:rPr>
          <w:tab/>
        </w:r>
        <w:r w:rsidR="007731AE">
          <w:rPr>
            <w:webHidden/>
          </w:rPr>
          <w:fldChar w:fldCharType="begin"/>
        </w:r>
        <w:r w:rsidR="007731AE">
          <w:rPr>
            <w:webHidden/>
          </w:rPr>
          <w:instrText xml:space="preserve"> PAGEREF _Toc137567793 \h </w:instrText>
        </w:r>
        <w:r w:rsidR="007731AE">
          <w:rPr>
            <w:webHidden/>
          </w:rPr>
        </w:r>
        <w:r w:rsidR="007731AE">
          <w:rPr>
            <w:webHidden/>
          </w:rPr>
          <w:fldChar w:fldCharType="separate"/>
        </w:r>
        <w:r w:rsidR="000154C7">
          <w:rPr>
            <w:webHidden/>
          </w:rPr>
          <w:t>21</w:t>
        </w:r>
        <w:r w:rsidR="007731AE">
          <w:rPr>
            <w:webHidden/>
          </w:rPr>
          <w:fldChar w:fldCharType="end"/>
        </w:r>
      </w:hyperlink>
    </w:p>
    <w:p w14:paraId="6D0D0A5A" w14:textId="66724B1F" w:rsidR="007731AE" w:rsidRDefault="00000000">
      <w:pPr>
        <w:pStyle w:val="TOC1"/>
        <w:rPr>
          <w:rFonts w:eastAsiaTheme="minorEastAsia" w:cstheme="minorBidi"/>
          <w:b w:val="0"/>
          <w:color w:val="auto"/>
          <w:kern w:val="2"/>
          <w:lang w:eastAsia="en-GB"/>
          <w14:ligatures w14:val="standardContextual"/>
        </w:rPr>
      </w:pPr>
      <w:hyperlink w:anchor="_Toc137567794" w:history="1">
        <w:r w:rsidR="007731AE" w:rsidRPr="007063D8">
          <w:rPr>
            <w:rStyle w:val="Hyperlink"/>
          </w:rPr>
          <w:t>3. Supply analysis</w:t>
        </w:r>
        <w:r w:rsidR="007731AE">
          <w:rPr>
            <w:webHidden/>
          </w:rPr>
          <w:tab/>
        </w:r>
        <w:r w:rsidR="007731AE">
          <w:rPr>
            <w:webHidden/>
          </w:rPr>
          <w:fldChar w:fldCharType="begin"/>
        </w:r>
        <w:r w:rsidR="007731AE">
          <w:rPr>
            <w:webHidden/>
          </w:rPr>
          <w:instrText xml:space="preserve"> PAGEREF _Toc137567794 \h </w:instrText>
        </w:r>
        <w:r w:rsidR="007731AE">
          <w:rPr>
            <w:webHidden/>
          </w:rPr>
        </w:r>
        <w:r w:rsidR="007731AE">
          <w:rPr>
            <w:webHidden/>
          </w:rPr>
          <w:fldChar w:fldCharType="separate"/>
        </w:r>
        <w:r w:rsidR="000154C7">
          <w:rPr>
            <w:webHidden/>
          </w:rPr>
          <w:t>22</w:t>
        </w:r>
        <w:r w:rsidR="007731AE">
          <w:rPr>
            <w:webHidden/>
          </w:rPr>
          <w:fldChar w:fldCharType="end"/>
        </w:r>
      </w:hyperlink>
    </w:p>
    <w:p w14:paraId="285308A5" w14:textId="51C321B3" w:rsidR="007731AE" w:rsidRDefault="00000000">
      <w:pPr>
        <w:pStyle w:val="TOC2"/>
        <w:rPr>
          <w:rFonts w:eastAsiaTheme="minorEastAsia" w:cstheme="minorBidi"/>
          <w:color w:val="auto"/>
          <w:kern w:val="2"/>
          <w:sz w:val="24"/>
          <w:szCs w:val="24"/>
          <w:lang w:eastAsia="en-GB"/>
          <w14:ligatures w14:val="standardContextual"/>
        </w:rPr>
      </w:pPr>
      <w:hyperlink w:anchor="_Toc137567795" w:history="1">
        <w:r w:rsidR="007731AE" w:rsidRPr="007063D8">
          <w:rPr>
            <w:rStyle w:val="Hyperlink"/>
          </w:rPr>
          <w:t>3.1 Methodology and assumptions</w:t>
        </w:r>
        <w:r w:rsidR="007731AE">
          <w:rPr>
            <w:webHidden/>
          </w:rPr>
          <w:tab/>
        </w:r>
        <w:r w:rsidR="007731AE">
          <w:rPr>
            <w:webHidden/>
          </w:rPr>
          <w:fldChar w:fldCharType="begin"/>
        </w:r>
        <w:r w:rsidR="007731AE">
          <w:rPr>
            <w:webHidden/>
          </w:rPr>
          <w:instrText xml:space="preserve"> PAGEREF _Toc137567795 \h </w:instrText>
        </w:r>
        <w:r w:rsidR="007731AE">
          <w:rPr>
            <w:webHidden/>
          </w:rPr>
        </w:r>
        <w:r w:rsidR="007731AE">
          <w:rPr>
            <w:webHidden/>
          </w:rPr>
          <w:fldChar w:fldCharType="separate"/>
        </w:r>
        <w:r w:rsidR="000154C7">
          <w:rPr>
            <w:webHidden/>
          </w:rPr>
          <w:t>22</w:t>
        </w:r>
        <w:r w:rsidR="007731AE">
          <w:rPr>
            <w:webHidden/>
          </w:rPr>
          <w:fldChar w:fldCharType="end"/>
        </w:r>
      </w:hyperlink>
    </w:p>
    <w:p w14:paraId="147F75CA" w14:textId="3DEDAD18" w:rsidR="007731AE" w:rsidRDefault="00000000">
      <w:pPr>
        <w:pStyle w:val="TOC3"/>
        <w:rPr>
          <w:b w:val="0"/>
          <w:color w:val="auto"/>
          <w:kern w:val="2"/>
          <w:sz w:val="24"/>
          <w:szCs w:val="24"/>
          <w:lang w:eastAsia="en-GB"/>
          <w14:ligatures w14:val="standardContextual"/>
        </w:rPr>
      </w:pPr>
      <w:hyperlink w:anchor="_Toc137567796" w:history="1">
        <w:r w:rsidR="007731AE" w:rsidRPr="007063D8">
          <w:rPr>
            <w:rStyle w:val="Hyperlink"/>
          </w:rPr>
          <w:t>Supply data gathered from industry surveys</w:t>
        </w:r>
        <w:r w:rsidR="007731AE">
          <w:rPr>
            <w:webHidden/>
          </w:rPr>
          <w:tab/>
        </w:r>
        <w:r w:rsidR="007731AE">
          <w:rPr>
            <w:webHidden/>
          </w:rPr>
          <w:fldChar w:fldCharType="begin"/>
        </w:r>
        <w:r w:rsidR="007731AE">
          <w:rPr>
            <w:webHidden/>
          </w:rPr>
          <w:instrText xml:space="preserve"> PAGEREF _Toc137567796 \h </w:instrText>
        </w:r>
        <w:r w:rsidR="007731AE">
          <w:rPr>
            <w:webHidden/>
          </w:rPr>
        </w:r>
        <w:r w:rsidR="007731AE">
          <w:rPr>
            <w:webHidden/>
          </w:rPr>
          <w:fldChar w:fldCharType="separate"/>
        </w:r>
        <w:r w:rsidR="000154C7">
          <w:rPr>
            <w:webHidden/>
          </w:rPr>
          <w:t>22</w:t>
        </w:r>
        <w:r w:rsidR="007731AE">
          <w:rPr>
            <w:webHidden/>
          </w:rPr>
          <w:fldChar w:fldCharType="end"/>
        </w:r>
      </w:hyperlink>
    </w:p>
    <w:p w14:paraId="78D683AC" w14:textId="0D5A733E" w:rsidR="007731AE" w:rsidRDefault="00000000">
      <w:pPr>
        <w:pStyle w:val="TOC3"/>
        <w:rPr>
          <w:b w:val="0"/>
          <w:color w:val="auto"/>
          <w:kern w:val="2"/>
          <w:sz w:val="24"/>
          <w:szCs w:val="24"/>
          <w:lang w:eastAsia="en-GB"/>
          <w14:ligatures w14:val="standardContextual"/>
        </w:rPr>
      </w:pPr>
      <w:hyperlink w:anchor="_Toc137567797" w:history="1">
        <w:r w:rsidR="007731AE" w:rsidRPr="007063D8">
          <w:rPr>
            <w:rStyle w:val="Hyperlink"/>
          </w:rPr>
          <w:t>Supply data gathered from work authority annual reports</w:t>
        </w:r>
        <w:r w:rsidR="007731AE">
          <w:rPr>
            <w:webHidden/>
          </w:rPr>
          <w:tab/>
        </w:r>
        <w:r w:rsidR="007731AE">
          <w:rPr>
            <w:webHidden/>
          </w:rPr>
          <w:fldChar w:fldCharType="begin"/>
        </w:r>
        <w:r w:rsidR="007731AE">
          <w:rPr>
            <w:webHidden/>
          </w:rPr>
          <w:instrText xml:space="preserve"> PAGEREF _Toc137567797 \h </w:instrText>
        </w:r>
        <w:r w:rsidR="007731AE">
          <w:rPr>
            <w:webHidden/>
          </w:rPr>
        </w:r>
        <w:r w:rsidR="007731AE">
          <w:rPr>
            <w:webHidden/>
          </w:rPr>
          <w:fldChar w:fldCharType="separate"/>
        </w:r>
        <w:r w:rsidR="000154C7">
          <w:rPr>
            <w:webHidden/>
          </w:rPr>
          <w:t>22</w:t>
        </w:r>
        <w:r w:rsidR="007731AE">
          <w:rPr>
            <w:webHidden/>
          </w:rPr>
          <w:fldChar w:fldCharType="end"/>
        </w:r>
      </w:hyperlink>
    </w:p>
    <w:p w14:paraId="58864DA7" w14:textId="48BCFF3D" w:rsidR="007731AE" w:rsidRDefault="00000000">
      <w:pPr>
        <w:pStyle w:val="TOC3"/>
        <w:rPr>
          <w:b w:val="0"/>
          <w:color w:val="auto"/>
          <w:kern w:val="2"/>
          <w:sz w:val="24"/>
          <w:szCs w:val="24"/>
          <w:lang w:eastAsia="en-GB"/>
          <w14:ligatures w14:val="standardContextual"/>
        </w:rPr>
      </w:pPr>
      <w:hyperlink w:anchor="_Toc137567798" w:history="1">
        <w:r w:rsidR="007731AE" w:rsidRPr="007063D8">
          <w:rPr>
            <w:rStyle w:val="Hyperlink"/>
          </w:rPr>
          <w:t>Supply data methodology</w:t>
        </w:r>
        <w:r w:rsidR="007731AE">
          <w:rPr>
            <w:webHidden/>
          </w:rPr>
          <w:tab/>
        </w:r>
        <w:r w:rsidR="007731AE">
          <w:rPr>
            <w:webHidden/>
          </w:rPr>
          <w:fldChar w:fldCharType="begin"/>
        </w:r>
        <w:r w:rsidR="007731AE">
          <w:rPr>
            <w:webHidden/>
          </w:rPr>
          <w:instrText xml:space="preserve"> PAGEREF _Toc137567798 \h </w:instrText>
        </w:r>
        <w:r w:rsidR="007731AE">
          <w:rPr>
            <w:webHidden/>
          </w:rPr>
        </w:r>
        <w:r w:rsidR="007731AE">
          <w:rPr>
            <w:webHidden/>
          </w:rPr>
          <w:fldChar w:fldCharType="separate"/>
        </w:r>
        <w:r w:rsidR="000154C7">
          <w:rPr>
            <w:webHidden/>
          </w:rPr>
          <w:t>23</w:t>
        </w:r>
        <w:r w:rsidR="007731AE">
          <w:rPr>
            <w:webHidden/>
          </w:rPr>
          <w:fldChar w:fldCharType="end"/>
        </w:r>
      </w:hyperlink>
    </w:p>
    <w:p w14:paraId="335DD65C" w14:textId="18D5EC29" w:rsidR="007731AE" w:rsidRDefault="00000000">
      <w:pPr>
        <w:pStyle w:val="TOC3"/>
        <w:rPr>
          <w:b w:val="0"/>
          <w:color w:val="auto"/>
          <w:kern w:val="2"/>
          <w:sz w:val="24"/>
          <w:szCs w:val="24"/>
          <w:lang w:eastAsia="en-GB"/>
          <w14:ligatures w14:val="standardContextual"/>
        </w:rPr>
      </w:pPr>
      <w:hyperlink w:anchor="_Toc137567799" w:history="1">
        <w:r w:rsidR="007731AE" w:rsidRPr="007063D8">
          <w:rPr>
            <w:rStyle w:val="Hyperlink"/>
          </w:rPr>
          <w:t>Supply modelling uncertainty and assumptions</w:t>
        </w:r>
        <w:r w:rsidR="007731AE">
          <w:rPr>
            <w:webHidden/>
          </w:rPr>
          <w:tab/>
        </w:r>
        <w:r w:rsidR="007731AE">
          <w:rPr>
            <w:webHidden/>
          </w:rPr>
          <w:fldChar w:fldCharType="begin"/>
        </w:r>
        <w:r w:rsidR="007731AE">
          <w:rPr>
            <w:webHidden/>
          </w:rPr>
          <w:instrText xml:space="preserve"> PAGEREF _Toc137567799 \h </w:instrText>
        </w:r>
        <w:r w:rsidR="007731AE">
          <w:rPr>
            <w:webHidden/>
          </w:rPr>
        </w:r>
        <w:r w:rsidR="007731AE">
          <w:rPr>
            <w:webHidden/>
          </w:rPr>
          <w:fldChar w:fldCharType="separate"/>
        </w:r>
        <w:r w:rsidR="000154C7">
          <w:rPr>
            <w:webHidden/>
          </w:rPr>
          <w:t>23</w:t>
        </w:r>
        <w:r w:rsidR="007731AE">
          <w:rPr>
            <w:webHidden/>
          </w:rPr>
          <w:fldChar w:fldCharType="end"/>
        </w:r>
      </w:hyperlink>
    </w:p>
    <w:p w14:paraId="31F56755" w14:textId="42F8F25F" w:rsidR="007731AE" w:rsidRDefault="00000000">
      <w:pPr>
        <w:pStyle w:val="TOC2"/>
        <w:rPr>
          <w:rFonts w:eastAsiaTheme="minorEastAsia" w:cstheme="minorBidi"/>
          <w:color w:val="auto"/>
          <w:kern w:val="2"/>
          <w:sz w:val="24"/>
          <w:szCs w:val="24"/>
          <w:lang w:eastAsia="en-GB"/>
          <w14:ligatures w14:val="standardContextual"/>
        </w:rPr>
      </w:pPr>
      <w:hyperlink w:anchor="_Toc137567800" w:history="1">
        <w:r w:rsidR="007731AE" w:rsidRPr="007063D8">
          <w:rPr>
            <w:rStyle w:val="Hyperlink"/>
          </w:rPr>
          <w:t>3.2 Supply forecasts</w:t>
        </w:r>
        <w:r w:rsidR="007731AE">
          <w:rPr>
            <w:webHidden/>
          </w:rPr>
          <w:tab/>
        </w:r>
        <w:r w:rsidR="007731AE">
          <w:rPr>
            <w:webHidden/>
          </w:rPr>
          <w:fldChar w:fldCharType="begin"/>
        </w:r>
        <w:r w:rsidR="007731AE">
          <w:rPr>
            <w:webHidden/>
          </w:rPr>
          <w:instrText xml:space="preserve"> PAGEREF _Toc137567800 \h </w:instrText>
        </w:r>
        <w:r w:rsidR="007731AE">
          <w:rPr>
            <w:webHidden/>
          </w:rPr>
        </w:r>
        <w:r w:rsidR="007731AE">
          <w:rPr>
            <w:webHidden/>
          </w:rPr>
          <w:fldChar w:fldCharType="separate"/>
        </w:r>
        <w:r w:rsidR="000154C7">
          <w:rPr>
            <w:webHidden/>
          </w:rPr>
          <w:t>23</w:t>
        </w:r>
        <w:r w:rsidR="007731AE">
          <w:rPr>
            <w:webHidden/>
          </w:rPr>
          <w:fldChar w:fldCharType="end"/>
        </w:r>
      </w:hyperlink>
    </w:p>
    <w:p w14:paraId="2E89EE8A" w14:textId="64D16B56" w:rsidR="007731AE" w:rsidRDefault="00000000">
      <w:pPr>
        <w:pStyle w:val="TOC3"/>
        <w:rPr>
          <w:b w:val="0"/>
          <w:color w:val="auto"/>
          <w:kern w:val="2"/>
          <w:sz w:val="24"/>
          <w:szCs w:val="24"/>
          <w:lang w:eastAsia="en-GB"/>
          <w14:ligatures w14:val="standardContextual"/>
        </w:rPr>
      </w:pPr>
      <w:hyperlink w:anchor="_Toc137567801" w:history="1">
        <w:r w:rsidR="007731AE" w:rsidRPr="007063D8">
          <w:rPr>
            <w:rStyle w:val="Hyperlink"/>
          </w:rPr>
          <w:t>Location of supply</w:t>
        </w:r>
        <w:r w:rsidR="007731AE">
          <w:rPr>
            <w:webHidden/>
          </w:rPr>
          <w:tab/>
        </w:r>
        <w:r w:rsidR="007731AE">
          <w:rPr>
            <w:webHidden/>
          </w:rPr>
          <w:fldChar w:fldCharType="begin"/>
        </w:r>
        <w:r w:rsidR="007731AE">
          <w:rPr>
            <w:webHidden/>
          </w:rPr>
          <w:instrText xml:space="preserve"> PAGEREF _Toc137567801 \h </w:instrText>
        </w:r>
        <w:r w:rsidR="007731AE">
          <w:rPr>
            <w:webHidden/>
          </w:rPr>
        </w:r>
        <w:r w:rsidR="007731AE">
          <w:rPr>
            <w:webHidden/>
          </w:rPr>
          <w:fldChar w:fldCharType="separate"/>
        </w:r>
        <w:r w:rsidR="000154C7">
          <w:rPr>
            <w:webHidden/>
          </w:rPr>
          <w:t>25</w:t>
        </w:r>
        <w:r w:rsidR="007731AE">
          <w:rPr>
            <w:webHidden/>
          </w:rPr>
          <w:fldChar w:fldCharType="end"/>
        </w:r>
      </w:hyperlink>
    </w:p>
    <w:p w14:paraId="7C90E29F" w14:textId="5F2E5FF0" w:rsidR="007731AE" w:rsidRDefault="00000000">
      <w:pPr>
        <w:pStyle w:val="TOC2"/>
        <w:rPr>
          <w:rFonts w:eastAsiaTheme="minorEastAsia" w:cstheme="minorBidi"/>
          <w:color w:val="auto"/>
          <w:kern w:val="2"/>
          <w:sz w:val="24"/>
          <w:szCs w:val="24"/>
          <w:lang w:eastAsia="en-GB"/>
          <w14:ligatures w14:val="standardContextual"/>
        </w:rPr>
      </w:pPr>
      <w:hyperlink w:anchor="_Toc137567802" w:history="1">
        <w:r w:rsidR="007731AE" w:rsidRPr="007063D8">
          <w:rPr>
            <w:rStyle w:val="Hyperlink"/>
          </w:rPr>
          <w:t>3.3 Distance and transport costs</w:t>
        </w:r>
        <w:r w:rsidR="007731AE">
          <w:rPr>
            <w:webHidden/>
          </w:rPr>
          <w:tab/>
        </w:r>
        <w:r w:rsidR="007731AE">
          <w:rPr>
            <w:webHidden/>
          </w:rPr>
          <w:fldChar w:fldCharType="begin"/>
        </w:r>
        <w:r w:rsidR="007731AE">
          <w:rPr>
            <w:webHidden/>
          </w:rPr>
          <w:instrText xml:space="preserve"> PAGEREF _Toc137567802 \h </w:instrText>
        </w:r>
        <w:r w:rsidR="007731AE">
          <w:rPr>
            <w:webHidden/>
          </w:rPr>
        </w:r>
        <w:r w:rsidR="007731AE">
          <w:rPr>
            <w:webHidden/>
          </w:rPr>
          <w:fldChar w:fldCharType="separate"/>
        </w:r>
        <w:r w:rsidR="000154C7">
          <w:rPr>
            <w:webHidden/>
          </w:rPr>
          <w:t>28</w:t>
        </w:r>
        <w:r w:rsidR="007731AE">
          <w:rPr>
            <w:webHidden/>
          </w:rPr>
          <w:fldChar w:fldCharType="end"/>
        </w:r>
      </w:hyperlink>
    </w:p>
    <w:p w14:paraId="5D52DA55" w14:textId="147AD549" w:rsidR="007731AE" w:rsidRDefault="00000000">
      <w:pPr>
        <w:pStyle w:val="TOC2"/>
        <w:rPr>
          <w:rFonts w:eastAsiaTheme="minorEastAsia" w:cstheme="minorBidi"/>
          <w:color w:val="auto"/>
          <w:kern w:val="2"/>
          <w:sz w:val="24"/>
          <w:szCs w:val="24"/>
          <w:lang w:eastAsia="en-GB"/>
          <w14:ligatures w14:val="standardContextual"/>
        </w:rPr>
      </w:pPr>
      <w:hyperlink w:anchor="_Toc137567803" w:history="1">
        <w:r w:rsidR="007731AE" w:rsidRPr="007063D8">
          <w:rPr>
            <w:rStyle w:val="Hyperlink"/>
          </w:rPr>
          <w:t>3.4 Conclusions relating to supply analysis</w:t>
        </w:r>
        <w:r w:rsidR="007731AE">
          <w:rPr>
            <w:webHidden/>
          </w:rPr>
          <w:tab/>
        </w:r>
        <w:r w:rsidR="007731AE">
          <w:rPr>
            <w:webHidden/>
          </w:rPr>
          <w:fldChar w:fldCharType="begin"/>
        </w:r>
        <w:r w:rsidR="007731AE">
          <w:rPr>
            <w:webHidden/>
          </w:rPr>
          <w:instrText xml:space="preserve"> PAGEREF _Toc137567803 \h </w:instrText>
        </w:r>
        <w:r w:rsidR="007731AE">
          <w:rPr>
            <w:webHidden/>
          </w:rPr>
        </w:r>
        <w:r w:rsidR="007731AE">
          <w:rPr>
            <w:webHidden/>
          </w:rPr>
          <w:fldChar w:fldCharType="separate"/>
        </w:r>
        <w:r w:rsidR="000154C7">
          <w:rPr>
            <w:webHidden/>
          </w:rPr>
          <w:t>28</w:t>
        </w:r>
        <w:r w:rsidR="007731AE">
          <w:rPr>
            <w:webHidden/>
          </w:rPr>
          <w:fldChar w:fldCharType="end"/>
        </w:r>
      </w:hyperlink>
    </w:p>
    <w:p w14:paraId="4E8ED05C" w14:textId="2517AC04" w:rsidR="007731AE" w:rsidRDefault="00000000">
      <w:pPr>
        <w:pStyle w:val="TOC1"/>
        <w:rPr>
          <w:rFonts w:eastAsiaTheme="minorEastAsia" w:cstheme="minorBidi"/>
          <w:b w:val="0"/>
          <w:color w:val="auto"/>
          <w:kern w:val="2"/>
          <w:lang w:eastAsia="en-GB"/>
          <w14:ligatures w14:val="standardContextual"/>
        </w:rPr>
      </w:pPr>
      <w:hyperlink w:anchor="_Toc137567804" w:history="1">
        <w:r w:rsidR="007731AE" w:rsidRPr="007063D8">
          <w:rPr>
            <w:rStyle w:val="Hyperlink"/>
          </w:rPr>
          <w:t>4. Integration analysis</w:t>
        </w:r>
        <w:r w:rsidR="007731AE">
          <w:rPr>
            <w:webHidden/>
          </w:rPr>
          <w:tab/>
        </w:r>
        <w:r w:rsidR="007731AE">
          <w:rPr>
            <w:webHidden/>
          </w:rPr>
          <w:fldChar w:fldCharType="begin"/>
        </w:r>
        <w:r w:rsidR="007731AE">
          <w:rPr>
            <w:webHidden/>
          </w:rPr>
          <w:instrText xml:space="preserve"> PAGEREF _Toc137567804 \h </w:instrText>
        </w:r>
        <w:r w:rsidR="007731AE">
          <w:rPr>
            <w:webHidden/>
          </w:rPr>
        </w:r>
        <w:r w:rsidR="007731AE">
          <w:rPr>
            <w:webHidden/>
          </w:rPr>
          <w:fldChar w:fldCharType="separate"/>
        </w:r>
        <w:r w:rsidR="000154C7">
          <w:rPr>
            <w:webHidden/>
          </w:rPr>
          <w:t>29</w:t>
        </w:r>
        <w:r w:rsidR="007731AE">
          <w:rPr>
            <w:webHidden/>
          </w:rPr>
          <w:fldChar w:fldCharType="end"/>
        </w:r>
      </w:hyperlink>
    </w:p>
    <w:p w14:paraId="57DC3F53" w14:textId="587A0621" w:rsidR="007731AE" w:rsidRDefault="00000000">
      <w:pPr>
        <w:pStyle w:val="TOC2"/>
        <w:rPr>
          <w:rFonts w:eastAsiaTheme="minorEastAsia" w:cstheme="minorBidi"/>
          <w:color w:val="auto"/>
          <w:kern w:val="2"/>
          <w:sz w:val="24"/>
          <w:szCs w:val="24"/>
          <w:lang w:eastAsia="en-GB"/>
          <w14:ligatures w14:val="standardContextual"/>
        </w:rPr>
      </w:pPr>
      <w:hyperlink w:anchor="_Toc137567805" w:history="1">
        <w:r w:rsidR="007731AE" w:rsidRPr="007063D8">
          <w:rPr>
            <w:rStyle w:val="Hyperlink"/>
          </w:rPr>
          <w:t>4.1 Methodology and assumptions</w:t>
        </w:r>
        <w:r w:rsidR="007731AE">
          <w:rPr>
            <w:webHidden/>
          </w:rPr>
          <w:tab/>
        </w:r>
        <w:r w:rsidR="007731AE">
          <w:rPr>
            <w:webHidden/>
          </w:rPr>
          <w:fldChar w:fldCharType="begin"/>
        </w:r>
        <w:r w:rsidR="007731AE">
          <w:rPr>
            <w:webHidden/>
          </w:rPr>
          <w:instrText xml:space="preserve"> PAGEREF _Toc137567805 \h </w:instrText>
        </w:r>
        <w:r w:rsidR="007731AE">
          <w:rPr>
            <w:webHidden/>
          </w:rPr>
        </w:r>
        <w:r w:rsidR="007731AE">
          <w:rPr>
            <w:webHidden/>
          </w:rPr>
          <w:fldChar w:fldCharType="separate"/>
        </w:r>
        <w:r w:rsidR="000154C7">
          <w:rPr>
            <w:webHidden/>
          </w:rPr>
          <w:t>29</w:t>
        </w:r>
        <w:r w:rsidR="007731AE">
          <w:rPr>
            <w:webHidden/>
          </w:rPr>
          <w:fldChar w:fldCharType="end"/>
        </w:r>
      </w:hyperlink>
    </w:p>
    <w:p w14:paraId="37762E31" w14:textId="1D63C74B" w:rsidR="007731AE" w:rsidRDefault="00000000">
      <w:pPr>
        <w:pStyle w:val="TOC2"/>
        <w:rPr>
          <w:rFonts w:eastAsiaTheme="minorEastAsia" w:cstheme="minorBidi"/>
          <w:color w:val="auto"/>
          <w:kern w:val="2"/>
          <w:sz w:val="24"/>
          <w:szCs w:val="24"/>
          <w:lang w:eastAsia="en-GB"/>
          <w14:ligatures w14:val="standardContextual"/>
        </w:rPr>
      </w:pPr>
      <w:hyperlink w:anchor="_Toc137567806" w:history="1">
        <w:r w:rsidR="007731AE" w:rsidRPr="007063D8">
          <w:rPr>
            <w:rStyle w:val="Hyperlink"/>
          </w:rPr>
          <w:t>4.2 Integration analysis findings</w:t>
        </w:r>
        <w:r w:rsidR="007731AE">
          <w:rPr>
            <w:webHidden/>
          </w:rPr>
          <w:tab/>
        </w:r>
        <w:r w:rsidR="007731AE">
          <w:rPr>
            <w:webHidden/>
          </w:rPr>
          <w:fldChar w:fldCharType="begin"/>
        </w:r>
        <w:r w:rsidR="007731AE">
          <w:rPr>
            <w:webHidden/>
          </w:rPr>
          <w:instrText xml:space="preserve"> PAGEREF _Toc137567806 \h </w:instrText>
        </w:r>
        <w:r w:rsidR="007731AE">
          <w:rPr>
            <w:webHidden/>
          </w:rPr>
        </w:r>
        <w:r w:rsidR="007731AE">
          <w:rPr>
            <w:webHidden/>
          </w:rPr>
          <w:fldChar w:fldCharType="separate"/>
        </w:r>
        <w:r w:rsidR="000154C7">
          <w:rPr>
            <w:webHidden/>
          </w:rPr>
          <w:t>31</w:t>
        </w:r>
        <w:r w:rsidR="007731AE">
          <w:rPr>
            <w:webHidden/>
          </w:rPr>
          <w:fldChar w:fldCharType="end"/>
        </w:r>
      </w:hyperlink>
    </w:p>
    <w:p w14:paraId="4BD6DBE0" w14:textId="38AB63A3" w:rsidR="007731AE" w:rsidRDefault="00000000">
      <w:pPr>
        <w:pStyle w:val="TOC2"/>
        <w:rPr>
          <w:rFonts w:eastAsiaTheme="minorEastAsia" w:cstheme="minorBidi"/>
          <w:color w:val="auto"/>
          <w:kern w:val="2"/>
          <w:sz w:val="24"/>
          <w:szCs w:val="24"/>
          <w:lang w:eastAsia="en-GB"/>
          <w14:ligatures w14:val="standardContextual"/>
        </w:rPr>
      </w:pPr>
      <w:hyperlink w:anchor="_Toc137567807" w:history="1">
        <w:r w:rsidR="007731AE" w:rsidRPr="007063D8">
          <w:rPr>
            <w:rStyle w:val="Hyperlink"/>
          </w:rPr>
          <w:t>4.3 Impact of supply and demand on costs</w:t>
        </w:r>
        <w:r w:rsidR="007731AE">
          <w:rPr>
            <w:webHidden/>
          </w:rPr>
          <w:tab/>
        </w:r>
        <w:r w:rsidR="007731AE">
          <w:rPr>
            <w:webHidden/>
          </w:rPr>
          <w:fldChar w:fldCharType="begin"/>
        </w:r>
        <w:r w:rsidR="007731AE">
          <w:rPr>
            <w:webHidden/>
          </w:rPr>
          <w:instrText xml:space="preserve"> PAGEREF _Toc137567807 \h </w:instrText>
        </w:r>
        <w:r w:rsidR="007731AE">
          <w:rPr>
            <w:webHidden/>
          </w:rPr>
        </w:r>
        <w:r w:rsidR="007731AE">
          <w:rPr>
            <w:webHidden/>
          </w:rPr>
          <w:fldChar w:fldCharType="separate"/>
        </w:r>
        <w:r w:rsidR="000154C7">
          <w:rPr>
            <w:webHidden/>
          </w:rPr>
          <w:t>34</w:t>
        </w:r>
        <w:r w:rsidR="007731AE">
          <w:rPr>
            <w:webHidden/>
          </w:rPr>
          <w:fldChar w:fldCharType="end"/>
        </w:r>
      </w:hyperlink>
    </w:p>
    <w:p w14:paraId="0CBE048F" w14:textId="60FCD116" w:rsidR="007731AE" w:rsidRDefault="00000000">
      <w:pPr>
        <w:pStyle w:val="TOC2"/>
        <w:rPr>
          <w:rFonts w:eastAsiaTheme="minorEastAsia" w:cstheme="minorBidi"/>
          <w:color w:val="auto"/>
          <w:kern w:val="2"/>
          <w:sz w:val="24"/>
          <w:szCs w:val="24"/>
          <w:lang w:eastAsia="en-GB"/>
          <w14:ligatures w14:val="standardContextual"/>
        </w:rPr>
      </w:pPr>
      <w:hyperlink w:anchor="_Toc137567808" w:history="1">
        <w:r w:rsidR="007731AE" w:rsidRPr="007063D8">
          <w:rPr>
            <w:rStyle w:val="Hyperlink"/>
          </w:rPr>
          <w:t>4.4 Conclusions relating to integration analysis</w:t>
        </w:r>
        <w:r w:rsidR="007731AE">
          <w:rPr>
            <w:webHidden/>
          </w:rPr>
          <w:tab/>
        </w:r>
        <w:r w:rsidR="007731AE">
          <w:rPr>
            <w:webHidden/>
          </w:rPr>
          <w:fldChar w:fldCharType="begin"/>
        </w:r>
        <w:r w:rsidR="007731AE">
          <w:rPr>
            <w:webHidden/>
          </w:rPr>
          <w:instrText xml:space="preserve"> PAGEREF _Toc137567808 \h </w:instrText>
        </w:r>
        <w:r w:rsidR="007731AE">
          <w:rPr>
            <w:webHidden/>
          </w:rPr>
        </w:r>
        <w:r w:rsidR="007731AE">
          <w:rPr>
            <w:webHidden/>
          </w:rPr>
          <w:fldChar w:fldCharType="separate"/>
        </w:r>
        <w:r w:rsidR="000154C7">
          <w:rPr>
            <w:webHidden/>
          </w:rPr>
          <w:t>35</w:t>
        </w:r>
        <w:r w:rsidR="007731AE">
          <w:rPr>
            <w:webHidden/>
          </w:rPr>
          <w:fldChar w:fldCharType="end"/>
        </w:r>
      </w:hyperlink>
    </w:p>
    <w:p w14:paraId="70C18FCD" w14:textId="162F0F2F" w:rsidR="007731AE" w:rsidRDefault="00000000">
      <w:pPr>
        <w:pStyle w:val="TOC1"/>
        <w:rPr>
          <w:rFonts w:eastAsiaTheme="minorEastAsia" w:cstheme="minorBidi"/>
          <w:b w:val="0"/>
          <w:color w:val="auto"/>
          <w:kern w:val="2"/>
          <w:lang w:eastAsia="en-GB"/>
          <w14:ligatures w14:val="standardContextual"/>
        </w:rPr>
      </w:pPr>
      <w:hyperlink w:anchor="_Toc137567809" w:history="1">
        <w:r w:rsidR="007731AE" w:rsidRPr="007063D8">
          <w:rPr>
            <w:rStyle w:val="Hyperlink"/>
          </w:rPr>
          <w:t>5. Simulation modelling tool</w:t>
        </w:r>
        <w:r w:rsidR="007731AE">
          <w:rPr>
            <w:webHidden/>
          </w:rPr>
          <w:tab/>
        </w:r>
        <w:r w:rsidR="007731AE">
          <w:rPr>
            <w:webHidden/>
          </w:rPr>
          <w:fldChar w:fldCharType="begin"/>
        </w:r>
        <w:r w:rsidR="007731AE">
          <w:rPr>
            <w:webHidden/>
          </w:rPr>
          <w:instrText xml:space="preserve"> PAGEREF _Toc137567809 \h </w:instrText>
        </w:r>
        <w:r w:rsidR="007731AE">
          <w:rPr>
            <w:webHidden/>
          </w:rPr>
        </w:r>
        <w:r w:rsidR="007731AE">
          <w:rPr>
            <w:webHidden/>
          </w:rPr>
          <w:fldChar w:fldCharType="separate"/>
        </w:r>
        <w:r w:rsidR="000154C7">
          <w:rPr>
            <w:webHidden/>
          </w:rPr>
          <w:t>36</w:t>
        </w:r>
        <w:r w:rsidR="007731AE">
          <w:rPr>
            <w:webHidden/>
          </w:rPr>
          <w:fldChar w:fldCharType="end"/>
        </w:r>
      </w:hyperlink>
    </w:p>
    <w:p w14:paraId="4CB6B1F8" w14:textId="3CE0595B" w:rsidR="007731AE" w:rsidRDefault="00000000">
      <w:pPr>
        <w:pStyle w:val="TOC2"/>
        <w:rPr>
          <w:rFonts w:eastAsiaTheme="minorEastAsia" w:cstheme="minorBidi"/>
          <w:color w:val="auto"/>
          <w:kern w:val="2"/>
          <w:sz w:val="24"/>
          <w:szCs w:val="24"/>
          <w:lang w:eastAsia="en-GB"/>
          <w14:ligatures w14:val="standardContextual"/>
        </w:rPr>
      </w:pPr>
      <w:hyperlink w:anchor="_Toc137567810" w:history="1">
        <w:r w:rsidR="007731AE" w:rsidRPr="007063D8">
          <w:rPr>
            <w:rStyle w:val="Hyperlink"/>
          </w:rPr>
          <w:t>5.1 Methodology and assumptions</w:t>
        </w:r>
        <w:r w:rsidR="007731AE">
          <w:rPr>
            <w:webHidden/>
          </w:rPr>
          <w:tab/>
        </w:r>
        <w:r w:rsidR="007731AE">
          <w:rPr>
            <w:webHidden/>
          </w:rPr>
          <w:fldChar w:fldCharType="begin"/>
        </w:r>
        <w:r w:rsidR="007731AE">
          <w:rPr>
            <w:webHidden/>
          </w:rPr>
          <w:instrText xml:space="preserve"> PAGEREF _Toc137567810 \h </w:instrText>
        </w:r>
        <w:r w:rsidR="007731AE">
          <w:rPr>
            <w:webHidden/>
          </w:rPr>
        </w:r>
        <w:r w:rsidR="007731AE">
          <w:rPr>
            <w:webHidden/>
          </w:rPr>
          <w:fldChar w:fldCharType="separate"/>
        </w:r>
        <w:r w:rsidR="000154C7">
          <w:rPr>
            <w:webHidden/>
          </w:rPr>
          <w:t>36</w:t>
        </w:r>
        <w:r w:rsidR="007731AE">
          <w:rPr>
            <w:webHidden/>
          </w:rPr>
          <w:fldChar w:fldCharType="end"/>
        </w:r>
      </w:hyperlink>
    </w:p>
    <w:p w14:paraId="17D652BC" w14:textId="36EEB7C8" w:rsidR="007731AE" w:rsidRDefault="00000000">
      <w:pPr>
        <w:pStyle w:val="TOC2"/>
        <w:rPr>
          <w:rFonts w:eastAsiaTheme="minorEastAsia" w:cstheme="minorBidi"/>
          <w:color w:val="auto"/>
          <w:kern w:val="2"/>
          <w:sz w:val="24"/>
          <w:szCs w:val="24"/>
          <w:lang w:eastAsia="en-GB"/>
          <w14:ligatures w14:val="standardContextual"/>
        </w:rPr>
      </w:pPr>
      <w:hyperlink w:anchor="_Toc137567811" w:history="1">
        <w:r w:rsidR="007731AE" w:rsidRPr="007063D8">
          <w:rPr>
            <w:rStyle w:val="Hyperlink"/>
          </w:rPr>
          <w:t>5.2 SMT scenarios</w:t>
        </w:r>
        <w:r w:rsidR="007731AE">
          <w:rPr>
            <w:webHidden/>
          </w:rPr>
          <w:tab/>
        </w:r>
        <w:r w:rsidR="007731AE">
          <w:rPr>
            <w:webHidden/>
          </w:rPr>
          <w:fldChar w:fldCharType="begin"/>
        </w:r>
        <w:r w:rsidR="007731AE">
          <w:rPr>
            <w:webHidden/>
          </w:rPr>
          <w:instrText xml:space="preserve"> PAGEREF _Toc137567811 \h </w:instrText>
        </w:r>
        <w:r w:rsidR="007731AE">
          <w:rPr>
            <w:webHidden/>
          </w:rPr>
        </w:r>
        <w:r w:rsidR="007731AE">
          <w:rPr>
            <w:webHidden/>
          </w:rPr>
          <w:fldChar w:fldCharType="separate"/>
        </w:r>
        <w:r w:rsidR="000154C7">
          <w:rPr>
            <w:webHidden/>
          </w:rPr>
          <w:t>37</w:t>
        </w:r>
        <w:r w:rsidR="007731AE">
          <w:rPr>
            <w:webHidden/>
          </w:rPr>
          <w:fldChar w:fldCharType="end"/>
        </w:r>
      </w:hyperlink>
    </w:p>
    <w:p w14:paraId="1430AF65" w14:textId="383B42A9" w:rsidR="007731AE" w:rsidRDefault="00000000">
      <w:pPr>
        <w:pStyle w:val="TOC3"/>
        <w:rPr>
          <w:b w:val="0"/>
          <w:color w:val="auto"/>
          <w:kern w:val="2"/>
          <w:sz w:val="24"/>
          <w:szCs w:val="24"/>
          <w:lang w:eastAsia="en-GB"/>
          <w14:ligatures w14:val="standardContextual"/>
        </w:rPr>
      </w:pPr>
      <w:hyperlink w:anchor="_Toc137567812" w:history="1">
        <w:r w:rsidR="007731AE" w:rsidRPr="007063D8">
          <w:rPr>
            <w:rStyle w:val="Hyperlink"/>
          </w:rPr>
          <w:t>Model simulations</w:t>
        </w:r>
        <w:r w:rsidR="007731AE">
          <w:rPr>
            <w:webHidden/>
          </w:rPr>
          <w:tab/>
        </w:r>
        <w:r w:rsidR="007731AE">
          <w:rPr>
            <w:webHidden/>
          </w:rPr>
          <w:fldChar w:fldCharType="begin"/>
        </w:r>
        <w:r w:rsidR="007731AE">
          <w:rPr>
            <w:webHidden/>
          </w:rPr>
          <w:instrText xml:space="preserve"> PAGEREF _Toc137567812 \h </w:instrText>
        </w:r>
        <w:r w:rsidR="007731AE">
          <w:rPr>
            <w:webHidden/>
          </w:rPr>
        </w:r>
        <w:r w:rsidR="007731AE">
          <w:rPr>
            <w:webHidden/>
          </w:rPr>
          <w:fldChar w:fldCharType="separate"/>
        </w:r>
        <w:r w:rsidR="000154C7">
          <w:rPr>
            <w:webHidden/>
          </w:rPr>
          <w:t>37</w:t>
        </w:r>
        <w:r w:rsidR="007731AE">
          <w:rPr>
            <w:webHidden/>
          </w:rPr>
          <w:fldChar w:fldCharType="end"/>
        </w:r>
      </w:hyperlink>
    </w:p>
    <w:p w14:paraId="2AC578E7" w14:textId="455C0C0F" w:rsidR="007731AE" w:rsidRDefault="00000000">
      <w:pPr>
        <w:pStyle w:val="TOC3"/>
        <w:rPr>
          <w:b w:val="0"/>
          <w:color w:val="auto"/>
          <w:kern w:val="2"/>
          <w:sz w:val="24"/>
          <w:szCs w:val="24"/>
          <w:lang w:eastAsia="en-GB"/>
          <w14:ligatures w14:val="standardContextual"/>
        </w:rPr>
      </w:pPr>
      <w:hyperlink w:anchor="_Toc137567813" w:history="1">
        <w:r w:rsidR="007731AE" w:rsidRPr="007063D8">
          <w:rPr>
            <w:rStyle w:val="Hyperlink"/>
          </w:rPr>
          <w:t>How to use the scenarios</w:t>
        </w:r>
        <w:r w:rsidR="007731AE">
          <w:rPr>
            <w:webHidden/>
          </w:rPr>
          <w:tab/>
        </w:r>
        <w:r w:rsidR="007731AE">
          <w:rPr>
            <w:webHidden/>
          </w:rPr>
          <w:fldChar w:fldCharType="begin"/>
        </w:r>
        <w:r w:rsidR="007731AE">
          <w:rPr>
            <w:webHidden/>
          </w:rPr>
          <w:instrText xml:space="preserve"> PAGEREF _Toc137567813 \h </w:instrText>
        </w:r>
        <w:r w:rsidR="007731AE">
          <w:rPr>
            <w:webHidden/>
          </w:rPr>
        </w:r>
        <w:r w:rsidR="007731AE">
          <w:rPr>
            <w:webHidden/>
          </w:rPr>
          <w:fldChar w:fldCharType="separate"/>
        </w:r>
        <w:r w:rsidR="000154C7">
          <w:rPr>
            <w:webHidden/>
          </w:rPr>
          <w:t>38</w:t>
        </w:r>
        <w:r w:rsidR="007731AE">
          <w:rPr>
            <w:webHidden/>
          </w:rPr>
          <w:fldChar w:fldCharType="end"/>
        </w:r>
      </w:hyperlink>
    </w:p>
    <w:p w14:paraId="74BC0D22" w14:textId="091B4433" w:rsidR="007731AE" w:rsidRDefault="00000000">
      <w:pPr>
        <w:pStyle w:val="TOC3"/>
        <w:rPr>
          <w:b w:val="0"/>
          <w:color w:val="auto"/>
          <w:kern w:val="2"/>
          <w:sz w:val="24"/>
          <w:szCs w:val="24"/>
          <w:lang w:eastAsia="en-GB"/>
          <w14:ligatures w14:val="standardContextual"/>
        </w:rPr>
      </w:pPr>
      <w:hyperlink w:anchor="_Toc137567814" w:history="1">
        <w:r w:rsidR="007731AE" w:rsidRPr="007063D8">
          <w:rPr>
            <w:rStyle w:val="Hyperlink"/>
          </w:rPr>
          <w:t>Chosen scenarios</w:t>
        </w:r>
        <w:r w:rsidR="007731AE">
          <w:rPr>
            <w:webHidden/>
          </w:rPr>
          <w:tab/>
        </w:r>
        <w:r w:rsidR="007731AE">
          <w:rPr>
            <w:webHidden/>
          </w:rPr>
          <w:fldChar w:fldCharType="begin"/>
        </w:r>
        <w:r w:rsidR="007731AE">
          <w:rPr>
            <w:webHidden/>
          </w:rPr>
          <w:instrText xml:space="preserve"> PAGEREF _Toc137567814 \h </w:instrText>
        </w:r>
        <w:r w:rsidR="007731AE">
          <w:rPr>
            <w:webHidden/>
          </w:rPr>
        </w:r>
        <w:r w:rsidR="007731AE">
          <w:rPr>
            <w:webHidden/>
          </w:rPr>
          <w:fldChar w:fldCharType="separate"/>
        </w:r>
        <w:r w:rsidR="000154C7">
          <w:rPr>
            <w:webHidden/>
          </w:rPr>
          <w:t>38</w:t>
        </w:r>
        <w:r w:rsidR="007731AE">
          <w:rPr>
            <w:webHidden/>
          </w:rPr>
          <w:fldChar w:fldCharType="end"/>
        </w:r>
      </w:hyperlink>
    </w:p>
    <w:p w14:paraId="6D50BBAC" w14:textId="7AC9CC46" w:rsidR="007731AE" w:rsidRDefault="00000000">
      <w:pPr>
        <w:pStyle w:val="TOC2"/>
        <w:rPr>
          <w:rFonts w:eastAsiaTheme="minorEastAsia" w:cstheme="minorBidi"/>
          <w:color w:val="auto"/>
          <w:kern w:val="2"/>
          <w:sz w:val="24"/>
          <w:szCs w:val="24"/>
          <w:lang w:eastAsia="en-GB"/>
          <w14:ligatures w14:val="standardContextual"/>
        </w:rPr>
      </w:pPr>
      <w:hyperlink w:anchor="_Toc137567815" w:history="1">
        <w:r w:rsidR="007731AE" w:rsidRPr="007063D8">
          <w:rPr>
            <w:rStyle w:val="Hyperlink"/>
          </w:rPr>
          <w:t>5.3 Findings from the SMT scenarios</w:t>
        </w:r>
        <w:r w:rsidR="007731AE">
          <w:rPr>
            <w:webHidden/>
          </w:rPr>
          <w:tab/>
        </w:r>
        <w:r w:rsidR="007731AE">
          <w:rPr>
            <w:webHidden/>
          </w:rPr>
          <w:fldChar w:fldCharType="begin"/>
        </w:r>
        <w:r w:rsidR="007731AE">
          <w:rPr>
            <w:webHidden/>
          </w:rPr>
          <w:instrText xml:space="preserve"> PAGEREF _Toc137567815 \h </w:instrText>
        </w:r>
        <w:r w:rsidR="007731AE">
          <w:rPr>
            <w:webHidden/>
          </w:rPr>
        </w:r>
        <w:r w:rsidR="007731AE">
          <w:rPr>
            <w:webHidden/>
          </w:rPr>
          <w:fldChar w:fldCharType="separate"/>
        </w:r>
        <w:r w:rsidR="000154C7">
          <w:rPr>
            <w:webHidden/>
          </w:rPr>
          <w:t>38</w:t>
        </w:r>
        <w:r w:rsidR="007731AE">
          <w:rPr>
            <w:webHidden/>
          </w:rPr>
          <w:fldChar w:fldCharType="end"/>
        </w:r>
      </w:hyperlink>
    </w:p>
    <w:p w14:paraId="4D3CAC18" w14:textId="04ADCB9B" w:rsidR="007731AE" w:rsidRDefault="00000000">
      <w:pPr>
        <w:pStyle w:val="TOC3"/>
        <w:rPr>
          <w:b w:val="0"/>
          <w:color w:val="auto"/>
          <w:kern w:val="2"/>
          <w:sz w:val="24"/>
          <w:szCs w:val="24"/>
          <w:lang w:eastAsia="en-GB"/>
          <w14:ligatures w14:val="standardContextual"/>
        </w:rPr>
      </w:pPr>
      <w:hyperlink w:anchor="_Toc137567816" w:history="1">
        <w:r w:rsidR="007731AE" w:rsidRPr="007063D8">
          <w:rPr>
            <w:rStyle w:val="Hyperlink"/>
          </w:rPr>
          <w:t>Model results</w:t>
        </w:r>
        <w:r w:rsidR="007731AE">
          <w:rPr>
            <w:webHidden/>
          </w:rPr>
          <w:tab/>
        </w:r>
        <w:r w:rsidR="007731AE">
          <w:rPr>
            <w:webHidden/>
          </w:rPr>
          <w:fldChar w:fldCharType="begin"/>
        </w:r>
        <w:r w:rsidR="007731AE">
          <w:rPr>
            <w:webHidden/>
          </w:rPr>
          <w:instrText xml:space="preserve"> PAGEREF _Toc137567816 \h </w:instrText>
        </w:r>
        <w:r w:rsidR="007731AE">
          <w:rPr>
            <w:webHidden/>
          </w:rPr>
        </w:r>
        <w:r w:rsidR="007731AE">
          <w:rPr>
            <w:webHidden/>
          </w:rPr>
          <w:fldChar w:fldCharType="separate"/>
        </w:r>
        <w:r w:rsidR="000154C7">
          <w:rPr>
            <w:webHidden/>
          </w:rPr>
          <w:t>38</w:t>
        </w:r>
        <w:r w:rsidR="007731AE">
          <w:rPr>
            <w:webHidden/>
          </w:rPr>
          <w:fldChar w:fldCharType="end"/>
        </w:r>
      </w:hyperlink>
    </w:p>
    <w:p w14:paraId="2BA3033D" w14:textId="3D40869D" w:rsidR="007731AE" w:rsidRDefault="00000000">
      <w:pPr>
        <w:pStyle w:val="TOC2"/>
        <w:rPr>
          <w:rFonts w:eastAsiaTheme="minorEastAsia" w:cstheme="minorBidi"/>
          <w:color w:val="auto"/>
          <w:kern w:val="2"/>
          <w:sz w:val="24"/>
          <w:szCs w:val="24"/>
          <w:lang w:eastAsia="en-GB"/>
          <w14:ligatures w14:val="standardContextual"/>
        </w:rPr>
      </w:pPr>
      <w:hyperlink w:anchor="_Toc137567817" w:history="1">
        <w:r w:rsidR="007731AE" w:rsidRPr="007063D8">
          <w:rPr>
            <w:rStyle w:val="Hyperlink"/>
          </w:rPr>
          <w:t>5.4. Conclusions relating to the SMT scenarios</w:t>
        </w:r>
        <w:r w:rsidR="007731AE">
          <w:rPr>
            <w:webHidden/>
          </w:rPr>
          <w:tab/>
        </w:r>
        <w:r w:rsidR="007731AE">
          <w:rPr>
            <w:webHidden/>
          </w:rPr>
          <w:fldChar w:fldCharType="begin"/>
        </w:r>
        <w:r w:rsidR="007731AE">
          <w:rPr>
            <w:webHidden/>
          </w:rPr>
          <w:instrText xml:space="preserve"> PAGEREF _Toc137567817 \h </w:instrText>
        </w:r>
        <w:r w:rsidR="007731AE">
          <w:rPr>
            <w:webHidden/>
          </w:rPr>
        </w:r>
        <w:r w:rsidR="007731AE">
          <w:rPr>
            <w:webHidden/>
          </w:rPr>
          <w:fldChar w:fldCharType="separate"/>
        </w:r>
        <w:r w:rsidR="000154C7">
          <w:rPr>
            <w:webHidden/>
          </w:rPr>
          <w:t>43</w:t>
        </w:r>
        <w:r w:rsidR="007731AE">
          <w:rPr>
            <w:webHidden/>
          </w:rPr>
          <w:fldChar w:fldCharType="end"/>
        </w:r>
      </w:hyperlink>
    </w:p>
    <w:p w14:paraId="27C011EE" w14:textId="11E35D0F" w:rsidR="007731AE" w:rsidRDefault="00000000">
      <w:pPr>
        <w:pStyle w:val="TOC1"/>
        <w:rPr>
          <w:rFonts w:eastAsiaTheme="minorEastAsia" w:cstheme="minorBidi"/>
          <w:b w:val="0"/>
          <w:color w:val="auto"/>
          <w:kern w:val="2"/>
          <w:lang w:eastAsia="en-GB"/>
          <w14:ligatures w14:val="standardContextual"/>
        </w:rPr>
      </w:pPr>
      <w:hyperlink w:anchor="_Toc137567818" w:history="1">
        <w:r w:rsidR="007731AE" w:rsidRPr="007063D8">
          <w:rPr>
            <w:rStyle w:val="Hyperlink"/>
          </w:rPr>
          <w:t>6. Opportunities for future analysis</w:t>
        </w:r>
        <w:r w:rsidR="007731AE">
          <w:rPr>
            <w:webHidden/>
          </w:rPr>
          <w:tab/>
        </w:r>
        <w:r w:rsidR="007731AE">
          <w:rPr>
            <w:webHidden/>
          </w:rPr>
          <w:fldChar w:fldCharType="begin"/>
        </w:r>
        <w:r w:rsidR="007731AE">
          <w:rPr>
            <w:webHidden/>
          </w:rPr>
          <w:instrText xml:space="preserve"> PAGEREF _Toc137567818 \h </w:instrText>
        </w:r>
        <w:r w:rsidR="007731AE">
          <w:rPr>
            <w:webHidden/>
          </w:rPr>
        </w:r>
        <w:r w:rsidR="007731AE">
          <w:rPr>
            <w:webHidden/>
          </w:rPr>
          <w:fldChar w:fldCharType="separate"/>
        </w:r>
        <w:r w:rsidR="000154C7">
          <w:rPr>
            <w:webHidden/>
          </w:rPr>
          <w:t>44</w:t>
        </w:r>
        <w:r w:rsidR="007731AE">
          <w:rPr>
            <w:webHidden/>
          </w:rPr>
          <w:fldChar w:fldCharType="end"/>
        </w:r>
      </w:hyperlink>
    </w:p>
    <w:p w14:paraId="0E7C97FA" w14:textId="738EAF8F" w:rsidR="007731AE" w:rsidRDefault="00000000">
      <w:pPr>
        <w:pStyle w:val="TOC2"/>
        <w:rPr>
          <w:rFonts w:eastAsiaTheme="minorEastAsia" w:cstheme="minorBidi"/>
          <w:color w:val="auto"/>
          <w:kern w:val="2"/>
          <w:sz w:val="24"/>
          <w:szCs w:val="24"/>
          <w:lang w:eastAsia="en-GB"/>
          <w14:ligatures w14:val="standardContextual"/>
        </w:rPr>
      </w:pPr>
      <w:hyperlink w:anchor="_Toc137567819" w:history="1">
        <w:r w:rsidR="007731AE" w:rsidRPr="007063D8">
          <w:rPr>
            <w:rStyle w:val="Hyperlink"/>
          </w:rPr>
          <w:t>6.1 Revised supply demand forecasts</w:t>
        </w:r>
        <w:r w:rsidR="007731AE">
          <w:rPr>
            <w:webHidden/>
          </w:rPr>
          <w:tab/>
        </w:r>
        <w:r w:rsidR="007731AE">
          <w:rPr>
            <w:webHidden/>
          </w:rPr>
          <w:fldChar w:fldCharType="begin"/>
        </w:r>
        <w:r w:rsidR="007731AE">
          <w:rPr>
            <w:webHidden/>
          </w:rPr>
          <w:instrText xml:space="preserve"> PAGEREF _Toc137567819 \h </w:instrText>
        </w:r>
        <w:r w:rsidR="007731AE">
          <w:rPr>
            <w:webHidden/>
          </w:rPr>
        </w:r>
        <w:r w:rsidR="007731AE">
          <w:rPr>
            <w:webHidden/>
          </w:rPr>
          <w:fldChar w:fldCharType="separate"/>
        </w:r>
        <w:r w:rsidR="000154C7">
          <w:rPr>
            <w:webHidden/>
          </w:rPr>
          <w:t>44</w:t>
        </w:r>
        <w:r w:rsidR="007731AE">
          <w:rPr>
            <w:webHidden/>
          </w:rPr>
          <w:fldChar w:fldCharType="end"/>
        </w:r>
      </w:hyperlink>
    </w:p>
    <w:p w14:paraId="5CDF145B" w14:textId="3285708F" w:rsidR="007731AE" w:rsidRDefault="00000000">
      <w:pPr>
        <w:pStyle w:val="TOC2"/>
        <w:rPr>
          <w:rFonts w:eastAsiaTheme="minorEastAsia" w:cstheme="minorBidi"/>
          <w:color w:val="auto"/>
          <w:kern w:val="2"/>
          <w:sz w:val="24"/>
          <w:szCs w:val="24"/>
          <w:lang w:eastAsia="en-GB"/>
          <w14:ligatures w14:val="standardContextual"/>
        </w:rPr>
      </w:pPr>
      <w:hyperlink w:anchor="_Toc137567820" w:history="1">
        <w:r w:rsidR="007731AE" w:rsidRPr="007063D8">
          <w:rPr>
            <w:rStyle w:val="Hyperlink"/>
          </w:rPr>
          <w:t>6.2 Development of a replenishment Index</w:t>
        </w:r>
        <w:r w:rsidR="007731AE">
          <w:rPr>
            <w:webHidden/>
          </w:rPr>
          <w:tab/>
        </w:r>
        <w:r w:rsidR="007731AE">
          <w:rPr>
            <w:webHidden/>
          </w:rPr>
          <w:fldChar w:fldCharType="begin"/>
        </w:r>
        <w:r w:rsidR="007731AE">
          <w:rPr>
            <w:webHidden/>
          </w:rPr>
          <w:instrText xml:space="preserve"> PAGEREF _Toc137567820 \h </w:instrText>
        </w:r>
        <w:r w:rsidR="007731AE">
          <w:rPr>
            <w:webHidden/>
          </w:rPr>
        </w:r>
        <w:r w:rsidR="007731AE">
          <w:rPr>
            <w:webHidden/>
          </w:rPr>
          <w:fldChar w:fldCharType="separate"/>
        </w:r>
        <w:r w:rsidR="000154C7">
          <w:rPr>
            <w:webHidden/>
          </w:rPr>
          <w:t>44</w:t>
        </w:r>
        <w:r w:rsidR="007731AE">
          <w:rPr>
            <w:webHidden/>
          </w:rPr>
          <w:fldChar w:fldCharType="end"/>
        </w:r>
      </w:hyperlink>
    </w:p>
    <w:p w14:paraId="751CCC49" w14:textId="4A3C41F6" w:rsidR="007731AE" w:rsidRDefault="00000000">
      <w:pPr>
        <w:pStyle w:val="TOC2"/>
        <w:rPr>
          <w:rFonts w:eastAsiaTheme="minorEastAsia" w:cstheme="minorBidi"/>
          <w:color w:val="auto"/>
          <w:kern w:val="2"/>
          <w:sz w:val="24"/>
          <w:szCs w:val="24"/>
          <w:lang w:eastAsia="en-GB"/>
          <w14:ligatures w14:val="standardContextual"/>
        </w:rPr>
      </w:pPr>
      <w:hyperlink w:anchor="_Toc137567821" w:history="1">
        <w:r w:rsidR="007731AE" w:rsidRPr="007063D8">
          <w:rPr>
            <w:rStyle w:val="Hyperlink"/>
          </w:rPr>
          <w:t>6.3 Consideration of recycled materials in supply demand analysis</w:t>
        </w:r>
        <w:r w:rsidR="007731AE">
          <w:rPr>
            <w:webHidden/>
          </w:rPr>
          <w:tab/>
        </w:r>
        <w:r w:rsidR="007731AE">
          <w:rPr>
            <w:webHidden/>
          </w:rPr>
          <w:fldChar w:fldCharType="begin"/>
        </w:r>
        <w:r w:rsidR="007731AE">
          <w:rPr>
            <w:webHidden/>
          </w:rPr>
          <w:instrText xml:space="preserve"> PAGEREF _Toc137567821 \h </w:instrText>
        </w:r>
        <w:r w:rsidR="007731AE">
          <w:rPr>
            <w:webHidden/>
          </w:rPr>
        </w:r>
        <w:r w:rsidR="007731AE">
          <w:rPr>
            <w:webHidden/>
          </w:rPr>
          <w:fldChar w:fldCharType="separate"/>
        </w:r>
        <w:r w:rsidR="000154C7">
          <w:rPr>
            <w:webHidden/>
          </w:rPr>
          <w:t>44</w:t>
        </w:r>
        <w:r w:rsidR="007731AE">
          <w:rPr>
            <w:webHidden/>
          </w:rPr>
          <w:fldChar w:fldCharType="end"/>
        </w:r>
      </w:hyperlink>
    </w:p>
    <w:p w14:paraId="6CD5F591" w14:textId="22C2599B" w:rsidR="007731AE" w:rsidRDefault="00000000">
      <w:pPr>
        <w:pStyle w:val="TOC4"/>
        <w:rPr>
          <w:rFonts w:eastAsiaTheme="minorEastAsia" w:cstheme="minorBidi"/>
          <w:color w:val="auto"/>
          <w:kern w:val="2"/>
          <w:sz w:val="24"/>
          <w:szCs w:val="24"/>
          <w:lang w:eastAsia="en-GB"/>
          <w14:ligatures w14:val="standardContextual"/>
        </w:rPr>
      </w:pPr>
      <w:hyperlink w:anchor="_Toc137567822" w:history="1">
        <w:r w:rsidR="007731AE" w:rsidRPr="007063D8">
          <w:rPr>
            <w:rStyle w:val="Hyperlink"/>
          </w:rPr>
          <w:t>Asphalt</w:t>
        </w:r>
        <w:r w:rsidR="007731AE">
          <w:rPr>
            <w:webHidden/>
          </w:rPr>
          <w:tab/>
        </w:r>
        <w:r w:rsidR="007731AE">
          <w:rPr>
            <w:webHidden/>
          </w:rPr>
          <w:fldChar w:fldCharType="begin"/>
        </w:r>
        <w:r w:rsidR="007731AE">
          <w:rPr>
            <w:webHidden/>
          </w:rPr>
          <w:instrText xml:space="preserve"> PAGEREF _Toc137567822 \h </w:instrText>
        </w:r>
        <w:r w:rsidR="007731AE">
          <w:rPr>
            <w:webHidden/>
          </w:rPr>
        </w:r>
        <w:r w:rsidR="007731AE">
          <w:rPr>
            <w:webHidden/>
          </w:rPr>
          <w:fldChar w:fldCharType="separate"/>
        </w:r>
        <w:r w:rsidR="000154C7">
          <w:rPr>
            <w:webHidden/>
          </w:rPr>
          <w:t>45</w:t>
        </w:r>
        <w:r w:rsidR="007731AE">
          <w:rPr>
            <w:webHidden/>
          </w:rPr>
          <w:fldChar w:fldCharType="end"/>
        </w:r>
      </w:hyperlink>
    </w:p>
    <w:p w14:paraId="673AAEFD" w14:textId="7F028D84" w:rsidR="007731AE" w:rsidRDefault="00000000">
      <w:pPr>
        <w:pStyle w:val="TOC4"/>
        <w:rPr>
          <w:rFonts w:eastAsiaTheme="minorEastAsia" w:cstheme="minorBidi"/>
          <w:color w:val="auto"/>
          <w:kern w:val="2"/>
          <w:sz w:val="24"/>
          <w:szCs w:val="24"/>
          <w:lang w:eastAsia="en-GB"/>
          <w14:ligatures w14:val="standardContextual"/>
        </w:rPr>
      </w:pPr>
      <w:hyperlink w:anchor="_Toc137567823" w:history="1">
        <w:r w:rsidR="007731AE" w:rsidRPr="007063D8">
          <w:rPr>
            <w:rStyle w:val="Hyperlink"/>
          </w:rPr>
          <w:t>Crushed concrete</w:t>
        </w:r>
        <w:r w:rsidR="007731AE">
          <w:rPr>
            <w:webHidden/>
          </w:rPr>
          <w:tab/>
        </w:r>
        <w:r w:rsidR="007731AE">
          <w:rPr>
            <w:webHidden/>
          </w:rPr>
          <w:fldChar w:fldCharType="begin"/>
        </w:r>
        <w:r w:rsidR="007731AE">
          <w:rPr>
            <w:webHidden/>
          </w:rPr>
          <w:instrText xml:space="preserve"> PAGEREF _Toc137567823 \h </w:instrText>
        </w:r>
        <w:r w:rsidR="007731AE">
          <w:rPr>
            <w:webHidden/>
          </w:rPr>
        </w:r>
        <w:r w:rsidR="007731AE">
          <w:rPr>
            <w:webHidden/>
          </w:rPr>
          <w:fldChar w:fldCharType="separate"/>
        </w:r>
        <w:r w:rsidR="000154C7">
          <w:rPr>
            <w:webHidden/>
          </w:rPr>
          <w:t>45</w:t>
        </w:r>
        <w:r w:rsidR="007731AE">
          <w:rPr>
            <w:webHidden/>
          </w:rPr>
          <w:fldChar w:fldCharType="end"/>
        </w:r>
      </w:hyperlink>
    </w:p>
    <w:p w14:paraId="51580EBA" w14:textId="22CAC196" w:rsidR="007731AE" w:rsidRDefault="00000000">
      <w:pPr>
        <w:pStyle w:val="TOC4"/>
        <w:rPr>
          <w:rFonts w:eastAsiaTheme="minorEastAsia" w:cstheme="minorBidi"/>
          <w:color w:val="auto"/>
          <w:kern w:val="2"/>
          <w:sz w:val="24"/>
          <w:szCs w:val="24"/>
          <w:lang w:eastAsia="en-GB"/>
          <w14:ligatures w14:val="standardContextual"/>
        </w:rPr>
      </w:pPr>
      <w:hyperlink w:anchor="_Toc137567824" w:history="1">
        <w:r w:rsidR="007731AE" w:rsidRPr="007063D8">
          <w:rPr>
            <w:rStyle w:val="Hyperlink"/>
          </w:rPr>
          <w:t>Recycled crushed glass in concrete</w:t>
        </w:r>
        <w:r w:rsidR="007731AE">
          <w:rPr>
            <w:webHidden/>
          </w:rPr>
          <w:tab/>
        </w:r>
        <w:r w:rsidR="007731AE">
          <w:rPr>
            <w:webHidden/>
          </w:rPr>
          <w:fldChar w:fldCharType="begin"/>
        </w:r>
        <w:r w:rsidR="007731AE">
          <w:rPr>
            <w:webHidden/>
          </w:rPr>
          <w:instrText xml:space="preserve"> PAGEREF _Toc137567824 \h </w:instrText>
        </w:r>
        <w:r w:rsidR="007731AE">
          <w:rPr>
            <w:webHidden/>
          </w:rPr>
        </w:r>
        <w:r w:rsidR="007731AE">
          <w:rPr>
            <w:webHidden/>
          </w:rPr>
          <w:fldChar w:fldCharType="separate"/>
        </w:r>
        <w:r w:rsidR="000154C7">
          <w:rPr>
            <w:webHidden/>
          </w:rPr>
          <w:t>45</w:t>
        </w:r>
        <w:r w:rsidR="007731AE">
          <w:rPr>
            <w:webHidden/>
          </w:rPr>
          <w:fldChar w:fldCharType="end"/>
        </w:r>
      </w:hyperlink>
    </w:p>
    <w:p w14:paraId="3A39E836" w14:textId="33A5D79E" w:rsidR="007731AE" w:rsidRDefault="00000000">
      <w:pPr>
        <w:pStyle w:val="TOC4"/>
        <w:rPr>
          <w:rFonts w:eastAsiaTheme="minorEastAsia" w:cstheme="minorBidi"/>
          <w:color w:val="auto"/>
          <w:kern w:val="2"/>
          <w:sz w:val="24"/>
          <w:szCs w:val="24"/>
          <w:lang w:eastAsia="en-GB"/>
          <w14:ligatures w14:val="standardContextual"/>
        </w:rPr>
      </w:pPr>
      <w:hyperlink w:anchor="_Toc137567825" w:history="1">
        <w:r w:rsidR="007731AE" w:rsidRPr="007063D8">
          <w:rPr>
            <w:rStyle w:val="Hyperlink"/>
          </w:rPr>
          <w:t>Recycled crushed glass</w:t>
        </w:r>
        <w:r w:rsidR="007731AE">
          <w:rPr>
            <w:webHidden/>
          </w:rPr>
          <w:tab/>
        </w:r>
        <w:r w:rsidR="007731AE">
          <w:rPr>
            <w:webHidden/>
          </w:rPr>
          <w:fldChar w:fldCharType="begin"/>
        </w:r>
        <w:r w:rsidR="007731AE">
          <w:rPr>
            <w:webHidden/>
          </w:rPr>
          <w:instrText xml:space="preserve"> PAGEREF _Toc137567825 \h </w:instrText>
        </w:r>
        <w:r w:rsidR="007731AE">
          <w:rPr>
            <w:webHidden/>
          </w:rPr>
        </w:r>
        <w:r w:rsidR="007731AE">
          <w:rPr>
            <w:webHidden/>
          </w:rPr>
          <w:fldChar w:fldCharType="separate"/>
        </w:r>
        <w:r w:rsidR="000154C7">
          <w:rPr>
            <w:webHidden/>
          </w:rPr>
          <w:t>45</w:t>
        </w:r>
        <w:r w:rsidR="007731AE">
          <w:rPr>
            <w:webHidden/>
          </w:rPr>
          <w:fldChar w:fldCharType="end"/>
        </w:r>
      </w:hyperlink>
    </w:p>
    <w:p w14:paraId="5A8E3602" w14:textId="454DDE43" w:rsidR="007731AE" w:rsidRDefault="00000000">
      <w:pPr>
        <w:pStyle w:val="TOC2"/>
        <w:rPr>
          <w:rFonts w:eastAsiaTheme="minorEastAsia" w:cstheme="minorBidi"/>
          <w:color w:val="auto"/>
          <w:kern w:val="2"/>
          <w:sz w:val="24"/>
          <w:szCs w:val="24"/>
          <w:lang w:eastAsia="en-GB"/>
          <w14:ligatures w14:val="standardContextual"/>
        </w:rPr>
      </w:pPr>
      <w:hyperlink w:anchor="_Toc137567826" w:history="1">
        <w:r w:rsidR="007731AE" w:rsidRPr="007063D8">
          <w:rPr>
            <w:rStyle w:val="Hyperlink"/>
          </w:rPr>
          <w:t>6.4 Integration analysis and simulation modelling tool advances</w:t>
        </w:r>
        <w:r w:rsidR="007731AE">
          <w:rPr>
            <w:webHidden/>
          </w:rPr>
          <w:tab/>
        </w:r>
        <w:r w:rsidR="007731AE">
          <w:rPr>
            <w:webHidden/>
          </w:rPr>
          <w:fldChar w:fldCharType="begin"/>
        </w:r>
        <w:r w:rsidR="007731AE">
          <w:rPr>
            <w:webHidden/>
          </w:rPr>
          <w:instrText xml:space="preserve"> PAGEREF _Toc137567826 \h </w:instrText>
        </w:r>
        <w:r w:rsidR="007731AE">
          <w:rPr>
            <w:webHidden/>
          </w:rPr>
        </w:r>
        <w:r w:rsidR="007731AE">
          <w:rPr>
            <w:webHidden/>
          </w:rPr>
          <w:fldChar w:fldCharType="separate"/>
        </w:r>
        <w:r w:rsidR="000154C7">
          <w:rPr>
            <w:webHidden/>
          </w:rPr>
          <w:t>45</w:t>
        </w:r>
        <w:r w:rsidR="007731AE">
          <w:rPr>
            <w:webHidden/>
          </w:rPr>
          <w:fldChar w:fldCharType="end"/>
        </w:r>
      </w:hyperlink>
    </w:p>
    <w:p w14:paraId="1CBAD521" w14:textId="5EB675DE" w:rsidR="007731AE" w:rsidRDefault="00000000">
      <w:pPr>
        <w:pStyle w:val="TOC2"/>
        <w:rPr>
          <w:rFonts w:eastAsiaTheme="minorEastAsia" w:cstheme="minorBidi"/>
          <w:color w:val="auto"/>
          <w:kern w:val="2"/>
          <w:sz w:val="24"/>
          <w:szCs w:val="24"/>
          <w:lang w:eastAsia="en-GB"/>
          <w14:ligatures w14:val="standardContextual"/>
        </w:rPr>
      </w:pPr>
      <w:hyperlink w:anchor="_Toc137567827" w:history="1">
        <w:r w:rsidR="007731AE" w:rsidRPr="007063D8">
          <w:rPr>
            <w:rStyle w:val="Hyperlink"/>
          </w:rPr>
          <w:t>6.5. Sydney case study</w:t>
        </w:r>
        <w:r w:rsidR="007731AE">
          <w:rPr>
            <w:webHidden/>
          </w:rPr>
          <w:tab/>
        </w:r>
        <w:r w:rsidR="007731AE">
          <w:rPr>
            <w:webHidden/>
          </w:rPr>
          <w:fldChar w:fldCharType="begin"/>
        </w:r>
        <w:r w:rsidR="007731AE">
          <w:rPr>
            <w:webHidden/>
          </w:rPr>
          <w:instrText xml:space="preserve"> PAGEREF _Toc137567827 \h </w:instrText>
        </w:r>
        <w:r w:rsidR="007731AE">
          <w:rPr>
            <w:webHidden/>
          </w:rPr>
        </w:r>
        <w:r w:rsidR="007731AE">
          <w:rPr>
            <w:webHidden/>
          </w:rPr>
          <w:fldChar w:fldCharType="separate"/>
        </w:r>
        <w:r w:rsidR="000154C7">
          <w:rPr>
            <w:webHidden/>
          </w:rPr>
          <w:t>45</w:t>
        </w:r>
        <w:r w:rsidR="007731AE">
          <w:rPr>
            <w:webHidden/>
          </w:rPr>
          <w:fldChar w:fldCharType="end"/>
        </w:r>
      </w:hyperlink>
    </w:p>
    <w:p w14:paraId="468F03C4" w14:textId="32BA7045" w:rsidR="007731AE" w:rsidRDefault="00000000">
      <w:pPr>
        <w:pStyle w:val="TOC1"/>
        <w:rPr>
          <w:rFonts w:eastAsiaTheme="minorEastAsia" w:cstheme="minorBidi"/>
          <w:b w:val="0"/>
          <w:color w:val="auto"/>
          <w:kern w:val="2"/>
          <w:lang w:eastAsia="en-GB"/>
          <w14:ligatures w14:val="standardContextual"/>
        </w:rPr>
      </w:pPr>
      <w:hyperlink w:anchor="_Toc137567828" w:history="1">
        <w:r w:rsidR="007731AE" w:rsidRPr="007063D8">
          <w:rPr>
            <w:rStyle w:val="Hyperlink"/>
          </w:rPr>
          <w:t>7 Study conclusions</w:t>
        </w:r>
        <w:r w:rsidR="007731AE">
          <w:rPr>
            <w:webHidden/>
          </w:rPr>
          <w:tab/>
        </w:r>
        <w:r w:rsidR="007731AE">
          <w:rPr>
            <w:webHidden/>
          </w:rPr>
          <w:fldChar w:fldCharType="begin"/>
        </w:r>
        <w:r w:rsidR="007731AE">
          <w:rPr>
            <w:webHidden/>
          </w:rPr>
          <w:instrText xml:space="preserve"> PAGEREF _Toc137567828 \h </w:instrText>
        </w:r>
        <w:r w:rsidR="007731AE">
          <w:rPr>
            <w:webHidden/>
          </w:rPr>
        </w:r>
        <w:r w:rsidR="007731AE">
          <w:rPr>
            <w:webHidden/>
          </w:rPr>
          <w:fldChar w:fldCharType="separate"/>
        </w:r>
        <w:r w:rsidR="000154C7">
          <w:rPr>
            <w:webHidden/>
          </w:rPr>
          <w:t>46</w:t>
        </w:r>
        <w:r w:rsidR="007731AE">
          <w:rPr>
            <w:webHidden/>
          </w:rPr>
          <w:fldChar w:fldCharType="end"/>
        </w:r>
      </w:hyperlink>
    </w:p>
    <w:p w14:paraId="7790598E" w14:textId="6A4A12EB" w:rsidR="007731AE" w:rsidRDefault="00000000">
      <w:pPr>
        <w:pStyle w:val="TOC1"/>
        <w:rPr>
          <w:rFonts w:eastAsiaTheme="minorEastAsia" w:cstheme="minorBidi"/>
          <w:b w:val="0"/>
          <w:color w:val="auto"/>
          <w:kern w:val="2"/>
          <w:lang w:eastAsia="en-GB"/>
          <w14:ligatures w14:val="standardContextual"/>
        </w:rPr>
      </w:pPr>
      <w:hyperlink w:anchor="_Toc137567829" w:history="1">
        <w:r w:rsidR="007731AE" w:rsidRPr="007063D8">
          <w:rPr>
            <w:rStyle w:val="Hyperlink"/>
          </w:rPr>
          <w:t>8. Appendices</w:t>
        </w:r>
        <w:r w:rsidR="007731AE">
          <w:rPr>
            <w:webHidden/>
          </w:rPr>
          <w:tab/>
        </w:r>
        <w:r w:rsidR="007731AE">
          <w:rPr>
            <w:webHidden/>
          </w:rPr>
          <w:fldChar w:fldCharType="begin"/>
        </w:r>
        <w:r w:rsidR="007731AE">
          <w:rPr>
            <w:webHidden/>
          </w:rPr>
          <w:instrText xml:space="preserve"> PAGEREF _Toc137567829 \h </w:instrText>
        </w:r>
        <w:r w:rsidR="007731AE">
          <w:rPr>
            <w:webHidden/>
          </w:rPr>
        </w:r>
        <w:r w:rsidR="007731AE">
          <w:rPr>
            <w:webHidden/>
          </w:rPr>
          <w:fldChar w:fldCharType="separate"/>
        </w:r>
        <w:r w:rsidR="000154C7">
          <w:rPr>
            <w:webHidden/>
          </w:rPr>
          <w:t>47</w:t>
        </w:r>
        <w:r w:rsidR="007731AE">
          <w:rPr>
            <w:webHidden/>
          </w:rPr>
          <w:fldChar w:fldCharType="end"/>
        </w:r>
      </w:hyperlink>
    </w:p>
    <w:p w14:paraId="77C8973E" w14:textId="358DB2B6" w:rsidR="007731AE" w:rsidRDefault="00000000">
      <w:pPr>
        <w:pStyle w:val="TOC2"/>
        <w:rPr>
          <w:rFonts w:eastAsiaTheme="minorEastAsia" w:cstheme="minorBidi"/>
          <w:color w:val="auto"/>
          <w:kern w:val="2"/>
          <w:sz w:val="24"/>
          <w:szCs w:val="24"/>
          <w:lang w:eastAsia="en-GB"/>
          <w14:ligatures w14:val="standardContextual"/>
        </w:rPr>
      </w:pPr>
      <w:hyperlink w:anchor="_Toc137567830" w:history="1">
        <w:r w:rsidR="007731AE" w:rsidRPr="007063D8">
          <w:rPr>
            <w:rStyle w:val="Hyperlink"/>
          </w:rPr>
          <w:t>8.1 Supply-side engagement – Survey questions</w:t>
        </w:r>
        <w:r w:rsidR="007731AE">
          <w:rPr>
            <w:webHidden/>
          </w:rPr>
          <w:tab/>
        </w:r>
        <w:r w:rsidR="007731AE">
          <w:rPr>
            <w:webHidden/>
          </w:rPr>
          <w:fldChar w:fldCharType="begin"/>
        </w:r>
        <w:r w:rsidR="007731AE">
          <w:rPr>
            <w:webHidden/>
          </w:rPr>
          <w:instrText xml:space="preserve"> PAGEREF _Toc137567830 \h </w:instrText>
        </w:r>
        <w:r w:rsidR="007731AE">
          <w:rPr>
            <w:webHidden/>
          </w:rPr>
        </w:r>
        <w:r w:rsidR="007731AE">
          <w:rPr>
            <w:webHidden/>
          </w:rPr>
          <w:fldChar w:fldCharType="separate"/>
        </w:r>
        <w:r w:rsidR="000154C7">
          <w:rPr>
            <w:webHidden/>
          </w:rPr>
          <w:t>47</w:t>
        </w:r>
        <w:r w:rsidR="007731AE">
          <w:rPr>
            <w:webHidden/>
          </w:rPr>
          <w:fldChar w:fldCharType="end"/>
        </w:r>
      </w:hyperlink>
    </w:p>
    <w:p w14:paraId="655F0CB3" w14:textId="652900BE" w:rsidR="007731AE" w:rsidRDefault="00000000">
      <w:pPr>
        <w:pStyle w:val="TOC1"/>
        <w:rPr>
          <w:rFonts w:eastAsiaTheme="minorEastAsia" w:cstheme="minorBidi"/>
          <w:b w:val="0"/>
          <w:color w:val="auto"/>
          <w:kern w:val="2"/>
          <w:lang w:eastAsia="en-GB"/>
          <w14:ligatures w14:val="standardContextual"/>
        </w:rPr>
      </w:pPr>
      <w:hyperlink w:anchor="_Toc137567831" w:history="1">
        <w:r w:rsidR="007731AE" w:rsidRPr="007063D8">
          <w:rPr>
            <w:rStyle w:val="Hyperlink"/>
          </w:rPr>
          <w:t>9. Glossary</w:t>
        </w:r>
        <w:r w:rsidR="007731AE">
          <w:rPr>
            <w:webHidden/>
          </w:rPr>
          <w:tab/>
        </w:r>
        <w:r w:rsidR="007731AE">
          <w:rPr>
            <w:webHidden/>
          </w:rPr>
          <w:fldChar w:fldCharType="begin"/>
        </w:r>
        <w:r w:rsidR="007731AE">
          <w:rPr>
            <w:webHidden/>
          </w:rPr>
          <w:instrText xml:space="preserve"> PAGEREF _Toc137567831 \h </w:instrText>
        </w:r>
        <w:r w:rsidR="007731AE">
          <w:rPr>
            <w:webHidden/>
          </w:rPr>
        </w:r>
        <w:r w:rsidR="007731AE">
          <w:rPr>
            <w:webHidden/>
          </w:rPr>
          <w:fldChar w:fldCharType="separate"/>
        </w:r>
        <w:r w:rsidR="000154C7">
          <w:rPr>
            <w:webHidden/>
          </w:rPr>
          <w:t>50</w:t>
        </w:r>
        <w:r w:rsidR="007731AE">
          <w:rPr>
            <w:webHidden/>
          </w:rPr>
          <w:fldChar w:fldCharType="end"/>
        </w:r>
      </w:hyperlink>
    </w:p>
    <w:p w14:paraId="1290FC87" w14:textId="0A770D84" w:rsidR="003F4354" w:rsidRDefault="00977F6D" w:rsidP="00467E43">
      <w:pPr>
        <w:pStyle w:val="NoSpacing"/>
        <w:rPr>
          <w:rFonts w:eastAsiaTheme="majorEastAsia"/>
        </w:rPr>
      </w:pPr>
      <w:r>
        <w:rPr>
          <w:rFonts w:eastAsiaTheme="majorEastAsia" w:cs="Arial"/>
          <w:b/>
          <w:noProof/>
          <w:color w:val="201547" w:themeColor="text2"/>
          <w:sz w:val="24"/>
          <w:szCs w:val="24"/>
        </w:rPr>
        <w:fldChar w:fldCharType="end"/>
      </w:r>
    </w:p>
    <w:p w14:paraId="37A8DD93" w14:textId="0D4B087B" w:rsidR="00233D6B" w:rsidRDefault="00233D6B" w:rsidP="00254F12">
      <w:pPr>
        <w:sectPr w:rsidR="00233D6B" w:rsidSect="00CD157B">
          <w:pgSz w:w="11907" w:h="16839" w:code="9"/>
          <w:pgMar w:top="1134" w:right="1134" w:bottom="1134" w:left="1134" w:header="283" w:footer="283" w:gutter="0"/>
          <w:pgNumType w:start="1"/>
          <w:cols w:space="454"/>
          <w:noEndnote/>
          <w:docGrid w:linePitch="360"/>
        </w:sectPr>
      </w:pPr>
    </w:p>
    <w:p w14:paraId="2D31CE92" w14:textId="77777777" w:rsidR="003F4354" w:rsidRPr="00837FC8" w:rsidRDefault="003F4354" w:rsidP="003F4354">
      <w:pPr>
        <w:pStyle w:val="Heading1"/>
      </w:pPr>
      <w:bookmarkStart w:id="6" w:name="_Toc130274668"/>
      <w:bookmarkStart w:id="7" w:name="_Toc137567761"/>
      <w:r w:rsidRPr="00837FC8">
        <w:lastRenderedPageBreak/>
        <w:t>Summary</w:t>
      </w:r>
      <w:bookmarkEnd w:id="6"/>
      <w:bookmarkEnd w:id="7"/>
    </w:p>
    <w:p w14:paraId="0F54338A" w14:textId="346695BF" w:rsidR="003F4354" w:rsidRPr="00837FC8" w:rsidRDefault="003F4354" w:rsidP="003F4354">
      <w:r>
        <w:t>Victoria’s extractive resources industry is a vital part of the State’s economy, representing around $1 billion annually at the quarry gate.</w:t>
      </w:r>
      <w:r>
        <w:rPr>
          <w:rStyle w:val="FootnoteReference"/>
        </w:rPr>
        <w:footnoteReference w:id="2"/>
      </w:r>
      <w:r>
        <w:t xml:space="preserve"> </w:t>
      </w:r>
      <w:r w:rsidR="00C70E23">
        <w:t>E</w:t>
      </w:r>
      <w:r>
        <w:t>xtractive</w:t>
      </w:r>
      <w:r w:rsidR="007F28CB">
        <w:t xml:space="preserve"> </w:t>
      </w:r>
      <w:r w:rsidR="002621A4">
        <w:t>resources</w:t>
      </w:r>
      <w:r>
        <w:t>, such as sand, gravel, hard rock</w:t>
      </w:r>
      <w:r w:rsidR="0001014C">
        <w:t xml:space="preserve"> and</w:t>
      </w:r>
      <w:r>
        <w:t xml:space="preserve"> clay are</w:t>
      </w:r>
      <w:r w:rsidR="002621A4">
        <w:t xml:space="preserve"> </w:t>
      </w:r>
      <w:r w:rsidR="007B5B20">
        <w:t>the key ingredients for a range of products</w:t>
      </w:r>
      <w:r w:rsidR="003B3118">
        <w:t xml:space="preserve"> such as concrete, asphalt, and road base which are</w:t>
      </w:r>
      <w:r>
        <w:t xml:space="preserve"> </w:t>
      </w:r>
      <w:r w:rsidR="00C70E23">
        <w:t>essential</w:t>
      </w:r>
      <w:r w:rsidR="00C70E23">
        <w:t xml:space="preserve"> </w:t>
      </w:r>
      <w:r>
        <w:t xml:space="preserve">to the construction industry. The </w:t>
      </w:r>
      <w:r w:rsidR="00184045">
        <w:t xml:space="preserve">construction </w:t>
      </w:r>
      <w:r>
        <w:t xml:space="preserve">industry is </w:t>
      </w:r>
      <w:r w:rsidRPr="00C84F5B">
        <w:rPr>
          <w:lang w:val="en"/>
        </w:rPr>
        <w:t xml:space="preserve">valued at </w:t>
      </w:r>
      <w:r w:rsidRPr="008333BF">
        <w:rPr>
          <w:lang w:val="en"/>
        </w:rPr>
        <w:t>$21.6 billion</w:t>
      </w:r>
      <w:r w:rsidRPr="00C84F5B">
        <w:rPr>
          <w:lang w:val="en"/>
        </w:rPr>
        <w:t xml:space="preserve"> and employs </w:t>
      </w:r>
      <w:r>
        <w:rPr>
          <w:lang w:val="en"/>
        </w:rPr>
        <w:t>around</w:t>
      </w:r>
      <w:r w:rsidRPr="00C84F5B">
        <w:rPr>
          <w:lang w:val="en"/>
        </w:rPr>
        <w:t xml:space="preserve"> 240,000 people in 89,000 businesses</w:t>
      </w:r>
      <w:r>
        <w:rPr>
          <w:lang w:val="en"/>
        </w:rPr>
        <w:t>.</w:t>
      </w:r>
      <w:r>
        <w:rPr>
          <w:rStyle w:val="FootnoteReference"/>
          <w:lang w:val="en"/>
        </w:rPr>
        <w:footnoteReference w:id="3"/>
      </w:r>
    </w:p>
    <w:p w14:paraId="28A18F0A" w14:textId="77777777" w:rsidR="003F4354" w:rsidRPr="00FD09FF" w:rsidRDefault="003F4354" w:rsidP="003F4354">
      <w:r>
        <w:t xml:space="preserve">Demand for extractive resources is being driven to unprecedented levels by population growth and projects in Victoria’s ‘Big Build’. Victoria’s Big Build is delivering $90 billion of transport projects, including 165 major road and rail projects, and increasing construction of residential, </w:t>
      </w:r>
      <w:r w:rsidRPr="00FD09FF">
        <w:t xml:space="preserve">commercial and renewable energy infrastructure by the private sector. </w:t>
      </w:r>
    </w:p>
    <w:p w14:paraId="6A3A8634" w14:textId="77777777" w:rsidR="003F4354" w:rsidRPr="00FD09FF" w:rsidRDefault="003F4354" w:rsidP="003F4354">
      <w:r w:rsidRPr="00FD09FF">
        <w:t xml:space="preserve">Victoria has benefited from a competitive extractive resource industry, which operated close to market, providing ample accessible and affordable materials for Government projects and consumers. When old quarries closed for transition to other land uses, new quarries opened in areas that were on the fringe between urban Melbourne and rural Victoria (known as peri-urban areas). The supply of extractive resources for infrastructure was consistently replenished at a stable cost. </w:t>
      </w:r>
    </w:p>
    <w:p w14:paraId="1AB90C66" w14:textId="584B1111" w:rsidR="003F4354" w:rsidRPr="00FD09FF" w:rsidRDefault="003F4354" w:rsidP="003F4354">
      <w:r w:rsidRPr="00FD09FF">
        <w:t xml:space="preserve">However, the extractive resources replenishment rate is deteriorating. Competing land uses and changing community attitudes are leading to regulatory uncertainty and longer timeframes for new quarry and quarry variation approvals. As fewer new quarries are developed, there is increasing production in existing approved reserves. This becomes necessary as the alternative is transporting more extractive resources from further afield, incurring increased transport costs and additional emissions. In addition, specifications for </w:t>
      </w:r>
      <w:r>
        <w:t>high-quality</w:t>
      </w:r>
      <w:r w:rsidRPr="00FD09FF">
        <w:t xml:space="preserve"> sand and quarry materials are tightening for higher durability projects</w:t>
      </w:r>
      <w:r>
        <w:t>,</w:t>
      </w:r>
      <w:r w:rsidRPr="00FD09FF">
        <w:t xml:space="preserve"> thereby further limiting supply. Maintaining such supply of high-quality products close to Melbourne</w:t>
      </w:r>
      <w:r w:rsidR="00106EBD">
        <w:t>’s</w:t>
      </w:r>
      <w:r w:rsidRPr="00FD09FF">
        <w:t xml:space="preserve"> build</w:t>
      </w:r>
      <w:r w:rsidR="00106EBD">
        <w:t>ing</w:t>
      </w:r>
      <w:r w:rsidRPr="00FD09FF">
        <w:t xml:space="preserve"> projects is not sustainable in the long-term</w:t>
      </w:r>
      <w:r w:rsidR="00927D5E">
        <w:t xml:space="preserve"> without additional quarries</w:t>
      </w:r>
      <w:r w:rsidR="00AE385E">
        <w:t xml:space="preserve"> coming </w:t>
      </w:r>
      <w:r w:rsidR="003C6E4D">
        <w:t>online</w:t>
      </w:r>
      <w:r w:rsidRPr="00FD09FF">
        <w:t xml:space="preserve">. </w:t>
      </w:r>
    </w:p>
    <w:p w14:paraId="2AFC5282" w14:textId="77777777" w:rsidR="003F4354" w:rsidRPr="00837FC8" w:rsidRDefault="003F4354" w:rsidP="003F4354">
      <w:r w:rsidRPr="00FD09FF">
        <w:t xml:space="preserve">This </w:t>
      </w:r>
      <w:r w:rsidRPr="00FD09FF">
        <w:rPr>
          <w:i/>
          <w:iCs/>
        </w:rPr>
        <w:t>Extractive Resources Supply and Demand Study 2022-30</w:t>
      </w:r>
      <w:r w:rsidRPr="00FD09FF">
        <w:t xml:space="preserve"> (the Study) conducted during 2021-22 investigates whether Victoria has the supply of extractive resources to meet demand between 2021-22</w:t>
      </w:r>
      <w:r w:rsidRPr="003E2ADB">
        <w:t xml:space="preserve"> and 2029-30. The Study makes </w:t>
      </w:r>
      <w:r>
        <w:t>s</w:t>
      </w:r>
      <w:r w:rsidRPr="003E2ADB">
        <w:t xml:space="preserve">tatewide and regional level </w:t>
      </w:r>
      <w:r>
        <w:t>supply and demand</w:t>
      </w:r>
      <w:r w:rsidRPr="003E2ADB">
        <w:t xml:space="preserve"> forecasts across the key extractive</w:t>
      </w:r>
      <w:r>
        <w:t xml:space="preserve"> resource </w:t>
      </w:r>
      <w:r w:rsidRPr="003E2ADB">
        <w:t>commodities and uses scenario analysis to predict the transport distance impacts under the current market trajectory.</w:t>
      </w:r>
    </w:p>
    <w:p w14:paraId="76A5BCC7" w14:textId="77777777" w:rsidR="003F4354" w:rsidRDefault="003F4354" w:rsidP="003F4354">
      <w:r w:rsidRPr="634D0E1B">
        <w:t xml:space="preserve">The </w:t>
      </w:r>
      <w:r>
        <w:t>S</w:t>
      </w:r>
      <w:r w:rsidRPr="634D0E1B">
        <w:t>tudy</w:t>
      </w:r>
      <w:r>
        <w:t xml:space="preserve"> </w:t>
      </w:r>
      <w:r w:rsidRPr="634D0E1B">
        <w:t xml:space="preserve">has estimated Victoria’s </w:t>
      </w:r>
      <w:r w:rsidRPr="007C1EF8">
        <w:t xml:space="preserve">extractive reserves for 2022-2030 by interviewing 20 companies that collectively account for 145 work authorities. The survey data from the </w:t>
      </w:r>
      <w:r w:rsidRPr="00E06885">
        <w:rPr>
          <w:color w:val="232222" w:themeColor="text1"/>
        </w:rPr>
        <w:t>interviews covers approximately 70 per cent of Victoria’s production</w:t>
      </w:r>
      <w:r>
        <w:rPr>
          <w:color w:val="232222" w:themeColor="text1"/>
        </w:rPr>
        <w:t>,</w:t>
      </w:r>
      <w:r w:rsidRPr="00E06885">
        <w:rPr>
          <w:color w:val="232222" w:themeColor="text1"/>
        </w:rPr>
        <w:t xml:space="preserve"> with the balance of production supplemented with resource estimates derived from industry annual reports. The survey shows that current Victorian work authorities hold at least 1.13 billion tonnes of reserves that are approved for development. </w:t>
      </w:r>
      <w:r>
        <w:t>Additionally, a further 811 million tonnes of resources could be available but regulatory approvals would be required to develop these.</w:t>
      </w:r>
      <w:r w:rsidRPr="0093216A">
        <w:rPr>
          <w:rStyle w:val="FootnoteReference"/>
        </w:rPr>
        <w:t xml:space="preserve"> </w:t>
      </w:r>
      <w:r>
        <w:rPr>
          <w:rStyle w:val="FootnoteReference"/>
        </w:rPr>
        <w:footnoteReference w:id="4"/>
      </w:r>
      <w:r>
        <w:t xml:space="preserve"> Development of these resources may also be limited by commercial factors such as resource quality and market specifications. </w:t>
      </w:r>
    </w:p>
    <w:p w14:paraId="1DE07336" w14:textId="77777777" w:rsidR="003F4354" w:rsidRDefault="003F4354" w:rsidP="003F4354">
      <w:r>
        <w:t xml:space="preserve">Statewide demand for extractive materials is expected </w:t>
      </w:r>
      <w:r w:rsidRPr="00F719CC">
        <w:t xml:space="preserve">to increase </w:t>
      </w:r>
      <w:r w:rsidRPr="007F6DBA">
        <w:t>from 63.7</w:t>
      </w:r>
      <w:r>
        <w:t xml:space="preserve"> </w:t>
      </w:r>
      <w:r w:rsidRPr="007F6DBA">
        <w:t>million</w:t>
      </w:r>
      <w:r w:rsidRPr="00F719CC">
        <w:t xml:space="preserve"> tonnes</w:t>
      </w:r>
      <w:r>
        <w:rPr>
          <w:rStyle w:val="FootnoteReference"/>
        </w:rPr>
        <w:footnoteReference w:id="5"/>
      </w:r>
      <w:r w:rsidRPr="007F6DBA">
        <w:t xml:space="preserve"> </w:t>
      </w:r>
      <w:r w:rsidRPr="00F719CC">
        <w:t xml:space="preserve"> in 2020-21 to 79.5 million tonnes by 2030, higher than the historical trend growt</w:t>
      </w:r>
      <w:r w:rsidRPr="00E42558">
        <w:t>h</w:t>
      </w:r>
      <w:r>
        <w:t>.</w:t>
      </w:r>
      <w:r w:rsidRPr="006F42F1">
        <w:rPr>
          <w:rStyle w:val="FootnoteReference"/>
        </w:rPr>
        <w:footnoteReference w:id="6"/>
      </w:r>
      <w:r>
        <w:t xml:space="preserve"> The demand forecasts indicate that Greater Melbourne will account for around 80 per cent of total extractive resource demand from 2021-22 to 2029-30. In particular, outer urban growth areas, including Greater Geelong, Wyndham, Hume, Whittlesea and Casey, are expected to be major consumers of extractive materials </w:t>
      </w:r>
      <w:r w:rsidRPr="00837FC8">
        <w:t xml:space="preserve">due to </w:t>
      </w:r>
      <w:r>
        <w:t xml:space="preserve">increased </w:t>
      </w:r>
      <w:r w:rsidRPr="00837FC8">
        <w:t>construction driven by population growth.</w:t>
      </w:r>
      <w:r>
        <w:t xml:space="preserve">  </w:t>
      </w:r>
    </w:p>
    <w:p w14:paraId="1AAB57A2" w14:textId="77777777" w:rsidR="00393B37" w:rsidRDefault="003F4354" w:rsidP="003F4354">
      <w:r w:rsidRPr="0077774E">
        <w:t xml:space="preserve">The forecast cumulative demand of 640 million tonnes from 2021 to 2030 represents around 56 per cent of current reserves over that period. While at an aggregated statewide level there would appear to be enough extractive resources to meet forecast demand up to 2030, there are specific product and location demands that do not always correspond to the quality and location of available reserves. </w:t>
      </w:r>
    </w:p>
    <w:p w14:paraId="79BD83F6" w14:textId="17DD2A45" w:rsidR="003F4354" w:rsidRDefault="003F4354" w:rsidP="003F4354">
      <w:r w:rsidRPr="0077774E">
        <w:lastRenderedPageBreak/>
        <w:t>The regional analysis undertaken showed that under current predictions, extractive resources will increasingly need to be sourced from more distant quarries. This generates added costs and other issues</w:t>
      </w:r>
      <w:r>
        <w:t>,</w:t>
      </w:r>
      <w:r w:rsidRPr="0077774E">
        <w:t xml:space="preserve"> including increased truck movements and emissions.   </w:t>
      </w:r>
    </w:p>
    <w:p w14:paraId="04D6A607" w14:textId="5F34701A" w:rsidR="003F4354" w:rsidRDefault="003F4354" w:rsidP="003F4354">
      <w:r w:rsidRPr="0077774E">
        <w:t xml:space="preserve">With moderate assumptions, it is expected that between 2021 and 2030, the average distance to transport hard rock, and sand and gravel, to Melbourne could increase from 32 km to 151 km and 62 km to 183 km, respectively. This presents about a 120 km increase for both commodities.  </w:t>
      </w:r>
    </w:p>
    <w:p w14:paraId="1B268A86" w14:textId="671AB2B2" w:rsidR="003F4354" w:rsidRDefault="003F4354" w:rsidP="003F4354">
      <w:pPr>
        <w:rPr>
          <w:color w:val="232222" w:themeColor="text1"/>
        </w:rPr>
      </w:pPr>
      <w:r w:rsidRPr="0077774E">
        <w:t>This is concerning because transport costs are approximately 25-30 per cent of the total extraction cost for quarries close to project sites</w:t>
      </w:r>
      <w:r w:rsidR="009C0C29">
        <w:t>, with</w:t>
      </w:r>
      <w:r w:rsidRPr="0077774E">
        <w:t xml:space="preserve"> trucking costs estimated to be about 20 cents per tonne per kilometre. With heavy construction materials for residential and </w:t>
      </w:r>
      <w:r w:rsidRPr="002E4E5B">
        <w:rPr>
          <w:color w:val="232222" w:themeColor="text1"/>
        </w:rPr>
        <w:t>non-residential builds equating to about 40 per cent of building material costs, these cost increases are likely to affect housing, roads, social infrastructure and The Big Build and Big Housing Build projects. More trucks driving longer distances increase the state’s carbon footprint and the wear and tear on roads.</w:t>
      </w:r>
    </w:p>
    <w:p w14:paraId="0E62971F" w14:textId="064633A7" w:rsidR="003F4354" w:rsidRDefault="00805CBF" w:rsidP="003F4354">
      <w:pPr>
        <w:rPr>
          <w:color w:val="232222" w:themeColor="text1"/>
        </w:rPr>
      </w:pPr>
      <w:r>
        <w:rPr>
          <w:color w:val="232222" w:themeColor="text1"/>
        </w:rPr>
        <w:t>The r</w:t>
      </w:r>
      <w:r w:rsidR="003F4354" w:rsidRPr="002E4E5B">
        <w:rPr>
          <w:color w:val="232222" w:themeColor="text1"/>
        </w:rPr>
        <w:t>egional supply analysis within the Study showed that, unlike hard rock, which is more widespread around Melbourne, sand is more localised in certain areas of the State. Most of the sand supply is in the Lang Lang to Grantville sand belt, which spans the local government areas (LGAs) of Cardinia, Bass Coast and South Gippsland to the east of Greater Melbourne. West of Greater Melbourne, sand reserves are more limited and concentrated in Barwon and in the Central Highlands, while the Goulburn Valley/Seymour region is well positioned to supply Melbourne’s north</w:t>
      </w:r>
      <w:r w:rsidR="003F4354" w:rsidRPr="002E4E5B">
        <w:rPr>
          <w:rFonts w:ascii="Arial" w:hAnsi="Arial" w:cs="Arial"/>
          <w:color w:val="232222" w:themeColor="text1"/>
        </w:rPr>
        <w:t>.</w:t>
      </w:r>
      <w:r w:rsidR="003F4354" w:rsidRPr="002E4E5B">
        <w:rPr>
          <w:color w:val="232222" w:themeColor="text1"/>
        </w:rPr>
        <w:t xml:space="preserve"> </w:t>
      </w:r>
    </w:p>
    <w:p w14:paraId="41D126AD" w14:textId="7FA6DA1E" w:rsidR="003F4354" w:rsidRDefault="003F4354" w:rsidP="003F4354">
      <w:r w:rsidRPr="0077774E">
        <w:t xml:space="preserve">This means Victoria potentially has a higher risk exposure to sand supply shortfalls if a major quarry in a </w:t>
      </w:r>
      <w:r>
        <w:t>sand-producing</w:t>
      </w:r>
      <w:r w:rsidRPr="0077774E">
        <w:t xml:space="preserve"> region were to withdraw from the market without replenishment. This is pertinent as current sand reserves are increasingly depleting and key </w:t>
      </w:r>
      <w:r>
        <w:t>sand-producing</w:t>
      </w:r>
      <w:r w:rsidRPr="0077774E">
        <w:t xml:space="preserve"> are facing major competing land-use challenges. </w:t>
      </w:r>
    </w:p>
    <w:p w14:paraId="2A9DED56" w14:textId="77777777" w:rsidR="003F4354" w:rsidRDefault="003F4354" w:rsidP="003F4354">
      <w:r w:rsidRPr="0077774E">
        <w:t xml:space="preserve">A prototype simulation modelling tool was developed to provide insights into the possible transport distance and transport cost impacts if sand supply from a particular region were reduced today as a result of regional resource exhaustion without any new replacement quarries being developed. The modelling showed that </w:t>
      </w:r>
      <w:r w:rsidRPr="0077774E">
        <w:rPr>
          <w:color w:val="232222" w:themeColor="text1"/>
        </w:rPr>
        <w:t xml:space="preserve">reducing sand supply in key supply areas to the east or west of Melbourne would impact the </w:t>
      </w:r>
      <w:r w:rsidRPr="0077774E">
        <w:t>entire state with most LGAs needing to source their sand from more distant suppliers (sometimes from interstate) and the price of sand would increase significantly. For example, a reduction in annual production of about 1 million tonnes of sand from the eastern regions of Victoria could lead to an increase in transport costs of about 40 per cent relative to baseline.</w:t>
      </w:r>
      <w:r w:rsidRPr="0077774E">
        <w:rPr>
          <w:rStyle w:val="FootnoteReference"/>
        </w:rPr>
        <w:footnoteReference w:id="7"/>
      </w:r>
      <w:r w:rsidRPr="0077774E">
        <w:t xml:space="preserve"> </w:t>
      </w:r>
    </w:p>
    <w:p w14:paraId="36E52325" w14:textId="77777777" w:rsidR="00143126" w:rsidRDefault="003F4354" w:rsidP="003F4354">
      <w:pPr>
        <w:rPr>
          <w:i/>
          <w:iCs/>
        </w:rPr>
      </w:pPr>
      <w:r w:rsidRPr="0077774E">
        <w:t xml:space="preserve">The Study presents the most robust Victorian extractive resource </w:t>
      </w:r>
      <w:r>
        <w:t>supply and d</w:t>
      </w:r>
      <w:r w:rsidRPr="0077774E">
        <w:t>emand assessment to date. While the dataset continues to have limitations, it is a major refinement to previous estimates published in the 2016 ‘</w:t>
      </w:r>
      <w:r w:rsidRPr="0077774E">
        <w:rPr>
          <w:i/>
          <w:iCs/>
        </w:rPr>
        <w:t xml:space="preserve">Extractive Resources in Victoria: Demand and Supply Study 2015-2050’. </w:t>
      </w:r>
    </w:p>
    <w:p w14:paraId="2156B004" w14:textId="09060E68" w:rsidR="003F4354" w:rsidRPr="00393B37" w:rsidRDefault="00EA0F8C" w:rsidP="003F4354">
      <w:r w:rsidRPr="00393B37">
        <w:t xml:space="preserve">This Study is a </w:t>
      </w:r>
      <w:r w:rsidR="001F51DA" w:rsidRPr="00393B37">
        <w:t>‘</w:t>
      </w:r>
      <w:r w:rsidRPr="00393B37">
        <w:t>point</w:t>
      </w:r>
      <w:r w:rsidR="00451B81" w:rsidRPr="00393B37">
        <w:t>-</w:t>
      </w:r>
      <w:r w:rsidRPr="00393B37">
        <w:t>in</w:t>
      </w:r>
      <w:r w:rsidR="00451B81" w:rsidRPr="00393B37">
        <w:t>-</w:t>
      </w:r>
      <w:r w:rsidRPr="00393B37">
        <w:t>time</w:t>
      </w:r>
      <w:r w:rsidR="001F51DA" w:rsidRPr="00393B37">
        <w:t>’</w:t>
      </w:r>
      <w:r w:rsidRPr="00393B37">
        <w:t xml:space="preserve"> short</w:t>
      </w:r>
      <w:r w:rsidR="00A4368E" w:rsidRPr="00393B37">
        <w:t>-</w:t>
      </w:r>
      <w:r w:rsidRPr="00393B37">
        <w:t xml:space="preserve"> to medium</w:t>
      </w:r>
      <w:r w:rsidR="00DD76FB" w:rsidRPr="00393B37">
        <w:t>-</w:t>
      </w:r>
      <w:r w:rsidRPr="00393B37">
        <w:t xml:space="preserve">term forecast of main groups of extractive resources at a broad geographic scale.  </w:t>
      </w:r>
      <w:r w:rsidR="003F4354" w:rsidRPr="00393B37">
        <w:t xml:space="preserve">The Study should be revised in the future </w:t>
      </w:r>
      <w:r w:rsidR="00FA045D" w:rsidRPr="00393B37">
        <w:t>with</w:t>
      </w:r>
      <w:r w:rsidR="00DD5E22" w:rsidRPr="00393B37">
        <w:t xml:space="preserve"> up-to-date input from industry </w:t>
      </w:r>
      <w:r w:rsidR="003F4354" w:rsidRPr="00393B37">
        <w:t xml:space="preserve">to improve accuracy and maintain currency. The Study would benefit from better incorporation of recycled concrete and glass data and an extractive resource replenishment index to better forecast extractive resource supply. </w:t>
      </w:r>
    </w:p>
    <w:p w14:paraId="69A895F4" w14:textId="77777777" w:rsidR="003F4354" w:rsidRPr="00393B37" w:rsidRDefault="003F4354" w:rsidP="003F4354">
      <w:pPr>
        <w:rPr>
          <w:rFonts w:cstheme="minorHAnsi"/>
        </w:rPr>
      </w:pPr>
      <w:r w:rsidRPr="00393B37">
        <w:rPr>
          <w:rFonts w:cstheme="minorHAnsi"/>
        </w:rPr>
        <w:t xml:space="preserve">The Study concludes that the forecast supply/demand outlook for extractive materials in Victoria will tighten. While market forces may stimulate new quarry developments as material prices rise, barriers to entry for new quarries are increasing and may be reducing competition. </w:t>
      </w:r>
    </w:p>
    <w:p w14:paraId="69F2EAEB" w14:textId="7989004B" w:rsidR="003F4354" w:rsidRPr="00393B37" w:rsidRDefault="003F4354" w:rsidP="003F4354">
      <w:r w:rsidRPr="00393B37">
        <w:rPr>
          <w:rFonts w:cstheme="minorHAnsi"/>
        </w:rPr>
        <w:t xml:space="preserve">Without a response, it is likely that Victoria will face significant transport distance and material cost increases up to 2030. </w:t>
      </w:r>
      <w:r w:rsidRPr="00393B37">
        <w:t xml:space="preserve">Determining the response is complex. The state must balance competing land use policies and priorities particularly in peri-urban areas. It must also consider regulatory reform, to better enable the approval of new quarries and quarry expansions, and </w:t>
      </w:r>
      <w:r w:rsidR="00393B37">
        <w:t xml:space="preserve">to </w:t>
      </w:r>
      <w:r w:rsidRPr="00393B37">
        <w:t xml:space="preserve">maintain carbon emission reduction targets. </w:t>
      </w:r>
    </w:p>
    <w:p w14:paraId="40638D0A" w14:textId="3A4DAF07" w:rsidR="003F4354" w:rsidRDefault="003F4354" w:rsidP="003F4354">
      <w:pPr>
        <w:rPr>
          <w:rFonts w:cstheme="minorHAnsi"/>
        </w:rPr>
      </w:pPr>
      <w:r w:rsidRPr="00393B37">
        <w:rPr>
          <w:rFonts w:cstheme="minorHAnsi"/>
        </w:rPr>
        <w:t xml:space="preserve">The Victorian Government is implementing the </w:t>
      </w:r>
      <w:r w:rsidRPr="00393B37">
        <w:rPr>
          <w:rFonts w:cstheme="minorHAnsi"/>
          <w:i/>
          <w:iCs/>
        </w:rPr>
        <w:t>Extractive Resources Strategy</w:t>
      </w:r>
      <w:r w:rsidRPr="00393B37">
        <w:rPr>
          <w:rFonts w:cstheme="minorHAnsi"/>
        </w:rPr>
        <w:t xml:space="preserve"> and the Joint Ministerial Statement Extractive Resources to provide greater certainty for industry to invest and supply affordable construction materials to support long-term growth. </w:t>
      </w:r>
    </w:p>
    <w:p w14:paraId="51407CD4" w14:textId="3201B053" w:rsidR="00393B37" w:rsidRDefault="00393B37" w:rsidP="003F4354">
      <w:pPr>
        <w:rPr>
          <w:rFonts w:cstheme="minorHAnsi"/>
        </w:rPr>
      </w:pPr>
    </w:p>
    <w:p w14:paraId="05D63BCB" w14:textId="77777777" w:rsidR="00393B37" w:rsidRPr="00393B37" w:rsidRDefault="00393B37" w:rsidP="003F4354">
      <w:pPr>
        <w:rPr>
          <w:rFonts w:cstheme="minorHAnsi"/>
        </w:rPr>
      </w:pPr>
    </w:p>
    <w:p w14:paraId="518BB518" w14:textId="79919BB6" w:rsidR="003F4354" w:rsidRDefault="003F4354" w:rsidP="003F4354">
      <w:pPr>
        <w:rPr>
          <w:rFonts w:ascii="Arial" w:hAnsi="Arial" w:cs="Arial"/>
          <w:color w:val="000000"/>
        </w:rPr>
      </w:pPr>
      <w:r w:rsidRPr="00393B37">
        <w:rPr>
          <w:rFonts w:cstheme="minorBidi"/>
        </w:rPr>
        <w:lastRenderedPageBreak/>
        <w:t xml:space="preserve">For the medium- to long-term, this includes legislative reform to </w:t>
      </w:r>
      <w:r w:rsidRPr="00393B37">
        <w:rPr>
          <w:rFonts w:cstheme="minorBidi"/>
          <w:i/>
          <w:iCs/>
        </w:rPr>
        <w:t>inter alia</w:t>
      </w:r>
      <w:r w:rsidRPr="00393B37">
        <w:rPr>
          <w:rFonts w:cstheme="minorBidi"/>
        </w:rPr>
        <w:t xml:space="preserve"> streamline quarry approvals processes, and rolling out Strategic Extractive Resource Areas to secure resources into the long-term in areas proximate to future demand locations. </w:t>
      </w:r>
      <w:r w:rsidR="00F351DE" w:rsidRPr="00393B37">
        <w:rPr>
          <w:rFonts w:cstheme="minorBidi"/>
        </w:rPr>
        <w:t>The new</w:t>
      </w:r>
      <w:r w:rsidR="00D32EFC" w:rsidRPr="00393B37">
        <w:rPr>
          <w:rFonts w:cstheme="minorBidi"/>
        </w:rPr>
        <w:t xml:space="preserve"> Resources Victoria Approvals Coordinat</w:t>
      </w:r>
      <w:r w:rsidR="2A2B9304" w:rsidRPr="00393B37">
        <w:rPr>
          <w:rFonts w:cstheme="minorBidi"/>
        </w:rPr>
        <w:t>ion</w:t>
      </w:r>
      <w:r w:rsidR="00D32EFC" w:rsidRPr="00393B37">
        <w:rPr>
          <w:rFonts w:cstheme="minorBidi"/>
        </w:rPr>
        <w:t xml:space="preserve"> </w:t>
      </w:r>
      <w:r w:rsidR="501C1276" w:rsidRPr="00393B37">
        <w:rPr>
          <w:rFonts w:cstheme="minorBidi"/>
        </w:rPr>
        <w:t xml:space="preserve">function </w:t>
      </w:r>
      <w:r w:rsidR="004D69E9" w:rsidRPr="00393B37">
        <w:rPr>
          <w:rFonts w:cstheme="minorBidi"/>
        </w:rPr>
        <w:t xml:space="preserve">will </w:t>
      </w:r>
      <w:r w:rsidR="6461B03C" w:rsidRPr="00393B37">
        <w:rPr>
          <w:rFonts w:cstheme="minorBidi"/>
        </w:rPr>
        <w:t xml:space="preserve">also </w:t>
      </w:r>
      <w:r w:rsidR="00D071BB" w:rsidRPr="00393B37">
        <w:rPr>
          <w:rFonts w:cstheme="minorBidi"/>
        </w:rPr>
        <w:t xml:space="preserve">play a role in </w:t>
      </w:r>
      <w:r w:rsidR="004D69E9" w:rsidRPr="00393B37">
        <w:rPr>
          <w:rFonts w:cstheme="minorBidi"/>
        </w:rPr>
        <w:t>boost</w:t>
      </w:r>
      <w:r w:rsidR="00D071BB" w:rsidRPr="00393B37">
        <w:rPr>
          <w:rFonts w:cstheme="minorBidi"/>
        </w:rPr>
        <w:t>ing</w:t>
      </w:r>
      <w:r w:rsidR="004D69E9" w:rsidRPr="00393B37">
        <w:rPr>
          <w:rFonts w:cstheme="minorBidi"/>
        </w:rPr>
        <w:t xml:space="preserve"> short-</w:t>
      </w:r>
      <w:r w:rsidR="00BC4409" w:rsidRPr="00393B37">
        <w:rPr>
          <w:rFonts w:cstheme="minorBidi"/>
        </w:rPr>
        <w:t xml:space="preserve"> to medium-term </w:t>
      </w:r>
      <w:r w:rsidR="004D69E9" w:rsidRPr="00393B37">
        <w:rPr>
          <w:rFonts w:cstheme="minorBidi"/>
        </w:rPr>
        <w:t xml:space="preserve">supply by </w:t>
      </w:r>
      <w:r w:rsidR="0053500E" w:rsidRPr="00393B37">
        <w:rPr>
          <w:rFonts w:cstheme="minorBidi"/>
        </w:rPr>
        <w:t>helping to accelerate</w:t>
      </w:r>
      <w:r w:rsidR="240EDFC3" w:rsidRPr="00393B37">
        <w:rPr>
          <w:rFonts w:cstheme="minorBidi"/>
        </w:rPr>
        <w:t xml:space="preserve"> decisions on</w:t>
      </w:r>
      <w:r w:rsidR="0053500E" w:rsidRPr="00393B37">
        <w:rPr>
          <w:rFonts w:cstheme="minorBidi"/>
        </w:rPr>
        <w:t xml:space="preserve"> </w:t>
      </w:r>
      <w:r w:rsidR="008F7D67" w:rsidRPr="00393B37">
        <w:rPr>
          <w:rFonts w:cstheme="minorBidi"/>
        </w:rPr>
        <w:t xml:space="preserve">quarry </w:t>
      </w:r>
      <w:r w:rsidR="00F42659" w:rsidRPr="00393B37">
        <w:rPr>
          <w:rFonts w:ascii="Arial" w:hAnsi="Arial" w:cs="Arial"/>
          <w:color w:val="000000"/>
        </w:rPr>
        <w:t xml:space="preserve">site expansions and </w:t>
      </w:r>
      <w:r w:rsidR="008A8EC4" w:rsidRPr="00393B37">
        <w:rPr>
          <w:rFonts w:ascii="Arial" w:hAnsi="Arial" w:cs="Arial"/>
          <w:color w:val="000000"/>
        </w:rPr>
        <w:t>other proposals to extend operations</w:t>
      </w:r>
      <w:r w:rsidR="00F42659" w:rsidRPr="00393B37">
        <w:rPr>
          <w:rFonts w:ascii="Arial" w:hAnsi="Arial" w:cs="Arial"/>
          <w:color w:val="000000"/>
        </w:rPr>
        <w:t xml:space="preserve"> across the state.</w:t>
      </w:r>
    </w:p>
    <w:p w14:paraId="63EC9621" w14:textId="77777777" w:rsidR="003F4354" w:rsidRPr="00837FC8" w:rsidRDefault="003F4354" w:rsidP="004129D2">
      <w:pPr>
        <w:pStyle w:val="Heading1"/>
        <w:keepLines/>
        <w:numPr>
          <w:ilvl w:val="0"/>
          <w:numId w:val="15"/>
        </w:numPr>
        <w:spacing w:before="240" w:after="0" w:line="240" w:lineRule="auto"/>
        <w:ind w:left="284"/>
      </w:pPr>
      <w:bookmarkStart w:id="8" w:name="_Toc130274669"/>
      <w:bookmarkStart w:id="9" w:name="_Toc137567762"/>
      <w:r w:rsidRPr="00837FC8">
        <w:lastRenderedPageBreak/>
        <w:t>Introduction</w:t>
      </w:r>
      <w:bookmarkEnd w:id="8"/>
      <w:bookmarkEnd w:id="9"/>
    </w:p>
    <w:p w14:paraId="16C44D59" w14:textId="449441AB" w:rsidR="003F4354" w:rsidRDefault="003F4354" w:rsidP="003F4354">
      <w:pPr>
        <w:pStyle w:val="Heading2"/>
      </w:pPr>
      <w:bookmarkStart w:id="10" w:name="_Toc130274670"/>
      <w:bookmarkStart w:id="11" w:name="_Toc137567763"/>
      <w:r w:rsidRPr="00837FC8">
        <w:t>1.1 Problem statement and project scope</w:t>
      </w:r>
      <w:bookmarkEnd w:id="10"/>
      <w:bookmarkEnd w:id="11"/>
    </w:p>
    <w:p w14:paraId="14436A98" w14:textId="77777777" w:rsidR="003F4354" w:rsidRDefault="003F4354" w:rsidP="003F4354">
      <w:r>
        <w:t>The Department of Energy, Environment and Climate Action (DEECA)</w:t>
      </w:r>
      <w:r w:rsidRPr="7E58F608">
        <w:t xml:space="preserve"> </w:t>
      </w:r>
      <w:r>
        <w:t xml:space="preserve">manages Victoria’s extractive resources. The Department conducts strategic planning with the Department of Transport and Planning to assist the efficient long-term supply of extractive materials for the construction across Victoria. </w:t>
      </w:r>
    </w:p>
    <w:p w14:paraId="0070BDAB" w14:textId="77777777" w:rsidR="003F4354" w:rsidRDefault="003F4354" w:rsidP="003F4354">
      <w:r w:rsidRPr="00837FC8">
        <w:t xml:space="preserve">Extractive resources are geological materials sourced from the Earth’s surface, such as sand, gravel, hard rock, clay and clay shale, and limestone. These resources are the basis for producing concrete, cement, </w:t>
      </w:r>
      <w:r>
        <w:t xml:space="preserve">road base, glass, </w:t>
      </w:r>
      <w:r w:rsidRPr="00837FC8">
        <w:t>bricks and asphalt used in infrastructure such as roads, railways, bridges and commercial and residential buildings.</w:t>
      </w:r>
    </w:p>
    <w:p w14:paraId="3C55EEF3" w14:textId="77777777" w:rsidR="003F4354" w:rsidRDefault="003F4354" w:rsidP="003F4354">
      <w:pPr>
        <w:rPr>
          <w:rFonts w:cstheme="minorHAnsi"/>
        </w:rPr>
      </w:pPr>
      <w:r w:rsidRPr="00837FC8">
        <w:rPr>
          <w:rFonts w:cstheme="minorHAnsi"/>
        </w:rPr>
        <w:t xml:space="preserve">The Victorian extractive industry supports the state’s $23 billion building and construction industry. The extractive industry is estimated to be worth about $1 billion annually at the ‘quarry gate’, with more than 500 active quarries across Victoria annually producing </w:t>
      </w:r>
      <w:r>
        <w:rPr>
          <w:rFonts w:cstheme="minorHAnsi"/>
        </w:rPr>
        <w:t>over</w:t>
      </w:r>
      <w:r w:rsidRPr="00837FC8">
        <w:rPr>
          <w:rFonts w:cstheme="minorHAnsi"/>
        </w:rPr>
        <w:t xml:space="preserve"> 60 million tonnes of aggregated stone, </w:t>
      </w:r>
      <w:r>
        <w:rPr>
          <w:rFonts w:cstheme="minorHAnsi"/>
        </w:rPr>
        <w:t xml:space="preserve">clay, </w:t>
      </w:r>
      <w:r w:rsidRPr="00837FC8">
        <w:rPr>
          <w:rFonts w:cstheme="minorHAnsi"/>
        </w:rPr>
        <w:t>limestone, sand, gravel, and hard rock</w:t>
      </w:r>
      <w:r>
        <w:rPr>
          <w:rFonts w:cstheme="minorHAnsi"/>
        </w:rPr>
        <w:t>.</w:t>
      </w:r>
      <w:r>
        <w:rPr>
          <w:rStyle w:val="FootnoteReference"/>
          <w:rFonts w:cstheme="minorHAnsi"/>
        </w:rPr>
        <w:footnoteReference w:id="8"/>
      </w:r>
    </w:p>
    <w:p w14:paraId="2DDF62A8" w14:textId="77777777" w:rsidR="003F4354" w:rsidRDefault="003F4354" w:rsidP="003F4354">
      <w:r w:rsidRPr="00837FC8">
        <w:t>Demand for extractive resources in Victoria has significantly increased in recent decades due to a growing population</w:t>
      </w:r>
      <w:r>
        <w:t>, the</w:t>
      </w:r>
      <w:r w:rsidRPr="00837FC8">
        <w:t xml:space="preserve"> expansion of the state’s residential and commercial construction activities, and the development of new roads, rail lines, hospitals, schools, wind turbines and other public infrastructure.</w:t>
      </w:r>
      <w:r>
        <w:t xml:space="preserve"> </w:t>
      </w:r>
    </w:p>
    <w:p w14:paraId="28F40FF4" w14:textId="77777777" w:rsidR="003F4354" w:rsidRDefault="003F4354" w:rsidP="003F4354">
      <w:r w:rsidRPr="00837FC8">
        <w:t xml:space="preserve">To help ensure housing, infrastructure and commercial construction projects can be delivered cost competitively across Victoria, the state’s supply of extractive resources needs to </w:t>
      </w:r>
      <w:r>
        <w:t xml:space="preserve">meet the </w:t>
      </w:r>
      <w:r w:rsidRPr="00837FC8">
        <w:t xml:space="preserve">changing </w:t>
      </w:r>
      <w:r>
        <w:t>demand levels</w:t>
      </w:r>
      <w:r w:rsidRPr="00837FC8">
        <w:t xml:space="preserve"> over the short- and medium-term.</w:t>
      </w:r>
    </w:p>
    <w:p w14:paraId="597BC99D" w14:textId="77777777" w:rsidR="003F4354" w:rsidRDefault="003F4354" w:rsidP="003F4354">
      <w:r w:rsidRPr="00837FC8">
        <w:t>Government and industry decision makers who influence the supply of extractive resources require accurate</w:t>
      </w:r>
      <w:r>
        <w:t>,</w:t>
      </w:r>
      <w:r w:rsidRPr="00837FC8">
        <w:t xml:space="preserve"> current and forward-looking </w:t>
      </w:r>
      <w:r>
        <w:t xml:space="preserve">supply and </w:t>
      </w:r>
      <w:r w:rsidRPr="00837FC8">
        <w:t>demand information to support efficient resource and land use planning, regulatory decision-making, and public and private investment.</w:t>
      </w:r>
      <w:r>
        <w:t xml:space="preserve"> A</w:t>
      </w:r>
      <w:r w:rsidRPr="00837FC8">
        <w:t xml:space="preserve">ccordingly, the Victorian Government’s </w:t>
      </w:r>
      <w:r w:rsidRPr="00837FC8">
        <w:rPr>
          <w:i/>
          <w:iCs/>
        </w:rPr>
        <w:t xml:space="preserve">Helping Victoria Grow: Extractive Resources Strategy </w:t>
      </w:r>
      <w:r w:rsidRPr="00837FC8">
        <w:t xml:space="preserve">commits to updating the state’s extractive resource </w:t>
      </w:r>
      <w:r>
        <w:t xml:space="preserve">supply and </w:t>
      </w:r>
      <w:r w:rsidRPr="00837FC8">
        <w:t>demand forecasts every five years</w:t>
      </w:r>
      <w:r>
        <w:t xml:space="preserve"> and its data supports text throughout this report</w:t>
      </w:r>
      <w:r w:rsidRPr="00837FC8">
        <w:t>.</w:t>
      </w:r>
      <w:r>
        <w:rPr>
          <w:rStyle w:val="FootnoteReference"/>
        </w:rPr>
        <w:footnoteReference w:id="9"/>
      </w:r>
    </w:p>
    <w:p w14:paraId="7B660698" w14:textId="77777777" w:rsidR="003F4354" w:rsidRDefault="003F4354" w:rsidP="003F4354">
      <w:pPr>
        <w:rPr>
          <w:rFonts w:cstheme="minorHAnsi"/>
        </w:rPr>
      </w:pPr>
      <w:r w:rsidRPr="00837FC8">
        <w:t>Preliminary findings from previous departmental and industry analysis</w:t>
      </w:r>
      <w:r>
        <w:t xml:space="preserve"> </w:t>
      </w:r>
      <w:r w:rsidRPr="00837FC8">
        <w:t xml:space="preserve">show that existing supplies of </w:t>
      </w:r>
      <w:r>
        <w:t>extractive resources</w:t>
      </w:r>
      <w:r w:rsidRPr="00837FC8">
        <w:t xml:space="preserve"> will not adequately cover emerging Victorian demand. </w:t>
      </w:r>
      <w:r>
        <w:rPr>
          <w:rStyle w:val="FootnoteReference"/>
        </w:rPr>
        <w:footnoteReference w:id="10"/>
      </w:r>
      <w:r w:rsidRPr="00837FC8">
        <w:t xml:space="preserve"> There is also anecdotal evidence that new </w:t>
      </w:r>
      <w:r>
        <w:t>extractive resources</w:t>
      </w:r>
      <w:r w:rsidRPr="00837FC8">
        <w:t xml:space="preserve"> </w:t>
      </w:r>
      <w:r>
        <w:t>will be</w:t>
      </w:r>
      <w:r w:rsidRPr="00837FC8">
        <w:t xml:space="preserve"> less than those provided by ones closing which may add to supply shortfalls. The result may be significantly increased transport distances and prices for </w:t>
      </w:r>
      <w:r>
        <w:t>extractive resources</w:t>
      </w:r>
      <w:r w:rsidRPr="00837FC8">
        <w:t>.</w:t>
      </w:r>
    </w:p>
    <w:p w14:paraId="75268DE0" w14:textId="77777777" w:rsidR="003F4354" w:rsidRDefault="003F4354" w:rsidP="003F4354">
      <w:pPr>
        <w:rPr>
          <w:rFonts w:cstheme="minorHAnsi"/>
        </w:rPr>
      </w:pPr>
      <w:r>
        <w:rPr>
          <w:rFonts w:cstheme="minorHAnsi"/>
        </w:rPr>
        <w:t>This</w:t>
      </w:r>
      <w:r w:rsidRPr="00837FC8">
        <w:rPr>
          <w:rFonts w:cstheme="minorHAnsi"/>
        </w:rPr>
        <w:t xml:space="preserve"> Extractive Resources </w:t>
      </w:r>
      <w:r>
        <w:rPr>
          <w:rFonts w:cstheme="minorHAnsi"/>
        </w:rPr>
        <w:t xml:space="preserve">Supply and </w:t>
      </w:r>
      <w:r w:rsidRPr="00837FC8">
        <w:rPr>
          <w:rFonts w:cstheme="minorHAnsi"/>
        </w:rPr>
        <w:t xml:space="preserve">Demand Study 2022-30 (the </w:t>
      </w:r>
      <w:r>
        <w:rPr>
          <w:rFonts w:cstheme="minorHAnsi"/>
        </w:rPr>
        <w:t>S</w:t>
      </w:r>
      <w:r w:rsidRPr="00837FC8">
        <w:rPr>
          <w:rFonts w:cstheme="minorHAnsi"/>
        </w:rPr>
        <w:t xml:space="preserve">tudy) </w:t>
      </w:r>
      <w:r>
        <w:rPr>
          <w:rFonts w:cstheme="minorHAnsi"/>
        </w:rPr>
        <w:t>aims</w:t>
      </w:r>
      <w:r w:rsidRPr="00837FC8">
        <w:rPr>
          <w:rFonts w:cstheme="minorHAnsi"/>
        </w:rPr>
        <w:t xml:space="preserve"> to examine the </w:t>
      </w:r>
      <w:r>
        <w:rPr>
          <w:rFonts w:cstheme="minorHAnsi"/>
        </w:rPr>
        <w:t>supply and</w:t>
      </w:r>
      <w:r w:rsidRPr="00837FC8">
        <w:rPr>
          <w:rFonts w:cstheme="minorHAnsi"/>
        </w:rPr>
        <w:t xml:space="preserve"> </w:t>
      </w:r>
      <w:r>
        <w:rPr>
          <w:rFonts w:cstheme="minorHAnsi"/>
        </w:rPr>
        <w:t>demand</w:t>
      </w:r>
      <w:r w:rsidRPr="00837FC8">
        <w:rPr>
          <w:rFonts w:cstheme="minorHAnsi"/>
        </w:rPr>
        <w:t xml:space="preserve"> forecasts for hard rock, sand and gravel, and for clay and clay shale (clay) in the short- to medium-term. These raw materials are essential for </w:t>
      </w:r>
      <w:r>
        <w:rPr>
          <w:rFonts w:cstheme="minorHAnsi"/>
        </w:rPr>
        <w:t xml:space="preserve">the </w:t>
      </w:r>
      <w:r w:rsidRPr="00837FC8">
        <w:rPr>
          <w:rFonts w:cstheme="minorHAnsi"/>
        </w:rPr>
        <w:t>construction of Victoria’s major infrastructure.</w:t>
      </w:r>
    </w:p>
    <w:p w14:paraId="20F76C33" w14:textId="1417EE88" w:rsidR="003F4354" w:rsidRPr="00837FC8" w:rsidRDefault="003F4354" w:rsidP="003F4354">
      <w:pPr>
        <w:rPr>
          <w:rFonts w:cstheme="minorHAnsi"/>
        </w:rPr>
      </w:pPr>
      <w:r w:rsidRPr="00837FC8">
        <w:rPr>
          <w:rFonts w:cstheme="minorHAnsi"/>
        </w:rPr>
        <w:t xml:space="preserve">The Study considers the following questions that relate to whether </w:t>
      </w:r>
      <w:r w:rsidRPr="00BB4A7A">
        <w:rPr>
          <w:rFonts w:cstheme="minorHAnsi"/>
        </w:rPr>
        <w:t xml:space="preserve">the supply of </w:t>
      </w:r>
      <w:r>
        <w:rPr>
          <w:rFonts w:cstheme="minorHAnsi"/>
        </w:rPr>
        <w:t>extractive resources</w:t>
      </w:r>
      <w:r w:rsidRPr="00BB4A7A">
        <w:rPr>
          <w:rFonts w:cstheme="minorHAnsi"/>
        </w:rPr>
        <w:t xml:space="preserve"> </w:t>
      </w:r>
      <w:r w:rsidRPr="00837FC8">
        <w:rPr>
          <w:rFonts w:cstheme="minorHAnsi"/>
        </w:rPr>
        <w:t>can</w:t>
      </w:r>
      <w:r w:rsidRPr="00BB4A7A">
        <w:rPr>
          <w:rFonts w:cstheme="minorHAnsi"/>
        </w:rPr>
        <w:t xml:space="preserve"> meet demand</w:t>
      </w:r>
      <w:r w:rsidRPr="00837FC8">
        <w:rPr>
          <w:rFonts w:cstheme="minorHAnsi"/>
        </w:rPr>
        <w:t>:</w:t>
      </w:r>
    </w:p>
    <w:p w14:paraId="4EFEB712" w14:textId="77777777" w:rsidR="003F4354" w:rsidRPr="00837FC8" w:rsidRDefault="003F4354" w:rsidP="004129D2">
      <w:pPr>
        <w:pStyle w:val="ListBullet"/>
      </w:pPr>
      <w:bookmarkStart w:id="12" w:name="_Hlk127195302"/>
      <w:r w:rsidRPr="00837FC8">
        <w:t>Is there enough quality extractive material available to meet the forecasted demand in the short-, and medium-term?</w:t>
      </w:r>
    </w:p>
    <w:p w14:paraId="1CC1FF83" w14:textId="77777777" w:rsidR="003F4354" w:rsidRPr="00837FC8" w:rsidRDefault="003F4354" w:rsidP="004129D2">
      <w:pPr>
        <w:pStyle w:val="ListBullet"/>
      </w:pPr>
      <w:r w:rsidRPr="00837FC8">
        <w:t>Are there indications that supplies will not be able to be met? If so, what rock types are at risk of under-supply?</w:t>
      </w:r>
    </w:p>
    <w:p w14:paraId="5974137D" w14:textId="77777777" w:rsidR="003F4354" w:rsidRPr="00837FC8" w:rsidRDefault="003F4354" w:rsidP="004129D2">
      <w:pPr>
        <w:pStyle w:val="ListBullet"/>
      </w:pPr>
      <w:r w:rsidRPr="00837FC8">
        <w:t>Is this under-supply risk localised or statewide?</w:t>
      </w:r>
    </w:p>
    <w:p w14:paraId="093EFE19" w14:textId="77777777" w:rsidR="003F4354" w:rsidRDefault="003F4354" w:rsidP="004129D2">
      <w:pPr>
        <w:pStyle w:val="ListBullet"/>
      </w:pPr>
      <w:r w:rsidRPr="00837FC8">
        <w:t xml:space="preserve">Is the delivery of the </w:t>
      </w:r>
      <w:r>
        <w:t>G</w:t>
      </w:r>
      <w:r w:rsidRPr="00837FC8">
        <w:t xml:space="preserve">overnment’s pipeline of major infrastructure projects at risk because of insufficient </w:t>
      </w:r>
      <w:r>
        <w:t>extractive resources</w:t>
      </w:r>
      <w:r w:rsidRPr="00837FC8">
        <w:t>?</w:t>
      </w:r>
      <w:bookmarkEnd w:id="12"/>
    </w:p>
    <w:p w14:paraId="299B19C0" w14:textId="77777777" w:rsidR="003F4354" w:rsidRDefault="003F4354" w:rsidP="003F4354">
      <w:pPr>
        <w:rPr>
          <w:rFonts w:cstheme="minorHAnsi"/>
        </w:rPr>
      </w:pPr>
      <w:r w:rsidRPr="00837FC8">
        <w:rPr>
          <w:rFonts w:cstheme="minorHAnsi"/>
        </w:rPr>
        <w:t xml:space="preserve">To help answer these questions, the Study conducts separate forecasts for </w:t>
      </w:r>
      <w:r>
        <w:rPr>
          <w:rFonts w:cstheme="minorHAnsi"/>
        </w:rPr>
        <w:t>supply and demand</w:t>
      </w:r>
      <w:r w:rsidRPr="00837FC8">
        <w:rPr>
          <w:rFonts w:cstheme="minorHAnsi"/>
        </w:rPr>
        <w:t xml:space="preserve"> </w:t>
      </w:r>
      <w:r>
        <w:rPr>
          <w:rFonts w:cstheme="minorHAnsi"/>
        </w:rPr>
        <w:t xml:space="preserve">and </w:t>
      </w:r>
      <w:r w:rsidRPr="00837FC8">
        <w:rPr>
          <w:rFonts w:cstheme="minorHAnsi"/>
        </w:rPr>
        <w:t xml:space="preserve">combines these through an integration analysis. This analysis and the simulation modelling tool provide </w:t>
      </w:r>
      <w:r w:rsidRPr="00837FC8">
        <w:rPr>
          <w:rFonts w:cstheme="minorHAnsi"/>
        </w:rPr>
        <w:lastRenderedPageBreak/>
        <w:t>potential future scenarios for Victoria and help predict whether the state can meet the expected demand until 2030.</w:t>
      </w:r>
    </w:p>
    <w:p w14:paraId="7557ED3B" w14:textId="77777777" w:rsidR="003F4354" w:rsidRDefault="003F4354" w:rsidP="003F4354">
      <w:pPr>
        <w:rPr>
          <w:rFonts w:cstheme="minorHAnsi"/>
        </w:rPr>
      </w:pPr>
      <w:r w:rsidRPr="00837FC8">
        <w:rPr>
          <w:rFonts w:cstheme="minorHAnsi"/>
        </w:rPr>
        <w:t xml:space="preserve">This short timeframe (to 2030) Study builds on previous analysis to enable a more accurate assessment and planning for the short-term impacts. A future report will consider the longer-term </w:t>
      </w:r>
      <w:r>
        <w:rPr>
          <w:rFonts w:cstheme="minorHAnsi"/>
        </w:rPr>
        <w:t>supply and demand</w:t>
      </w:r>
      <w:r w:rsidRPr="00837FC8">
        <w:rPr>
          <w:rFonts w:cstheme="minorHAnsi"/>
        </w:rPr>
        <w:t xml:space="preserve"> impacts.</w:t>
      </w:r>
    </w:p>
    <w:p w14:paraId="0BB634EF" w14:textId="34DDD304" w:rsidR="003F4354" w:rsidRDefault="003F4354" w:rsidP="003F4354">
      <w:pPr>
        <w:rPr>
          <w:rFonts w:cstheme="minorHAnsi"/>
        </w:rPr>
      </w:pPr>
      <w:r w:rsidRPr="00837FC8">
        <w:rPr>
          <w:rFonts w:cstheme="minorHAnsi"/>
        </w:rPr>
        <w:t xml:space="preserve">The Study provides an evidence base for Government to tailor interventions in the short- to medium-term so they have </w:t>
      </w:r>
      <w:r>
        <w:rPr>
          <w:rFonts w:cstheme="minorHAnsi"/>
        </w:rPr>
        <w:t xml:space="preserve">the </w:t>
      </w:r>
      <w:r w:rsidRPr="00837FC8">
        <w:rPr>
          <w:rFonts w:cstheme="minorHAnsi"/>
        </w:rPr>
        <w:t xml:space="preserve">greatest impact. It will assist the Government in </w:t>
      </w:r>
      <w:r>
        <w:rPr>
          <w:rFonts w:cstheme="minorHAnsi"/>
        </w:rPr>
        <w:t>implementing</w:t>
      </w:r>
      <w:r w:rsidRPr="00837FC8">
        <w:rPr>
          <w:rFonts w:cstheme="minorHAnsi"/>
        </w:rPr>
        <w:t xml:space="preserve"> the </w:t>
      </w:r>
      <w:r w:rsidRPr="00C56978">
        <w:rPr>
          <w:rFonts w:cstheme="minorHAnsi"/>
          <w:i/>
          <w:iCs/>
        </w:rPr>
        <w:t>Helping Victoria Grow: Extractive Resources Strategy</w:t>
      </w:r>
      <w:r w:rsidRPr="00837FC8">
        <w:rPr>
          <w:rFonts w:cstheme="minorHAnsi"/>
        </w:rPr>
        <w:t xml:space="preserve"> by further identifying critical and strategically important regions where supply shortfalls are likely to be most pronounced. The Study does not as</w:t>
      </w:r>
      <w:r w:rsidR="00E32F98">
        <w:rPr>
          <w:rFonts w:cstheme="minorHAnsi"/>
        </w:rPr>
        <w:softHyphen/>
      </w:r>
      <w:r w:rsidRPr="00837FC8">
        <w:rPr>
          <w:rFonts w:cstheme="minorHAnsi"/>
        </w:rPr>
        <w:t>sess or recommend specific interventions.</w:t>
      </w:r>
    </w:p>
    <w:p w14:paraId="30C34F28" w14:textId="77777777" w:rsidR="003F4354" w:rsidRDefault="003F4354" w:rsidP="003F4354">
      <w:pPr>
        <w:rPr>
          <w:rFonts w:cstheme="minorHAnsi"/>
        </w:rPr>
      </w:pPr>
      <w:r w:rsidRPr="00837FC8">
        <w:rPr>
          <w:rFonts w:cstheme="minorHAnsi"/>
        </w:rPr>
        <w:t xml:space="preserve">The Study also supports industry in its investment decision-making by highlighting areas where strong demand is likely to emerge for </w:t>
      </w:r>
      <w:r>
        <w:rPr>
          <w:rFonts w:cstheme="minorHAnsi"/>
        </w:rPr>
        <w:t>extractive resources</w:t>
      </w:r>
      <w:r w:rsidRPr="00837FC8">
        <w:rPr>
          <w:rFonts w:cstheme="minorHAnsi"/>
        </w:rPr>
        <w:t>.</w:t>
      </w:r>
    </w:p>
    <w:p w14:paraId="13461973" w14:textId="31C41E38" w:rsidR="003F4354" w:rsidRDefault="003F4354" w:rsidP="003F4354">
      <w:pPr>
        <w:pStyle w:val="Heading2"/>
      </w:pPr>
      <w:bookmarkStart w:id="13" w:name="_Toc130274671"/>
      <w:bookmarkStart w:id="14" w:name="_Toc137567764"/>
      <w:r w:rsidRPr="00837FC8">
        <w:t xml:space="preserve">1.2 </w:t>
      </w:r>
      <w:r>
        <w:t>Extractive materials</w:t>
      </w:r>
      <w:bookmarkEnd w:id="13"/>
      <w:bookmarkEnd w:id="14"/>
    </w:p>
    <w:p w14:paraId="544EDF8B" w14:textId="11BEADC5" w:rsidR="008E0803" w:rsidRDefault="00E350AA" w:rsidP="001A7EF2">
      <w:pPr>
        <w:pStyle w:val="Heading3"/>
      </w:pPr>
      <w:bookmarkStart w:id="15" w:name="_Toc137567765"/>
      <w:r w:rsidRPr="00837FC8">
        <w:t>What are extractive</w:t>
      </w:r>
      <w:r>
        <w:t xml:space="preserve"> materials and what are they used </w:t>
      </w:r>
      <w:r w:rsidRPr="00837FC8">
        <w:t>for</w:t>
      </w:r>
      <w:r w:rsidRPr="00837FC8">
        <w:rPr>
          <w:rFonts w:cstheme="minorHAnsi"/>
        </w:rPr>
        <w:t>?</w:t>
      </w:r>
    </w:p>
    <w:p w14:paraId="69F754B7" w14:textId="230C01C9" w:rsidR="000E5CB2" w:rsidRDefault="00A075F1" w:rsidP="000E5CB2">
      <w:r>
        <w:rPr>
          <w:rFonts w:cstheme="minorHAnsi"/>
          <w:bCs/>
          <w:color w:val="000000"/>
        </w:rPr>
        <w:t xml:space="preserve">Extractive materials </w:t>
      </w:r>
      <w:r w:rsidR="0091740E">
        <w:rPr>
          <w:rFonts w:cstheme="minorHAnsi"/>
          <w:bCs/>
          <w:color w:val="000000"/>
        </w:rPr>
        <w:t>include</w:t>
      </w:r>
      <w:r w:rsidR="000E5CB2" w:rsidRPr="00583249">
        <w:t xml:space="preserve"> rock, gravel</w:t>
      </w:r>
      <w:r w:rsidR="0091740E">
        <w:t xml:space="preserve">, </w:t>
      </w:r>
      <w:r w:rsidR="000E5CB2" w:rsidRPr="00583249">
        <w:t>sand</w:t>
      </w:r>
      <w:r w:rsidR="0091740E">
        <w:t xml:space="preserve"> and clay</w:t>
      </w:r>
      <w:r w:rsidR="000E5CB2" w:rsidRPr="00583249">
        <w:t xml:space="preserve"> that </w:t>
      </w:r>
      <w:r w:rsidR="00B91A8C">
        <w:t>are</w:t>
      </w:r>
      <w:r w:rsidR="000E5CB2" w:rsidRPr="00583249">
        <w:t xml:space="preserve"> used for producing construction materials such as concrete, asphalt, </w:t>
      </w:r>
      <w:r w:rsidR="00535CBF">
        <w:t xml:space="preserve">road base, </w:t>
      </w:r>
      <w:r w:rsidR="009F28D5">
        <w:t xml:space="preserve">fill, </w:t>
      </w:r>
      <w:r w:rsidR="000E5CB2" w:rsidRPr="00583249">
        <w:t>bricks, tiles</w:t>
      </w:r>
      <w:r w:rsidR="009F28D5">
        <w:t xml:space="preserve"> and </w:t>
      </w:r>
      <w:r w:rsidR="00224694">
        <w:t>g</w:t>
      </w:r>
      <w:r w:rsidR="000E5CB2" w:rsidRPr="00583249">
        <w:t>lass</w:t>
      </w:r>
      <w:r w:rsidR="009F28D5">
        <w:t xml:space="preserve">.  </w:t>
      </w:r>
      <w:r w:rsidR="00D76007">
        <w:t>The construction of a</w:t>
      </w:r>
      <w:r w:rsidR="00FF44D7">
        <w:t xml:space="preserve"> </w:t>
      </w:r>
      <w:r w:rsidR="009F28D5">
        <w:t>standard detached dwelling</w:t>
      </w:r>
      <w:r w:rsidR="00D76007">
        <w:t xml:space="preserve"> </w:t>
      </w:r>
      <w:r w:rsidR="00D54D7F">
        <w:t xml:space="preserve">that is connected to </w:t>
      </w:r>
      <w:r w:rsidR="009A5FF1">
        <w:t>street and utilities</w:t>
      </w:r>
      <w:r w:rsidR="00D54D7F">
        <w:t xml:space="preserve"> </w:t>
      </w:r>
      <w:r w:rsidR="00D54D7F">
        <w:t xml:space="preserve">requires a range of extractive materials </w:t>
      </w:r>
      <w:r w:rsidR="00795D1A">
        <w:t>(</w:t>
      </w:r>
      <w:r w:rsidR="00C4188E">
        <w:fldChar w:fldCharType="begin"/>
      </w:r>
      <w:r w:rsidR="00C4188E">
        <w:instrText xml:space="preserve"> REF _Ref142911279 \h </w:instrText>
      </w:r>
      <w:r w:rsidR="00C4188E">
        <w:fldChar w:fldCharType="separate"/>
      </w:r>
      <w:r w:rsidR="000154C7">
        <w:t xml:space="preserve">Figure </w:t>
      </w:r>
      <w:r w:rsidR="000154C7">
        <w:rPr>
          <w:noProof/>
        </w:rPr>
        <w:t>1</w:t>
      </w:r>
      <w:r w:rsidR="00C4188E">
        <w:fldChar w:fldCharType="end"/>
      </w:r>
      <w:r w:rsidR="00795D1A">
        <w:t>)</w:t>
      </w:r>
      <w:r w:rsidR="00A14CD9">
        <w:t>.</w:t>
      </w:r>
    </w:p>
    <w:p w14:paraId="1C12120F" w14:textId="0348C6DA" w:rsidR="001B6EE6" w:rsidRDefault="004A3EEE" w:rsidP="000E5CB2">
      <w:r w:rsidRPr="00A37739">
        <w:rPr>
          <w:rFonts w:cstheme="minorHAnsi"/>
          <w:bCs/>
          <w:color w:val="000000"/>
        </w:rPr>
        <w:drawing>
          <wp:anchor distT="0" distB="0" distL="114300" distR="114300" simplePos="0" relativeHeight="251664384" behindDoc="0" locked="0" layoutInCell="1" allowOverlap="1" wp14:anchorId="30790911" wp14:editId="40710271">
            <wp:simplePos x="0" y="0"/>
            <wp:positionH relativeFrom="margin">
              <wp:posOffset>22860</wp:posOffset>
            </wp:positionH>
            <wp:positionV relativeFrom="paragraph">
              <wp:posOffset>234950</wp:posOffset>
            </wp:positionV>
            <wp:extent cx="5666105" cy="2259965"/>
            <wp:effectExtent l="0" t="0" r="0" b="6985"/>
            <wp:wrapSquare wrapText="bothSides"/>
            <wp:docPr id="1971476047" name="Picture 1971476047" descr="A diagram of a hous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476047" name="Picture 1" descr="A diagram of a house&#10;&#10;Description automatically generated with medium confidenc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666105" cy="2259965"/>
                    </a:xfrm>
                    <a:prstGeom prst="rect">
                      <a:avLst/>
                    </a:prstGeom>
                  </pic:spPr>
                </pic:pic>
              </a:graphicData>
            </a:graphic>
            <wp14:sizeRelH relativeFrom="margin">
              <wp14:pctWidth>0</wp14:pctWidth>
            </wp14:sizeRelH>
            <wp14:sizeRelV relativeFrom="margin">
              <wp14:pctHeight>0</wp14:pctHeight>
            </wp14:sizeRelV>
          </wp:anchor>
        </w:drawing>
      </w:r>
    </w:p>
    <w:p w14:paraId="5CD0EB19" w14:textId="3C04128F" w:rsidR="004A3EEE" w:rsidRDefault="004A3EEE" w:rsidP="000E5CB2"/>
    <w:p w14:paraId="304D5DC8" w14:textId="39CD984A" w:rsidR="004A3EEE" w:rsidRDefault="004A3EEE" w:rsidP="000E5CB2"/>
    <w:p w14:paraId="0A5A5DE1" w14:textId="31F9E476" w:rsidR="004A3EEE" w:rsidRDefault="004A3EEE" w:rsidP="000E5CB2"/>
    <w:p w14:paraId="08AEE3C6" w14:textId="786DD5EA" w:rsidR="004A3EEE" w:rsidRDefault="004A3EEE" w:rsidP="000E5CB2"/>
    <w:p w14:paraId="69F53EBB" w14:textId="3E0858B3" w:rsidR="004A3EEE" w:rsidRDefault="004A3EEE" w:rsidP="000E5CB2"/>
    <w:p w14:paraId="6E4E950F" w14:textId="1F89B49E" w:rsidR="004A3EEE" w:rsidRDefault="004A3EEE" w:rsidP="000E5CB2"/>
    <w:p w14:paraId="497AAEB9" w14:textId="4EBF0A1C" w:rsidR="004A3EEE" w:rsidRDefault="004A3EEE" w:rsidP="000E5CB2"/>
    <w:p w14:paraId="334F05D3" w14:textId="3B9B4094" w:rsidR="001B6EE6" w:rsidRDefault="001B6EE6" w:rsidP="000E5CB2"/>
    <w:bookmarkEnd w:id="15"/>
    <w:p w14:paraId="2D1A5773" w14:textId="7C292482" w:rsidR="002A46F0" w:rsidRPr="00A37739" w:rsidRDefault="002A46F0" w:rsidP="00D879BB">
      <w:pPr>
        <w:pStyle w:val="Heading3"/>
        <w:rPr>
          <w:rFonts w:cstheme="minorHAnsi"/>
        </w:rPr>
      </w:pPr>
    </w:p>
    <w:p w14:paraId="0316596A" w14:textId="11CCF0A6" w:rsidR="004A3EEE" w:rsidRDefault="004A3EEE" w:rsidP="00A37739">
      <w:r w:rsidRPr="00A37739">
        <w:rPr>
          <w:rFonts w:cstheme="minorHAnsi"/>
          <w:bCs/>
          <w:color w:val="000000"/>
        </w:rPr>
        <mc:AlternateContent>
          <mc:Choice Requires="wps">
            <w:drawing>
              <wp:anchor distT="0" distB="0" distL="114300" distR="114300" simplePos="0" relativeHeight="251680768" behindDoc="0" locked="0" layoutInCell="1" allowOverlap="1" wp14:anchorId="752C68CA" wp14:editId="65CB7D70">
                <wp:simplePos x="0" y="0"/>
                <wp:positionH relativeFrom="margin">
                  <wp:posOffset>17253</wp:posOffset>
                </wp:positionH>
                <wp:positionV relativeFrom="paragraph">
                  <wp:posOffset>380353</wp:posOffset>
                </wp:positionV>
                <wp:extent cx="6141085" cy="635"/>
                <wp:effectExtent l="0" t="0" r="0" b="0"/>
                <wp:wrapSquare wrapText="bothSides"/>
                <wp:docPr id="303199725" name="Text Box 303199725"/>
                <wp:cNvGraphicFramePr/>
                <a:graphic xmlns:a="http://schemas.openxmlformats.org/drawingml/2006/main">
                  <a:graphicData uri="http://schemas.microsoft.com/office/word/2010/wordprocessingShape">
                    <wps:wsp>
                      <wps:cNvSpPr txBox="1"/>
                      <wps:spPr>
                        <a:xfrm>
                          <a:off x="0" y="0"/>
                          <a:ext cx="6141085" cy="635"/>
                        </a:xfrm>
                        <a:prstGeom prst="rect">
                          <a:avLst/>
                        </a:prstGeom>
                        <a:solidFill>
                          <a:prstClr val="white"/>
                        </a:solidFill>
                        <a:ln>
                          <a:noFill/>
                        </a:ln>
                      </wps:spPr>
                      <wps:txbx>
                        <w:txbxContent>
                          <w:p w14:paraId="30993979" w14:textId="70DB1EAC" w:rsidR="00896728" w:rsidRPr="00405DBD" w:rsidRDefault="00896728" w:rsidP="00896728">
                            <w:pPr>
                              <w:pStyle w:val="Caption"/>
                              <w:rPr>
                                <w:rFonts w:cstheme="minorHAnsi"/>
                                <w:bCs/>
                                <w:noProof/>
                                <w:color w:val="000000"/>
                                <w:sz w:val="22"/>
                                <w:szCs w:val="22"/>
                              </w:rPr>
                            </w:pPr>
                            <w:bookmarkStart w:id="16" w:name="_Ref142911279"/>
                            <w:r>
                              <w:t xml:space="preserve">Figure </w:t>
                            </w:r>
                            <w:fldSimple w:instr=" SEQ Figure \* ARABIC ">
                              <w:r w:rsidR="000154C7">
                                <w:rPr>
                                  <w:noProof/>
                                </w:rPr>
                                <w:t>1</w:t>
                              </w:r>
                            </w:fldSimple>
                            <w:bookmarkEnd w:id="16"/>
                            <w:r>
                              <w:t xml:space="preserve"> Extractive material usage in </w:t>
                            </w:r>
                            <w:r w:rsidR="006B068D">
                              <w:t xml:space="preserve">housing and </w:t>
                            </w:r>
                            <w:r w:rsidR="00422C80">
                              <w:t>infrastructure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2C68CA" id="Text Box 303199725" o:spid="_x0000_s1030" type="#_x0000_t202" style="position:absolute;margin-left:1.35pt;margin-top:29.95pt;width:483.55pt;height:.05pt;z-index:2516807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" stroked="f">
                <v:textbox style="mso-fit-shape-to-text:t" inset="0,0,0,0">
                  <w:txbxContent>
                    <w:p w14:paraId="30993979" w14:textId="70DB1EAC" w:rsidR="00896728" w:rsidRPr="00405DBD" w:rsidRDefault="00896728" w:rsidP="00896728">
                      <w:pPr>
                        <w:pStyle w:val="Caption"/>
                        <w:rPr>
                          <w:rFonts w:cstheme="minorHAnsi"/>
                          <w:bCs/>
                          <w:noProof/>
                          <w:color w:val="000000"/>
                          <w:sz w:val="22"/>
                          <w:szCs w:val="22"/>
                        </w:rPr>
                      </w:pPr>
                      <w:bookmarkStart w:id="17" w:name="_Ref142911279"/>
                      <w:r>
                        <w:t xml:space="preserve">Figure </w:t>
                      </w:r>
                      <w:fldSimple w:instr=" SEQ Figure \* ARABIC ">
                        <w:r w:rsidR="000154C7">
                          <w:rPr>
                            <w:noProof/>
                          </w:rPr>
                          <w:t>1</w:t>
                        </w:r>
                      </w:fldSimple>
                      <w:bookmarkEnd w:id="17"/>
                      <w:r>
                        <w:t xml:space="preserve"> Extractive material usage in </w:t>
                      </w:r>
                      <w:r w:rsidR="006B068D">
                        <w:t xml:space="preserve">housing and </w:t>
                      </w:r>
                      <w:r w:rsidR="00422C80">
                        <w:t>infrastructure</w:t>
                      </w:r>
                    </w:p>
                  </w:txbxContent>
                </v:textbox>
                <w10:wrap type="square" anchorx="margin"/>
              </v:shape>
            </w:pict>
          </mc:Fallback>
        </mc:AlternateContent>
      </w:r>
      <w:r w:rsidR="003F4354" w:rsidRPr="00837FC8">
        <w:rPr>
          <w:rFonts w:cstheme="minorHAnsi"/>
          <w:color w:val="000000"/>
          <w:sz w:val="22"/>
          <w:szCs w:val="22"/>
        </w:rPr>
        <w:t xml:space="preserve"> </w:t>
      </w:r>
      <w:bookmarkStart w:id="18" w:name="_Toc137567766"/>
    </w:p>
    <w:p w14:paraId="1D06D72A" w14:textId="7B6E4BCF" w:rsidR="003F4354" w:rsidRPr="00837FC8" w:rsidRDefault="003F4354" w:rsidP="00C06A50">
      <w:pPr>
        <w:pStyle w:val="Heading3"/>
      </w:pPr>
      <w:r w:rsidRPr="00837FC8">
        <w:t>Hard rock</w:t>
      </w:r>
      <w:bookmarkEnd w:id="18"/>
    </w:p>
    <w:p w14:paraId="73E73E6F" w14:textId="77777777" w:rsidR="003F4354" w:rsidRDefault="003F4354" w:rsidP="003F4354">
      <w:pPr>
        <w:rPr>
          <w:rFonts w:cstheme="minorHAnsi"/>
          <w:color w:val="000000"/>
        </w:rPr>
      </w:pPr>
      <w:r w:rsidRPr="00837FC8">
        <w:rPr>
          <w:rFonts w:cstheme="minorHAnsi"/>
          <w:color w:val="000000"/>
        </w:rPr>
        <w:t>Hard rock is a generic term, with many different grades with higher and lower specifications. There is greater demand for higher specification hard rock and there may be less of this in an extractive</w:t>
      </w:r>
      <w:r>
        <w:rPr>
          <w:rFonts w:cstheme="minorHAnsi"/>
          <w:color w:val="000000"/>
        </w:rPr>
        <w:t xml:space="preserve"> resources</w:t>
      </w:r>
      <w:r w:rsidRPr="00837FC8">
        <w:rPr>
          <w:rFonts w:cstheme="minorHAnsi"/>
          <w:color w:val="000000"/>
        </w:rPr>
        <w:t xml:space="preserve"> deposit. Specifying the amounts of each rock grade in a deposit is important because different specifications are useful for different infrastructure projects.</w:t>
      </w:r>
    </w:p>
    <w:p w14:paraId="523323A9" w14:textId="0A40BED7" w:rsidR="003F4354" w:rsidRDefault="003F4354" w:rsidP="003F4354">
      <w:pPr>
        <w:rPr>
          <w:rFonts w:cstheme="minorHAnsi"/>
          <w:color w:val="000000"/>
        </w:rPr>
      </w:pPr>
      <w:r w:rsidRPr="00837FC8">
        <w:rPr>
          <w:rFonts w:cstheme="minorHAnsi"/>
          <w:color w:val="000000"/>
        </w:rPr>
        <w:t>Hard rock produces aggregates for making concrete and asphalt. Crushed, it serves as road base. In this report, hard rock includes basalt, dolerite, gneiss, granite, hornfels, quartzite, rhyodacite, schist, sedimentary, slate and trachyte.</w:t>
      </w:r>
    </w:p>
    <w:p w14:paraId="12CCA567" w14:textId="09530D55" w:rsidR="003F4354" w:rsidRPr="00837FC8" w:rsidRDefault="003F4354" w:rsidP="00C06A50">
      <w:pPr>
        <w:pStyle w:val="Heading3"/>
      </w:pPr>
      <w:bookmarkStart w:id="19" w:name="_Toc137567767"/>
      <w:r w:rsidRPr="00837FC8">
        <w:t>Sand and gravel</w:t>
      </w:r>
      <w:bookmarkEnd w:id="19"/>
    </w:p>
    <w:p w14:paraId="0A85C4A3" w14:textId="77777777" w:rsidR="003F4354" w:rsidRDefault="003F4354" w:rsidP="003F4354">
      <w:pPr>
        <w:rPr>
          <w:rFonts w:cstheme="minorHAnsi"/>
          <w:color w:val="000000"/>
        </w:rPr>
      </w:pPr>
      <w:r w:rsidRPr="00837FC8">
        <w:rPr>
          <w:rFonts w:cstheme="minorHAnsi"/>
          <w:color w:val="000000"/>
        </w:rPr>
        <w:t>High specification sand and gravel is most sought after by concrete and asphalt producers. Brick</w:t>
      </w:r>
      <w:r>
        <w:rPr>
          <w:rFonts w:cstheme="minorHAnsi"/>
          <w:color w:val="000000"/>
        </w:rPr>
        <w:t xml:space="preserve">s </w:t>
      </w:r>
      <w:r w:rsidRPr="00837FC8">
        <w:rPr>
          <w:rFonts w:cstheme="minorHAnsi"/>
          <w:color w:val="000000"/>
        </w:rPr>
        <w:t xml:space="preserve">and plastering also require sand, but this can be of different specifications. Pure sand is most sought after. However, sand may be mixed with gravel, often requiring expensive processing and </w:t>
      </w:r>
      <w:r>
        <w:rPr>
          <w:rFonts w:cstheme="minorHAnsi"/>
          <w:color w:val="000000"/>
        </w:rPr>
        <w:t>creating</w:t>
      </w:r>
      <w:r w:rsidRPr="00837FC8">
        <w:rPr>
          <w:rFonts w:cstheme="minorHAnsi"/>
          <w:color w:val="000000"/>
        </w:rPr>
        <w:t xml:space="preserve"> much waste. Industry needs to know the specification ratios within a reserve to help with project planning. </w:t>
      </w:r>
    </w:p>
    <w:p w14:paraId="1A14FC9C" w14:textId="0EEBE390" w:rsidR="003F4354" w:rsidRPr="00837FC8" w:rsidRDefault="003F4354" w:rsidP="00C06A50">
      <w:pPr>
        <w:pStyle w:val="Heading3"/>
      </w:pPr>
      <w:bookmarkStart w:id="20" w:name="_Toc137567768"/>
      <w:r w:rsidRPr="00837FC8">
        <w:lastRenderedPageBreak/>
        <w:t>Clay</w:t>
      </w:r>
      <w:bookmarkEnd w:id="20"/>
    </w:p>
    <w:p w14:paraId="3ADCBEF3" w14:textId="77777777" w:rsidR="003F4354" w:rsidRDefault="003F4354" w:rsidP="003F4354">
      <w:pPr>
        <w:rPr>
          <w:rFonts w:cstheme="minorHAnsi"/>
          <w:color w:val="000000"/>
        </w:rPr>
      </w:pPr>
      <w:r w:rsidRPr="00837FC8">
        <w:rPr>
          <w:rFonts w:cstheme="minorHAnsi"/>
          <w:color w:val="000000"/>
        </w:rPr>
        <w:t>In Victoria clay is typically used to make bricks. But the production of bricks has been declining as other, lighter products such as clay pavers replace them. Depending on their material and quality, some clay materials excavated during civil projects can be used as low-grade fill or sub-grade replacement. However, project engineering dictates whether these recycled products can be used.</w:t>
      </w:r>
    </w:p>
    <w:p w14:paraId="17946B48" w14:textId="48D552F8" w:rsidR="003F4354" w:rsidRPr="00160107" w:rsidRDefault="003F4354" w:rsidP="00C06A50">
      <w:pPr>
        <w:pStyle w:val="Heading3"/>
      </w:pPr>
      <w:bookmarkStart w:id="21" w:name="_Toc137567769"/>
      <w:r w:rsidRPr="00160107">
        <w:t xml:space="preserve">Clay </w:t>
      </w:r>
      <w:r>
        <w:t>s</w:t>
      </w:r>
      <w:r w:rsidRPr="00160107">
        <w:t>hale</w:t>
      </w:r>
      <w:bookmarkEnd w:id="21"/>
    </w:p>
    <w:p w14:paraId="3A89F665" w14:textId="77777777" w:rsidR="003F4354" w:rsidRDefault="003F4354" w:rsidP="003F4354">
      <w:pPr>
        <w:rPr>
          <w:rFonts w:cstheme="minorHAnsi"/>
          <w:color w:val="000000"/>
        </w:rPr>
      </w:pPr>
      <w:r w:rsidRPr="00160107">
        <w:rPr>
          <w:rFonts w:cstheme="minorHAnsi"/>
          <w:color w:val="000000"/>
          <w:shd w:val="clear" w:color="auto" w:fill="FFFFFF"/>
        </w:rPr>
        <w:t>Weathered shale and siltstone deposits</w:t>
      </w:r>
      <w:r>
        <w:rPr>
          <w:rFonts w:cstheme="minorHAnsi"/>
          <w:color w:val="000000"/>
          <w:shd w:val="clear" w:color="auto" w:fill="FFFFFF"/>
        </w:rPr>
        <w:t xml:space="preserve"> </w:t>
      </w:r>
      <w:r w:rsidRPr="00160107">
        <w:rPr>
          <w:rFonts w:cstheme="minorHAnsi"/>
          <w:color w:val="000000"/>
          <w:shd w:val="clear" w:color="auto" w:fill="FFFFFF"/>
        </w:rPr>
        <w:t>are used as the basis of all brick, and to a certa</w:t>
      </w:r>
      <w:r>
        <w:rPr>
          <w:rFonts w:cstheme="minorHAnsi"/>
          <w:color w:val="000000"/>
          <w:shd w:val="clear" w:color="auto" w:fill="FFFFFF"/>
        </w:rPr>
        <w:t>i</w:t>
      </w:r>
      <w:r w:rsidRPr="00160107">
        <w:rPr>
          <w:rFonts w:cstheme="minorHAnsi"/>
          <w:color w:val="000000"/>
          <w:shd w:val="clear" w:color="auto" w:fill="FFFFFF"/>
        </w:rPr>
        <w:t xml:space="preserve">n extent tile and pipe manufacture, in </w:t>
      </w:r>
      <w:r>
        <w:rPr>
          <w:rFonts w:cstheme="minorHAnsi"/>
          <w:color w:val="000000"/>
          <w:shd w:val="clear" w:color="auto" w:fill="FFFFFF"/>
        </w:rPr>
        <w:t xml:space="preserve">the </w:t>
      </w:r>
      <w:r w:rsidRPr="00160107">
        <w:rPr>
          <w:rFonts w:cstheme="minorHAnsi"/>
          <w:color w:val="000000"/>
          <w:shd w:val="clear" w:color="auto" w:fill="FFFFFF"/>
        </w:rPr>
        <w:t>Melbourne area.</w:t>
      </w:r>
    </w:p>
    <w:p w14:paraId="74BDEE0C" w14:textId="77777777" w:rsidR="00C06A50" w:rsidRDefault="003F4354" w:rsidP="00C06A50">
      <w:pPr>
        <w:pStyle w:val="Heading3"/>
      </w:pPr>
      <w:bookmarkStart w:id="22" w:name="_Toc137567770"/>
      <w:r w:rsidRPr="00837FC8">
        <w:t>Limestone</w:t>
      </w:r>
      <w:bookmarkEnd w:id="22"/>
      <w:r w:rsidRPr="00837FC8">
        <w:t xml:space="preserve"> </w:t>
      </w:r>
    </w:p>
    <w:p w14:paraId="752B5604" w14:textId="0A04C9CA" w:rsidR="003F4354" w:rsidRDefault="003F4354" w:rsidP="003F4354">
      <w:r w:rsidRPr="00837FC8">
        <w:rPr>
          <w:color w:val="232222" w:themeColor="text1"/>
        </w:rPr>
        <w:t>Limestone is mostly used in agriculture to improve soil fertility and reduce acidity. Occasionally it is used in gold processing. While limestone represents only a small percentage of the Victorian extractive industry (about 1 million tonnes per year) demand is increasing rapidly. Limestone quarries are usually in coastal areas with important cultural and heritage values</w:t>
      </w:r>
      <w:r w:rsidRPr="00837FC8">
        <w:t>.</w:t>
      </w:r>
    </w:p>
    <w:p w14:paraId="1BAA35D9" w14:textId="77777777" w:rsidR="003F4354" w:rsidRDefault="003F4354" w:rsidP="00C06A50">
      <w:pPr>
        <w:pStyle w:val="Heading3"/>
      </w:pPr>
      <w:bookmarkStart w:id="23" w:name="_Toc137567771"/>
      <w:r w:rsidRPr="00160107">
        <w:t xml:space="preserve">Recycled </w:t>
      </w:r>
      <w:r>
        <w:t>m</w:t>
      </w:r>
      <w:r w:rsidRPr="00160107">
        <w:t>aterials</w:t>
      </w:r>
      <w:bookmarkEnd w:id="23"/>
      <w:r w:rsidRPr="00160107">
        <w:t xml:space="preserve"> </w:t>
      </w:r>
    </w:p>
    <w:p w14:paraId="7CECA468" w14:textId="1A8FD9FB" w:rsidR="003F4354" w:rsidRPr="00837FC8" w:rsidRDefault="003F4354" w:rsidP="003F4354">
      <w:r w:rsidRPr="00837FC8">
        <w:t xml:space="preserve">Recycled </w:t>
      </w:r>
      <w:r>
        <w:t>construction and demolition waste are increasingly being used as a substitute for raw sand and hard rock materials. About 6.5 million tonnes were estimated to be used for this purpose in 2019-20 compared to 54.8 million tonnes of hard rock and sand.</w:t>
      </w:r>
      <w:r>
        <w:rPr>
          <w:rStyle w:val="FootnoteReference"/>
        </w:rPr>
        <w:footnoteReference w:id="11"/>
      </w:r>
      <w:r>
        <w:t xml:space="preserve"> </w:t>
      </w:r>
      <w:r>
        <w:rPr>
          <w:rStyle w:val="FootnoteReference"/>
        </w:rPr>
        <w:footnoteReference w:id="12"/>
      </w:r>
      <w:r>
        <w:br/>
        <w:t>Recycled materials include:</w:t>
      </w:r>
    </w:p>
    <w:p w14:paraId="1D6C31A1" w14:textId="77777777" w:rsidR="003F4354" w:rsidRPr="00837FC8" w:rsidRDefault="003F4354" w:rsidP="004129D2">
      <w:pPr>
        <w:pStyle w:val="ListBullet"/>
      </w:pPr>
      <w:r w:rsidRPr="00837FC8">
        <w:t>reclaimed asphalt pavement</w:t>
      </w:r>
    </w:p>
    <w:p w14:paraId="5AB8AD1A" w14:textId="77777777" w:rsidR="003F4354" w:rsidRPr="00837FC8" w:rsidRDefault="003F4354" w:rsidP="004129D2">
      <w:pPr>
        <w:pStyle w:val="ListBullet"/>
      </w:pPr>
      <w:r w:rsidRPr="00837FC8">
        <w:t>crushed concrete</w:t>
      </w:r>
    </w:p>
    <w:p w14:paraId="79D5A073" w14:textId="77777777" w:rsidR="003F4354" w:rsidRPr="00837FC8" w:rsidRDefault="003F4354" w:rsidP="004129D2">
      <w:pPr>
        <w:pStyle w:val="ListBullet"/>
      </w:pPr>
      <w:r w:rsidRPr="00837FC8">
        <w:t>recycled crushed glass in concrete</w:t>
      </w:r>
    </w:p>
    <w:p w14:paraId="1DBA3BF3" w14:textId="77777777" w:rsidR="003F4354" w:rsidRDefault="003F4354" w:rsidP="004129D2">
      <w:pPr>
        <w:pStyle w:val="ListBullet"/>
      </w:pPr>
      <w:r w:rsidRPr="00837FC8">
        <w:t>recycled crushed glass.</w:t>
      </w:r>
    </w:p>
    <w:p w14:paraId="6DFE42FF" w14:textId="6BE07A21" w:rsidR="003F4354" w:rsidRPr="00837FC8" w:rsidRDefault="003F4354" w:rsidP="003F4354">
      <w:r w:rsidRPr="00837FC8">
        <w:t xml:space="preserve">Using recycled </w:t>
      </w:r>
      <w:r>
        <w:t>extractive resources</w:t>
      </w:r>
      <w:r w:rsidRPr="00837FC8">
        <w:t xml:space="preserve"> has many benefits including:</w:t>
      </w:r>
    </w:p>
    <w:p w14:paraId="4E5D1E68" w14:textId="77777777" w:rsidR="003F4354" w:rsidRPr="00837FC8" w:rsidRDefault="003F4354" w:rsidP="004129D2">
      <w:pPr>
        <w:pStyle w:val="ListBullet"/>
      </w:pPr>
      <w:r w:rsidRPr="00837FC8">
        <w:t>reducing landfill</w:t>
      </w:r>
    </w:p>
    <w:p w14:paraId="656459AA" w14:textId="77777777" w:rsidR="003F4354" w:rsidRPr="00837FC8" w:rsidRDefault="003F4354" w:rsidP="004129D2">
      <w:pPr>
        <w:pStyle w:val="ListBullet"/>
      </w:pPr>
      <w:r w:rsidRPr="00837FC8">
        <w:t>preserving raw resources</w:t>
      </w:r>
    </w:p>
    <w:p w14:paraId="55D0BF73" w14:textId="77777777" w:rsidR="003F4354" w:rsidRPr="00837FC8" w:rsidRDefault="003F4354" w:rsidP="004129D2">
      <w:pPr>
        <w:pStyle w:val="ListBullet"/>
      </w:pPr>
      <w:r w:rsidRPr="00837FC8">
        <w:t xml:space="preserve">reducing </w:t>
      </w:r>
      <w:r>
        <w:t>greenhouse gas</w:t>
      </w:r>
      <w:r w:rsidRPr="00837FC8">
        <w:t xml:space="preserve"> emissions</w:t>
      </w:r>
    </w:p>
    <w:p w14:paraId="24BCA43F" w14:textId="77777777" w:rsidR="003F4354" w:rsidRDefault="003F4354" w:rsidP="004129D2">
      <w:pPr>
        <w:pStyle w:val="ListBullet"/>
      </w:pPr>
      <w:r w:rsidRPr="00837FC8">
        <w:t>cost reductions due to shorter transport distances.</w:t>
      </w:r>
    </w:p>
    <w:p w14:paraId="37A57751" w14:textId="77777777" w:rsidR="003F4354" w:rsidRDefault="003F4354" w:rsidP="003F4354">
      <w:r>
        <w:t>Currently</w:t>
      </w:r>
      <w:r w:rsidRPr="00837FC8">
        <w:t>, recycled materials represent only a small portion of all construction materials produced. There are still barriers to overcome before recycled materials are more widely adopted in construction projects, such as supply costs, the need to meet technical specifications, and the supply cost of recycled materials.</w:t>
      </w:r>
    </w:p>
    <w:p w14:paraId="4961F2B0" w14:textId="77777777" w:rsidR="003F4354" w:rsidRDefault="003F4354" w:rsidP="00C06A50">
      <w:pPr>
        <w:pStyle w:val="Heading3"/>
      </w:pPr>
      <w:bookmarkStart w:id="24" w:name="_Toc137567772"/>
      <w:r w:rsidRPr="00837FC8">
        <w:t>Factors influencing the supply of raw materials</w:t>
      </w:r>
      <w:bookmarkEnd w:id="24"/>
    </w:p>
    <w:p w14:paraId="477F8ECF" w14:textId="77777777" w:rsidR="003F4354" w:rsidRDefault="003F4354" w:rsidP="003F4354">
      <w:pPr>
        <w:rPr>
          <w:rFonts w:cstheme="minorHAnsi"/>
        </w:rPr>
      </w:pPr>
      <w:r w:rsidRPr="00E00BFD">
        <w:rPr>
          <w:rFonts w:cstheme="minorHAnsi"/>
        </w:rPr>
        <w:t xml:space="preserve">The supply of extractive resources in Victoria is primarily carried out by private businesses in a market-driven economy. Supply is fully demand-driven with minimal stockpiling and export. </w:t>
      </w:r>
      <w:r w:rsidRPr="00E00BFD">
        <w:t>Victoria’s</w:t>
      </w:r>
      <w:r w:rsidRPr="00E00BFD">
        <w:rPr>
          <w:rFonts w:cstheme="minorHAnsi"/>
        </w:rPr>
        <w:t xml:space="preserve"> annual production of extractive resources is a representation of annual consumption within Victoria.    </w:t>
      </w:r>
    </w:p>
    <w:p w14:paraId="3D73D98C" w14:textId="77777777" w:rsidR="003F4354" w:rsidRDefault="003F4354" w:rsidP="003F4354">
      <w:pPr>
        <w:rPr>
          <w:rFonts w:cstheme="minorHAnsi"/>
        </w:rPr>
      </w:pPr>
      <w:r w:rsidRPr="006F42F1">
        <w:rPr>
          <w:rFonts w:cstheme="minorHAnsi"/>
        </w:rPr>
        <w:t xml:space="preserve">Extraction at a quarry is approved </w:t>
      </w:r>
      <w:r>
        <w:rPr>
          <w:rFonts w:cstheme="minorHAnsi"/>
        </w:rPr>
        <w:t>by</w:t>
      </w:r>
      <w:r w:rsidRPr="006F42F1">
        <w:rPr>
          <w:rFonts w:cstheme="minorHAnsi"/>
        </w:rPr>
        <w:t xml:space="preserve"> </w:t>
      </w:r>
      <w:r>
        <w:rPr>
          <w:rFonts w:cstheme="minorHAnsi"/>
        </w:rPr>
        <w:t>establishing</w:t>
      </w:r>
      <w:r w:rsidRPr="006F42F1">
        <w:rPr>
          <w:rFonts w:cstheme="minorHAnsi"/>
        </w:rPr>
        <w:t xml:space="preserve"> a work authority.</w:t>
      </w:r>
      <w:r>
        <w:rPr>
          <w:rFonts w:cstheme="minorHAnsi"/>
        </w:rPr>
        <w:t xml:space="preserve"> Work authorities are </w:t>
      </w:r>
      <w:r w:rsidRPr="00837FC8">
        <w:rPr>
          <w:rFonts w:cstheme="minorHAnsi"/>
          <w:color w:val="000000"/>
        </w:rPr>
        <w:t xml:space="preserve">areas of land where permissions have been granted to extract raw materials under section 77I of the </w:t>
      </w:r>
      <w:r w:rsidRPr="00837FC8">
        <w:rPr>
          <w:rFonts w:cstheme="minorHAnsi"/>
          <w:i/>
          <w:iCs/>
          <w:color w:val="000000"/>
        </w:rPr>
        <w:t>Minerals Resources (Sustainable Development Act) 1990.</w:t>
      </w:r>
      <w:r>
        <w:rPr>
          <w:rFonts w:cstheme="minorHAnsi"/>
        </w:rPr>
        <w:t xml:space="preserve"> </w:t>
      </w:r>
      <w:r w:rsidRPr="009911AD">
        <w:rPr>
          <w:rFonts w:cstheme="minorHAnsi"/>
        </w:rPr>
        <w:t>Work authorities are required under State legislation unless exemptions apply.</w:t>
      </w:r>
      <w:r w:rsidRPr="00274941">
        <w:rPr>
          <w:rFonts w:cstheme="minorHAnsi"/>
          <w:color w:val="000000"/>
        </w:rPr>
        <w:t xml:space="preserve"> </w:t>
      </w:r>
    </w:p>
    <w:p w14:paraId="2A19C971" w14:textId="77777777" w:rsidR="003F4354" w:rsidRDefault="003F4354" w:rsidP="003F4354">
      <w:pPr>
        <w:rPr>
          <w:rFonts w:cstheme="minorHAnsi"/>
        </w:rPr>
      </w:pPr>
      <w:r w:rsidRPr="00E00BFD">
        <w:rPr>
          <w:rFonts w:cstheme="minorHAnsi"/>
        </w:rPr>
        <w:t xml:space="preserve"> A number of factors determine where quarry development occurs. A quarry needs to have a sufficient quantity of high-quality raw material, and it requires good access to transport routes and proximity to demand (the projects). If a quarry does not meet these requirements, it is difficult to justify the capital investment needed to develop and maintain a new site and its processing facilities.</w:t>
      </w:r>
    </w:p>
    <w:p w14:paraId="6E070480" w14:textId="77777777" w:rsidR="003F4354" w:rsidRDefault="003F4354" w:rsidP="003F4354">
      <w:r w:rsidRPr="00E00BFD">
        <w:rPr>
          <w:rFonts w:cstheme="minorHAnsi"/>
        </w:rPr>
        <w:lastRenderedPageBreak/>
        <w:t xml:space="preserve">A proposed quarry must also obtain regulatory approvals and maintain compliance. </w:t>
      </w:r>
      <w:r w:rsidRPr="00E00BFD">
        <w:t xml:space="preserve">Earth Resources Regulation must endorse a work plan, and approvals must be sought from local councils, water authorities, and the Department of Energy, Environment and Climate Action. Quarry operators must ensure they are not affecting cultural heritage, protected vegetation or biodiversity offset zones. </w:t>
      </w:r>
    </w:p>
    <w:p w14:paraId="46F8099B" w14:textId="77777777" w:rsidR="003F4354" w:rsidRDefault="003F4354" w:rsidP="003F4354">
      <w:r w:rsidRPr="00E00BFD">
        <w:t xml:space="preserve">Due to high transport costs, quarries are more viable when located near demand centres, which tend to be in areas that are on the fringe between urban Melbourne and rural Victoria (known as peri-urban areas). These areas also often contain a range of competing land uses and quarry developments are increasingly facing challenges from local communities, land developers and organised opposition groups. These are likely to become an increasingly dominant determinant of where quarries can be located.  </w:t>
      </w:r>
    </w:p>
    <w:p w14:paraId="633319D3" w14:textId="77777777" w:rsidR="003F4354" w:rsidRDefault="003F4354" w:rsidP="003F4354">
      <w:pPr>
        <w:rPr>
          <w:rFonts w:cstheme="minorHAnsi"/>
          <w:color w:val="000000"/>
        </w:rPr>
      </w:pPr>
      <w:r w:rsidRPr="00E00BFD">
        <w:rPr>
          <w:rFonts w:cstheme="minorHAnsi"/>
          <w:color w:val="000000"/>
        </w:rPr>
        <w:t xml:space="preserve">The price of raw materials is driven by the cost base and the </w:t>
      </w:r>
      <w:r>
        <w:rPr>
          <w:rFonts w:cstheme="minorHAnsi"/>
          <w:color w:val="000000"/>
        </w:rPr>
        <w:t>markup</w:t>
      </w:r>
      <w:r w:rsidRPr="00E00BFD">
        <w:rPr>
          <w:rFonts w:cstheme="minorHAnsi"/>
          <w:color w:val="000000"/>
        </w:rPr>
        <w:t>. The cost base reflects the cost of producing and transporting the raw materials. The price mark-up depends on competition, including the distance of other quarries from demand centres.</w:t>
      </w:r>
    </w:p>
    <w:p w14:paraId="5AB5E966" w14:textId="77777777" w:rsidR="003F4354" w:rsidRDefault="003F4354" w:rsidP="003F4354">
      <w:pPr>
        <w:pStyle w:val="Heading2"/>
      </w:pPr>
      <w:bookmarkStart w:id="25" w:name="_Toc130274672"/>
      <w:bookmarkStart w:id="26" w:name="_Toc137567773"/>
      <w:r>
        <w:t xml:space="preserve">1.3 </w:t>
      </w:r>
      <w:r w:rsidRPr="00837FC8">
        <w:t>Market analysis</w:t>
      </w:r>
      <w:bookmarkEnd w:id="25"/>
      <w:bookmarkEnd w:id="26"/>
    </w:p>
    <w:p w14:paraId="7D975602" w14:textId="77777777" w:rsidR="003F4354" w:rsidRDefault="003F4354" w:rsidP="00C06A50">
      <w:pPr>
        <w:pStyle w:val="Heading3"/>
      </w:pPr>
      <w:bookmarkStart w:id="27" w:name="_Toc137567774"/>
      <w:r w:rsidRPr="00160107">
        <w:t>Previous Supply Demand Study</w:t>
      </w:r>
      <w:bookmarkEnd w:id="27"/>
    </w:p>
    <w:p w14:paraId="67364E72" w14:textId="77777777" w:rsidR="003F4354" w:rsidRDefault="003F4354" w:rsidP="003F4354">
      <w:r w:rsidRPr="00837FC8">
        <w:rPr>
          <w:rFonts w:cstheme="minorHAnsi"/>
        </w:rPr>
        <w:t xml:space="preserve">In 2016, </w:t>
      </w:r>
      <w:r>
        <w:rPr>
          <w:rFonts w:cstheme="minorHAnsi"/>
        </w:rPr>
        <w:t>the Victorian Government commissioned</w:t>
      </w:r>
      <w:r w:rsidRPr="00837FC8">
        <w:rPr>
          <w:rFonts w:cstheme="minorHAnsi"/>
        </w:rPr>
        <w:t xml:space="preserve"> the</w:t>
      </w:r>
      <w:r w:rsidRPr="00ED5AB1">
        <w:rPr>
          <w:rFonts w:cstheme="minorHAnsi"/>
          <w:i/>
          <w:iCs/>
        </w:rPr>
        <w:t xml:space="preserve"> Extractive Resources Demand and Supply Study 2015-2050</w:t>
      </w:r>
      <w:r w:rsidRPr="00837FC8">
        <w:rPr>
          <w:rFonts w:cstheme="minorHAnsi"/>
        </w:rPr>
        <w:t xml:space="preserve"> (the 2016 Study)</w:t>
      </w:r>
      <w:r>
        <w:rPr>
          <w:rFonts w:cstheme="minorHAnsi"/>
        </w:rPr>
        <w:t xml:space="preserve"> that was undertaken by </w:t>
      </w:r>
      <w:r w:rsidRPr="00837FC8">
        <w:rPr>
          <w:rFonts w:cstheme="minorHAnsi"/>
        </w:rPr>
        <w:t xml:space="preserve">PricewaterhouseCoopers (PwC). The 2016 Study used demand </w:t>
      </w:r>
      <w:r w:rsidRPr="00837FC8">
        <w:t>modelling that linked the amount of construction expenditure from each sector and each rock type to population and employment growth.</w:t>
      </w:r>
    </w:p>
    <w:p w14:paraId="3E248CAF" w14:textId="77777777" w:rsidR="003F4354" w:rsidRDefault="003F4354" w:rsidP="003F4354">
      <w:r w:rsidRPr="00E00BFD">
        <w:t>The 2016 study used emails, letters, face-to-face interviews and web-based surveys to gather resource estimates and production data from industry. There was in-house geospatial economic modelling to analyse extractive demand and supply.  The study concluded that due to rising demand and urban sprawl into potential extractive zones, the Victorian extractive resources industry may not have enough material to meet future demand.</w:t>
      </w:r>
    </w:p>
    <w:p w14:paraId="7FE95EC5" w14:textId="77777777" w:rsidR="003F4354" w:rsidRDefault="003F4354" w:rsidP="003F4354">
      <w:r w:rsidRPr="00E00BFD">
        <w:rPr>
          <w:rFonts w:cstheme="minorHAnsi"/>
        </w:rPr>
        <w:t>The 2016 study estimated</w:t>
      </w:r>
      <w:r w:rsidRPr="00E00BFD">
        <w:t xml:space="preserve"> that there were 11 billion tonnes of extractive resources in current and planned future work authorities from 2015 to 2050. This was significantly higher than the supply estimates made using the methodology of the current 2022-2030 Study and while it was a 35-year period, it was considered by </w:t>
      </w:r>
      <w:r w:rsidRPr="00E00BFD">
        <w:rPr>
          <w:rFonts w:cstheme="minorHAnsi"/>
        </w:rPr>
        <w:t xml:space="preserve">extractive resource industry </w:t>
      </w:r>
      <w:r w:rsidRPr="00E00BFD">
        <w:t>representatives to be a significant overestimate.</w:t>
      </w:r>
    </w:p>
    <w:p w14:paraId="24041601" w14:textId="77777777" w:rsidR="003F4354" w:rsidRDefault="003F4354" w:rsidP="003F4354">
      <w:r w:rsidRPr="00E00BFD">
        <w:t xml:space="preserve">The 2016 study estimated transporting resources an additional 25 km would incur $2 billion of additional costs, increasing construction costs. To mitigate </w:t>
      </w:r>
      <w:r>
        <w:t>increasing construction costs</w:t>
      </w:r>
      <w:r w:rsidRPr="00E00BFD">
        <w:t>, the report identified a list of strategic locations and critical resources that should be secured to ensure future supply.</w:t>
      </w:r>
    </w:p>
    <w:p w14:paraId="0CAC42D7" w14:textId="77777777" w:rsidR="003F4354" w:rsidRDefault="003F4354" w:rsidP="003F4354">
      <w:r w:rsidRPr="00E00BFD">
        <w:t xml:space="preserve">The local government areas (LGAs) identified as key to providing future resources included South Gippsland, Greater Geelong, Mitchell, Knox and Cardinia. The </w:t>
      </w:r>
      <w:r>
        <w:t>S</w:t>
      </w:r>
      <w:r w:rsidRPr="00E00BFD">
        <w:t>tudy indicated that hornfels and clay and clay shale would be in short supply across the state.</w:t>
      </w:r>
    </w:p>
    <w:p w14:paraId="057B1DD8" w14:textId="77777777" w:rsidR="003F4354" w:rsidRDefault="003F4354" w:rsidP="003F4354">
      <w:pPr>
        <w:rPr>
          <w:rFonts w:cstheme="minorHAnsi"/>
        </w:rPr>
      </w:pPr>
      <w:r w:rsidRPr="00E00BFD">
        <w:rPr>
          <w:rFonts w:cstheme="minorHAnsi"/>
        </w:rPr>
        <w:t>The current Study aims to build on this work by providing more robust data (generated with industry surveys) and more detailed analysis and finer granularity about where and how many quarries are needed to meet Victorian demand. This will support the Government in its implementation of planning protection through Strategic Extractive Resource Areas.</w:t>
      </w:r>
    </w:p>
    <w:p w14:paraId="01A196A6" w14:textId="77777777" w:rsidR="003F4354" w:rsidRDefault="003F4354" w:rsidP="00C06A50">
      <w:pPr>
        <w:pStyle w:val="Heading3"/>
      </w:pPr>
      <w:bookmarkStart w:id="28" w:name="_Toc137567775"/>
      <w:r w:rsidRPr="00E00BFD">
        <w:t>Recent Demand Changes</w:t>
      </w:r>
      <w:bookmarkEnd w:id="28"/>
    </w:p>
    <w:p w14:paraId="08C45CE5" w14:textId="77777777" w:rsidR="003F4354" w:rsidRDefault="003F4354" w:rsidP="003F4354">
      <w:pPr>
        <w:rPr>
          <w:rFonts w:cstheme="minorHAnsi"/>
          <w:bCs/>
          <w:color w:val="000000"/>
        </w:rPr>
      </w:pPr>
      <w:r w:rsidRPr="00E00BFD">
        <w:rPr>
          <w:rFonts w:cstheme="minorHAnsi"/>
          <w:bCs/>
          <w:color w:val="000000"/>
        </w:rPr>
        <w:t xml:space="preserve">Melbourne is fortunate to have had ready access to </w:t>
      </w:r>
      <w:r>
        <w:rPr>
          <w:rFonts w:cstheme="minorHAnsi"/>
          <w:bCs/>
          <w:color w:val="000000"/>
        </w:rPr>
        <w:t>high-quality</w:t>
      </w:r>
      <w:r w:rsidRPr="00E00BFD">
        <w:rPr>
          <w:rFonts w:cstheme="minorHAnsi"/>
          <w:bCs/>
          <w:color w:val="000000"/>
        </w:rPr>
        <w:t xml:space="preserve"> hard rock supplies. This has enabled the city to expand with quality construction, while keeping supply transportation costs down.</w:t>
      </w:r>
    </w:p>
    <w:p w14:paraId="736297EF" w14:textId="77777777" w:rsidR="003F4354" w:rsidRDefault="003F4354" w:rsidP="003F4354">
      <w:r w:rsidRPr="00E00BFD">
        <w:t>Most of the businesses in the extractive industry are small- to medium-sized, with many family-owned, private companies. However, a few national companies account for an overwhelming portion of the market share.</w:t>
      </w:r>
    </w:p>
    <w:p w14:paraId="435D7531" w14:textId="5975DBE4" w:rsidR="003F4354" w:rsidRDefault="003F4354" w:rsidP="003F4354">
      <w:r w:rsidRPr="00E00BFD">
        <w:t>Hard rock is the dominant group within the extractive resources market, with basalt being the most common type. Sand and gravel follow, with clay next, and limestone holding the smallest percentage of the market. Refer to</w:t>
      </w:r>
      <w:r w:rsidRPr="00E00BFD">
        <w:rPr>
          <w:b/>
          <w:bCs/>
        </w:rPr>
        <w:t xml:space="preserve"> </w:t>
      </w:r>
      <w:r w:rsidRPr="00E00BFD">
        <w:fldChar w:fldCharType="begin"/>
      </w:r>
      <w:r w:rsidRPr="00E00BFD">
        <w:instrText xml:space="preserve"> REF _Ref113980744 \h  \* MERGEFORMAT </w:instrText>
      </w:r>
      <w:r w:rsidRPr="00E00BFD">
        <w:fldChar w:fldCharType="separate"/>
      </w:r>
      <w:r w:rsidR="000154C7" w:rsidRPr="006F42F1">
        <w:t xml:space="preserve">Table </w:t>
      </w:r>
      <w:r w:rsidR="000154C7">
        <w:rPr>
          <w:noProof/>
        </w:rPr>
        <w:t>1</w:t>
      </w:r>
      <w:r w:rsidRPr="00E00BFD">
        <w:fldChar w:fldCharType="end"/>
      </w:r>
      <w:r w:rsidRPr="00E00BFD">
        <w:t>.</w:t>
      </w:r>
    </w:p>
    <w:p w14:paraId="1CB74F74" w14:textId="530481AA" w:rsidR="003F4354" w:rsidRDefault="003F4354" w:rsidP="003F4354">
      <w:r w:rsidRPr="00837FC8">
        <w:t xml:space="preserve">Residential building construction represents </w:t>
      </w:r>
      <w:r>
        <w:t xml:space="preserve">the </w:t>
      </w:r>
      <w:r w:rsidRPr="00837FC8">
        <w:t>strongest demand for extractive</w:t>
      </w:r>
      <w:r>
        <w:t xml:space="preserve"> resources</w:t>
      </w:r>
      <w:r w:rsidRPr="00837FC8">
        <w:t>, followed by non-residential building, transport, and energy and utilities (</w:t>
      </w:r>
      <w:r w:rsidRPr="00837FC8">
        <w:fldChar w:fldCharType="begin"/>
      </w:r>
      <w:r w:rsidRPr="00837FC8">
        <w:instrText xml:space="preserve"> REF _Ref113996902 \h </w:instrText>
      </w:r>
      <w:r w:rsidRPr="00837FC8">
        <w:fldChar w:fldCharType="separate"/>
      </w:r>
      <w:r w:rsidR="000154C7" w:rsidRPr="00837FC8">
        <w:t xml:space="preserve">Figure </w:t>
      </w:r>
      <w:r w:rsidR="000154C7">
        <w:rPr>
          <w:noProof/>
        </w:rPr>
        <w:t>2</w:t>
      </w:r>
      <w:r w:rsidRPr="00837FC8">
        <w:fldChar w:fldCharType="end"/>
      </w:r>
      <w:r w:rsidRPr="00837FC8">
        <w:t>).</w:t>
      </w:r>
    </w:p>
    <w:p w14:paraId="4051298A" w14:textId="73659FFB" w:rsidR="003F4354" w:rsidRPr="00837FC8" w:rsidRDefault="003F4354" w:rsidP="003F4354">
      <w:pPr>
        <w:keepNext/>
      </w:pPr>
      <w:r w:rsidRPr="00837FC8">
        <w:rPr>
          <w:noProof/>
          <w:lang w:val="en-GB" w:eastAsia="en-GB"/>
        </w:rPr>
        <w:lastRenderedPageBreak/>
        <w:drawing>
          <wp:inline distT="0" distB="0" distL="0" distR="0" wp14:anchorId="3BBC67F1" wp14:editId="2E9C5AE9">
            <wp:extent cx="5730949" cy="2368953"/>
            <wp:effectExtent l="0" t="0" r="3175" b="0"/>
            <wp:docPr id="470986036" name="Picture 470986036" descr="A picture containing text, font, line,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986036" name="Picture 470986036" descr="A picture containing text, font, line, plot&#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4736" cy="2378786"/>
                    </a:xfrm>
                    <a:prstGeom prst="rect">
                      <a:avLst/>
                    </a:prstGeom>
                    <a:noFill/>
                    <a:ln>
                      <a:noFill/>
                    </a:ln>
                  </pic:spPr>
                </pic:pic>
              </a:graphicData>
            </a:graphic>
          </wp:inline>
        </w:drawing>
      </w:r>
    </w:p>
    <w:p w14:paraId="42AEB62F" w14:textId="66066F78" w:rsidR="003F4354" w:rsidRDefault="003F4354" w:rsidP="00FF6070">
      <w:pPr>
        <w:pStyle w:val="Caption"/>
      </w:pPr>
      <w:bookmarkStart w:id="29" w:name="_Ref113996902"/>
      <w:r w:rsidRPr="00837FC8">
        <w:t xml:space="preserve">Figure </w:t>
      </w:r>
      <w:r w:rsidRPr="00837FC8">
        <w:fldChar w:fldCharType="begin"/>
      </w:r>
      <w:r w:rsidRPr="00837FC8">
        <w:instrText>SEQ Figure \* ARABIC</w:instrText>
      </w:r>
      <w:r w:rsidRPr="00837FC8">
        <w:fldChar w:fldCharType="separate"/>
      </w:r>
      <w:r w:rsidR="000154C7">
        <w:rPr>
          <w:noProof/>
        </w:rPr>
        <w:t>2</w:t>
      </w:r>
      <w:r w:rsidRPr="00837FC8">
        <w:fldChar w:fldCharType="end"/>
      </w:r>
      <w:bookmarkEnd w:id="29"/>
      <w:r w:rsidRPr="00837FC8">
        <w:t xml:space="preserve"> </w:t>
      </w:r>
      <w:r>
        <w:t>Historical s</w:t>
      </w:r>
      <w:r w:rsidRPr="00837FC8">
        <w:t>hare of construction activity by sector</w:t>
      </w:r>
    </w:p>
    <w:p w14:paraId="09000356" w14:textId="77777777" w:rsidR="003F4354" w:rsidRDefault="003F4354" w:rsidP="003F4354">
      <w:pPr>
        <w:rPr>
          <w:rFonts w:cs="Arial"/>
        </w:rPr>
      </w:pPr>
      <w:r w:rsidRPr="00837FC8">
        <w:rPr>
          <w:rFonts w:cs="Arial"/>
        </w:rPr>
        <w:t>Since the 2016 Study, demand for extractive</w:t>
      </w:r>
      <w:r>
        <w:rPr>
          <w:rFonts w:cs="Arial"/>
        </w:rPr>
        <w:t xml:space="preserve"> resources</w:t>
      </w:r>
      <w:r w:rsidRPr="00837FC8">
        <w:rPr>
          <w:rFonts w:cs="Arial"/>
        </w:rPr>
        <w:t xml:space="preserve"> has been tracking above the forecasted ‘High Scenario’. New demand modelling shows that demand for extractive resources is likely to grow </w:t>
      </w:r>
      <w:r>
        <w:rPr>
          <w:rFonts w:cs="Arial"/>
        </w:rPr>
        <w:t>faster</w:t>
      </w:r>
      <w:r w:rsidRPr="00837FC8">
        <w:rPr>
          <w:rFonts w:cs="Arial"/>
        </w:rPr>
        <w:t xml:space="preserve"> due to the </w:t>
      </w:r>
      <w:r>
        <w:rPr>
          <w:rFonts w:cs="Arial"/>
        </w:rPr>
        <w:t>G</w:t>
      </w:r>
      <w:r w:rsidRPr="00837FC8">
        <w:rPr>
          <w:rFonts w:cs="Arial"/>
        </w:rPr>
        <w:t>overnment’s continued investment in major infrastructure projects.</w:t>
      </w:r>
    </w:p>
    <w:p w14:paraId="0F8F81EA" w14:textId="77777777" w:rsidR="003F4354" w:rsidRDefault="003F4354" w:rsidP="00C06A50">
      <w:pPr>
        <w:pStyle w:val="Heading3"/>
      </w:pPr>
      <w:bookmarkStart w:id="30" w:name="_Toc137567776"/>
      <w:r w:rsidRPr="00837FC8">
        <w:t>Recent production changes</w:t>
      </w:r>
      <w:bookmarkEnd w:id="30"/>
    </w:p>
    <w:p w14:paraId="47A3539B" w14:textId="608CAB2B" w:rsidR="003F4354" w:rsidRPr="00837FC8" w:rsidRDefault="003F4354" w:rsidP="003F4354">
      <w:pPr>
        <w:keepNext/>
      </w:pPr>
      <w:r w:rsidRPr="00837FC8">
        <w:rPr>
          <w:noProof/>
          <w:lang w:val="en-GB" w:eastAsia="en-GB"/>
        </w:rPr>
        <w:drawing>
          <wp:inline distT="0" distB="0" distL="0" distR="0" wp14:anchorId="196D5DA8" wp14:editId="7BA9ED18">
            <wp:extent cx="5687584" cy="3057753"/>
            <wp:effectExtent l="0" t="0" r="8890" b="0"/>
            <wp:docPr id="32" name="Picture 3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pic:nvPicPr>
                  <pic:blipFill rotWithShape="1">
                    <a:blip r:embed="rId45" cstate="print">
                      <a:extLst>
                        <a:ext uri="{28A0092B-C50C-407E-A947-70E740481C1C}">
                          <a14:useLocalDpi xmlns:a14="http://schemas.microsoft.com/office/drawing/2010/main" val="0"/>
                        </a:ext>
                      </a:extLst>
                    </a:blip>
                    <a:srcRect l="3730" t="3266" r="8006" b="3217"/>
                    <a:stretch/>
                  </pic:blipFill>
                  <pic:spPr bwMode="auto">
                    <a:xfrm>
                      <a:off x="0" y="0"/>
                      <a:ext cx="5707697" cy="3068566"/>
                    </a:xfrm>
                    <a:prstGeom prst="rect">
                      <a:avLst/>
                    </a:prstGeom>
                    <a:ln>
                      <a:noFill/>
                    </a:ln>
                    <a:extLst>
                      <a:ext uri="{53640926-AAD7-44D8-BBD7-CCE9431645EC}">
                        <a14:shadowObscured xmlns:a14="http://schemas.microsoft.com/office/drawing/2010/main"/>
                      </a:ext>
                    </a:extLst>
                  </pic:spPr>
                </pic:pic>
              </a:graphicData>
            </a:graphic>
          </wp:inline>
        </w:drawing>
      </w:r>
    </w:p>
    <w:p w14:paraId="5FCB3DEB" w14:textId="6F23BB0C" w:rsidR="003F4354" w:rsidRPr="00837FC8" w:rsidRDefault="003F4354" w:rsidP="00FF6070">
      <w:pPr>
        <w:pStyle w:val="Caption"/>
      </w:pPr>
      <w:bookmarkStart w:id="31" w:name="_Ref114520748"/>
      <w:r w:rsidRPr="00837FC8">
        <w:t xml:space="preserve">Figure </w:t>
      </w:r>
      <w:r w:rsidRPr="00837FC8">
        <w:fldChar w:fldCharType="begin"/>
      </w:r>
      <w:r w:rsidRPr="00837FC8">
        <w:instrText>SEQ Figure \* ARABIC</w:instrText>
      </w:r>
      <w:r w:rsidRPr="00837FC8">
        <w:fldChar w:fldCharType="separate"/>
      </w:r>
      <w:r w:rsidR="000154C7">
        <w:rPr>
          <w:noProof/>
        </w:rPr>
        <w:t>3</w:t>
      </w:r>
      <w:r w:rsidRPr="00837FC8">
        <w:fldChar w:fldCharType="end"/>
      </w:r>
      <w:bookmarkEnd w:id="31"/>
      <w:r w:rsidRPr="00837FC8">
        <w:t xml:space="preserve"> Historical extractive</w:t>
      </w:r>
      <w:r>
        <w:t xml:space="preserve"> resources</w:t>
      </w:r>
      <w:r w:rsidRPr="00837FC8">
        <w:t xml:space="preserve"> production by rock type</w:t>
      </w:r>
    </w:p>
    <w:p w14:paraId="7F29B94C" w14:textId="059B3398" w:rsidR="003F4354" w:rsidRDefault="003F4354" w:rsidP="003F4354">
      <w:r w:rsidRPr="00837FC8">
        <w:t>Extraction of hard rock, and sand and gravel has grown substantially over the past five years, with production continuing at high levels. In contrast, clay production has remained flat over the past five years, indicating stable demand for clay and clay products (</w:t>
      </w:r>
      <w:r w:rsidRPr="00837FC8">
        <w:fldChar w:fldCharType="begin"/>
      </w:r>
      <w:r w:rsidRPr="00837FC8">
        <w:instrText xml:space="preserve"> REF _Ref114520748 \h </w:instrText>
      </w:r>
      <w:r w:rsidRPr="00837FC8">
        <w:fldChar w:fldCharType="separate"/>
      </w:r>
      <w:r w:rsidR="000154C7" w:rsidRPr="00837FC8">
        <w:t xml:space="preserve">Figure </w:t>
      </w:r>
      <w:r w:rsidR="000154C7">
        <w:rPr>
          <w:noProof/>
        </w:rPr>
        <w:t>3</w:t>
      </w:r>
      <w:r w:rsidRPr="00837FC8">
        <w:fldChar w:fldCharType="end"/>
      </w:r>
      <w:r w:rsidRPr="00837FC8">
        <w:t>).</w:t>
      </w:r>
    </w:p>
    <w:p w14:paraId="3CA7059B" w14:textId="77777777" w:rsidR="003F4354" w:rsidRDefault="003F4354" w:rsidP="003F4354">
      <w:r w:rsidRPr="00837FC8">
        <w:t>In 2020-21, Victoria produced approxima</w:t>
      </w:r>
      <w:r w:rsidRPr="009C3F64">
        <w:t>tely 63.7 million tonnes</w:t>
      </w:r>
      <w:r>
        <w:rPr>
          <w:rStyle w:val="FootnoteReference"/>
        </w:rPr>
        <w:footnoteReference w:id="13"/>
      </w:r>
      <w:r w:rsidRPr="009C3F64">
        <w:t xml:space="preserve"> of extractive</w:t>
      </w:r>
      <w:r>
        <w:t xml:space="preserve"> resources</w:t>
      </w:r>
      <w:r w:rsidRPr="00837FC8">
        <w:t>, including 42.7 million tonnes of hard rock, and 16.1 million tonnes of sand and gravel.</w:t>
      </w:r>
    </w:p>
    <w:p w14:paraId="794A87DF" w14:textId="77777777" w:rsidR="003F4354" w:rsidRDefault="003F4354" w:rsidP="003F4354">
      <w:r w:rsidRPr="00837FC8">
        <w:t xml:space="preserve">The </w:t>
      </w:r>
      <w:r>
        <w:t>extractive resources</w:t>
      </w:r>
      <w:r w:rsidRPr="00837FC8">
        <w:t xml:space="preserve"> demand increase is partly because during the last five years the Victorian Government has significantly increased infrastructure investment, from an average of $4.6 billion a year between 2005-06 and 2015-16, to an average of $12.2 billion a year between 2016-17 to 2020-21.</w:t>
      </w:r>
      <w:r>
        <w:t xml:space="preserve"> </w:t>
      </w:r>
      <w:r w:rsidRPr="00837FC8">
        <w:t xml:space="preserve">Additionally, there has been extensive residential construction, particularly in urban growth </w:t>
      </w:r>
      <w:r w:rsidRPr="00E42558">
        <w:t>areas</w:t>
      </w:r>
      <w:r w:rsidRPr="006F42F1">
        <w:t xml:space="preserve">. </w:t>
      </w:r>
      <w:r w:rsidRPr="00E42558">
        <w:t>The</w:t>
      </w:r>
      <w:r>
        <w:t xml:space="preserve"> </w:t>
      </w:r>
      <w:r>
        <w:lastRenderedPageBreak/>
        <w:t xml:space="preserve">transport sector’s demand for extractive resources as a proportion of total demand has increased from 11 per cent in 2015 to 18 per cent in 2021 and is forecast to be 19 per cent in 2030. </w:t>
      </w:r>
    </w:p>
    <w:p w14:paraId="59986700" w14:textId="77777777" w:rsidR="003F4354" w:rsidRDefault="003F4354" w:rsidP="00C06A50">
      <w:pPr>
        <w:pStyle w:val="Heading3"/>
      </w:pPr>
      <w:bookmarkStart w:id="32" w:name="_Toc137567777"/>
      <w:r w:rsidRPr="00837FC8">
        <w:t>Drivers of Victorian demand</w:t>
      </w:r>
      <w:bookmarkEnd w:id="32"/>
    </w:p>
    <w:p w14:paraId="101D371D" w14:textId="77777777" w:rsidR="003F4354" w:rsidRDefault="003F4354" w:rsidP="003F4354">
      <w:pPr>
        <w:rPr>
          <w:rFonts w:cstheme="minorHAnsi"/>
        </w:rPr>
      </w:pPr>
      <w:r w:rsidRPr="00837FC8">
        <w:rPr>
          <w:rFonts w:cstheme="minorHAnsi"/>
        </w:rPr>
        <w:t xml:space="preserve">Demand for </w:t>
      </w:r>
      <w:r>
        <w:rPr>
          <w:rFonts w:cstheme="minorHAnsi"/>
        </w:rPr>
        <w:t>total extractive resources</w:t>
      </w:r>
      <w:r w:rsidRPr="00837FC8">
        <w:rPr>
          <w:rFonts w:cstheme="minorHAnsi"/>
        </w:rPr>
        <w:t xml:space="preserve"> is expected to continue to grow on average by approximately 2.5 per cent per year from now until 2030. Demand for hard rock is expected to grow by an average of 2.7 per cent per year, whereas demand for sand and gravel is expected to grow at a much faster rate, of 3.9 per cent per year</w:t>
      </w:r>
      <w:r>
        <w:rPr>
          <w:rFonts w:cstheme="minorHAnsi"/>
        </w:rPr>
        <w:t>.</w:t>
      </w:r>
      <w:r w:rsidRPr="00E42558">
        <w:rPr>
          <w:rStyle w:val="FootnoteReference"/>
          <w:rFonts w:cstheme="minorHAnsi"/>
        </w:rPr>
        <w:footnoteReference w:id="14"/>
      </w:r>
    </w:p>
    <w:p w14:paraId="38D1386D" w14:textId="77777777" w:rsidR="003F4354" w:rsidRDefault="003F4354" w:rsidP="003F4354">
      <w:pPr>
        <w:rPr>
          <w:rFonts w:cstheme="minorHAnsi"/>
        </w:rPr>
      </w:pPr>
      <w:r w:rsidRPr="009C3F64">
        <w:rPr>
          <w:rFonts w:cstheme="minorHAnsi"/>
        </w:rPr>
        <w:t xml:space="preserve">An additional 16 million tonnes of supply will be demanded in 2030 above that supplied to the market in 2022. This additional supply would equate to an additional 32 quarries in 2030, each producing 500,000 tonnes per annum, located similarly close to demand. Alternatively, existing quarries would need to increase production substantially. </w:t>
      </w:r>
    </w:p>
    <w:p w14:paraId="255FB913" w14:textId="77777777" w:rsidR="003F4354" w:rsidRDefault="003F4354" w:rsidP="003F4354">
      <w:pPr>
        <w:rPr>
          <w:rFonts w:cstheme="minorHAnsi"/>
        </w:rPr>
      </w:pPr>
      <w:r w:rsidRPr="009C3F64">
        <w:rPr>
          <w:rFonts w:cstheme="minorHAnsi"/>
        </w:rPr>
        <w:t>Ongoing and timely replenishment of extracted resources from new or expanded hard rock and sand quarries in suitable locations will avoid potential supply imbalances and higher material costs.</w:t>
      </w:r>
    </w:p>
    <w:p w14:paraId="4DC7240D" w14:textId="77777777" w:rsidR="003F4354" w:rsidRDefault="003F4354" w:rsidP="003F4354">
      <w:pPr>
        <w:rPr>
          <w:rFonts w:cstheme="minorHAnsi"/>
        </w:rPr>
      </w:pPr>
      <w:r w:rsidRPr="00837FC8">
        <w:rPr>
          <w:rFonts w:cstheme="minorHAnsi"/>
        </w:rPr>
        <w:t xml:space="preserve">This continued growth in the demand for </w:t>
      </w:r>
      <w:r>
        <w:rPr>
          <w:rFonts w:cstheme="minorHAnsi"/>
        </w:rPr>
        <w:t>extractive resources</w:t>
      </w:r>
      <w:r w:rsidRPr="00837FC8">
        <w:rPr>
          <w:rFonts w:cstheme="minorHAnsi"/>
        </w:rPr>
        <w:t xml:space="preserve"> is due to Victoria’s Big Build</w:t>
      </w:r>
      <w:r>
        <w:rPr>
          <w:rFonts w:cstheme="minorHAnsi"/>
        </w:rPr>
        <w:t xml:space="preserve"> and Big Housing Build projects</w:t>
      </w:r>
      <w:r w:rsidRPr="00837FC8">
        <w:rPr>
          <w:rFonts w:cstheme="minorHAnsi"/>
        </w:rPr>
        <w:t xml:space="preserve"> and high levels of residential construction associated with population growth and its need for housing.</w:t>
      </w:r>
    </w:p>
    <w:p w14:paraId="77E600AD" w14:textId="644BDF6C" w:rsidR="003F4354" w:rsidRPr="00837FC8" w:rsidRDefault="003F4354" w:rsidP="003F4354">
      <w:pPr>
        <w:rPr>
          <w:rFonts w:cstheme="minorHAnsi"/>
        </w:rPr>
      </w:pPr>
      <w:r w:rsidRPr="00837FC8">
        <w:rPr>
          <w:rFonts w:cstheme="minorHAnsi"/>
        </w:rPr>
        <w:t>Major Victorian infrastructure projects placing significant demand on the extractive industry include:</w:t>
      </w:r>
    </w:p>
    <w:p w14:paraId="4DB4E050" w14:textId="77777777" w:rsidR="003F4354" w:rsidRPr="00F04841" w:rsidRDefault="003F4354" w:rsidP="004129D2">
      <w:pPr>
        <w:pStyle w:val="ListBullet"/>
      </w:pPr>
      <w:r w:rsidRPr="00F04841">
        <w:t>Metro Tunnel: to run for nine kilometres beneath Melbourne’s central business district and beyond, including five new underground stations to accommodate new high-capacity trains</w:t>
      </w:r>
    </w:p>
    <w:p w14:paraId="2F0E3375" w14:textId="77777777" w:rsidR="003F4354" w:rsidRPr="00F04841" w:rsidRDefault="003F4354" w:rsidP="004129D2">
      <w:pPr>
        <w:pStyle w:val="ListBullet"/>
      </w:pPr>
      <w:r w:rsidRPr="00F04841">
        <w:t>North-East Link to create an essential freeway connection between Melbourne’s north and east</w:t>
      </w:r>
    </w:p>
    <w:p w14:paraId="4ED8D38A" w14:textId="77777777" w:rsidR="003F4354" w:rsidRPr="00F04841" w:rsidRDefault="003F4354" w:rsidP="004129D2">
      <w:pPr>
        <w:pStyle w:val="ListBullet"/>
      </w:pPr>
      <w:r w:rsidRPr="00F04841">
        <w:t>Level Crossing Removal Program to remove Melbourne’s 85 most dangerous railway level crossings by 2025</w:t>
      </w:r>
      <w:r w:rsidRPr="00837FC8">
        <w:rPr>
          <w:rStyle w:val="FootnoteReference"/>
          <w:rFonts w:cstheme="minorHAnsi"/>
        </w:rPr>
        <w:footnoteReference w:id="15"/>
      </w:r>
    </w:p>
    <w:p w14:paraId="6F382C46" w14:textId="77777777" w:rsidR="003F4354" w:rsidRPr="00F04841" w:rsidRDefault="003F4354" w:rsidP="004129D2">
      <w:pPr>
        <w:pStyle w:val="ListBullet"/>
      </w:pPr>
      <w:r w:rsidRPr="00F04841">
        <w:t>West Gate Tunnel Project to provide quicker and safer journeys to the western suburbs, Geelong and Ballarat, and to take thousands of trucks off residential streets</w:t>
      </w:r>
    </w:p>
    <w:p w14:paraId="59075CC9" w14:textId="77777777" w:rsidR="003F4354" w:rsidRPr="00F04841" w:rsidRDefault="003F4354" w:rsidP="004129D2">
      <w:pPr>
        <w:pStyle w:val="ListBullet"/>
      </w:pPr>
      <w:r w:rsidRPr="00F04841">
        <w:t>Regional Rail Revival Program to improve infrastructure and services on regional rail lines</w:t>
      </w:r>
    </w:p>
    <w:p w14:paraId="14386BCF" w14:textId="77777777" w:rsidR="003F4354" w:rsidRDefault="003F4354" w:rsidP="004129D2">
      <w:pPr>
        <w:pStyle w:val="ListBullet"/>
      </w:pPr>
      <w:r w:rsidRPr="00F04841">
        <w:t>School buildings program, including 100 new schools to be opened across the state by 2026.</w:t>
      </w:r>
      <w:r w:rsidRPr="00837FC8">
        <w:rPr>
          <w:rStyle w:val="FootnoteReference"/>
          <w:rFonts w:cstheme="minorHAnsi"/>
        </w:rPr>
        <w:footnoteReference w:id="16"/>
      </w:r>
    </w:p>
    <w:p w14:paraId="52A0E528" w14:textId="77777777" w:rsidR="003F4354" w:rsidRDefault="003F4354" w:rsidP="00C06A50">
      <w:pPr>
        <w:pStyle w:val="Heading3"/>
      </w:pPr>
      <w:bookmarkStart w:id="33" w:name="_Toc137567778"/>
      <w:r w:rsidRPr="00837FC8">
        <w:t>Current production figures, by rock category</w:t>
      </w:r>
      <w:bookmarkEnd w:id="33"/>
    </w:p>
    <w:p w14:paraId="452E27BB" w14:textId="7FF7A0ED" w:rsidR="003F4354" w:rsidRDefault="003F4354" w:rsidP="003F4354">
      <w:pPr>
        <w:rPr>
          <w:rFonts w:cstheme="minorHAnsi"/>
        </w:rPr>
      </w:pPr>
      <w:r w:rsidRPr="006F42F1">
        <w:rPr>
          <w:rFonts w:cstheme="minorHAnsi"/>
        </w:rPr>
        <w:fldChar w:fldCharType="begin"/>
      </w:r>
      <w:r w:rsidRPr="006F42F1">
        <w:rPr>
          <w:rFonts w:cstheme="minorHAnsi"/>
        </w:rPr>
        <w:instrText xml:space="preserve"> REF _Ref113980744 \h  \* MERGEFORMAT </w:instrText>
      </w:r>
      <w:r w:rsidRPr="006F42F1">
        <w:rPr>
          <w:rFonts w:cstheme="minorHAnsi"/>
        </w:rPr>
      </w:r>
      <w:r w:rsidRPr="006F42F1">
        <w:rPr>
          <w:rFonts w:cstheme="minorHAnsi"/>
        </w:rPr>
        <w:fldChar w:fldCharType="separate"/>
      </w:r>
      <w:r w:rsidR="000154C7" w:rsidRPr="006F42F1">
        <w:t xml:space="preserve">Table </w:t>
      </w:r>
      <w:r w:rsidR="000154C7">
        <w:rPr>
          <w:noProof/>
        </w:rPr>
        <w:t>1</w:t>
      </w:r>
      <w:r w:rsidRPr="006F42F1">
        <w:rPr>
          <w:rFonts w:cstheme="minorHAnsi"/>
        </w:rPr>
        <w:fldChar w:fldCharType="end"/>
      </w:r>
      <w:r w:rsidRPr="00837FC8">
        <w:rPr>
          <w:rFonts w:cstheme="minorHAnsi"/>
        </w:rPr>
        <w:t xml:space="preserve"> presents data on the latest production figures for the Study’s focus rock types.</w:t>
      </w:r>
    </w:p>
    <w:p w14:paraId="4CAC969C" w14:textId="672CBB79" w:rsidR="003F4354" w:rsidRPr="00837FC8" w:rsidRDefault="003F4354" w:rsidP="00FF6070">
      <w:pPr>
        <w:pStyle w:val="Caption"/>
      </w:pPr>
      <w:bookmarkStart w:id="34" w:name="_Ref113980744"/>
      <w:r w:rsidRPr="006F42F1">
        <w:t xml:space="preserve">Table </w:t>
      </w:r>
      <w:r w:rsidRPr="006F42F1">
        <w:fldChar w:fldCharType="begin"/>
      </w:r>
      <w:r w:rsidRPr="006F42F1">
        <w:instrText>SEQ Table \* ARABIC</w:instrText>
      </w:r>
      <w:r w:rsidRPr="006F42F1">
        <w:fldChar w:fldCharType="separate"/>
      </w:r>
      <w:r w:rsidR="000154C7">
        <w:rPr>
          <w:noProof/>
        </w:rPr>
        <w:t>1</w:t>
      </w:r>
      <w:r w:rsidRPr="006F42F1">
        <w:fldChar w:fldCharType="end"/>
      </w:r>
      <w:bookmarkEnd w:id="34"/>
      <w:r w:rsidRPr="00837FC8">
        <w:t xml:space="preserve"> </w:t>
      </w:r>
      <w:r>
        <w:t>P</w:t>
      </w:r>
      <w:r w:rsidRPr="00837FC8">
        <w:t>roduction, by rock category for FY 202</w:t>
      </w:r>
      <w:r>
        <w:t>1-22.</w:t>
      </w:r>
      <w:r w:rsidRPr="00837FC8">
        <w:t xml:space="preserve"> (Mt, million tonnes)</w:t>
      </w:r>
    </w:p>
    <w:tbl>
      <w:tblPr>
        <w:tblStyle w:val="TableGrid"/>
        <w:tblW w:w="9530" w:type="dxa"/>
        <w:tblLook w:val="04A0" w:firstRow="1" w:lastRow="0" w:firstColumn="1" w:lastColumn="0" w:noHBand="0" w:noVBand="1"/>
      </w:tblPr>
      <w:tblGrid>
        <w:gridCol w:w="2410"/>
        <w:gridCol w:w="1916"/>
        <w:gridCol w:w="2551"/>
        <w:gridCol w:w="2653"/>
      </w:tblGrid>
      <w:tr w:rsidR="003F4354" w:rsidRPr="00837FC8" w14:paraId="2CBA1C4E" w14:textId="77777777" w:rsidTr="00A0129A">
        <w:trPr>
          <w:cnfStyle w:val="100000000000" w:firstRow="1" w:lastRow="0" w:firstColumn="0" w:lastColumn="0" w:oddVBand="0" w:evenVBand="0" w:oddHBand="0"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141AB4FE" w14:textId="77777777" w:rsidR="003F4354" w:rsidRPr="00837FC8" w:rsidRDefault="003F4354" w:rsidP="00407F8B">
            <w:pPr>
              <w:pStyle w:val="TableHeadingLeft"/>
            </w:pPr>
            <w:r w:rsidRPr="00837FC8">
              <w:t>Rock type</w:t>
            </w:r>
          </w:p>
        </w:tc>
        <w:tc>
          <w:tcPr>
            <w:tcW w:w="1916" w:type="dxa"/>
            <w:noWrap/>
            <w:hideMark/>
          </w:tcPr>
          <w:p w14:paraId="5F9E3157" w14:textId="77777777" w:rsidR="003F4354" w:rsidRPr="00837FC8" w:rsidRDefault="003F4354" w:rsidP="00407F8B">
            <w:pPr>
              <w:pStyle w:val="TableHeadingCentre"/>
              <w:cnfStyle w:val="100000000000" w:firstRow="1" w:lastRow="0" w:firstColumn="0" w:lastColumn="0" w:oddVBand="0" w:evenVBand="0" w:oddHBand="0" w:evenHBand="0" w:firstRowFirstColumn="0" w:firstRowLastColumn="0" w:lastRowFirstColumn="0" w:lastRowLastColumn="0"/>
            </w:pPr>
            <w:r w:rsidRPr="00837FC8">
              <w:t>Production (Mt)</w:t>
            </w:r>
          </w:p>
        </w:tc>
        <w:tc>
          <w:tcPr>
            <w:tcW w:w="2551" w:type="dxa"/>
          </w:tcPr>
          <w:p w14:paraId="52D7B1DE" w14:textId="77777777" w:rsidR="003F4354" w:rsidRPr="008E6A03" w:rsidRDefault="003F4354" w:rsidP="00407F8B">
            <w:pPr>
              <w:pStyle w:val="TableHeadingCentre"/>
              <w:cnfStyle w:val="100000000000" w:firstRow="1" w:lastRow="0" w:firstColumn="0" w:lastColumn="0" w:oddVBand="0" w:evenVBand="0" w:oddHBand="0" w:evenHBand="0" w:firstRowFirstColumn="0" w:firstRowLastColumn="0" w:lastRowFirstColumn="0" w:lastRowLastColumn="0"/>
            </w:pPr>
            <w:r w:rsidRPr="008E6A03">
              <w:t>% of total Production</w:t>
            </w:r>
          </w:p>
        </w:tc>
        <w:tc>
          <w:tcPr>
            <w:tcW w:w="2653" w:type="dxa"/>
            <w:noWrap/>
            <w:hideMark/>
          </w:tcPr>
          <w:p w14:paraId="37CF74A1" w14:textId="77777777" w:rsidR="003F4354" w:rsidRPr="00837FC8" w:rsidRDefault="003F4354" w:rsidP="00407F8B">
            <w:pPr>
              <w:pStyle w:val="TableHeadingCentre"/>
              <w:cnfStyle w:val="100000000000" w:firstRow="1" w:lastRow="0" w:firstColumn="0" w:lastColumn="0" w:oddVBand="0" w:evenVBand="0" w:oddHBand="0" w:evenHBand="0" w:firstRowFirstColumn="0" w:firstRowLastColumn="0" w:lastRowFirstColumn="0" w:lastRowLastColumn="0"/>
            </w:pPr>
            <w:r w:rsidRPr="00837FC8">
              <w:t>Value of sales (million)</w:t>
            </w:r>
          </w:p>
        </w:tc>
      </w:tr>
      <w:tr w:rsidR="003F4354" w:rsidRPr="00837FC8" w14:paraId="1ECE5DF3" w14:textId="77777777" w:rsidTr="00A0129A">
        <w:trPr>
          <w:trHeight w:val="32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7ADCB1AD" w14:textId="77777777" w:rsidR="003F4354" w:rsidRPr="00837FC8" w:rsidRDefault="003F4354" w:rsidP="00407F8B">
            <w:pPr>
              <w:pStyle w:val="TableTextLeft"/>
            </w:pPr>
            <w:r w:rsidRPr="00837FC8">
              <w:t>Hard rock</w:t>
            </w:r>
          </w:p>
        </w:tc>
        <w:tc>
          <w:tcPr>
            <w:tcW w:w="1916" w:type="dxa"/>
            <w:noWrap/>
            <w:hideMark/>
          </w:tcPr>
          <w:p w14:paraId="7F9935C7"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44.55</w:t>
            </w:r>
          </w:p>
        </w:tc>
        <w:tc>
          <w:tcPr>
            <w:tcW w:w="2551" w:type="dxa"/>
          </w:tcPr>
          <w:p w14:paraId="33B0FDEB"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63.72</w:t>
            </w:r>
          </w:p>
        </w:tc>
        <w:tc>
          <w:tcPr>
            <w:tcW w:w="2653" w:type="dxa"/>
            <w:noWrap/>
            <w:hideMark/>
          </w:tcPr>
          <w:p w14:paraId="2809E622"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$813.76</w:t>
            </w:r>
          </w:p>
        </w:tc>
      </w:tr>
      <w:tr w:rsidR="003F4354" w:rsidRPr="00837FC8" w14:paraId="5C6D2E20" w14:textId="77777777" w:rsidTr="00A0129A">
        <w:trPr>
          <w:trHeight w:val="32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DF70492" w14:textId="77777777" w:rsidR="003F4354" w:rsidRPr="00837FC8" w:rsidRDefault="003F4354" w:rsidP="00407F8B">
            <w:pPr>
              <w:pStyle w:val="TableTextLeft"/>
            </w:pPr>
            <w:r w:rsidRPr="00837FC8">
              <w:t>Sand and gravel</w:t>
            </w:r>
          </w:p>
        </w:tc>
        <w:tc>
          <w:tcPr>
            <w:tcW w:w="1916" w:type="dxa"/>
            <w:noWrap/>
            <w:hideMark/>
          </w:tcPr>
          <w:p w14:paraId="38775850"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16.48</w:t>
            </w:r>
          </w:p>
        </w:tc>
        <w:tc>
          <w:tcPr>
            <w:tcW w:w="2551" w:type="dxa"/>
          </w:tcPr>
          <w:p w14:paraId="5583D7E4"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23.57</w:t>
            </w:r>
          </w:p>
        </w:tc>
        <w:tc>
          <w:tcPr>
            <w:tcW w:w="2653" w:type="dxa"/>
            <w:noWrap/>
            <w:hideMark/>
          </w:tcPr>
          <w:p w14:paraId="3DFE3612"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$247.36</w:t>
            </w:r>
          </w:p>
        </w:tc>
      </w:tr>
      <w:tr w:rsidR="003F4354" w:rsidRPr="00837FC8" w14:paraId="2C727E21" w14:textId="77777777" w:rsidTr="00A0129A">
        <w:trPr>
          <w:trHeight w:val="32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38F5671" w14:textId="77777777" w:rsidR="003F4354" w:rsidRPr="00837FC8" w:rsidRDefault="003F4354" w:rsidP="00407F8B">
            <w:pPr>
              <w:pStyle w:val="TableTextLeft"/>
            </w:pPr>
            <w:r w:rsidRPr="00837FC8">
              <w:t>Clay (and clay shale)</w:t>
            </w:r>
          </w:p>
        </w:tc>
        <w:tc>
          <w:tcPr>
            <w:tcW w:w="1916" w:type="dxa"/>
            <w:noWrap/>
            <w:hideMark/>
          </w:tcPr>
          <w:p w14:paraId="0CF41E92"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2.74</w:t>
            </w:r>
          </w:p>
        </w:tc>
        <w:tc>
          <w:tcPr>
            <w:tcW w:w="2551" w:type="dxa"/>
          </w:tcPr>
          <w:p w14:paraId="0C4581A3"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3.92</w:t>
            </w:r>
          </w:p>
        </w:tc>
        <w:tc>
          <w:tcPr>
            <w:tcW w:w="2653" w:type="dxa"/>
            <w:noWrap/>
            <w:hideMark/>
          </w:tcPr>
          <w:p w14:paraId="618AFF56"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$4.35</w:t>
            </w:r>
          </w:p>
        </w:tc>
      </w:tr>
      <w:tr w:rsidR="003F4354" w:rsidRPr="00837FC8" w14:paraId="0D432D65" w14:textId="77777777" w:rsidTr="00A0129A">
        <w:trPr>
          <w:trHeight w:val="32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3F5D8371" w14:textId="77777777" w:rsidR="003F4354" w:rsidRPr="00837FC8" w:rsidRDefault="003F4354" w:rsidP="00407F8B">
            <w:pPr>
              <w:pStyle w:val="TableTextLeft"/>
            </w:pPr>
            <w:r w:rsidRPr="00837FC8">
              <w:t xml:space="preserve">Limestone </w:t>
            </w:r>
          </w:p>
        </w:tc>
        <w:tc>
          <w:tcPr>
            <w:tcW w:w="1916" w:type="dxa"/>
            <w:noWrap/>
            <w:hideMark/>
          </w:tcPr>
          <w:p w14:paraId="01885C86"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2.02</w:t>
            </w:r>
          </w:p>
        </w:tc>
        <w:tc>
          <w:tcPr>
            <w:tcW w:w="2551" w:type="dxa"/>
          </w:tcPr>
          <w:p w14:paraId="67522551"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2.89</w:t>
            </w:r>
          </w:p>
        </w:tc>
        <w:tc>
          <w:tcPr>
            <w:tcW w:w="2653" w:type="dxa"/>
            <w:noWrap/>
            <w:hideMark/>
          </w:tcPr>
          <w:p w14:paraId="556E8DCF"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$35.86</w:t>
            </w:r>
          </w:p>
        </w:tc>
      </w:tr>
      <w:tr w:rsidR="003F4354" w14:paraId="64C50A99" w14:textId="77777777" w:rsidTr="00A0129A">
        <w:trPr>
          <w:trHeight w:val="320"/>
        </w:trPr>
        <w:tc>
          <w:tcPr>
            <w:cnfStyle w:val="001000000000" w:firstRow="0" w:lastRow="0" w:firstColumn="1" w:lastColumn="0" w:oddVBand="0" w:evenVBand="0" w:oddHBand="0" w:evenHBand="0" w:firstRowFirstColumn="0" w:firstRowLastColumn="0" w:lastRowFirstColumn="0" w:lastRowLastColumn="0"/>
            <w:tcW w:w="2410" w:type="dxa"/>
            <w:noWrap/>
            <w:hideMark/>
          </w:tcPr>
          <w:p w14:paraId="65314472" w14:textId="77777777" w:rsidR="003F4354" w:rsidRDefault="003F4354" w:rsidP="00407F8B">
            <w:pPr>
              <w:pStyle w:val="TableTextLeft"/>
            </w:pPr>
            <w:r w:rsidRPr="0DD37365">
              <w:t>*Other</w:t>
            </w:r>
          </w:p>
        </w:tc>
        <w:tc>
          <w:tcPr>
            <w:tcW w:w="1916" w:type="dxa"/>
            <w:noWrap/>
            <w:hideMark/>
          </w:tcPr>
          <w:p w14:paraId="2E1BB191"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4.12</w:t>
            </w:r>
          </w:p>
        </w:tc>
        <w:tc>
          <w:tcPr>
            <w:tcW w:w="2551" w:type="dxa"/>
          </w:tcPr>
          <w:p w14:paraId="7777CD95"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5.89</w:t>
            </w:r>
          </w:p>
        </w:tc>
        <w:tc>
          <w:tcPr>
            <w:tcW w:w="2653" w:type="dxa"/>
            <w:noWrap/>
            <w:hideMark/>
          </w:tcPr>
          <w:p w14:paraId="4A16B906"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$55.58</w:t>
            </w:r>
          </w:p>
        </w:tc>
      </w:tr>
      <w:tr w:rsidR="003F4354" w:rsidRPr="00837FC8" w14:paraId="7B5A2593" w14:textId="77777777" w:rsidTr="00A0129A">
        <w:trPr>
          <w:trHeight w:val="320"/>
        </w:trPr>
        <w:tc>
          <w:tcPr>
            <w:cnfStyle w:val="001000000000" w:firstRow="0" w:lastRow="0" w:firstColumn="1" w:lastColumn="0" w:oddVBand="0" w:evenVBand="0" w:oddHBand="0" w:evenHBand="0" w:firstRowFirstColumn="0" w:firstRowLastColumn="0" w:lastRowFirstColumn="0" w:lastRowLastColumn="0"/>
            <w:tcW w:w="2410" w:type="dxa"/>
            <w:noWrap/>
          </w:tcPr>
          <w:p w14:paraId="76346D3D" w14:textId="77777777" w:rsidR="003F4354" w:rsidRPr="00837FC8" w:rsidRDefault="003F4354" w:rsidP="00407F8B">
            <w:pPr>
              <w:pStyle w:val="TableTextLeft"/>
            </w:pPr>
            <w:r w:rsidRPr="00837FC8">
              <w:t>Total</w:t>
            </w:r>
          </w:p>
        </w:tc>
        <w:tc>
          <w:tcPr>
            <w:tcW w:w="1916" w:type="dxa"/>
            <w:noWrap/>
          </w:tcPr>
          <w:p w14:paraId="544FBF4F"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69.91</w:t>
            </w:r>
          </w:p>
        </w:tc>
        <w:tc>
          <w:tcPr>
            <w:tcW w:w="2551" w:type="dxa"/>
          </w:tcPr>
          <w:p w14:paraId="126B272C"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100</w:t>
            </w:r>
          </w:p>
        </w:tc>
        <w:tc>
          <w:tcPr>
            <w:tcW w:w="2653" w:type="dxa"/>
            <w:noWrap/>
          </w:tcPr>
          <w:p w14:paraId="33CA84EC" w14:textId="77777777" w:rsidR="003F4354" w:rsidRPr="00A0129A" w:rsidRDefault="003F4354" w:rsidP="00A0129A">
            <w:pPr>
              <w:pStyle w:val="TableTextCentre"/>
              <w:cnfStyle w:val="000000000000" w:firstRow="0" w:lastRow="0" w:firstColumn="0" w:lastColumn="0" w:oddVBand="0" w:evenVBand="0" w:oddHBand="0" w:evenHBand="0" w:firstRowFirstColumn="0" w:firstRowLastColumn="0" w:lastRowFirstColumn="0" w:lastRowLastColumn="0"/>
            </w:pPr>
            <w:r w:rsidRPr="00A0129A">
              <w:t>1156.90</w:t>
            </w:r>
          </w:p>
        </w:tc>
      </w:tr>
    </w:tbl>
    <w:p w14:paraId="4C60826B" w14:textId="77777777" w:rsidR="003F4354" w:rsidRDefault="003F4354" w:rsidP="003F4354">
      <w:r w:rsidRPr="001329CC">
        <w:t>Source:  ERR Annual Statistical Report 2022</w:t>
      </w:r>
      <w:r>
        <w:t xml:space="preserve"> </w:t>
      </w:r>
    </w:p>
    <w:p w14:paraId="2D783331" w14:textId="77777777" w:rsidR="003F4354" w:rsidRDefault="003F4354" w:rsidP="003F4354">
      <w:r w:rsidRPr="123AC233">
        <w:t>*Other – includes Scoria, Sedimentary, Soil and Tuff materials</w:t>
      </w:r>
    </w:p>
    <w:p w14:paraId="7F9CF0B8" w14:textId="77777777" w:rsidR="003F4354" w:rsidRDefault="003F4354" w:rsidP="003F4354">
      <w:r w:rsidRPr="0DD37365">
        <w:t>*</w:t>
      </w:r>
      <w:r w:rsidRPr="00160107">
        <w:t xml:space="preserve">Note: </w:t>
      </w:r>
      <w:r>
        <w:t xml:space="preserve">This </w:t>
      </w:r>
      <w:r w:rsidRPr="00160107">
        <w:t xml:space="preserve">data has </w:t>
      </w:r>
      <w:r>
        <w:t xml:space="preserve">not been </w:t>
      </w:r>
      <w:r w:rsidRPr="00160107">
        <w:t>adjusted to accommodate amendments to annual returns by tenement holders and annual</w:t>
      </w:r>
      <w:r>
        <w:t xml:space="preserve"> </w:t>
      </w:r>
      <w:r w:rsidRPr="00160107">
        <w:t>returns received after the publication of the report.</w:t>
      </w:r>
    </w:p>
    <w:p w14:paraId="1F63F810" w14:textId="5FC40FBF" w:rsidR="003F4354" w:rsidRPr="00837FC8" w:rsidRDefault="003F4354" w:rsidP="00C06A50">
      <w:pPr>
        <w:pStyle w:val="Heading3"/>
        <w:rPr>
          <w:rFonts w:cs="Arial"/>
          <w:szCs w:val="20"/>
        </w:rPr>
      </w:pPr>
      <w:bookmarkStart w:id="35" w:name="_Toc137567779"/>
      <w:r w:rsidRPr="00837FC8">
        <w:lastRenderedPageBreak/>
        <w:t>Coronavirus (COVID-19) pandemic impacts</w:t>
      </w:r>
      <w:bookmarkEnd w:id="35"/>
    </w:p>
    <w:p w14:paraId="1C37AA01" w14:textId="77777777" w:rsidR="003F4354" w:rsidRDefault="003F4354" w:rsidP="003F4354">
      <w:r w:rsidRPr="00837FC8">
        <w:t xml:space="preserve">COVID-19 has had little impact on the construction industry, with some of the highest </w:t>
      </w:r>
      <w:r>
        <w:t>extractive demand</w:t>
      </w:r>
      <w:r w:rsidRPr="00837FC8">
        <w:t xml:space="preserve"> occurring during the past few years. Government stimulus, through programs such as the Commonwealth Government’s HomeBuilder grants, has further strengthened demand for </w:t>
      </w:r>
      <w:r>
        <w:t>extractive resources</w:t>
      </w:r>
      <w:r w:rsidRPr="00837FC8">
        <w:t>.</w:t>
      </w:r>
      <w:r w:rsidRPr="0093216A">
        <w:rPr>
          <w:rStyle w:val="FootnoteReference"/>
        </w:rPr>
        <w:t xml:space="preserve"> </w:t>
      </w:r>
      <w:r w:rsidRPr="00837FC8">
        <w:rPr>
          <w:rStyle w:val="FootnoteReference"/>
        </w:rPr>
        <w:footnoteReference w:id="17"/>
      </w:r>
    </w:p>
    <w:p w14:paraId="70FBCDF8" w14:textId="77777777" w:rsidR="003F4354" w:rsidRDefault="003F4354" w:rsidP="003F4354">
      <w:r w:rsidRPr="00837FC8">
        <w:t xml:space="preserve">Projects involving </w:t>
      </w:r>
      <w:r>
        <w:t>extractive resources</w:t>
      </w:r>
      <w:r w:rsidRPr="00837FC8">
        <w:t xml:space="preserve"> tend to have a lead time of about two years, so there was already work committed in 2020 when the pandemic began. The most noticeable impact on the industry during the pandemic was an increase in domestic landscaping and an associated increase in demand for materials such as concrete.</w:t>
      </w:r>
    </w:p>
    <w:p w14:paraId="7A55F1E9" w14:textId="77777777" w:rsidR="003F4354" w:rsidRDefault="003F4354" w:rsidP="003F4354">
      <w:r w:rsidRPr="00837FC8">
        <w:t>For many decades, the extractive industry has experienced three- to five-year demand cycles, with an underlying upward trend due to population increase. However, the past decade has seen industry growth, with conditions now particularly strong.</w:t>
      </w:r>
    </w:p>
    <w:p w14:paraId="5DB54CC5" w14:textId="77777777" w:rsidR="003F4354" w:rsidRDefault="003F4354" w:rsidP="003F4354">
      <w:pPr>
        <w:pStyle w:val="Heading2"/>
      </w:pPr>
      <w:bookmarkStart w:id="36" w:name="_Toc130274673"/>
      <w:bookmarkStart w:id="37" w:name="_Toc137567780"/>
      <w:r w:rsidRPr="00837FC8">
        <w:t>1.</w:t>
      </w:r>
      <w:r>
        <w:t>4</w:t>
      </w:r>
      <w:r w:rsidRPr="00837FC8">
        <w:t xml:space="preserve"> Resources vs reserves</w:t>
      </w:r>
      <w:bookmarkEnd w:id="36"/>
      <w:bookmarkEnd w:id="37"/>
    </w:p>
    <w:p w14:paraId="655747B5" w14:textId="77777777" w:rsidR="003F4354" w:rsidRDefault="003F4354" w:rsidP="00C06A50">
      <w:pPr>
        <w:pStyle w:val="Heading3"/>
      </w:pPr>
      <w:bookmarkStart w:id="38" w:name="_Toc137567781"/>
      <w:r>
        <w:t>R</w:t>
      </w:r>
      <w:r w:rsidRPr="00837FC8">
        <w:t>esource</w:t>
      </w:r>
      <w:r>
        <w:t>s</w:t>
      </w:r>
      <w:r w:rsidRPr="00837FC8">
        <w:t xml:space="preserve"> </w:t>
      </w:r>
      <w:r>
        <w:t>and</w:t>
      </w:r>
      <w:r w:rsidRPr="00837FC8">
        <w:t xml:space="preserve"> reserve</w:t>
      </w:r>
      <w:r>
        <w:t>s</w:t>
      </w:r>
      <w:bookmarkEnd w:id="38"/>
    </w:p>
    <w:p w14:paraId="65D51BBF" w14:textId="77777777" w:rsidR="003F4354" w:rsidRDefault="003F4354" w:rsidP="003F4354">
      <w:pPr>
        <w:rPr>
          <w:rFonts w:cstheme="minorHAnsi"/>
          <w:color w:val="000000"/>
        </w:rPr>
      </w:pPr>
      <w:r w:rsidRPr="00160107">
        <w:rPr>
          <w:rFonts w:cstheme="minorHAnsi"/>
          <w:b/>
          <w:bCs/>
          <w:color w:val="000000"/>
        </w:rPr>
        <w:t>Resources</w:t>
      </w:r>
      <w:r>
        <w:rPr>
          <w:rFonts w:cstheme="minorHAnsi"/>
          <w:color w:val="000000"/>
        </w:rPr>
        <w:t xml:space="preserve"> in the context of the Study refer to extractive materials that are contained within work authorities but do not have the required approvals for their extraction. Some resources may never be extracted due to various economic and environmental factors. </w:t>
      </w:r>
    </w:p>
    <w:p w14:paraId="1054DFA0" w14:textId="77777777" w:rsidR="003F4354" w:rsidRDefault="003F4354" w:rsidP="003F4354">
      <w:pPr>
        <w:rPr>
          <w:rFonts w:cstheme="minorHAnsi"/>
          <w:color w:val="000000"/>
        </w:rPr>
      </w:pPr>
      <w:r w:rsidRPr="00837FC8">
        <w:rPr>
          <w:rFonts w:cstheme="minorHAnsi"/>
          <w:color w:val="000000"/>
        </w:rPr>
        <w:t>Within the extractive industry there are</w:t>
      </w:r>
      <w:r>
        <w:rPr>
          <w:rFonts w:cstheme="minorHAnsi"/>
          <w:color w:val="000000"/>
        </w:rPr>
        <w:t xml:space="preserve"> over 500 quarry </w:t>
      </w:r>
      <w:r w:rsidRPr="00837FC8">
        <w:rPr>
          <w:rFonts w:cstheme="minorHAnsi"/>
          <w:color w:val="000000"/>
        </w:rPr>
        <w:t>operators. These operators must have work authorities</w:t>
      </w:r>
      <w:r>
        <w:rPr>
          <w:rFonts w:cstheme="minorHAnsi"/>
          <w:color w:val="000000"/>
        </w:rPr>
        <w:t>.</w:t>
      </w:r>
      <w:r w:rsidRPr="00837FC8">
        <w:rPr>
          <w:rFonts w:cstheme="minorHAnsi"/>
          <w:color w:val="000000"/>
        </w:rPr>
        <w:t xml:space="preserve"> Within the perimeter of the work authority, the operator may apply for regulatory approvals to carry out extraction. However, only resources within an approved work plan</w:t>
      </w:r>
      <w:r>
        <w:rPr>
          <w:rFonts w:cstheme="minorHAnsi"/>
          <w:color w:val="000000"/>
        </w:rPr>
        <w:t xml:space="preserve"> boundary</w:t>
      </w:r>
      <w:r w:rsidRPr="00837FC8">
        <w:rPr>
          <w:rFonts w:cstheme="minorHAnsi"/>
          <w:color w:val="000000"/>
        </w:rPr>
        <w:t>, that exists within the work authority envelope, can be legally extracted.</w:t>
      </w:r>
    </w:p>
    <w:p w14:paraId="54BFDB57" w14:textId="3B964EAC" w:rsidR="003F4354" w:rsidRPr="009C3F64" w:rsidRDefault="003F4354" w:rsidP="003F4354">
      <w:pPr>
        <w:rPr>
          <w:rFonts w:cstheme="minorHAnsi"/>
          <w:color w:val="000000"/>
        </w:rPr>
      </w:pPr>
      <w:r w:rsidRPr="009C3F64">
        <w:rPr>
          <w:rFonts w:cstheme="minorHAnsi"/>
          <w:color w:val="000000"/>
        </w:rPr>
        <w:t xml:space="preserve">However, not all of the resource in a given work authority will be extracted due to: </w:t>
      </w:r>
    </w:p>
    <w:p w14:paraId="5F4E6ABA" w14:textId="77777777" w:rsidR="003F4354" w:rsidRPr="009C3F64" w:rsidRDefault="003F4354" w:rsidP="004129D2">
      <w:pPr>
        <w:pStyle w:val="ListBullet"/>
        <w:rPr>
          <w:color w:val="000000"/>
        </w:rPr>
      </w:pPr>
      <w:r w:rsidRPr="009C3F64">
        <w:t xml:space="preserve">Regulatory approvals restrictions: planning permits or other approvals to extract the resource may not be secured over all or part of the work authority. </w:t>
      </w:r>
    </w:p>
    <w:p w14:paraId="5E613E68" w14:textId="77777777" w:rsidR="003F4354" w:rsidRPr="009C3F64" w:rsidRDefault="003F4354" w:rsidP="004129D2">
      <w:pPr>
        <w:pStyle w:val="ListBullet"/>
        <w:rPr>
          <w:rFonts w:cstheme="minorHAnsi"/>
          <w:color w:val="000000"/>
        </w:rPr>
      </w:pPr>
      <w:r w:rsidRPr="009C3F64">
        <w:rPr>
          <w:rFonts w:cstheme="minorHAnsi"/>
          <w:color w:val="000000"/>
        </w:rPr>
        <w:t>Environmental factors: some of the resource may be covered by protected native vegetation or subject to waterways or water tables, or may be under sites of high aboriginal heritage significance.</w:t>
      </w:r>
    </w:p>
    <w:p w14:paraId="53A3F7A4" w14:textId="77777777" w:rsidR="003F4354" w:rsidRPr="009C3F64" w:rsidRDefault="003F4354" w:rsidP="004129D2">
      <w:pPr>
        <w:pStyle w:val="ListBullet"/>
        <w:rPr>
          <w:rFonts w:cstheme="minorHAnsi"/>
          <w:color w:val="000000"/>
        </w:rPr>
      </w:pPr>
      <w:r w:rsidRPr="009C3F64">
        <w:rPr>
          <w:rFonts w:cstheme="minorHAnsi"/>
          <w:color w:val="000000"/>
        </w:rPr>
        <w:t>Economic factors: some of the resource may be too deep to extract economically</w:t>
      </w:r>
    </w:p>
    <w:p w14:paraId="546042F1" w14:textId="77777777" w:rsidR="003F4354" w:rsidRPr="009C3F64" w:rsidRDefault="003F4354" w:rsidP="004129D2">
      <w:pPr>
        <w:pStyle w:val="ListBullet"/>
        <w:rPr>
          <w:rFonts w:cstheme="minorHAnsi"/>
          <w:color w:val="000000"/>
        </w:rPr>
      </w:pPr>
      <w:r w:rsidRPr="009C3F64">
        <w:rPr>
          <w:rFonts w:cstheme="minorHAnsi"/>
          <w:color w:val="000000"/>
        </w:rPr>
        <w:t>Specification factors: some of the material may be of insufficient quality to meet the standards required for end uses.</w:t>
      </w:r>
    </w:p>
    <w:p w14:paraId="43FAE62C" w14:textId="77777777" w:rsidR="003F4354" w:rsidRDefault="003F4354" w:rsidP="004129D2">
      <w:pPr>
        <w:pStyle w:val="ListBullet"/>
        <w:rPr>
          <w:rFonts w:cstheme="minorHAnsi"/>
          <w:color w:val="000000"/>
        </w:rPr>
      </w:pPr>
      <w:r w:rsidRPr="009C3F64">
        <w:rPr>
          <w:rFonts w:cstheme="minorHAnsi"/>
          <w:color w:val="000000"/>
        </w:rPr>
        <w:t>Geotechnical constraints on quarry’s geometry.</w:t>
      </w:r>
    </w:p>
    <w:p w14:paraId="084DE4A8" w14:textId="2883E304" w:rsidR="003F4354" w:rsidRDefault="003F4354" w:rsidP="003F4354">
      <w:pPr>
        <w:rPr>
          <w:color w:val="232222" w:themeColor="text1"/>
        </w:rPr>
      </w:pPr>
      <w:r>
        <w:rPr>
          <w:color w:val="232222" w:themeColor="text1"/>
        </w:rPr>
        <w:fldChar w:fldCharType="begin"/>
      </w:r>
      <w:r>
        <w:rPr>
          <w:color w:val="232222" w:themeColor="text1"/>
        </w:rPr>
        <w:instrText xml:space="preserve"> REF _Ref136871693 \h </w:instrText>
      </w:r>
      <w:r>
        <w:rPr>
          <w:color w:val="232222" w:themeColor="text1"/>
        </w:rPr>
      </w:r>
      <w:r>
        <w:rPr>
          <w:color w:val="232222" w:themeColor="text1"/>
        </w:rPr>
        <w:fldChar w:fldCharType="separate"/>
      </w:r>
      <w:r w:rsidR="000154C7">
        <w:t xml:space="preserve">Figure </w:t>
      </w:r>
      <w:r w:rsidR="000154C7">
        <w:rPr>
          <w:noProof/>
        </w:rPr>
        <w:t>4</w:t>
      </w:r>
      <w:r>
        <w:rPr>
          <w:color w:val="232222" w:themeColor="text1"/>
        </w:rPr>
        <w:fldChar w:fldCharType="end"/>
      </w:r>
      <w:r>
        <w:rPr>
          <w:color w:val="232222" w:themeColor="text1"/>
        </w:rPr>
        <w:t xml:space="preserve"> shows a representation of a quarry’s resources bounded by the work authority boundary, and the reserves within the work authority that are permitted to be extracted.</w:t>
      </w:r>
    </w:p>
    <w:p w14:paraId="3BD2178D" w14:textId="77777777" w:rsidR="003F4354" w:rsidRDefault="003F4354" w:rsidP="003F4354">
      <w:pPr>
        <w:rPr>
          <w:color w:val="000000"/>
        </w:rPr>
      </w:pPr>
      <w:r w:rsidRPr="009C3F64">
        <w:rPr>
          <w:color w:val="232222" w:themeColor="text1"/>
        </w:rPr>
        <w:t xml:space="preserve">The resource estimate represents the absolute upper limit of what could be potentially extracted from a work authority. However, in many cases, the upper limit is unlikely to be realised. While, resource estimates are useful to support the forecast future </w:t>
      </w:r>
      <w:r w:rsidRPr="009C3F64">
        <w:rPr>
          <w:rFonts w:cstheme="minorHAnsi"/>
        </w:rPr>
        <w:t xml:space="preserve">extractive resource </w:t>
      </w:r>
      <w:r w:rsidRPr="009C3F64">
        <w:rPr>
          <w:color w:val="232222" w:themeColor="text1"/>
        </w:rPr>
        <w:t xml:space="preserve">supply, caution needs to be exercised due to this upward bias. </w:t>
      </w:r>
    </w:p>
    <w:p w14:paraId="3D36B9E2" w14:textId="77777777" w:rsidR="003F4354" w:rsidRDefault="003F4354" w:rsidP="003F4354">
      <w:pPr>
        <w:rPr>
          <w:rFonts w:cstheme="minorHAnsi"/>
          <w:color w:val="000000"/>
        </w:rPr>
      </w:pPr>
      <w:r w:rsidRPr="00A37739">
        <w:rPr>
          <w:rFonts w:cstheme="minorHAnsi"/>
          <w:b/>
          <w:bCs/>
          <w:color w:val="000000"/>
        </w:rPr>
        <w:t>Reserves</w:t>
      </w:r>
      <w:r w:rsidRPr="009C3F64">
        <w:rPr>
          <w:rFonts w:cstheme="minorHAnsi"/>
          <w:b/>
          <w:bCs/>
          <w:color w:val="000000"/>
        </w:rPr>
        <w:t xml:space="preserve"> </w:t>
      </w:r>
      <w:r w:rsidRPr="009C3F64">
        <w:rPr>
          <w:rFonts w:cstheme="minorHAnsi"/>
          <w:color w:val="000000"/>
        </w:rPr>
        <w:t>are the extractive resources within a work authority that are approved for production and are likely to be developed. This estimate represents the most likely scenario. However, there will still be economic reasons for the reserve not being fully developed (e.g. it may not be the correct specification). The Study assumes that all reserves can be sold, even though some may not be sufficient quality to make it to market.</w:t>
      </w:r>
    </w:p>
    <w:p w14:paraId="04BD2791" w14:textId="77777777" w:rsidR="006C0D38" w:rsidRDefault="006C0D38" w:rsidP="003F4354">
      <w:pPr>
        <w:rPr>
          <w:rFonts w:cstheme="minorHAnsi"/>
          <w:color w:val="000000"/>
        </w:rPr>
      </w:pPr>
    </w:p>
    <w:p w14:paraId="308DA0D8" w14:textId="77777777" w:rsidR="006C0D38" w:rsidRDefault="006C0D38" w:rsidP="003F4354">
      <w:pPr>
        <w:rPr>
          <w:rFonts w:cstheme="minorHAnsi"/>
          <w:color w:val="000000"/>
        </w:rPr>
      </w:pPr>
    </w:p>
    <w:p w14:paraId="266DE479" w14:textId="77777777" w:rsidR="006C0D38" w:rsidRDefault="006C0D38" w:rsidP="003F4354">
      <w:pPr>
        <w:rPr>
          <w:rFonts w:cstheme="minorHAnsi"/>
          <w:color w:val="000000"/>
        </w:rPr>
      </w:pPr>
    </w:p>
    <w:p w14:paraId="65CEC304" w14:textId="77777777" w:rsidR="003F4354" w:rsidRDefault="003F4354" w:rsidP="003F4354">
      <w:pPr>
        <w:jc w:val="center"/>
        <w:rPr>
          <w:rFonts w:cstheme="minorHAnsi"/>
          <w:color w:val="000000"/>
        </w:rPr>
      </w:pPr>
      <w:r>
        <w:rPr>
          <w:noProof/>
        </w:rPr>
        <w:lastRenderedPageBreak/>
        <w:drawing>
          <wp:inline distT="0" distB="0" distL="0" distR="0" wp14:anchorId="30EE57C7" wp14:editId="7D0FE573">
            <wp:extent cx="5007610" cy="2642078"/>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46" cstate="print">
                      <a:extLst>
                        <a:ext uri="{28A0092B-C50C-407E-A947-70E740481C1C}">
                          <a14:useLocalDpi xmlns:a14="http://schemas.microsoft.com/office/drawing/2010/main" val="0"/>
                        </a:ext>
                      </a:extLst>
                    </a:blip>
                    <a:srcRect t="2175" b="3260"/>
                    <a:stretch/>
                  </pic:blipFill>
                  <pic:spPr bwMode="auto">
                    <a:xfrm>
                      <a:off x="0" y="0"/>
                      <a:ext cx="5066260" cy="2673022"/>
                    </a:xfrm>
                    <a:prstGeom prst="rect">
                      <a:avLst/>
                    </a:prstGeom>
                    <a:ln>
                      <a:noFill/>
                    </a:ln>
                    <a:extLst>
                      <a:ext uri="{53640926-AAD7-44D8-BBD7-CCE9431645EC}">
                        <a14:shadowObscured xmlns:a14="http://schemas.microsoft.com/office/drawing/2010/main"/>
                      </a:ext>
                    </a:extLst>
                  </pic:spPr>
                </pic:pic>
              </a:graphicData>
            </a:graphic>
          </wp:inline>
        </w:drawing>
      </w:r>
    </w:p>
    <w:p w14:paraId="04B63EBE" w14:textId="114EDB85" w:rsidR="003F4354" w:rsidRDefault="003F4354" w:rsidP="00FF6070">
      <w:pPr>
        <w:pStyle w:val="Caption"/>
      </w:pPr>
      <w:bookmarkStart w:id="39" w:name="_Ref136871693"/>
      <w:r>
        <w:t xml:space="preserve">Figure </w:t>
      </w:r>
      <w:fldSimple w:instr=" SEQ Figure \* ARABIC ">
        <w:r w:rsidR="000154C7">
          <w:rPr>
            <w:noProof/>
          </w:rPr>
          <w:t>4</w:t>
        </w:r>
      </w:fldSimple>
      <w:bookmarkEnd w:id="39"/>
      <w:r w:rsidRPr="00837FC8">
        <w:t xml:space="preserve"> </w:t>
      </w:r>
      <w:r>
        <w:t>Repres</w:t>
      </w:r>
      <w:r w:rsidRPr="00407F8B">
        <w:t>enta</w:t>
      </w:r>
      <w:r>
        <w:t xml:space="preserve">tion of quarry resource vs reserves.  </w:t>
      </w:r>
      <w:r w:rsidRPr="00837C73">
        <w:t>Source: Adapted from Prosser</w:t>
      </w:r>
      <w:r>
        <w:t xml:space="preserve"> (</w:t>
      </w:r>
      <w:r w:rsidRPr="00837C73">
        <w:t>2018</w:t>
      </w:r>
      <w:r>
        <w:t>)</w:t>
      </w:r>
      <w:r w:rsidRPr="003C7963">
        <w:rPr>
          <w:rStyle w:val="FootnoteReference"/>
        </w:rPr>
        <w:t xml:space="preserve"> </w:t>
      </w:r>
      <w:r>
        <w:rPr>
          <w:rStyle w:val="FootnoteReference"/>
        </w:rPr>
        <w:footnoteReference w:id="18"/>
      </w:r>
    </w:p>
    <w:p w14:paraId="7373FB65" w14:textId="481C675D" w:rsidR="003F4354" w:rsidRPr="00837FC8" w:rsidRDefault="003F4354" w:rsidP="003F4354">
      <w:pPr>
        <w:pStyle w:val="Heading2"/>
      </w:pPr>
      <w:bookmarkStart w:id="40" w:name="_Toc130274674"/>
      <w:bookmarkStart w:id="41" w:name="_Toc137567782"/>
      <w:r w:rsidRPr="00837FC8">
        <w:t>1.</w:t>
      </w:r>
      <w:r>
        <w:t>5</w:t>
      </w:r>
      <w:r w:rsidRPr="00837FC8">
        <w:t xml:space="preserve"> </w:t>
      </w:r>
      <w:r>
        <w:t>Victorian Government initiatives to ensure reliable and affordable supply</w:t>
      </w:r>
      <w:bookmarkEnd w:id="40"/>
      <w:bookmarkEnd w:id="41"/>
    </w:p>
    <w:p w14:paraId="43803E30" w14:textId="77777777" w:rsidR="003F4354" w:rsidRPr="00160107" w:rsidRDefault="003F4354" w:rsidP="00C06A50">
      <w:pPr>
        <w:rPr>
          <w:rFonts w:eastAsiaTheme="minorHAnsi"/>
          <w:lang w:eastAsia="en-US"/>
        </w:rPr>
      </w:pPr>
      <w:r w:rsidRPr="00160107">
        <w:rPr>
          <w:rFonts w:eastAsiaTheme="minorHAnsi"/>
          <w:lang w:eastAsia="en-US"/>
        </w:rPr>
        <w:t>In 2017</w:t>
      </w:r>
      <w:r w:rsidRPr="00160107">
        <w:rPr>
          <w:rFonts w:eastAsiaTheme="minorHAnsi"/>
          <w:i/>
          <w:iCs/>
          <w:lang w:eastAsia="en-US"/>
        </w:rPr>
        <w:t xml:space="preserve">, </w:t>
      </w:r>
      <w:r w:rsidRPr="00160107">
        <w:rPr>
          <w:rFonts w:eastAsiaTheme="minorHAnsi"/>
          <w:lang w:eastAsia="en-US"/>
        </w:rPr>
        <w:t>Plan Melbourne 2017-2050</w:t>
      </w:r>
      <w:r>
        <w:rPr>
          <w:rFonts w:eastAsiaTheme="minorHAnsi"/>
          <w:i/>
          <w:iCs/>
          <w:lang w:eastAsia="en-US"/>
        </w:rPr>
        <w:t xml:space="preserve"> </w:t>
      </w:r>
      <w:r>
        <w:rPr>
          <w:rFonts w:eastAsiaTheme="minorHAnsi"/>
          <w:lang w:eastAsia="en-US"/>
        </w:rPr>
        <w:t xml:space="preserve">was released as </w:t>
      </w:r>
      <w:r w:rsidRPr="00D90C56">
        <w:rPr>
          <w:rFonts w:eastAsiaTheme="minorHAnsi"/>
          <w:lang w:eastAsia="en-US"/>
        </w:rPr>
        <w:t>a 35-year blueprint to ensure Melbourne grows more sustainable, productive and liveable as its</w:t>
      </w:r>
      <w:r>
        <w:rPr>
          <w:rFonts w:eastAsiaTheme="minorHAnsi"/>
          <w:lang w:eastAsia="en-US"/>
        </w:rPr>
        <w:t xml:space="preserve"> </w:t>
      </w:r>
      <w:r w:rsidRPr="00D90C56">
        <w:rPr>
          <w:rFonts w:eastAsiaTheme="minorHAnsi"/>
          <w:lang w:eastAsia="en-US"/>
        </w:rPr>
        <w:t>population approaches 8 million.</w:t>
      </w:r>
      <w:r>
        <w:rPr>
          <w:rFonts w:eastAsiaTheme="minorHAnsi"/>
          <w:lang w:eastAsia="en-US"/>
        </w:rPr>
        <w:t xml:space="preserve"> The plan establishes that </w:t>
      </w:r>
      <w:r w:rsidRPr="00160107">
        <w:rPr>
          <w:rFonts w:eastAsiaTheme="minorHAnsi"/>
          <w:lang w:eastAsia="en-US"/>
        </w:rPr>
        <w:t>extractive</w:t>
      </w:r>
      <w:r>
        <w:rPr>
          <w:rFonts w:eastAsiaTheme="minorHAnsi"/>
          <w:lang w:eastAsia="en-US"/>
        </w:rPr>
        <w:t xml:space="preserve"> resource</w:t>
      </w:r>
      <w:r w:rsidRPr="00160107">
        <w:rPr>
          <w:rFonts w:eastAsiaTheme="minorHAnsi"/>
          <w:lang w:eastAsia="en-US"/>
        </w:rPr>
        <w:t xml:space="preserve"> industr</w:t>
      </w:r>
      <w:r>
        <w:rPr>
          <w:rFonts w:eastAsiaTheme="minorHAnsi"/>
          <w:lang w:eastAsia="en-US"/>
        </w:rPr>
        <w:t>ies</w:t>
      </w:r>
      <w:r w:rsidRPr="00160107">
        <w:rPr>
          <w:rFonts w:eastAsiaTheme="minorHAnsi"/>
          <w:lang w:eastAsia="en-US"/>
        </w:rPr>
        <w:t xml:space="preserve"> and future extractive resource assets </w:t>
      </w:r>
      <w:r>
        <w:rPr>
          <w:rFonts w:eastAsiaTheme="minorHAnsi"/>
          <w:lang w:eastAsia="en-US"/>
        </w:rPr>
        <w:t xml:space="preserve">need to be protected. </w:t>
      </w:r>
    </w:p>
    <w:p w14:paraId="6E6048E3" w14:textId="77777777" w:rsidR="003F4354" w:rsidRDefault="003F4354" w:rsidP="003F4354">
      <w:pPr>
        <w:rPr>
          <w:rFonts w:cstheme="minorHAnsi"/>
        </w:rPr>
      </w:pPr>
      <w:r w:rsidRPr="00837FC8">
        <w:rPr>
          <w:rFonts w:cstheme="minorHAnsi"/>
        </w:rPr>
        <w:t xml:space="preserve">In 2018, the Victorian Government released the </w:t>
      </w:r>
      <w:r w:rsidRPr="00BB4A7A">
        <w:rPr>
          <w:rFonts w:cstheme="minorHAnsi"/>
          <w:i/>
          <w:iCs/>
        </w:rPr>
        <w:t>Helping Victoria Grow: Extractive Resources Strategy</w:t>
      </w:r>
      <w:r w:rsidRPr="00837FC8">
        <w:rPr>
          <w:rFonts w:cstheme="minorHAnsi"/>
        </w:rPr>
        <w:t xml:space="preserve"> which aims to secure extractive resources for current and future generations to affordably build homes and infrastructure. </w:t>
      </w:r>
      <w:r>
        <w:rPr>
          <w:rFonts w:cstheme="minorHAnsi"/>
        </w:rPr>
        <w:t>This s</w:t>
      </w:r>
      <w:r w:rsidRPr="00837FC8">
        <w:rPr>
          <w:rFonts w:cstheme="minorHAnsi"/>
        </w:rPr>
        <w:t xml:space="preserve">trategy sets out a comprehensive and integrated work program </w:t>
      </w:r>
      <w:r>
        <w:rPr>
          <w:rFonts w:cstheme="minorHAnsi"/>
        </w:rPr>
        <w:t>and includes initiatives with</w:t>
      </w:r>
      <w:r w:rsidRPr="00837FC8">
        <w:rPr>
          <w:rFonts w:cstheme="minorHAnsi"/>
        </w:rPr>
        <w:t xml:space="preserve"> Victorian </w:t>
      </w:r>
      <w:r>
        <w:rPr>
          <w:rFonts w:cstheme="minorHAnsi"/>
        </w:rPr>
        <w:t>G</w:t>
      </w:r>
      <w:r w:rsidRPr="00837FC8">
        <w:rPr>
          <w:rFonts w:cstheme="minorHAnsi"/>
        </w:rPr>
        <w:t>overnment agencies, industry, local councils and other stakeholders.</w:t>
      </w:r>
    </w:p>
    <w:p w14:paraId="6B73FACC" w14:textId="77777777" w:rsidR="003F4354" w:rsidRDefault="003F4354" w:rsidP="003F4354">
      <w:pPr>
        <w:rPr>
          <w:rFonts w:cstheme="minorHAnsi"/>
        </w:rPr>
      </w:pPr>
      <w:r w:rsidRPr="00837FC8">
        <w:rPr>
          <w:rFonts w:cstheme="minorHAnsi"/>
        </w:rPr>
        <w:t>In 2018, the Resources and Planning Ministers issued a Joint Ministerial Statement setting out priority areas to deliver a better approach for land use planning and regulation.</w:t>
      </w:r>
    </w:p>
    <w:p w14:paraId="74BBA87F" w14:textId="77777777" w:rsidR="003F4354" w:rsidRDefault="003F4354" w:rsidP="003F4354">
      <w:pPr>
        <w:rPr>
          <w:rFonts w:cstheme="minorHAnsi"/>
        </w:rPr>
      </w:pPr>
      <w:r w:rsidRPr="00837FC8">
        <w:rPr>
          <w:rFonts w:cstheme="minorHAnsi"/>
        </w:rPr>
        <w:t xml:space="preserve">On 15 December 2021, the Minister for Resources released the </w:t>
      </w:r>
      <w:r w:rsidRPr="00C56978">
        <w:rPr>
          <w:rFonts w:cstheme="minorHAnsi"/>
          <w:i/>
          <w:iCs/>
        </w:rPr>
        <w:t>Strategic Extractive Resources Roadmap</w:t>
      </w:r>
      <w:r w:rsidRPr="00837FC8">
        <w:rPr>
          <w:rFonts w:cstheme="minorHAnsi"/>
        </w:rPr>
        <w:t xml:space="preserve"> that details priority actions for </w:t>
      </w:r>
      <w:r>
        <w:rPr>
          <w:rFonts w:cstheme="minorHAnsi"/>
        </w:rPr>
        <w:t>establishing</w:t>
      </w:r>
      <w:r w:rsidRPr="00837FC8">
        <w:rPr>
          <w:rFonts w:cstheme="minorHAnsi"/>
        </w:rPr>
        <w:t xml:space="preserve"> Strategic Extractive Resource Areas </w:t>
      </w:r>
      <w:r>
        <w:rPr>
          <w:rFonts w:cstheme="minorHAnsi"/>
        </w:rPr>
        <w:t xml:space="preserve">(SERAs) </w:t>
      </w:r>
      <w:r w:rsidRPr="00837FC8">
        <w:rPr>
          <w:rFonts w:cstheme="minorHAnsi"/>
        </w:rPr>
        <w:t>up to the end of 2023</w:t>
      </w:r>
      <w:r>
        <w:rPr>
          <w:rFonts w:cstheme="minorHAnsi"/>
        </w:rPr>
        <w:t>.</w:t>
      </w:r>
      <w:r>
        <w:rPr>
          <w:rStyle w:val="FootnoteReference"/>
          <w:rFonts w:cstheme="minorHAnsi"/>
        </w:rPr>
        <w:footnoteReference w:id="19"/>
      </w:r>
      <w:r>
        <w:rPr>
          <w:rFonts w:cstheme="minorHAnsi"/>
        </w:rPr>
        <w:t xml:space="preserve"> This roadmap includes priority actions for refreshing Extractive Industry Interest Areas (</w:t>
      </w:r>
      <w:r>
        <w:t>EIIAs)</w:t>
      </w:r>
      <w:r>
        <w:rPr>
          <w:rFonts w:cstheme="minorHAnsi"/>
        </w:rPr>
        <w:t xml:space="preserve"> and improving the supply of geoscience information. </w:t>
      </w:r>
    </w:p>
    <w:p w14:paraId="6B2E3875" w14:textId="5E3C0C5E" w:rsidR="003F4354" w:rsidRPr="00837FC8" w:rsidRDefault="003F4354" w:rsidP="00C06A50">
      <w:pPr>
        <w:rPr>
          <w:rFonts w:cstheme="minorHAnsi"/>
          <w:bCs/>
          <w:color w:val="000000"/>
        </w:rPr>
      </w:pPr>
      <w:r w:rsidRPr="00837FC8">
        <w:t xml:space="preserve">The </w:t>
      </w:r>
      <w:r w:rsidRPr="006F42F1">
        <w:rPr>
          <w:i/>
          <w:iCs/>
        </w:rPr>
        <w:t>Extractive Resources Strategy</w:t>
      </w:r>
      <w:r w:rsidRPr="00837FC8">
        <w:t xml:space="preserve"> recognised that planning and efficient regulation are needed to ensure that Victoria has an </w:t>
      </w:r>
      <w:r w:rsidRPr="00C06A50">
        <w:t>ongoing</w:t>
      </w:r>
      <w:r w:rsidRPr="00837FC8">
        <w:t xml:space="preserve"> supply of </w:t>
      </w:r>
      <w:r>
        <w:t>extractive resources</w:t>
      </w:r>
      <w:r w:rsidRPr="00837FC8">
        <w:t>.</w:t>
      </w:r>
      <w:r>
        <w:t xml:space="preserve"> It</w:t>
      </w:r>
      <w:r w:rsidRPr="00ED5AB1">
        <w:t xml:space="preserve"> consists of six themes:</w:t>
      </w:r>
    </w:p>
    <w:p w14:paraId="6738D025" w14:textId="77777777" w:rsidR="003F4354" w:rsidRPr="00837FC8" w:rsidRDefault="003F4354" w:rsidP="004129D2">
      <w:pPr>
        <w:pStyle w:val="ListBullet"/>
      </w:pPr>
      <w:r w:rsidRPr="00837FC8">
        <w:t>resource and land use planning</w:t>
      </w:r>
      <w:r>
        <w:t>, including economic studies.</w:t>
      </w:r>
    </w:p>
    <w:p w14:paraId="09960E29" w14:textId="77777777" w:rsidR="003F4354" w:rsidRPr="00837FC8" w:rsidRDefault="003F4354" w:rsidP="004129D2">
      <w:pPr>
        <w:pStyle w:val="ListBullet"/>
      </w:pPr>
      <w:r w:rsidRPr="00837FC8">
        <w:t>transport and local infrastructure planning</w:t>
      </w:r>
    </w:p>
    <w:p w14:paraId="5CA9F1E4" w14:textId="77777777" w:rsidR="003F4354" w:rsidRPr="00837FC8" w:rsidRDefault="003F4354" w:rsidP="004129D2">
      <w:pPr>
        <w:pStyle w:val="ListBullet"/>
      </w:pPr>
      <w:r w:rsidRPr="00837FC8">
        <w:t>efficient regulation</w:t>
      </w:r>
    </w:p>
    <w:p w14:paraId="7EB19E1A" w14:textId="77777777" w:rsidR="003F4354" w:rsidRPr="00837FC8" w:rsidRDefault="003F4354" w:rsidP="004129D2">
      <w:pPr>
        <w:pStyle w:val="ListBullet"/>
      </w:pPr>
      <w:r w:rsidRPr="00837FC8">
        <w:t>confident communities</w:t>
      </w:r>
    </w:p>
    <w:p w14:paraId="7F0B4952" w14:textId="77777777" w:rsidR="003F4354" w:rsidRPr="00837FC8" w:rsidRDefault="003F4354" w:rsidP="004129D2">
      <w:pPr>
        <w:pStyle w:val="ListBullet"/>
      </w:pPr>
      <w:r w:rsidRPr="00837FC8">
        <w:t>environmental sustainability</w:t>
      </w:r>
    </w:p>
    <w:p w14:paraId="5392BE55" w14:textId="77777777" w:rsidR="003F4354" w:rsidRDefault="003F4354" w:rsidP="004129D2">
      <w:pPr>
        <w:pStyle w:val="ListBullet"/>
      </w:pPr>
      <w:r w:rsidRPr="00837FC8">
        <w:t xml:space="preserve">innovative sector. </w:t>
      </w:r>
      <w:r w:rsidRPr="00837FC8">
        <w:rPr>
          <w:rStyle w:val="FootnoteReference"/>
          <w:rFonts w:cstheme="minorHAnsi"/>
          <w:bCs/>
          <w:color w:val="000000"/>
        </w:rPr>
        <w:footnoteReference w:id="20"/>
      </w:r>
    </w:p>
    <w:p w14:paraId="792ECE3E" w14:textId="77777777" w:rsidR="003F4354" w:rsidRDefault="003F4354" w:rsidP="00C06A50">
      <w:pPr>
        <w:rPr>
          <w:rFonts w:ascii="Segoe UI" w:hAnsi="Segoe UI" w:cs="Segoe UI"/>
          <w:sz w:val="18"/>
          <w:szCs w:val="18"/>
        </w:rPr>
      </w:pPr>
      <w:r w:rsidRPr="00837FC8">
        <w:t>Strateg</w:t>
      </w:r>
      <w:r>
        <w:t>ic</w:t>
      </w:r>
      <w:r w:rsidRPr="00837FC8">
        <w:t xml:space="preserve"> actions are underway in the Department across each of these themes to improve </w:t>
      </w:r>
      <w:r>
        <w:t>G</w:t>
      </w:r>
      <w:r w:rsidRPr="00837FC8">
        <w:t>overnment policy settings to ensure that important extractive industry projects can be established more quickly close to areas of high demand, ensuring construction materials remain affordable.</w:t>
      </w:r>
    </w:p>
    <w:p w14:paraId="24531114" w14:textId="77777777" w:rsidR="003F4354" w:rsidRDefault="003F4354" w:rsidP="00C06A50">
      <w:pPr>
        <w:pStyle w:val="Heading3"/>
      </w:pPr>
      <w:bookmarkStart w:id="42" w:name="_Toc137567783"/>
      <w:r w:rsidRPr="00837FC8">
        <w:lastRenderedPageBreak/>
        <w:t xml:space="preserve">Resource and land use planning theme from the </w:t>
      </w:r>
      <w:r w:rsidRPr="00C56978">
        <w:rPr>
          <w:i/>
          <w:iCs/>
        </w:rPr>
        <w:t>Extractive Resources Strategy</w:t>
      </w:r>
      <w:bookmarkEnd w:id="42"/>
    </w:p>
    <w:p w14:paraId="4FE84156" w14:textId="77777777" w:rsidR="003F4354" w:rsidRDefault="003F4354" w:rsidP="00C06A50">
      <w:r>
        <w:rPr>
          <w:rFonts w:cstheme="minorHAnsi"/>
          <w:color w:val="232222" w:themeColor="text1"/>
        </w:rPr>
        <w:t xml:space="preserve">A key aspect of the </w:t>
      </w:r>
      <w:r w:rsidRPr="006F42F1">
        <w:rPr>
          <w:rFonts w:cstheme="minorHAnsi"/>
          <w:i/>
          <w:iCs/>
          <w:color w:val="232222" w:themeColor="text1"/>
        </w:rPr>
        <w:t>Extractive Resources Strategy</w:t>
      </w:r>
      <w:r>
        <w:rPr>
          <w:rFonts w:cstheme="minorHAnsi"/>
          <w:color w:val="232222" w:themeColor="text1"/>
        </w:rPr>
        <w:t xml:space="preserve"> is the implementation of </w:t>
      </w:r>
      <w:r w:rsidRPr="00837FC8">
        <w:rPr>
          <w:rFonts w:cstheme="minorHAnsi"/>
          <w:color w:val="232222" w:themeColor="text1"/>
        </w:rPr>
        <w:t xml:space="preserve">SERAs </w:t>
      </w:r>
      <w:r>
        <w:rPr>
          <w:rFonts w:cstheme="minorHAnsi"/>
          <w:color w:val="232222" w:themeColor="text1"/>
        </w:rPr>
        <w:t xml:space="preserve">to </w:t>
      </w:r>
      <w:r w:rsidRPr="00837FC8">
        <w:rPr>
          <w:rFonts w:cstheme="minorHAnsi"/>
          <w:color w:val="232222" w:themeColor="text1"/>
        </w:rPr>
        <w:t>help ensure that access to valuable resources is retained in L</w:t>
      </w:r>
      <w:r>
        <w:rPr>
          <w:rFonts w:cstheme="minorHAnsi"/>
          <w:color w:val="232222" w:themeColor="text1"/>
        </w:rPr>
        <w:t>ocal Government Areas (L</w:t>
      </w:r>
      <w:r w:rsidRPr="00837FC8">
        <w:rPr>
          <w:rFonts w:cstheme="minorHAnsi"/>
          <w:color w:val="232222" w:themeColor="text1"/>
        </w:rPr>
        <w:t>GA</w:t>
      </w:r>
      <w:r w:rsidRPr="00837FC8">
        <w:rPr>
          <w:rFonts w:cstheme="minorHAnsi"/>
          <w:bCs/>
          <w:color w:val="232222" w:themeColor="text1"/>
        </w:rPr>
        <w:t>s</w:t>
      </w:r>
      <w:r>
        <w:rPr>
          <w:rFonts w:cstheme="minorHAnsi"/>
          <w:bCs/>
          <w:color w:val="232222" w:themeColor="text1"/>
        </w:rPr>
        <w:t>)</w:t>
      </w:r>
      <w:r w:rsidRPr="00837FC8">
        <w:rPr>
          <w:rFonts w:cstheme="minorHAnsi"/>
          <w:color w:val="232222" w:themeColor="text1"/>
        </w:rPr>
        <w:t xml:space="preserve">. SERAs </w:t>
      </w:r>
      <w:r>
        <w:rPr>
          <w:rFonts w:cstheme="minorHAnsi"/>
          <w:color w:val="232222" w:themeColor="text1"/>
        </w:rPr>
        <w:t>a</w:t>
      </w:r>
      <w:r w:rsidRPr="00837FC8">
        <w:rPr>
          <w:rFonts w:cstheme="minorHAnsi"/>
          <w:color w:val="232222" w:themeColor="text1"/>
        </w:rPr>
        <w:t xml:space="preserve">re based on </w:t>
      </w:r>
      <w:r>
        <w:rPr>
          <w:rFonts w:cstheme="minorHAnsi"/>
          <w:color w:val="232222" w:themeColor="text1"/>
        </w:rPr>
        <w:t xml:space="preserve">the </w:t>
      </w:r>
      <w:r w:rsidRPr="00837FC8">
        <w:rPr>
          <w:rFonts w:cstheme="minorHAnsi"/>
          <w:color w:val="232222" w:themeColor="text1"/>
        </w:rPr>
        <w:t xml:space="preserve">availability of </w:t>
      </w:r>
      <w:r>
        <w:rPr>
          <w:rFonts w:cstheme="minorHAnsi"/>
          <w:color w:val="232222" w:themeColor="text1"/>
        </w:rPr>
        <w:t xml:space="preserve">in-demand </w:t>
      </w:r>
      <w:r w:rsidRPr="00837FC8">
        <w:rPr>
          <w:rFonts w:cstheme="minorHAnsi"/>
          <w:color w:val="232222" w:themeColor="text1"/>
        </w:rPr>
        <w:t xml:space="preserve">rock types, proximity to future growth areas and </w:t>
      </w:r>
      <w:r>
        <w:rPr>
          <w:rFonts w:cstheme="minorHAnsi"/>
          <w:color w:val="232222" w:themeColor="text1"/>
        </w:rPr>
        <w:t xml:space="preserve">other </w:t>
      </w:r>
      <w:r w:rsidRPr="00837FC8">
        <w:rPr>
          <w:rFonts w:cstheme="minorHAnsi"/>
          <w:color w:val="232222" w:themeColor="text1"/>
        </w:rPr>
        <w:t xml:space="preserve">local considerations. In 2021, two pilot SERA projects were successfully incorporated into the planning schemes of the Wyndham and South Gippsland LGAs. Three more SERAs are planned for implementation in 2023, informed by the findings of updated </w:t>
      </w:r>
      <w:r>
        <w:rPr>
          <w:rFonts w:cstheme="minorHAnsi"/>
          <w:color w:val="232222" w:themeColor="text1"/>
        </w:rPr>
        <w:t>supply and demand</w:t>
      </w:r>
      <w:r w:rsidRPr="00837FC8">
        <w:rPr>
          <w:rFonts w:cstheme="minorHAnsi"/>
          <w:color w:val="232222" w:themeColor="text1"/>
        </w:rPr>
        <w:t xml:space="preserve"> analyses.</w:t>
      </w:r>
    </w:p>
    <w:p w14:paraId="7AA17FDB" w14:textId="77777777" w:rsidR="003F4354" w:rsidRDefault="003F4354" w:rsidP="003F4354">
      <w:r>
        <w:t>A broader strategic tool in securing extractive resources is to expand on the Extractive Industry Interest Areas (EIIAs). These currently exist in the Victorian Planning Provisions, identifying land that meet criteria on prospectivity, access and land use compatibility. The planning scheme requires decision makers to consider the need for the extractive resources in the EIIA as a check before approving any incompatible uses that would sterilise it. </w:t>
      </w:r>
    </w:p>
    <w:p w14:paraId="0D3C44F7" w14:textId="77777777" w:rsidR="003F4354" w:rsidRDefault="003F4354" w:rsidP="003F4354">
      <w:pPr>
        <w:rPr>
          <w:rFonts w:cstheme="minorHAnsi"/>
          <w:color w:val="000000"/>
        </w:rPr>
      </w:pPr>
      <w:r w:rsidRPr="00837FC8">
        <w:rPr>
          <w:rFonts w:cstheme="minorHAnsi"/>
          <w:color w:val="000000"/>
        </w:rPr>
        <w:t xml:space="preserve">The </w:t>
      </w:r>
      <w:r w:rsidRPr="00ED5AB1">
        <w:rPr>
          <w:rFonts w:cstheme="minorHAnsi"/>
          <w:i/>
          <w:iCs/>
          <w:color w:val="000000"/>
        </w:rPr>
        <w:t>Strategic</w:t>
      </w:r>
      <w:r>
        <w:rPr>
          <w:rFonts w:cstheme="minorHAnsi"/>
          <w:color w:val="000000"/>
        </w:rPr>
        <w:t xml:space="preserve"> </w:t>
      </w:r>
      <w:r w:rsidRPr="00E5520A">
        <w:rPr>
          <w:rFonts w:cstheme="minorHAnsi"/>
          <w:i/>
          <w:iCs/>
          <w:color w:val="000000"/>
        </w:rPr>
        <w:t>Extractive Resources Roadmap</w:t>
      </w:r>
      <w:r w:rsidRPr="00837FC8">
        <w:rPr>
          <w:rFonts w:cstheme="minorHAnsi"/>
          <w:color w:val="000000"/>
        </w:rPr>
        <w:t xml:space="preserve"> was devised to implement the </w:t>
      </w:r>
      <w:r w:rsidRPr="007E6E9B">
        <w:rPr>
          <w:rFonts w:cstheme="minorHAnsi"/>
          <w:i/>
          <w:iCs/>
          <w:color w:val="232222" w:themeColor="text1"/>
        </w:rPr>
        <w:t>Extractive Resources Strategy</w:t>
      </w:r>
      <w:r>
        <w:rPr>
          <w:rFonts w:cstheme="minorHAnsi"/>
          <w:color w:val="232222" w:themeColor="text1"/>
        </w:rPr>
        <w:t xml:space="preserve"> </w:t>
      </w:r>
      <w:r w:rsidRPr="00837FC8">
        <w:rPr>
          <w:rFonts w:cstheme="minorHAnsi"/>
          <w:color w:val="000000"/>
        </w:rPr>
        <w:t>land use components</w:t>
      </w:r>
      <w:r>
        <w:rPr>
          <w:rFonts w:cstheme="minorHAnsi"/>
          <w:color w:val="000000"/>
        </w:rPr>
        <w:t>. It also gave the opportunity for</w:t>
      </w:r>
      <w:r w:rsidRPr="00837FC8">
        <w:rPr>
          <w:rFonts w:cstheme="minorHAnsi"/>
          <w:color w:val="000000"/>
        </w:rPr>
        <w:t xml:space="preserve"> engagement with </w:t>
      </w:r>
      <w:r>
        <w:rPr>
          <w:rFonts w:cstheme="minorHAnsi"/>
          <w:color w:val="000000"/>
        </w:rPr>
        <w:t>G</w:t>
      </w:r>
      <w:r w:rsidRPr="00837FC8">
        <w:rPr>
          <w:rFonts w:cstheme="minorHAnsi"/>
          <w:color w:val="000000"/>
        </w:rPr>
        <w:t>overnment agencies, councils, industry and the community. The roadmap is supported by economic modelling, geoscience and</w:t>
      </w:r>
      <w:r>
        <w:rPr>
          <w:rFonts w:cstheme="minorHAnsi"/>
          <w:color w:val="000000"/>
        </w:rPr>
        <w:t xml:space="preserve"> supply and</w:t>
      </w:r>
      <w:r w:rsidRPr="00837FC8">
        <w:rPr>
          <w:rFonts w:cstheme="minorHAnsi"/>
          <w:color w:val="000000"/>
        </w:rPr>
        <w:t xml:space="preserve"> demand</w:t>
      </w:r>
      <w:r>
        <w:rPr>
          <w:rFonts w:cstheme="minorHAnsi"/>
          <w:color w:val="000000"/>
        </w:rPr>
        <w:t xml:space="preserve"> </w:t>
      </w:r>
      <w:r w:rsidRPr="00837FC8">
        <w:rPr>
          <w:rFonts w:cstheme="minorHAnsi"/>
          <w:color w:val="000000"/>
        </w:rPr>
        <w:t>statistics</w:t>
      </w:r>
      <w:r>
        <w:rPr>
          <w:rFonts w:cstheme="minorHAnsi"/>
          <w:color w:val="000000"/>
        </w:rPr>
        <w:t xml:space="preserve"> data</w:t>
      </w:r>
      <w:r w:rsidRPr="00837FC8">
        <w:rPr>
          <w:rFonts w:cstheme="minorHAnsi"/>
          <w:color w:val="000000"/>
        </w:rPr>
        <w:t>.</w:t>
      </w:r>
    </w:p>
    <w:p w14:paraId="7D85AE65" w14:textId="77777777" w:rsidR="003F4354" w:rsidRDefault="003F4354" w:rsidP="003F4354">
      <w:pPr>
        <w:rPr>
          <w:rFonts w:cstheme="minorHAnsi"/>
          <w:bCs/>
          <w:color w:val="232222" w:themeColor="text1"/>
        </w:rPr>
      </w:pPr>
      <w:r w:rsidRPr="00837FC8">
        <w:rPr>
          <w:rFonts w:cstheme="minorHAnsi"/>
          <w:bCs/>
          <w:color w:val="000000"/>
        </w:rPr>
        <w:t xml:space="preserve">Statewide policy helps to ensure that </w:t>
      </w:r>
      <w:r>
        <w:rPr>
          <w:rFonts w:cstheme="minorHAnsi"/>
          <w:bCs/>
          <w:color w:val="000000"/>
        </w:rPr>
        <w:t xml:space="preserve">local councils’ decisions will contribute to the </w:t>
      </w:r>
      <w:r w:rsidRPr="00837FC8">
        <w:rPr>
          <w:rFonts w:cstheme="minorHAnsi"/>
          <w:bCs/>
          <w:color w:val="000000"/>
        </w:rPr>
        <w:t xml:space="preserve">interests of the state. Implementing </w:t>
      </w:r>
      <w:r>
        <w:rPr>
          <w:rFonts w:cstheme="minorHAnsi"/>
          <w:bCs/>
          <w:color w:val="000000"/>
        </w:rPr>
        <w:t>extractive resource</w:t>
      </w:r>
      <w:r w:rsidRPr="00837FC8">
        <w:rPr>
          <w:rFonts w:cstheme="minorHAnsi"/>
          <w:bCs/>
          <w:color w:val="000000"/>
        </w:rPr>
        <w:t xml:space="preserve"> policies means that</w:t>
      </w:r>
      <w:r>
        <w:rPr>
          <w:rFonts w:cstheme="minorHAnsi"/>
          <w:bCs/>
          <w:color w:val="000000"/>
        </w:rPr>
        <w:t xml:space="preserve"> where</w:t>
      </w:r>
      <w:r w:rsidRPr="00837FC8">
        <w:rPr>
          <w:rFonts w:cstheme="minorHAnsi"/>
          <w:bCs/>
          <w:color w:val="000000"/>
        </w:rPr>
        <w:t xml:space="preserve"> LGAs </w:t>
      </w:r>
      <w:r w:rsidRPr="00837FC8">
        <w:rPr>
          <w:rFonts w:cstheme="minorHAnsi"/>
          <w:bCs/>
          <w:color w:val="232222" w:themeColor="text1"/>
        </w:rPr>
        <w:t xml:space="preserve">contain particularly valuable </w:t>
      </w:r>
      <w:r>
        <w:rPr>
          <w:rFonts w:cstheme="minorHAnsi"/>
          <w:bCs/>
          <w:color w:val="232222" w:themeColor="text1"/>
        </w:rPr>
        <w:t>extractive resources, these</w:t>
      </w:r>
      <w:r w:rsidRPr="00837FC8">
        <w:rPr>
          <w:rFonts w:cstheme="minorHAnsi"/>
          <w:bCs/>
          <w:color w:val="232222" w:themeColor="text1"/>
        </w:rPr>
        <w:t xml:space="preserve"> </w:t>
      </w:r>
      <w:r>
        <w:rPr>
          <w:rFonts w:cstheme="minorHAnsi"/>
          <w:bCs/>
          <w:color w:val="232222" w:themeColor="text1"/>
        </w:rPr>
        <w:t xml:space="preserve">lands </w:t>
      </w:r>
      <w:r w:rsidRPr="00837FC8">
        <w:rPr>
          <w:rFonts w:cstheme="minorHAnsi"/>
          <w:bCs/>
          <w:color w:val="232222" w:themeColor="text1"/>
        </w:rPr>
        <w:t xml:space="preserve">cannot </w:t>
      </w:r>
      <w:r>
        <w:rPr>
          <w:rFonts w:cstheme="minorHAnsi"/>
          <w:bCs/>
          <w:color w:val="232222" w:themeColor="text1"/>
        </w:rPr>
        <w:t xml:space="preserve">be </w:t>
      </w:r>
      <w:r w:rsidRPr="00837FC8">
        <w:rPr>
          <w:rFonts w:cstheme="minorHAnsi"/>
          <w:bCs/>
          <w:color w:val="232222" w:themeColor="text1"/>
        </w:rPr>
        <w:t>develop</w:t>
      </w:r>
      <w:r>
        <w:rPr>
          <w:rFonts w:cstheme="minorHAnsi"/>
          <w:bCs/>
          <w:color w:val="232222" w:themeColor="text1"/>
        </w:rPr>
        <w:t>ed</w:t>
      </w:r>
      <w:r w:rsidRPr="00837FC8">
        <w:rPr>
          <w:rFonts w:cstheme="minorHAnsi"/>
          <w:bCs/>
          <w:color w:val="232222" w:themeColor="text1"/>
        </w:rPr>
        <w:t xml:space="preserve"> for other purposes</w:t>
      </w:r>
      <w:r>
        <w:rPr>
          <w:rFonts w:cstheme="minorHAnsi"/>
          <w:bCs/>
          <w:color w:val="232222" w:themeColor="text1"/>
        </w:rPr>
        <w:t xml:space="preserve">, </w:t>
      </w:r>
      <w:r w:rsidRPr="00837FC8">
        <w:rPr>
          <w:rFonts w:cstheme="minorHAnsi"/>
          <w:bCs/>
          <w:color w:val="232222" w:themeColor="text1"/>
        </w:rPr>
        <w:t>such as housing</w:t>
      </w:r>
      <w:r>
        <w:rPr>
          <w:rFonts w:cstheme="minorHAnsi"/>
          <w:bCs/>
          <w:color w:val="232222" w:themeColor="text1"/>
        </w:rPr>
        <w:t xml:space="preserve">, that would sterilise those resources. </w:t>
      </w:r>
    </w:p>
    <w:p w14:paraId="31890A41" w14:textId="77777777" w:rsidR="003F4354" w:rsidRDefault="003F4354" w:rsidP="00C06A50">
      <w:pPr>
        <w:pStyle w:val="Heading3"/>
      </w:pPr>
      <w:bookmarkStart w:id="43" w:name="_Toc137567784"/>
      <w:r w:rsidRPr="00837FC8">
        <w:t xml:space="preserve">Efficient regulation theme from the </w:t>
      </w:r>
      <w:r w:rsidRPr="00C56978">
        <w:rPr>
          <w:i/>
          <w:iCs/>
        </w:rPr>
        <w:t>Extractive Resources Strategy</w:t>
      </w:r>
      <w:bookmarkEnd w:id="43"/>
    </w:p>
    <w:p w14:paraId="526797F1" w14:textId="38BAB59C" w:rsidR="003F4354" w:rsidRDefault="003F4354" w:rsidP="00C06A50">
      <w:pPr>
        <w:rPr>
          <w:rFonts w:eastAsiaTheme="minorHAnsi"/>
          <w:lang w:eastAsia="en-US"/>
        </w:rPr>
      </w:pPr>
      <w:r w:rsidRPr="00837FC8">
        <w:rPr>
          <w:rFonts w:eastAsiaTheme="minorHAnsi" w:cstheme="minorHAnsi"/>
          <w:color w:val="000000"/>
          <w:lang w:eastAsia="en-US"/>
        </w:rPr>
        <w:t xml:space="preserve">With growing pressure for more short- to medium-term extractive resource supplies, the </w:t>
      </w:r>
      <w:r>
        <w:rPr>
          <w:rFonts w:eastAsiaTheme="minorHAnsi" w:cstheme="minorHAnsi"/>
          <w:color w:val="000000"/>
          <w:lang w:eastAsia="en-US"/>
        </w:rPr>
        <w:t>G</w:t>
      </w:r>
      <w:r w:rsidRPr="00837FC8">
        <w:rPr>
          <w:rFonts w:eastAsiaTheme="minorHAnsi" w:cstheme="minorHAnsi"/>
          <w:color w:val="000000"/>
          <w:lang w:eastAsia="en-US"/>
        </w:rPr>
        <w:t xml:space="preserve">overnment has introduced the Priority Project List and </w:t>
      </w:r>
      <w:r w:rsidR="005259F9">
        <w:rPr>
          <w:rFonts w:eastAsiaTheme="minorHAnsi" w:cstheme="minorHAnsi"/>
          <w:color w:val="000000"/>
          <w:lang w:eastAsia="en-US"/>
        </w:rPr>
        <w:t xml:space="preserve">the Resources Victoria Approvals Coordination </w:t>
      </w:r>
      <w:r w:rsidRPr="00837FC8">
        <w:rPr>
          <w:rFonts w:eastAsiaTheme="minorHAnsi" w:cstheme="minorHAnsi"/>
          <w:color w:val="000000"/>
          <w:lang w:eastAsia="en-US"/>
        </w:rPr>
        <w:t>initiatives to expedite work plan variation approvals</w:t>
      </w:r>
      <w:r>
        <w:rPr>
          <w:rFonts w:eastAsiaTheme="minorHAnsi" w:cstheme="minorHAnsi"/>
          <w:color w:val="000000"/>
          <w:lang w:eastAsia="en-US"/>
        </w:rPr>
        <w:t>.</w:t>
      </w:r>
      <w:r w:rsidRPr="00837FC8">
        <w:rPr>
          <w:rStyle w:val="FootnoteReference"/>
          <w:rFonts w:eastAsiaTheme="minorHAnsi" w:cstheme="minorHAnsi"/>
          <w:color w:val="000000"/>
          <w:lang w:eastAsia="en-US"/>
        </w:rPr>
        <w:footnoteReference w:id="21"/>
      </w:r>
      <w:r w:rsidRPr="00837FC8">
        <w:rPr>
          <w:rFonts w:eastAsiaTheme="minorHAnsi" w:cstheme="minorHAnsi"/>
          <w:color w:val="000000"/>
          <w:lang w:eastAsia="en-US"/>
        </w:rPr>
        <w:t> These initiatives aim to make untapped resources within work authorities available for the future market and increase the availability of shovel-ready reserves (those with investment certainty) to meet immediate market needs.</w:t>
      </w:r>
    </w:p>
    <w:p w14:paraId="1A963304" w14:textId="0EFCC640" w:rsidR="003F4354" w:rsidRDefault="003F4354" w:rsidP="00C06A50">
      <w:pPr>
        <w:rPr>
          <w:rFonts w:eastAsiaTheme="minorHAnsi"/>
          <w:lang w:eastAsia="en-US"/>
        </w:rPr>
      </w:pPr>
      <w:r w:rsidRPr="00837FC8">
        <w:rPr>
          <w:rFonts w:eastAsiaTheme="minorHAnsi"/>
          <w:lang w:eastAsia="en-US"/>
        </w:rPr>
        <w:t>The Better Approvals for Regulators (Earth Resources) program addresses quarry proponents’ access to the approval system.</w:t>
      </w:r>
      <w:r>
        <w:rPr>
          <w:rStyle w:val="FootnoteReference"/>
          <w:rFonts w:eastAsiaTheme="minorHAnsi" w:cstheme="minorHAnsi"/>
          <w:color w:val="000000"/>
          <w:lang w:eastAsia="en-US"/>
        </w:rPr>
        <w:footnoteReference w:id="22"/>
      </w:r>
      <w:r w:rsidRPr="00837FC8">
        <w:rPr>
          <w:rFonts w:eastAsiaTheme="minorHAnsi"/>
          <w:lang w:eastAsia="en-US"/>
        </w:rPr>
        <w:t xml:space="preserve"> The program reviewed the approvals process for statutory authorisations by the Earth Resources Regulator and has led to improvements to the application assessment process by the Earth Resources Regulator and better information for quarry proponents on how to produce successful applications. A new code of practice for</w:t>
      </w:r>
      <w:r w:rsidR="00BC19C8" w:rsidRPr="00501758">
        <w:rPr>
          <w:rFonts w:eastAsiaTheme="minorHAnsi"/>
          <w:lang w:eastAsia="en-US"/>
        </w:rPr>
        <w:t xml:space="preserve"> </w:t>
      </w:r>
      <w:r w:rsidR="00BC19C8">
        <w:rPr>
          <w:rFonts w:eastAsiaTheme="minorHAnsi"/>
          <w:lang w:eastAsia="en-US"/>
        </w:rPr>
        <w:t>c</w:t>
      </w:r>
      <w:r w:rsidR="00BC19C8" w:rsidRPr="00501758">
        <w:rPr>
          <w:rFonts w:eastAsiaTheme="minorHAnsi"/>
          <w:lang w:eastAsia="en-US"/>
        </w:rPr>
        <w:t xml:space="preserve">ommon </w:t>
      </w:r>
      <w:r w:rsidR="00BC19C8">
        <w:rPr>
          <w:rFonts w:eastAsiaTheme="minorHAnsi"/>
          <w:lang w:eastAsia="en-US"/>
        </w:rPr>
        <w:t>r</w:t>
      </w:r>
      <w:r w:rsidR="00BC19C8" w:rsidRPr="00501758">
        <w:rPr>
          <w:rFonts w:eastAsiaTheme="minorHAnsi"/>
          <w:lang w:eastAsia="en-US"/>
        </w:rPr>
        <w:t xml:space="preserve">isk </w:t>
      </w:r>
      <w:r w:rsidR="00BC19C8">
        <w:rPr>
          <w:rFonts w:eastAsiaTheme="minorHAnsi"/>
          <w:lang w:eastAsia="en-US"/>
        </w:rPr>
        <w:t>m</w:t>
      </w:r>
      <w:r w:rsidR="00BC19C8" w:rsidRPr="00501758">
        <w:rPr>
          <w:rFonts w:eastAsiaTheme="minorHAnsi"/>
          <w:lang w:eastAsia="en-US"/>
        </w:rPr>
        <w:t xml:space="preserve">anagement </w:t>
      </w:r>
      <w:r w:rsidR="00BC19C8">
        <w:rPr>
          <w:rFonts w:eastAsiaTheme="minorHAnsi"/>
          <w:lang w:eastAsia="en-US"/>
        </w:rPr>
        <w:t>t</w:t>
      </w:r>
      <w:r w:rsidR="00BC19C8" w:rsidRPr="00501758">
        <w:rPr>
          <w:rFonts w:eastAsiaTheme="minorHAnsi"/>
          <w:lang w:eastAsia="en-US"/>
        </w:rPr>
        <w:t xml:space="preserve">echniques for </w:t>
      </w:r>
      <w:r w:rsidR="00BC19C8">
        <w:rPr>
          <w:rFonts w:eastAsiaTheme="minorHAnsi"/>
          <w:lang w:eastAsia="en-US"/>
        </w:rPr>
        <w:t>q</w:t>
      </w:r>
      <w:r w:rsidR="00BC19C8" w:rsidRPr="00501758">
        <w:rPr>
          <w:rFonts w:eastAsiaTheme="minorHAnsi"/>
          <w:lang w:eastAsia="en-US"/>
        </w:rPr>
        <w:t>uarries</w:t>
      </w:r>
      <w:r w:rsidR="00BC19C8" w:rsidRPr="00837FC8">
        <w:rPr>
          <w:rFonts w:eastAsiaTheme="minorHAnsi"/>
          <w:lang w:eastAsia="en-US"/>
        </w:rPr>
        <w:t xml:space="preserve"> </w:t>
      </w:r>
      <w:r>
        <w:rPr>
          <w:rFonts w:eastAsiaTheme="minorHAnsi"/>
          <w:lang w:eastAsia="en-US"/>
        </w:rPr>
        <w:t xml:space="preserve">is now being developed and should further </w:t>
      </w:r>
      <w:r w:rsidRPr="00837FC8">
        <w:rPr>
          <w:rFonts w:eastAsiaTheme="minorHAnsi"/>
          <w:lang w:eastAsia="en-US"/>
        </w:rPr>
        <w:t>streamline approvals.</w:t>
      </w:r>
      <w:r w:rsidR="00BC19C8">
        <w:rPr>
          <w:rFonts w:eastAsiaTheme="minorHAnsi"/>
          <w:lang w:eastAsia="en-US"/>
        </w:rPr>
        <w:t xml:space="preserve"> </w:t>
      </w:r>
    </w:p>
    <w:p w14:paraId="3A69118C" w14:textId="77777777" w:rsidR="003F4354" w:rsidRDefault="003F4354" w:rsidP="00C06A50">
      <w:pPr>
        <w:pStyle w:val="Heading3"/>
      </w:pPr>
      <w:bookmarkStart w:id="44" w:name="_Toc137567785"/>
      <w:r w:rsidRPr="00837FC8">
        <w:t>Transport and local infrastructure planning theme</w:t>
      </w:r>
      <w:r>
        <w:t xml:space="preserve"> </w:t>
      </w:r>
      <w:r w:rsidRPr="00837FC8">
        <w:t xml:space="preserve">from the </w:t>
      </w:r>
      <w:r w:rsidRPr="00C56978">
        <w:rPr>
          <w:i/>
          <w:iCs/>
        </w:rPr>
        <w:t>Extractive Resources Strategy</w:t>
      </w:r>
      <w:bookmarkEnd w:id="44"/>
    </w:p>
    <w:p w14:paraId="1562EAD4" w14:textId="77777777" w:rsidR="003F4354" w:rsidRDefault="003F4354" w:rsidP="00C06A50">
      <w:pPr>
        <w:rPr>
          <w:rStyle w:val="eop"/>
          <w:rFonts w:eastAsiaTheme="majorEastAsia" w:cstheme="minorHAnsi"/>
        </w:rPr>
      </w:pPr>
      <w:r w:rsidRPr="00837FC8">
        <w:rPr>
          <w:rFonts w:cstheme="minorHAnsi"/>
        </w:rPr>
        <w:t>Transport costs contribute significantly to the overall cost of extractive resources and the affordability of construction projects. Reducing transport distances reduces the final cost of materials and reduces emissions and impacts on communities.</w:t>
      </w:r>
    </w:p>
    <w:p w14:paraId="69724D37" w14:textId="6BD2E9DE" w:rsidR="003F4354" w:rsidRPr="00837FC8" w:rsidRDefault="003F4354" w:rsidP="00C06A50">
      <w:r w:rsidRPr="00837FC8">
        <w:t xml:space="preserve">The </w:t>
      </w:r>
      <w:r w:rsidRPr="007E6E9B">
        <w:rPr>
          <w:i/>
          <w:iCs/>
          <w:color w:val="232222" w:themeColor="text1"/>
        </w:rPr>
        <w:t>Extractive Resources Strategy</w:t>
      </w:r>
      <w:r w:rsidRPr="00837FC8" w:rsidDel="00483F10">
        <w:t xml:space="preserve"> </w:t>
      </w:r>
      <w:r w:rsidRPr="00837FC8">
        <w:t>highlights the importance of efficient freight routes, particularly at the first and final kilometres of transporting extractive resources.</w:t>
      </w:r>
      <w:r>
        <w:t xml:space="preserve"> Further studies are planned to inform transport infrastructure road and rail projects that improve the movement of extractive materials.  </w:t>
      </w:r>
    </w:p>
    <w:p w14:paraId="7C5D7B9D" w14:textId="77777777" w:rsidR="003F4354" w:rsidRDefault="003F4354" w:rsidP="003F4354">
      <w:pPr>
        <w:pStyle w:val="Heading1"/>
      </w:pPr>
      <w:bookmarkStart w:id="45" w:name="_Toc130274675"/>
      <w:bookmarkStart w:id="46" w:name="_Toc137567786"/>
      <w:r w:rsidRPr="00837FC8">
        <w:lastRenderedPageBreak/>
        <w:t>2. Demand</w:t>
      </w:r>
      <w:r>
        <w:t xml:space="preserve"> analysis</w:t>
      </w:r>
      <w:bookmarkEnd w:id="45"/>
      <w:bookmarkEnd w:id="46"/>
    </w:p>
    <w:p w14:paraId="2F585F20" w14:textId="77777777" w:rsidR="003F4354" w:rsidRDefault="003F4354" w:rsidP="003F4354">
      <w:pPr>
        <w:pStyle w:val="Heading2"/>
      </w:pPr>
      <w:bookmarkStart w:id="47" w:name="_Toc130274676"/>
      <w:bookmarkStart w:id="48" w:name="_Toc137567787"/>
      <w:r w:rsidRPr="00837FC8">
        <w:t>2.1 Methodology and assumptions</w:t>
      </w:r>
      <w:bookmarkEnd w:id="47"/>
      <w:bookmarkEnd w:id="48"/>
    </w:p>
    <w:p w14:paraId="56B6EE95" w14:textId="06741BBA" w:rsidR="003F4354" w:rsidRPr="00837FC8" w:rsidRDefault="003F4354" w:rsidP="003F4354">
      <w:pPr>
        <w:rPr>
          <w:color w:val="000000"/>
        </w:rPr>
      </w:pPr>
      <w:r>
        <w:rPr>
          <w:color w:val="232222" w:themeColor="text1"/>
        </w:rPr>
        <w:t>For this report, t</w:t>
      </w:r>
      <w:r w:rsidRPr="00837FC8">
        <w:rPr>
          <w:color w:val="232222" w:themeColor="text1"/>
        </w:rPr>
        <w:t xml:space="preserve">he Department engaged Frontier Economics to </w:t>
      </w:r>
      <w:r>
        <w:rPr>
          <w:color w:val="232222" w:themeColor="text1"/>
        </w:rPr>
        <w:t>review</w:t>
      </w:r>
      <w:r w:rsidRPr="00837FC8">
        <w:rPr>
          <w:color w:val="232222" w:themeColor="text1"/>
        </w:rPr>
        <w:t xml:space="preserve"> the previous demand </w:t>
      </w:r>
      <w:r>
        <w:rPr>
          <w:color w:val="232222" w:themeColor="text1"/>
        </w:rPr>
        <w:t>forecast undertaken by PwC</w:t>
      </w:r>
      <w:r w:rsidRPr="00837FC8">
        <w:rPr>
          <w:color w:val="232222" w:themeColor="text1"/>
        </w:rPr>
        <w:t xml:space="preserve">. The review listed the following opportunities for </w:t>
      </w:r>
      <w:r>
        <w:rPr>
          <w:color w:val="232222" w:themeColor="text1"/>
        </w:rPr>
        <w:t>improvement</w:t>
      </w:r>
      <w:r w:rsidRPr="00837FC8">
        <w:rPr>
          <w:color w:val="232222" w:themeColor="text1"/>
        </w:rPr>
        <w:t>:</w:t>
      </w:r>
    </w:p>
    <w:p w14:paraId="42EBB906" w14:textId="77777777" w:rsidR="003F4354" w:rsidRPr="00837FC8" w:rsidRDefault="003F4354" w:rsidP="004129D2">
      <w:pPr>
        <w:pStyle w:val="ListBullet"/>
      </w:pPr>
      <w:r w:rsidRPr="00837FC8">
        <w:t>Develop in-house modelling capability and develop econometric time series models for forecasting</w:t>
      </w:r>
    </w:p>
    <w:p w14:paraId="58D6428F" w14:textId="77777777" w:rsidR="003F4354" w:rsidRDefault="003F4354" w:rsidP="004129D2">
      <w:pPr>
        <w:pStyle w:val="ListBullet"/>
      </w:pPr>
      <w:r w:rsidRPr="00837FC8">
        <w:t xml:space="preserve">Model demand for </w:t>
      </w:r>
      <w:r>
        <w:t>extractive resources</w:t>
      </w:r>
      <w:r w:rsidRPr="00837FC8">
        <w:t xml:space="preserve"> directly, as opposed to modelling demand for construction expenditure.</w:t>
      </w:r>
    </w:p>
    <w:p w14:paraId="3BF41ED9" w14:textId="77777777" w:rsidR="003F4354" w:rsidRDefault="003F4354" w:rsidP="003F4354">
      <w:pPr>
        <w:tabs>
          <w:tab w:val="left" w:pos="1984"/>
        </w:tabs>
        <w:rPr>
          <w:rFonts w:cs="Arial"/>
        </w:rPr>
      </w:pPr>
      <w:r>
        <w:rPr>
          <w:rFonts w:cs="Arial"/>
        </w:rPr>
        <w:t>The demand f</w:t>
      </w:r>
      <w:r w:rsidRPr="00837FC8">
        <w:rPr>
          <w:rFonts w:cs="Arial"/>
        </w:rPr>
        <w:t xml:space="preserve">orecasts </w:t>
      </w:r>
      <w:r>
        <w:rPr>
          <w:rFonts w:cs="Arial"/>
        </w:rPr>
        <w:t xml:space="preserve">have been designed to assist in </w:t>
      </w:r>
      <w:r w:rsidRPr="00837FC8">
        <w:rPr>
          <w:rFonts w:cs="Arial"/>
        </w:rPr>
        <w:t>determin</w:t>
      </w:r>
      <w:r>
        <w:rPr>
          <w:rFonts w:cs="Arial"/>
        </w:rPr>
        <w:t>ing</w:t>
      </w:r>
      <w:r w:rsidRPr="00837FC8">
        <w:rPr>
          <w:rFonts w:cs="Arial"/>
        </w:rPr>
        <w:t xml:space="preserve"> whether supply is likely to be sufficient to meet demand over the short</w:t>
      </w:r>
      <w:r>
        <w:rPr>
          <w:rFonts w:cs="Arial"/>
        </w:rPr>
        <w:t>-</w:t>
      </w:r>
      <w:r w:rsidRPr="00837FC8">
        <w:rPr>
          <w:rFonts w:cs="Arial"/>
        </w:rPr>
        <w:t xml:space="preserve"> (2021-22 to 2026-27) and medium</w:t>
      </w:r>
      <w:r>
        <w:rPr>
          <w:rFonts w:cs="Arial"/>
        </w:rPr>
        <w:t>-</w:t>
      </w:r>
      <w:r w:rsidRPr="00837FC8">
        <w:rPr>
          <w:rFonts w:cs="Arial"/>
        </w:rPr>
        <w:t xml:space="preserve">term (2026-27 to 2029-30). </w:t>
      </w:r>
    </w:p>
    <w:p w14:paraId="61C9B5CC" w14:textId="77777777" w:rsidR="003F4354" w:rsidRDefault="003F4354" w:rsidP="003F4354">
      <w:pPr>
        <w:tabs>
          <w:tab w:val="left" w:pos="1984"/>
        </w:tabs>
        <w:rPr>
          <w:rFonts w:cs="Arial"/>
        </w:rPr>
      </w:pPr>
      <w:r w:rsidRPr="00837FC8">
        <w:rPr>
          <w:rFonts w:cs="Arial"/>
        </w:rPr>
        <w:t xml:space="preserve">The </w:t>
      </w:r>
      <w:r>
        <w:rPr>
          <w:rFonts w:cs="Arial"/>
        </w:rPr>
        <w:t xml:space="preserve">demand </w:t>
      </w:r>
      <w:r w:rsidRPr="00837FC8">
        <w:rPr>
          <w:rFonts w:cs="Arial"/>
        </w:rPr>
        <w:t xml:space="preserve">forecasts, which capture statewide demand, are presented by LGA. This information is used later in this report </w:t>
      </w:r>
      <w:r>
        <w:rPr>
          <w:rFonts w:cs="Arial"/>
        </w:rPr>
        <w:t xml:space="preserve">(in the integration analysis) </w:t>
      </w:r>
      <w:r w:rsidRPr="00837FC8">
        <w:rPr>
          <w:rFonts w:cs="Arial"/>
        </w:rPr>
        <w:t>to determine whether supply areas are close to regions of high demand, including growth areas and major projects.</w:t>
      </w:r>
    </w:p>
    <w:p w14:paraId="2C2C11AC" w14:textId="77777777" w:rsidR="003F4354" w:rsidRDefault="003F4354" w:rsidP="003F4354">
      <w:r>
        <w:t xml:space="preserve">The demand forecasts rely on the use of </w:t>
      </w:r>
      <w:r w:rsidRPr="00837FC8">
        <w:t xml:space="preserve">historical production data for each of the two rock types (hard rock, and sand and gravel) </w:t>
      </w:r>
      <w:r>
        <w:t xml:space="preserve">both separately </w:t>
      </w:r>
      <w:r w:rsidRPr="00837FC8">
        <w:t>and collectively (as a total) to develop</w:t>
      </w:r>
      <w:r>
        <w:t xml:space="preserve"> short- and medium-term</w:t>
      </w:r>
      <w:r w:rsidRPr="00837FC8">
        <w:t xml:space="preserve"> models. </w:t>
      </w:r>
      <w:r>
        <w:t>The models assume that the level of production today represents demand and then it applies various demand drivers and makes assumptions about how much of an impact this will have on future demand.</w:t>
      </w:r>
    </w:p>
    <w:p w14:paraId="1561B05E" w14:textId="77777777" w:rsidR="003F4354" w:rsidRDefault="003F4354" w:rsidP="003F4354">
      <w:r w:rsidRPr="00837FC8">
        <w:t>The demand for clay was not modelled. Instead, its growth rate</w:t>
      </w:r>
      <w:r>
        <w:t>, expected to be relatively constant, is</w:t>
      </w:r>
      <w:r w:rsidRPr="00837FC8">
        <w:t xml:space="preserve"> extrapolated over 2022-30.</w:t>
      </w:r>
      <w:r w:rsidRPr="00837FC8">
        <w:br/>
      </w:r>
      <w:r w:rsidRPr="00837FC8">
        <w:br/>
      </w:r>
      <w:r w:rsidRPr="00C13389">
        <w:t xml:space="preserve">The short-term models are linear econometric models, driven by macroeconomic indicators. The </w:t>
      </w:r>
      <w:r w:rsidRPr="00ED5AB1">
        <w:t>m</w:t>
      </w:r>
      <w:r w:rsidRPr="00C13389">
        <w:t xml:space="preserve">edium-term models are trend models, where total </w:t>
      </w:r>
      <w:r>
        <w:t>extractive resources</w:t>
      </w:r>
      <w:r w:rsidRPr="00C13389">
        <w:t xml:space="preserve"> and hard rock production grow at their historical rate and sand and gravel production growth is determined by its historical relationship to population.</w:t>
      </w:r>
    </w:p>
    <w:p w14:paraId="3019F059" w14:textId="682D1AC3" w:rsidR="003F4354" w:rsidRPr="00837FC8" w:rsidRDefault="003F4354" w:rsidP="003F4354">
      <w:r w:rsidRPr="006F42F1">
        <w:fldChar w:fldCharType="begin"/>
      </w:r>
      <w:r w:rsidRPr="006F42F1">
        <w:instrText xml:space="preserve"> REF _Ref117677036 \h  \* MERGEFORMAT </w:instrText>
      </w:r>
      <w:r w:rsidRPr="006F42F1">
        <w:fldChar w:fldCharType="separate"/>
      </w:r>
      <w:r w:rsidR="000154C7" w:rsidRPr="006F42F1">
        <w:t xml:space="preserve">Table </w:t>
      </w:r>
      <w:r w:rsidR="000154C7">
        <w:rPr>
          <w:noProof/>
        </w:rPr>
        <w:t>2</w:t>
      </w:r>
      <w:r w:rsidRPr="006F42F1">
        <w:fldChar w:fldCharType="end"/>
      </w:r>
      <w:r w:rsidRPr="00837FC8">
        <w:t xml:space="preserve"> </w:t>
      </w:r>
      <w:r>
        <w:t>below outlines the drivers of demand in the short- and medium-term models</w:t>
      </w:r>
      <w:r w:rsidRPr="00837FC8">
        <w:t xml:space="preserve">. </w:t>
      </w:r>
      <w:r w:rsidRPr="00837FC8">
        <w:br/>
      </w:r>
    </w:p>
    <w:p w14:paraId="6E265827" w14:textId="6A70BAE1" w:rsidR="003F4354" w:rsidRPr="00837FC8" w:rsidRDefault="003F4354" w:rsidP="00FF6070">
      <w:pPr>
        <w:pStyle w:val="Caption"/>
      </w:pPr>
      <w:bookmarkStart w:id="49" w:name="_Ref117677036"/>
      <w:bookmarkStart w:id="50" w:name="_Ref114144592"/>
      <w:r w:rsidRPr="006F42F1">
        <w:t xml:space="preserve">Table </w:t>
      </w:r>
      <w:fldSimple w:instr=" SEQ Table \* ARABIC ">
        <w:r w:rsidR="000154C7">
          <w:rPr>
            <w:noProof/>
          </w:rPr>
          <w:t>2</w:t>
        </w:r>
      </w:fldSimple>
      <w:bookmarkEnd w:id="49"/>
      <w:r>
        <w:rPr>
          <w:noProof/>
        </w:rPr>
        <w:t>.</w:t>
      </w:r>
      <w:r w:rsidRPr="00837FC8">
        <w:t xml:space="preserve"> </w:t>
      </w:r>
      <w:bookmarkEnd w:id="50"/>
      <w:r w:rsidRPr="00837FC8">
        <w:t xml:space="preserve">Drivers of </w:t>
      </w:r>
      <w:r>
        <w:t>demand</w:t>
      </w:r>
      <w:r w:rsidRPr="00837FC8">
        <w:t xml:space="preserve"> in the short- and </w:t>
      </w:r>
      <w:r>
        <w:t>medium</w:t>
      </w:r>
      <w:r w:rsidRPr="00837FC8">
        <w:t>-term models</w:t>
      </w:r>
    </w:p>
    <w:tbl>
      <w:tblPr>
        <w:tblStyle w:val="TableGrid"/>
        <w:tblpPr w:leftFromText="180" w:rightFromText="180" w:vertAnchor="text" w:horzAnchor="margin" w:tblpY="121"/>
        <w:tblW w:w="9498" w:type="dxa"/>
        <w:tblLook w:val="0420" w:firstRow="1" w:lastRow="0" w:firstColumn="0" w:lastColumn="0" w:noHBand="0" w:noVBand="1"/>
      </w:tblPr>
      <w:tblGrid>
        <w:gridCol w:w="1838"/>
        <w:gridCol w:w="4541"/>
        <w:gridCol w:w="3119"/>
      </w:tblGrid>
      <w:tr w:rsidR="003F4354" w:rsidRPr="00837FC8" w14:paraId="62E6EC07" w14:textId="77777777" w:rsidTr="00407F8B">
        <w:trPr>
          <w:cnfStyle w:val="100000000000" w:firstRow="1" w:lastRow="0" w:firstColumn="0" w:lastColumn="0" w:oddVBand="0" w:evenVBand="0" w:oddHBand="0" w:evenHBand="0" w:firstRowFirstColumn="0" w:firstRowLastColumn="0" w:lastRowFirstColumn="0" w:lastRowLastColumn="0"/>
          <w:trHeight w:val="485"/>
        </w:trPr>
        <w:tc>
          <w:tcPr>
            <w:tcW w:w="1838" w:type="dxa"/>
            <w:hideMark/>
          </w:tcPr>
          <w:p w14:paraId="5010B77E" w14:textId="77777777" w:rsidR="003F4354" w:rsidRPr="00837FC8" w:rsidRDefault="003F4354">
            <w:r w:rsidRPr="00837FC8">
              <w:rPr>
                <w:b/>
                <w:bCs/>
              </w:rPr>
              <w:t>Variable</w:t>
            </w:r>
          </w:p>
        </w:tc>
        <w:tc>
          <w:tcPr>
            <w:tcW w:w="4541" w:type="dxa"/>
            <w:hideMark/>
          </w:tcPr>
          <w:p w14:paraId="2C5C4932" w14:textId="77777777" w:rsidR="003F4354" w:rsidRPr="00837FC8" w:rsidRDefault="003F4354">
            <w:r w:rsidRPr="00837FC8">
              <w:rPr>
                <w:b/>
                <w:bCs/>
              </w:rPr>
              <w:t>Short-term drivers</w:t>
            </w:r>
            <w:r w:rsidRPr="00837FC8">
              <w:rPr>
                <w:b/>
                <w:bCs/>
              </w:rPr>
              <w:br/>
              <w:t>(2021-22 to 2026-27)</w:t>
            </w:r>
          </w:p>
        </w:tc>
        <w:tc>
          <w:tcPr>
            <w:tcW w:w="3119" w:type="dxa"/>
            <w:hideMark/>
          </w:tcPr>
          <w:p w14:paraId="6B70D6A2" w14:textId="77777777" w:rsidR="003F4354" w:rsidRPr="00837FC8" w:rsidRDefault="003F4354">
            <w:r w:rsidRPr="00837FC8">
              <w:rPr>
                <w:b/>
                <w:bCs/>
              </w:rPr>
              <w:t>Medium-term drivers</w:t>
            </w:r>
            <w:r w:rsidRPr="00837FC8">
              <w:rPr>
                <w:b/>
                <w:bCs/>
              </w:rPr>
              <w:br/>
              <w:t>(2026-27 to 2029-30)</w:t>
            </w:r>
          </w:p>
        </w:tc>
      </w:tr>
      <w:tr w:rsidR="003F4354" w:rsidRPr="00837FC8" w14:paraId="23AB7796" w14:textId="77777777" w:rsidTr="00407F8B">
        <w:trPr>
          <w:trHeight w:val="723"/>
        </w:trPr>
        <w:tc>
          <w:tcPr>
            <w:tcW w:w="1838" w:type="dxa"/>
            <w:hideMark/>
          </w:tcPr>
          <w:p w14:paraId="4FF9A707" w14:textId="77777777" w:rsidR="003F4354" w:rsidRPr="00837FC8" w:rsidRDefault="003F4354">
            <w:r w:rsidRPr="00837FC8">
              <w:t xml:space="preserve">Total </w:t>
            </w:r>
            <w:r>
              <w:t>extractive resources</w:t>
            </w:r>
            <w:r w:rsidRPr="00837FC8">
              <w:t xml:space="preserve"> demand</w:t>
            </w:r>
          </w:p>
        </w:tc>
        <w:tc>
          <w:tcPr>
            <w:tcW w:w="4541" w:type="dxa"/>
            <w:hideMark/>
          </w:tcPr>
          <w:p w14:paraId="37899342" w14:textId="77777777" w:rsidR="003F4354" w:rsidRPr="00837FC8" w:rsidRDefault="003F4354">
            <w:r w:rsidRPr="00837FC8">
              <w:t>Roads, highways and subdivision construction</w:t>
            </w:r>
          </w:p>
          <w:p w14:paraId="33E30B0B" w14:textId="77777777" w:rsidR="003F4354" w:rsidRPr="00837FC8" w:rsidRDefault="003F4354">
            <w:r w:rsidRPr="00837FC8">
              <w:t>Gross state product</w:t>
            </w:r>
          </w:p>
        </w:tc>
        <w:tc>
          <w:tcPr>
            <w:tcW w:w="3119" w:type="dxa"/>
            <w:hideMark/>
          </w:tcPr>
          <w:p w14:paraId="282B6416" w14:textId="77777777" w:rsidR="003F4354" w:rsidRPr="00837FC8" w:rsidRDefault="003F4354">
            <w:r w:rsidRPr="00837FC8">
              <w:t>Historical and forecast data growth rates</w:t>
            </w:r>
          </w:p>
        </w:tc>
      </w:tr>
      <w:tr w:rsidR="003F4354" w:rsidRPr="00837FC8" w14:paraId="385E5402" w14:textId="77777777" w:rsidTr="00407F8B">
        <w:trPr>
          <w:trHeight w:val="733"/>
        </w:trPr>
        <w:tc>
          <w:tcPr>
            <w:tcW w:w="1838" w:type="dxa"/>
            <w:hideMark/>
          </w:tcPr>
          <w:p w14:paraId="041775EF" w14:textId="77777777" w:rsidR="003F4354" w:rsidRPr="00837FC8" w:rsidRDefault="003F4354">
            <w:r w:rsidRPr="00837FC8">
              <w:t>Hard rock demand</w:t>
            </w:r>
          </w:p>
        </w:tc>
        <w:tc>
          <w:tcPr>
            <w:tcW w:w="4541" w:type="dxa"/>
            <w:hideMark/>
          </w:tcPr>
          <w:p w14:paraId="13140D65" w14:textId="77777777" w:rsidR="003F4354" w:rsidRPr="00837FC8" w:rsidRDefault="003F4354">
            <w:r w:rsidRPr="00837FC8">
              <w:t>Roads, highways and subdivision construction</w:t>
            </w:r>
          </w:p>
          <w:p w14:paraId="03529EAE" w14:textId="77777777" w:rsidR="003F4354" w:rsidRPr="00837FC8" w:rsidRDefault="003F4354">
            <w:r w:rsidRPr="00837FC8">
              <w:t>Gross state product</w:t>
            </w:r>
          </w:p>
        </w:tc>
        <w:tc>
          <w:tcPr>
            <w:tcW w:w="3119" w:type="dxa"/>
            <w:hideMark/>
          </w:tcPr>
          <w:p w14:paraId="139E3B87" w14:textId="77777777" w:rsidR="003F4354" w:rsidRPr="00837FC8" w:rsidRDefault="003F4354">
            <w:r w:rsidRPr="00837FC8">
              <w:t>Historical and forecast data growth rates</w:t>
            </w:r>
          </w:p>
        </w:tc>
      </w:tr>
      <w:tr w:rsidR="003F4354" w:rsidRPr="00837FC8" w14:paraId="2E7622E6" w14:textId="77777777" w:rsidTr="00407F8B">
        <w:trPr>
          <w:trHeight w:val="971"/>
        </w:trPr>
        <w:tc>
          <w:tcPr>
            <w:tcW w:w="1838" w:type="dxa"/>
            <w:hideMark/>
          </w:tcPr>
          <w:p w14:paraId="15C9906B" w14:textId="77777777" w:rsidR="003F4354" w:rsidRPr="00837FC8" w:rsidRDefault="003F4354">
            <w:r w:rsidRPr="00837FC8">
              <w:t>Sand and gravel demand</w:t>
            </w:r>
          </w:p>
        </w:tc>
        <w:tc>
          <w:tcPr>
            <w:tcW w:w="4541" w:type="dxa"/>
            <w:hideMark/>
          </w:tcPr>
          <w:p w14:paraId="70B61B7B" w14:textId="77777777" w:rsidR="003F4354" w:rsidRPr="00837FC8" w:rsidRDefault="003F4354">
            <w:r w:rsidRPr="00837FC8">
              <w:t>Roads, highways and subdivision construction</w:t>
            </w:r>
          </w:p>
          <w:p w14:paraId="154929E2" w14:textId="77777777" w:rsidR="003F4354" w:rsidRPr="00837FC8" w:rsidRDefault="003F4354">
            <w:r w:rsidRPr="00837FC8">
              <w:t>Pipeline of residential construction</w:t>
            </w:r>
          </w:p>
          <w:p w14:paraId="32D881AB" w14:textId="77777777" w:rsidR="003F4354" w:rsidRPr="00837FC8" w:rsidRDefault="003F4354">
            <w:r w:rsidRPr="00837FC8">
              <w:t>Gross state product</w:t>
            </w:r>
          </w:p>
        </w:tc>
        <w:tc>
          <w:tcPr>
            <w:tcW w:w="3119" w:type="dxa"/>
            <w:hideMark/>
          </w:tcPr>
          <w:p w14:paraId="36F34A4C" w14:textId="77777777" w:rsidR="003F4354" w:rsidRPr="00837FC8" w:rsidRDefault="003F4354">
            <w:r w:rsidRPr="00837FC8">
              <w:t>Population</w:t>
            </w:r>
          </w:p>
        </w:tc>
      </w:tr>
      <w:tr w:rsidR="003F4354" w:rsidRPr="00837FC8" w14:paraId="6E8D1A2C" w14:textId="77777777" w:rsidTr="00407F8B">
        <w:trPr>
          <w:trHeight w:val="237"/>
        </w:trPr>
        <w:tc>
          <w:tcPr>
            <w:tcW w:w="1838" w:type="dxa"/>
            <w:hideMark/>
          </w:tcPr>
          <w:p w14:paraId="05258A81" w14:textId="77777777" w:rsidR="003F4354" w:rsidRPr="00837FC8" w:rsidRDefault="003F4354">
            <w:r w:rsidRPr="00837FC8">
              <w:t>Clay demand</w:t>
            </w:r>
          </w:p>
        </w:tc>
        <w:tc>
          <w:tcPr>
            <w:tcW w:w="7660" w:type="dxa"/>
            <w:gridSpan w:val="2"/>
            <w:hideMark/>
          </w:tcPr>
          <w:p w14:paraId="0C3F2C24" w14:textId="77777777" w:rsidR="003F4354" w:rsidRPr="00837FC8" w:rsidRDefault="003F4354">
            <w:pPr>
              <w:ind w:left="720"/>
              <w:jc w:val="center"/>
            </w:pPr>
            <w:r w:rsidRPr="00837FC8">
              <w:t>Historical growth rate</w:t>
            </w:r>
          </w:p>
        </w:tc>
      </w:tr>
    </w:tbl>
    <w:p w14:paraId="3631F38F" w14:textId="77777777" w:rsidR="003F4354" w:rsidRPr="00837FC8" w:rsidRDefault="003F4354" w:rsidP="003F4354"/>
    <w:p w14:paraId="35598C3E" w14:textId="0FB1133D" w:rsidR="003F4354" w:rsidRPr="00160107" w:rsidRDefault="003F4354" w:rsidP="003F4354">
      <w:pPr>
        <w:rPr>
          <w:rFonts w:asciiTheme="majorHAnsi" w:eastAsiaTheme="majorEastAsia" w:hAnsiTheme="majorHAnsi" w:cstheme="majorBidi"/>
          <w:color w:val="005C37" w:themeColor="accent1" w:themeShade="BF"/>
          <w:sz w:val="26"/>
          <w:szCs w:val="26"/>
        </w:rPr>
      </w:pPr>
      <w:r w:rsidRPr="00160107">
        <w:t xml:space="preserve">The analysis makes the following assumptions with </w:t>
      </w:r>
      <w:r>
        <w:t>regard</w:t>
      </w:r>
      <w:r w:rsidRPr="00160107">
        <w:t xml:space="preserve"> to </w:t>
      </w:r>
      <w:bookmarkStart w:id="51" w:name="_Hlk127196829"/>
      <w:r w:rsidRPr="00160107">
        <w:t>forecast production which it uses as a surrogate for estimated demand</w:t>
      </w:r>
      <w:bookmarkEnd w:id="51"/>
      <w:r w:rsidRPr="00160107">
        <w:t>.</w:t>
      </w:r>
    </w:p>
    <w:p w14:paraId="4765F174" w14:textId="77777777" w:rsidR="003F4354" w:rsidRPr="00837FC8" w:rsidRDefault="003F4354" w:rsidP="004129D2">
      <w:pPr>
        <w:pStyle w:val="ListBullet"/>
      </w:pPr>
      <w:r w:rsidRPr="00837FC8">
        <w:t xml:space="preserve">Total </w:t>
      </w:r>
      <w:r>
        <w:t>extractive resources</w:t>
      </w:r>
      <w:r w:rsidRPr="00837FC8">
        <w:t xml:space="preserve"> production is expected to increase by 25 per cent, from 63.7 million tonnes in 2020-21 to 79.5 million tonnes in 2029-30.</w:t>
      </w:r>
    </w:p>
    <w:p w14:paraId="2CECBB32" w14:textId="77777777" w:rsidR="003F4354" w:rsidRPr="00837FC8" w:rsidRDefault="003F4354" w:rsidP="004129D2">
      <w:pPr>
        <w:pStyle w:val="ListBullet"/>
      </w:pPr>
      <w:r w:rsidRPr="00837FC8">
        <w:t>Hard rock production is expected to increase by 27 per cent, from 42.7 million tonnes in 2020-21 to 54.2 million tonnes in 2029-30.</w:t>
      </w:r>
    </w:p>
    <w:p w14:paraId="10D62EA8" w14:textId="77777777" w:rsidR="003F4354" w:rsidRPr="00837FC8" w:rsidRDefault="003F4354" w:rsidP="004129D2">
      <w:pPr>
        <w:pStyle w:val="ListBullet"/>
      </w:pPr>
      <w:r w:rsidRPr="00837FC8">
        <w:lastRenderedPageBreak/>
        <w:t>Sand and gravel production is expected to increase by 41 per</w:t>
      </w:r>
      <w:r>
        <w:t xml:space="preserve"> </w:t>
      </w:r>
      <w:r w:rsidRPr="00837FC8">
        <w:t>cent, from 16.1 million tonnes in 2020-21 to 22.7 million tonnes in 2029-30.</w:t>
      </w:r>
    </w:p>
    <w:p w14:paraId="03C88D12" w14:textId="77777777" w:rsidR="003F4354" w:rsidRPr="00837FC8" w:rsidRDefault="003F4354" w:rsidP="004129D2">
      <w:pPr>
        <w:pStyle w:val="ListBullet"/>
      </w:pPr>
      <w:r w:rsidRPr="00837FC8">
        <w:t>Clay production is expected to remain flat, increasing marginally by 1 per cent from 1.3 million tonnes in 2020-21 to 1.31 million tonnes in 2029-30.</w:t>
      </w:r>
    </w:p>
    <w:p w14:paraId="3FD89B32" w14:textId="77777777" w:rsidR="003F4354" w:rsidRDefault="003F4354" w:rsidP="003F4354">
      <w:pPr>
        <w:spacing w:after="160" w:line="259" w:lineRule="auto"/>
      </w:pPr>
      <w:r w:rsidRPr="00D6070F">
        <w:t>Th</w:t>
      </w:r>
      <w:r>
        <w:t>e</w:t>
      </w:r>
      <w:r w:rsidRPr="00D6070F">
        <w:t xml:space="preserve"> analysis forecasts demand for raw materials and does not consider demand for recycled materials.</w:t>
      </w:r>
    </w:p>
    <w:p w14:paraId="73C694B8" w14:textId="77777777" w:rsidR="003F4354" w:rsidRDefault="003F4354" w:rsidP="003F4354">
      <w:pPr>
        <w:spacing w:after="160" w:line="259" w:lineRule="auto"/>
      </w:pPr>
      <w:r w:rsidRPr="00837FC8">
        <w:t xml:space="preserve">Based on </w:t>
      </w:r>
      <w:r>
        <w:t>the</w:t>
      </w:r>
      <w:r w:rsidRPr="00837FC8">
        <w:t xml:space="preserve"> Study, the short-term models (for total hard rock, and sand and gravel production) forecast production to be higher than the historical trend growth from 2021-22 to 2026-27.</w:t>
      </w:r>
    </w:p>
    <w:p w14:paraId="24444298" w14:textId="77777777" w:rsidR="003F4354" w:rsidRDefault="003F4354" w:rsidP="003F4354">
      <w:pPr>
        <w:spacing w:after="160" w:line="259" w:lineRule="auto"/>
      </w:pPr>
      <w:r>
        <w:t>It is noted that the forecast demand models utilise 2020-21 production data as a starting point. Since their development, more current 2021-2022 production data has been released by Earth Resources Regulation in its 2021-22 statistical report. There may be some discrepancy between the more current actual data and the forecasting in this report as a result.</w:t>
      </w:r>
    </w:p>
    <w:p w14:paraId="28FF6247" w14:textId="77777777" w:rsidR="003F4354" w:rsidRDefault="003F4354" w:rsidP="003F4354">
      <w:pPr>
        <w:pStyle w:val="Heading2"/>
      </w:pPr>
      <w:bookmarkStart w:id="52" w:name="_Toc130274677"/>
      <w:bookmarkStart w:id="53" w:name="_Toc137567788"/>
      <w:r w:rsidRPr="00837FC8">
        <w:t>2.</w:t>
      </w:r>
      <w:r>
        <w:t>2</w:t>
      </w:r>
      <w:r w:rsidRPr="00837FC8">
        <w:t xml:space="preserve"> </w:t>
      </w:r>
      <w:r>
        <w:t>Actual demand vs the 2016 Supply Demand Study</w:t>
      </w:r>
      <w:bookmarkEnd w:id="52"/>
      <w:bookmarkEnd w:id="53"/>
    </w:p>
    <w:p w14:paraId="4702CB94" w14:textId="38958E88" w:rsidR="003F4354" w:rsidRDefault="003F4354" w:rsidP="003F4354">
      <w:pPr>
        <w:tabs>
          <w:tab w:val="left" w:pos="1984"/>
        </w:tabs>
        <w:rPr>
          <w:rFonts w:cs="Arial"/>
        </w:rPr>
      </w:pPr>
      <w:r w:rsidRPr="00837FC8">
        <w:rPr>
          <w:rFonts w:cs="Arial"/>
        </w:rPr>
        <w:t xml:space="preserve">Since the </w:t>
      </w:r>
      <w:r>
        <w:rPr>
          <w:rFonts w:cs="Arial"/>
        </w:rPr>
        <w:t xml:space="preserve">previous </w:t>
      </w:r>
      <w:r w:rsidRPr="00837FC8">
        <w:rPr>
          <w:rFonts w:cs="Arial"/>
        </w:rPr>
        <w:t xml:space="preserve">2016 </w:t>
      </w:r>
      <w:r w:rsidRPr="006F42F1">
        <w:rPr>
          <w:rFonts w:cs="Arial"/>
          <w:i/>
          <w:iCs/>
        </w:rPr>
        <w:t>Demand and Supply Study</w:t>
      </w:r>
      <w:r w:rsidRPr="00837FC8">
        <w:rPr>
          <w:rFonts w:cs="Arial"/>
        </w:rPr>
        <w:t xml:space="preserve">, </w:t>
      </w:r>
      <w:r>
        <w:rPr>
          <w:rFonts w:cs="Arial"/>
        </w:rPr>
        <w:t xml:space="preserve">actual </w:t>
      </w:r>
      <w:r w:rsidRPr="00837FC8">
        <w:rPr>
          <w:rFonts w:cs="Arial"/>
        </w:rPr>
        <w:t xml:space="preserve">demand for </w:t>
      </w:r>
      <w:r>
        <w:rPr>
          <w:rFonts w:cs="Arial"/>
        </w:rPr>
        <w:t>extractive resources</w:t>
      </w:r>
      <w:r w:rsidRPr="00837FC8">
        <w:rPr>
          <w:rFonts w:cs="Arial"/>
        </w:rPr>
        <w:t xml:space="preserve"> has been tracking above the ‘high scenario’</w:t>
      </w:r>
      <w:r>
        <w:rPr>
          <w:rFonts w:cs="Arial"/>
        </w:rPr>
        <w:t xml:space="preserve"> forecast in that study. </w:t>
      </w:r>
      <w:r w:rsidRPr="00837FC8">
        <w:rPr>
          <w:rFonts w:cs="Arial"/>
        </w:rPr>
        <w:t xml:space="preserve">Updated demand forecasts are expected to illustrate further increases in the demand for extractive resource production due to the </w:t>
      </w:r>
      <w:r>
        <w:rPr>
          <w:rFonts w:cs="Arial"/>
        </w:rPr>
        <w:t>G</w:t>
      </w:r>
      <w:r w:rsidRPr="00837FC8">
        <w:rPr>
          <w:rFonts w:cs="Arial"/>
        </w:rPr>
        <w:t>overnment’s continued investment in major infrastructure projects</w:t>
      </w:r>
      <w:r>
        <w:rPr>
          <w:rFonts w:cs="Arial"/>
        </w:rPr>
        <w:t xml:space="preserve"> </w:t>
      </w:r>
      <w:r w:rsidRPr="00FF4419">
        <w:rPr>
          <w:rFonts w:cs="Arial"/>
        </w:rPr>
        <w:t>(</w:t>
      </w:r>
      <w:r w:rsidRPr="00896728">
        <w:rPr>
          <w:rFonts w:cs="Arial"/>
        </w:rPr>
        <w:fldChar w:fldCharType="begin"/>
      </w:r>
      <w:r w:rsidRPr="00896728">
        <w:rPr>
          <w:rFonts w:cs="Arial"/>
        </w:rPr>
        <w:instrText xml:space="preserve"> REF _Ref136871800 \h  \* MERGEFORMAT </w:instrText>
      </w:r>
      <w:r w:rsidRPr="00896728">
        <w:rPr>
          <w:rFonts w:cs="Arial"/>
        </w:rPr>
      </w:r>
      <w:r w:rsidRPr="00896728">
        <w:rPr>
          <w:rFonts w:cs="Arial"/>
        </w:rPr>
        <w:fldChar w:fldCharType="separate"/>
      </w:r>
      <w:r w:rsidR="000154C7" w:rsidRPr="000154C7">
        <w:t xml:space="preserve">Figure </w:t>
      </w:r>
      <w:r w:rsidR="000154C7" w:rsidRPr="000154C7">
        <w:rPr>
          <w:noProof/>
        </w:rPr>
        <w:t>5</w:t>
      </w:r>
      <w:r w:rsidRPr="00896728">
        <w:rPr>
          <w:rFonts w:cs="Arial"/>
        </w:rPr>
        <w:fldChar w:fldCharType="end"/>
      </w:r>
      <w:r w:rsidRPr="00896728">
        <w:rPr>
          <w:rFonts w:cs="Arial"/>
        </w:rPr>
        <w:t>).</w:t>
      </w:r>
      <w:r>
        <w:rPr>
          <w:rFonts w:cs="Arial"/>
        </w:rPr>
        <w:br/>
      </w:r>
    </w:p>
    <w:p w14:paraId="2EE9B065" w14:textId="686A09B1" w:rsidR="003F4354" w:rsidRPr="00837FC8" w:rsidRDefault="003F4354" w:rsidP="003F4354">
      <w:pPr>
        <w:keepNext/>
        <w:tabs>
          <w:tab w:val="left" w:pos="1984"/>
        </w:tabs>
      </w:pPr>
      <w:r w:rsidRPr="00837FC8">
        <w:rPr>
          <w:noProof/>
        </w:rPr>
        <w:t xml:space="preserve"> </w:t>
      </w:r>
      <w:r w:rsidRPr="00837FC8">
        <w:rPr>
          <w:noProof/>
          <w:lang w:val="en-GB" w:eastAsia="en-GB"/>
        </w:rPr>
        <w:drawing>
          <wp:inline distT="0" distB="0" distL="0" distR="0" wp14:anchorId="1561641A" wp14:editId="5449F05E">
            <wp:extent cx="5686425" cy="3042920"/>
            <wp:effectExtent l="0" t="0" r="0" b="5080"/>
            <wp:docPr id="1" name="Chart 1">
              <a:extLst xmlns:a="http://schemas.openxmlformats.org/drawingml/2006/main">
                <a:ext uri="{FF2B5EF4-FFF2-40B4-BE49-F238E27FC236}">
                  <a16:creationId xmlns:a16="http://schemas.microsoft.com/office/drawing/2014/main" id="{CFB0C72E-E789-49C6-868C-A5A9000C043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C9FC0C" w14:textId="0D1C56C1" w:rsidR="003F4354" w:rsidRDefault="003F4354" w:rsidP="00FF6070">
      <w:pPr>
        <w:pStyle w:val="Caption"/>
        <w:rPr>
          <w:rFonts w:cs="Arial"/>
        </w:rPr>
      </w:pPr>
      <w:bookmarkStart w:id="54" w:name="_Ref136871800"/>
      <w:bookmarkStart w:id="55" w:name="_Ref129928505"/>
      <w:r w:rsidRPr="00160107">
        <w:rPr>
          <w:bCs/>
        </w:rPr>
        <w:t xml:space="preserve">Figure </w:t>
      </w:r>
      <w:r w:rsidRPr="00160107">
        <w:rPr>
          <w:bCs/>
        </w:rPr>
        <w:fldChar w:fldCharType="begin"/>
      </w:r>
      <w:r w:rsidRPr="00160107">
        <w:rPr>
          <w:bCs/>
        </w:rPr>
        <w:instrText>SEQ Figure \* ARABIC</w:instrText>
      </w:r>
      <w:r w:rsidRPr="00160107">
        <w:rPr>
          <w:bCs/>
        </w:rPr>
        <w:fldChar w:fldCharType="separate"/>
      </w:r>
      <w:r w:rsidR="000154C7">
        <w:rPr>
          <w:bCs/>
          <w:noProof/>
        </w:rPr>
        <w:t>5</w:t>
      </w:r>
      <w:r w:rsidRPr="00160107">
        <w:rPr>
          <w:bCs/>
        </w:rPr>
        <w:fldChar w:fldCharType="end"/>
      </w:r>
      <w:bookmarkEnd w:id="54"/>
      <w:r w:rsidRPr="00837FC8">
        <w:t xml:space="preserve"> </w:t>
      </w:r>
      <w:r>
        <w:t>F</w:t>
      </w:r>
      <w:r w:rsidRPr="00837FC8">
        <w:t>inancial year forecasts published in the PwC report (D&amp;S 2016-2050)</w:t>
      </w:r>
      <w:r w:rsidRPr="00837FC8">
        <w:rPr>
          <w:rStyle w:val="FootnoteReference"/>
        </w:rPr>
        <w:footnoteReference w:id="23"/>
      </w:r>
      <w:bookmarkEnd w:id="55"/>
    </w:p>
    <w:p w14:paraId="1BED514E" w14:textId="77777777" w:rsidR="003F4354" w:rsidRDefault="003F4354" w:rsidP="003F4354">
      <w:pPr>
        <w:pStyle w:val="Heading2"/>
      </w:pPr>
      <w:bookmarkStart w:id="56" w:name="_Toc130274678"/>
      <w:bookmarkStart w:id="57" w:name="_Toc137567789"/>
      <w:r w:rsidRPr="00837FC8">
        <w:t>2.</w:t>
      </w:r>
      <w:r>
        <w:t>3</w:t>
      </w:r>
      <w:r w:rsidRPr="00837FC8">
        <w:t xml:space="preserve"> </w:t>
      </w:r>
      <w:r>
        <w:t>Statewide demand forecast</w:t>
      </w:r>
      <w:bookmarkEnd w:id="56"/>
      <w:bookmarkEnd w:id="57"/>
    </w:p>
    <w:p w14:paraId="58611108" w14:textId="7028C5B9" w:rsidR="003F4354" w:rsidRDefault="003F4354" w:rsidP="003F4354">
      <w:pPr>
        <w:spacing w:after="160" w:line="259" w:lineRule="auto"/>
      </w:pPr>
      <w:r>
        <w:t xml:space="preserve">The statewide demand forecast 2022-30 is outlined in </w:t>
      </w:r>
      <w:r w:rsidR="00896728">
        <w:fldChar w:fldCharType="begin"/>
      </w:r>
      <w:r w:rsidR="00896728">
        <w:instrText xml:space="preserve"> REF _Ref114233530 \h </w:instrText>
      </w:r>
      <w:r w:rsidR="00896728">
        <w:fldChar w:fldCharType="separate"/>
      </w:r>
      <w:r w:rsidR="000154C7" w:rsidRPr="00160107">
        <w:rPr>
          <w:bCs/>
        </w:rPr>
        <w:t xml:space="preserve">Figure </w:t>
      </w:r>
      <w:r w:rsidR="000154C7">
        <w:rPr>
          <w:bCs/>
          <w:noProof/>
        </w:rPr>
        <w:t>6</w:t>
      </w:r>
      <w:r w:rsidR="00896728">
        <w:fldChar w:fldCharType="end"/>
      </w:r>
      <w:r>
        <w:t xml:space="preserve">.  </w:t>
      </w:r>
      <w:r w:rsidRPr="00837FC8">
        <w:t xml:space="preserve">Demand for </w:t>
      </w:r>
      <w:r>
        <w:t>extractive resources</w:t>
      </w:r>
      <w:r w:rsidRPr="00837FC8">
        <w:t xml:space="preserve"> is </w:t>
      </w:r>
      <w:r>
        <w:t xml:space="preserve">expected to continue </w:t>
      </w:r>
      <w:r w:rsidRPr="00837FC8">
        <w:t>increasing overall</w:t>
      </w:r>
      <w:r>
        <w:t xml:space="preserve"> with the </w:t>
      </w:r>
      <w:r w:rsidRPr="00837FC8">
        <w:t xml:space="preserve">highest demand </w:t>
      </w:r>
      <w:r>
        <w:t xml:space="preserve">being </w:t>
      </w:r>
      <w:r w:rsidRPr="00837FC8">
        <w:t xml:space="preserve">for hard rock, followed by sand and gravel, and then clay. The demand for hard rock, and sand and gravel are increasing steadily, but the demand for clay is </w:t>
      </w:r>
      <w:r>
        <w:t>relatively</w:t>
      </w:r>
      <w:r w:rsidRPr="00837FC8">
        <w:t xml:space="preserve"> constant and is </w:t>
      </w:r>
      <w:r>
        <w:t xml:space="preserve">expected </w:t>
      </w:r>
      <w:r w:rsidRPr="00837FC8">
        <w:t>to remain flat.</w:t>
      </w:r>
    </w:p>
    <w:p w14:paraId="1ED7467C" w14:textId="77777777" w:rsidR="003F4354" w:rsidRPr="00837FC8" w:rsidRDefault="003F4354" w:rsidP="003F4354">
      <w:pPr>
        <w:spacing w:after="160" w:line="259" w:lineRule="auto"/>
      </w:pPr>
      <w:r>
        <w:t>The forecast shows that a</w:t>
      </w:r>
      <w:r w:rsidRPr="00A02BD7">
        <w:t>ggregated statewide demand for extractive materials is expected to increase from 63.7 million tonnes</w:t>
      </w:r>
      <w:r>
        <w:rPr>
          <w:rStyle w:val="FootnoteReference"/>
        </w:rPr>
        <w:footnoteReference w:id="24"/>
      </w:r>
      <w:r w:rsidRPr="00A02BD7">
        <w:t xml:space="preserve"> in 2020-21 to 79.5 million tonnes by 2030.</w:t>
      </w:r>
    </w:p>
    <w:p w14:paraId="43B7D013" w14:textId="77777777" w:rsidR="003F4354" w:rsidRPr="00837FC8" w:rsidRDefault="003F4354" w:rsidP="003F4354">
      <w:pPr>
        <w:keepNext/>
      </w:pPr>
      <w:r w:rsidRPr="00837FC8">
        <w:rPr>
          <w:noProof/>
        </w:rPr>
        <w:lastRenderedPageBreak/>
        <w:t xml:space="preserve"> </w:t>
      </w:r>
      <w:r w:rsidRPr="00837FC8">
        <w:rPr>
          <w:noProof/>
          <w:lang w:val="en-GB" w:eastAsia="en-GB"/>
        </w:rPr>
        <w:drawing>
          <wp:inline distT="0" distB="0" distL="0" distR="0" wp14:anchorId="33972575" wp14:editId="066BB4AA">
            <wp:extent cx="5747657" cy="3737709"/>
            <wp:effectExtent l="0" t="0" r="5715" b="0"/>
            <wp:docPr id="12" name="Chart 12">
              <a:extLst xmlns:a="http://schemas.openxmlformats.org/drawingml/2006/main">
                <a:ext uri="{FF2B5EF4-FFF2-40B4-BE49-F238E27FC236}">
                  <a16:creationId xmlns:a16="http://schemas.microsoft.com/office/drawing/2014/main" id="{D2D1F0DC-FBC7-4E22-83C5-E8466EA6845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26370691" w14:textId="68802541" w:rsidR="003F4354" w:rsidRDefault="003F4354" w:rsidP="00FF6070">
      <w:pPr>
        <w:pStyle w:val="Caption"/>
        <w:rPr>
          <w:u w:val="single"/>
        </w:rPr>
      </w:pPr>
      <w:bookmarkStart w:id="58" w:name="_Ref114233530"/>
      <w:r w:rsidRPr="00160107">
        <w:rPr>
          <w:bCs/>
        </w:rPr>
        <w:t xml:space="preserve">Figure </w:t>
      </w:r>
      <w:r w:rsidRPr="00160107">
        <w:rPr>
          <w:bCs/>
        </w:rPr>
        <w:fldChar w:fldCharType="begin"/>
      </w:r>
      <w:r w:rsidRPr="00160107">
        <w:rPr>
          <w:bCs/>
        </w:rPr>
        <w:instrText>SEQ Figure \* ARABIC</w:instrText>
      </w:r>
      <w:r w:rsidRPr="00160107">
        <w:rPr>
          <w:bCs/>
        </w:rPr>
        <w:fldChar w:fldCharType="separate"/>
      </w:r>
      <w:r w:rsidR="000154C7">
        <w:rPr>
          <w:bCs/>
          <w:noProof/>
        </w:rPr>
        <w:t>6</w:t>
      </w:r>
      <w:r w:rsidRPr="00160107">
        <w:rPr>
          <w:bCs/>
        </w:rPr>
        <w:fldChar w:fldCharType="end"/>
      </w:r>
      <w:bookmarkEnd w:id="58"/>
      <w:r w:rsidRPr="00837FC8">
        <w:t xml:space="preserve"> Statewide demand forecasts (2022-30)</w:t>
      </w:r>
    </w:p>
    <w:p w14:paraId="4C755183" w14:textId="7A54E736" w:rsidR="003F4354" w:rsidRPr="00837FC8" w:rsidRDefault="003F4354" w:rsidP="003F4354">
      <w:pPr>
        <w:pStyle w:val="Heading2"/>
        <w:rPr>
          <w:color w:val="232222" w:themeColor="text1"/>
          <w:u w:val="single"/>
        </w:rPr>
      </w:pPr>
      <w:bookmarkStart w:id="59" w:name="_Toc130274679"/>
      <w:bookmarkStart w:id="60" w:name="_Toc137567790"/>
      <w:r w:rsidRPr="00160107">
        <w:t>2.</w:t>
      </w:r>
      <w:r>
        <w:t>4</w:t>
      </w:r>
      <w:r w:rsidRPr="00160107">
        <w:t>. Demand by local government area</w:t>
      </w:r>
      <w:bookmarkEnd w:id="59"/>
      <w:bookmarkEnd w:id="60"/>
    </w:p>
    <w:p w14:paraId="4BC4DCAA" w14:textId="460C2CEA" w:rsidR="003F4354" w:rsidRPr="00837FC8" w:rsidRDefault="003F4354" w:rsidP="003F4354">
      <w:pPr>
        <w:spacing w:after="160" w:line="259" w:lineRule="auto"/>
      </w:pPr>
      <w:r>
        <w:t xml:space="preserve">Modelled demand forecasts for 2022-30 at an LGA level for hard rock, sand/gravel, and clay have been outlined in Figures </w:t>
      </w:r>
      <w:r w:rsidR="00783A24">
        <w:t xml:space="preserve">7, 8 </w:t>
      </w:r>
      <w:r>
        <w:t xml:space="preserve">and </w:t>
      </w:r>
      <w:r w:rsidR="00783A24">
        <w:t xml:space="preserve">9 </w:t>
      </w:r>
      <w:r>
        <w:t>respectively. The models show that d</w:t>
      </w:r>
      <w:r w:rsidRPr="00837FC8">
        <w:t xml:space="preserve">emand in the Melbourne metropolitan region makes the largest contribution to statewide demand </w:t>
      </w:r>
      <w:r>
        <w:t>(</w:t>
      </w:r>
      <w:r w:rsidRPr="00837FC8">
        <w:t>driven by residential and non-residential construction</w:t>
      </w:r>
      <w:r>
        <w:t>)</w:t>
      </w:r>
      <w:r w:rsidRPr="00837FC8">
        <w:t xml:space="preserve">. LGAs on the outskirts of Greater Melbourne, such as Greater Geelong, Casey, Whittlesea, Hume and Wyndham, are likely to increase their demand more quickly than LGAs further away from Melbourne due to construction driven by population growth. Production of </w:t>
      </w:r>
      <w:r>
        <w:t>extractive resources</w:t>
      </w:r>
      <w:r w:rsidRPr="00837FC8">
        <w:t xml:space="preserve"> to support electricity generation (mainly wind farms) is expected to be a significant driver of increasing demand in regional Victoria.</w:t>
      </w:r>
    </w:p>
    <w:p w14:paraId="5A5249F0" w14:textId="77777777" w:rsidR="003F4354" w:rsidRPr="00837FC8" w:rsidRDefault="003F4354" w:rsidP="00407F8B">
      <w:pPr>
        <w:pStyle w:val="Caption"/>
      </w:pPr>
      <w:r w:rsidRPr="00837FC8">
        <w:rPr>
          <w:noProof/>
          <w:lang w:val="en-GB" w:eastAsia="en-GB"/>
        </w:rPr>
        <w:lastRenderedPageBreak/>
        <w:drawing>
          <wp:inline distT="0" distB="0" distL="0" distR="0" wp14:anchorId="2AF1A58A" wp14:editId="2AE6F16D">
            <wp:extent cx="5555412" cy="3823189"/>
            <wp:effectExtent l="0" t="0" r="7620" b="6350"/>
            <wp:docPr id="1575919224" name="Picture 15759192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49" cstate="print">
                      <a:extLst>
                        <a:ext uri="{28A0092B-C50C-407E-A947-70E740481C1C}">
                          <a14:useLocalDpi xmlns:a14="http://schemas.microsoft.com/office/drawing/2010/main" val="0"/>
                        </a:ext>
                      </a:extLst>
                    </a:blip>
                    <a:srcRect l="1660" t="2979" r="1856" b="2730"/>
                    <a:stretch/>
                  </pic:blipFill>
                  <pic:spPr bwMode="auto">
                    <a:xfrm>
                      <a:off x="0" y="0"/>
                      <a:ext cx="5561994" cy="3827719"/>
                    </a:xfrm>
                    <a:prstGeom prst="rect">
                      <a:avLst/>
                    </a:prstGeom>
                    <a:ln>
                      <a:noFill/>
                    </a:ln>
                    <a:extLst>
                      <a:ext uri="{53640926-AAD7-44D8-BBD7-CCE9431645EC}">
                        <a14:shadowObscured xmlns:a14="http://schemas.microsoft.com/office/drawing/2010/main"/>
                      </a:ext>
                    </a:extLst>
                  </pic:spPr>
                </pic:pic>
              </a:graphicData>
            </a:graphic>
          </wp:inline>
        </w:drawing>
      </w:r>
    </w:p>
    <w:p w14:paraId="21EB5069" w14:textId="553D50D1" w:rsidR="003F4354" w:rsidRPr="00837FC8" w:rsidRDefault="003F4354" w:rsidP="00407F8B">
      <w:pPr>
        <w:pStyle w:val="Caption"/>
        <w:rPr>
          <w:u w:val="single"/>
        </w:rPr>
      </w:pPr>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7</w:t>
      </w:r>
      <w:r w:rsidRPr="00160107">
        <w:rPr>
          <w:bCs/>
          <w:noProof/>
        </w:rPr>
        <w:fldChar w:fldCharType="end"/>
      </w:r>
      <w:r w:rsidRPr="00837FC8">
        <w:t xml:space="preserve"> Hard rock demand forecasts (2022-30)</w:t>
      </w:r>
    </w:p>
    <w:p w14:paraId="35959C35" w14:textId="77777777" w:rsidR="00407F8B" w:rsidRDefault="003F4354" w:rsidP="00407F8B">
      <w:pPr>
        <w:pStyle w:val="Caption"/>
        <w:rPr>
          <w:bCs/>
        </w:rPr>
      </w:pPr>
      <w:r w:rsidRPr="00407F8B">
        <w:rPr>
          <w:noProof/>
          <w:color w:val="232222" w:themeColor="text1"/>
          <w:lang w:val="en-GB" w:eastAsia="en-GB"/>
        </w:rPr>
        <w:drawing>
          <wp:inline distT="0" distB="0" distL="0" distR="0" wp14:anchorId="2691A130" wp14:editId="2F6E210E">
            <wp:extent cx="5539255" cy="3822676"/>
            <wp:effectExtent l="0" t="0" r="4445" b="6985"/>
            <wp:docPr id="1653496138" name="Picture 165349613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rotWithShape="1">
                    <a:blip r:embed="rId50" cstate="print">
                      <a:extLst>
                        <a:ext uri="{28A0092B-C50C-407E-A947-70E740481C1C}">
                          <a14:useLocalDpi xmlns:a14="http://schemas.microsoft.com/office/drawing/2010/main" val="0"/>
                        </a:ext>
                      </a:extLst>
                    </a:blip>
                    <a:srcRect l="1774" t="2939" r="1835" b="2597"/>
                    <a:stretch/>
                  </pic:blipFill>
                  <pic:spPr bwMode="auto">
                    <a:xfrm>
                      <a:off x="0" y="0"/>
                      <a:ext cx="5575718" cy="3847839"/>
                    </a:xfrm>
                    <a:prstGeom prst="rect">
                      <a:avLst/>
                    </a:prstGeom>
                    <a:ln>
                      <a:noFill/>
                    </a:ln>
                    <a:extLst>
                      <a:ext uri="{53640926-AAD7-44D8-BBD7-CCE9431645EC}">
                        <a14:shadowObscured xmlns:a14="http://schemas.microsoft.com/office/drawing/2010/main"/>
                      </a:ext>
                    </a:extLst>
                  </pic:spPr>
                </pic:pic>
              </a:graphicData>
            </a:graphic>
          </wp:inline>
        </w:drawing>
      </w:r>
      <w:bookmarkStart w:id="61" w:name="_Ref117676440"/>
    </w:p>
    <w:p w14:paraId="39B63D92" w14:textId="51B0A475" w:rsidR="003F4354" w:rsidRPr="00837FC8" w:rsidRDefault="003F4354" w:rsidP="00407F8B">
      <w:pPr>
        <w:pStyle w:val="Caption"/>
        <w:rPr>
          <w:u w:val="single"/>
        </w:rPr>
      </w:pPr>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8</w:t>
      </w:r>
      <w:r w:rsidRPr="00160107">
        <w:rPr>
          <w:bCs/>
          <w:noProof/>
        </w:rPr>
        <w:fldChar w:fldCharType="end"/>
      </w:r>
      <w:bookmarkEnd w:id="61"/>
      <w:r w:rsidRPr="00837FC8">
        <w:t xml:space="preserve"> Sand and gravel demand forecasts (2022-30)</w:t>
      </w:r>
    </w:p>
    <w:p w14:paraId="1F64E288" w14:textId="77777777" w:rsidR="003F4354" w:rsidRPr="00837FC8" w:rsidRDefault="003F4354" w:rsidP="003F4354">
      <w:pPr>
        <w:rPr>
          <w:color w:val="232222" w:themeColor="text1"/>
          <w:u w:val="single"/>
        </w:rPr>
      </w:pPr>
      <w:r w:rsidRPr="00407F8B">
        <w:rPr>
          <w:noProof/>
          <w:color w:val="232222" w:themeColor="text1"/>
          <w:lang w:val="en-GB" w:eastAsia="en-GB"/>
        </w:rPr>
        <w:lastRenderedPageBreak/>
        <w:drawing>
          <wp:inline distT="0" distB="0" distL="0" distR="0" wp14:anchorId="52EE833A" wp14:editId="341F0579">
            <wp:extent cx="5529533" cy="3847082"/>
            <wp:effectExtent l="0" t="0" r="0" b="1270"/>
            <wp:docPr id="1611313042" name="Picture 161131304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pic:nvPicPr>
                  <pic:blipFill rotWithShape="1">
                    <a:blip r:embed="rId51" cstate="print">
                      <a:extLst>
                        <a:ext uri="{28A0092B-C50C-407E-A947-70E740481C1C}">
                          <a14:useLocalDpi xmlns:a14="http://schemas.microsoft.com/office/drawing/2010/main" val="0"/>
                        </a:ext>
                      </a:extLst>
                    </a:blip>
                    <a:srcRect l="1943" t="2760" r="2251" b="2586"/>
                    <a:stretch/>
                  </pic:blipFill>
                  <pic:spPr bwMode="auto">
                    <a:xfrm>
                      <a:off x="0" y="0"/>
                      <a:ext cx="5535999" cy="3851581"/>
                    </a:xfrm>
                    <a:prstGeom prst="rect">
                      <a:avLst/>
                    </a:prstGeom>
                    <a:ln>
                      <a:noFill/>
                    </a:ln>
                    <a:extLst>
                      <a:ext uri="{53640926-AAD7-44D8-BBD7-CCE9431645EC}">
                        <a14:shadowObscured xmlns:a14="http://schemas.microsoft.com/office/drawing/2010/main"/>
                      </a:ext>
                    </a:extLst>
                  </pic:spPr>
                </pic:pic>
              </a:graphicData>
            </a:graphic>
          </wp:inline>
        </w:drawing>
      </w:r>
    </w:p>
    <w:p w14:paraId="4D4FA89F" w14:textId="0E545008" w:rsidR="003F4354" w:rsidRDefault="003F4354" w:rsidP="00FF6070">
      <w:pPr>
        <w:pStyle w:val="Caption"/>
        <w:rPr>
          <w:u w:val="single"/>
        </w:rPr>
      </w:pPr>
      <w:bookmarkStart w:id="62" w:name="_Ref117676448"/>
      <w:r w:rsidRPr="00160107">
        <w:t xml:space="preserve">Figure </w:t>
      </w:r>
      <w:fldSimple w:instr=" SEQ Figure \* ARABIC ">
        <w:r w:rsidR="000154C7">
          <w:rPr>
            <w:noProof/>
          </w:rPr>
          <w:t>9</w:t>
        </w:r>
      </w:fldSimple>
      <w:bookmarkEnd w:id="62"/>
      <w:r w:rsidRPr="00837FC8">
        <w:t xml:space="preserve"> Clay demand forecasts (2022-30)</w:t>
      </w:r>
    </w:p>
    <w:p w14:paraId="6842D36B" w14:textId="796C5D99" w:rsidR="003F4354" w:rsidRPr="00160107" w:rsidRDefault="003F4354" w:rsidP="003F4354">
      <w:pPr>
        <w:pStyle w:val="Heading2"/>
      </w:pPr>
      <w:bookmarkStart w:id="63" w:name="_Toc130274680"/>
      <w:bookmarkStart w:id="64" w:name="_Toc137567791"/>
      <w:r w:rsidRPr="00160107">
        <w:t>2.</w:t>
      </w:r>
      <w:r>
        <w:t>5</w:t>
      </w:r>
      <w:r w:rsidRPr="00160107">
        <w:t>. Demand by sector</w:t>
      </w:r>
      <w:bookmarkEnd w:id="63"/>
      <w:bookmarkEnd w:id="64"/>
    </w:p>
    <w:p w14:paraId="716E5E5E" w14:textId="77777777" w:rsidR="000154C7" w:rsidRPr="000154C7" w:rsidRDefault="003F4354" w:rsidP="000154C7">
      <w:r w:rsidRPr="00837FC8">
        <w:t xml:space="preserve">The residential sector contributes the most to the overall demand for Victorian </w:t>
      </w:r>
      <w:r>
        <w:t>extractive resources</w:t>
      </w:r>
      <w:r w:rsidRPr="00837FC8">
        <w:t xml:space="preserve">, followed by the non-residential sector. The contribution of different sectors to the total demand for </w:t>
      </w:r>
      <w:r>
        <w:t>extractive resources</w:t>
      </w:r>
      <w:r w:rsidRPr="00837FC8">
        <w:t xml:space="preserve"> has varied considerably over time. This is particularly true for the non-residential, transport, and the energy and utilities sectors, for which the largest share over the period was roughly double the smallest. However, in recent years, transport’s demand for </w:t>
      </w:r>
      <w:r>
        <w:t>extractive resources</w:t>
      </w:r>
      <w:r w:rsidRPr="00837FC8">
        <w:t xml:space="preserve"> has been increasing, and transport has overtaken the demand </w:t>
      </w:r>
      <w:r>
        <w:t>for</w:t>
      </w:r>
      <w:r w:rsidRPr="00837FC8">
        <w:t xml:space="preserve"> energy and utilities </w:t>
      </w:r>
      <w:r w:rsidRPr="00EE1210">
        <w:t>(</w:t>
      </w:r>
      <w:r w:rsidRPr="006F42F1">
        <w:fldChar w:fldCharType="begin"/>
      </w:r>
      <w:r w:rsidRPr="006F42F1">
        <w:instrText xml:space="preserve"> REF _Ref114233248 \h  \* MERGEFORMAT </w:instrText>
      </w:r>
      <w:r w:rsidRPr="006F42F1">
        <w:fldChar w:fldCharType="separate"/>
      </w:r>
      <w:r w:rsidR="000154C7" w:rsidRPr="000154C7">
        <w:t xml:space="preserve">Table </w:t>
      </w:r>
      <w:r w:rsidR="000154C7" w:rsidRPr="000154C7">
        <w:rPr>
          <w:noProof/>
        </w:rPr>
        <w:t>3</w:t>
      </w:r>
      <w:r w:rsidRPr="006F42F1">
        <w:fldChar w:fldCharType="end"/>
      </w:r>
      <w:r w:rsidRPr="00EE1210">
        <w:t xml:space="preserve"> and </w:t>
      </w:r>
      <w:r w:rsidRPr="006F42F1">
        <w:fldChar w:fldCharType="begin"/>
      </w:r>
      <w:r w:rsidRPr="006F42F1">
        <w:instrText xml:space="preserve"> REF _Ref117676532 \h  \* MERGEFORMAT </w:instrText>
      </w:r>
      <w:r w:rsidRPr="006F42F1">
        <w:fldChar w:fldCharType="separate"/>
      </w:r>
      <w:r w:rsidR="000154C7" w:rsidRPr="000154C7">
        <w:rPr>
          <w:noProof/>
        </w:rPr>
        <w:drawing>
          <wp:inline distT="0" distB="0" distL="0" distR="0" wp14:anchorId="23CD96B1" wp14:editId="211ACB7C">
            <wp:extent cx="6081823" cy="2842139"/>
            <wp:effectExtent l="0" t="0" r="0" b="0"/>
            <wp:docPr id="34" name="Picture 34"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74540" name="Picture 3" descr="A picture containing text, font, line, screensho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99850" cy="2850564"/>
                    </a:xfrm>
                    <a:prstGeom prst="rect">
                      <a:avLst/>
                    </a:prstGeom>
                  </pic:spPr>
                </pic:pic>
              </a:graphicData>
            </a:graphic>
          </wp:inline>
        </w:drawing>
      </w:r>
    </w:p>
    <w:p w14:paraId="0BB477C6" w14:textId="1BFD1CF4" w:rsidR="003F4354" w:rsidRDefault="000154C7" w:rsidP="003F4354">
      <w:r w:rsidRPr="000154C7">
        <w:rPr>
          <w:noProof/>
        </w:rPr>
        <w:t>Figure</w:t>
      </w:r>
      <w:r w:rsidRPr="000154C7">
        <w:t xml:space="preserve"> 10</w:t>
      </w:r>
      <w:r w:rsidR="003F4354" w:rsidRPr="006F42F1">
        <w:fldChar w:fldCharType="end"/>
      </w:r>
      <w:r w:rsidR="003F4354" w:rsidRPr="00837FC8">
        <w:t>).</w:t>
      </w:r>
    </w:p>
    <w:p w14:paraId="418FE6A4" w14:textId="2396062B" w:rsidR="003F4354" w:rsidRPr="00837FC8" w:rsidRDefault="003F4354" w:rsidP="00FF6070">
      <w:pPr>
        <w:pStyle w:val="Caption"/>
      </w:pPr>
      <w:bookmarkStart w:id="65" w:name="_Ref114233248"/>
      <w:r w:rsidRPr="00160107">
        <w:rPr>
          <w:bCs/>
        </w:rPr>
        <w:t xml:space="preserve">Table </w:t>
      </w:r>
      <w:r w:rsidRPr="00160107">
        <w:rPr>
          <w:bCs/>
        </w:rPr>
        <w:fldChar w:fldCharType="begin"/>
      </w:r>
      <w:r w:rsidRPr="00160107">
        <w:rPr>
          <w:bCs/>
        </w:rPr>
        <w:instrText>SEQ Table \* ARABIC</w:instrText>
      </w:r>
      <w:r w:rsidRPr="00160107">
        <w:rPr>
          <w:bCs/>
        </w:rPr>
        <w:fldChar w:fldCharType="separate"/>
      </w:r>
      <w:r w:rsidR="000154C7">
        <w:rPr>
          <w:bCs/>
          <w:noProof/>
        </w:rPr>
        <w:t>3</w:t>
      </w:r>
      <w:r w:rsidRPr="00160107">
        <w:rPr>
          <w:bCs/>
        </w:rPr>
        <w:fldChar w:fldCharType="end"/>
      </w:r>
      <w:bookmarkEnd w:id="65"/>
      <w:r w:rsidRPr="00837FC8">
        <w:rPr>
          <w:noProof/>
        </w:rPr>
        <w:t xml:space="preserve"> </w:t>
      </w:r>
      <w:r w:rsidRPr="00837FC8">
        <w:t>Demand for supplies to support construction activity by sector</w:t>
      </w:r>
    </w:p>
    <w:tbl>
      <w:tblPr>
        <w:tblStyle w:val="TableGrid"/>
        <w:tblW w:w="8923" w:type="dxa"/>
        <w:tblLook w:val="04A0" w:firstRow="1" w:lastRow="0" w:firstColumn="1" w:lastColumn="0" w:noHBand="0" w:noVBand="1"/>
      </w:tblPr>
      <w:tblGrid>
        <w:gridCol w:w="851"/>
        <w:gridCol w:w="2018"/>
        <w:gridCol w:w="2018"/>
        <w:gridCol w:w="2018"/>
        <w:gridCol w:w="2018"/>
      </w:tblGrid>
      <w:tr w:rsidR="003F4354" w:rsidRPr="00837FC8" w14:paraId="5B687991" w14:textId="77777777" w:rsidTr="00C06A50">
        <w:trPr>
          <w:cnfStyle w:val="100000000000" w:firstRow="1" w:lastRow="0" w:firstColumn="0" w:lastColumn="0" w:oddVBand="0" w:evenVBand="0" w:oddHBand="0" w:evenHBand="0" w:firstRowFirstColumn="0" w:firstRowLastColumn="0" w:lastRowFirstColumn="0" w:lastRowLastColumn="0"/>
          <w:trHeight w:val="533"/>
        </w:trPr>
        <w:tc>
          <w:tcPr>
            <w:cnfStyle w:val="001000000000" w:firstRow="0" w:lastRow="0" w:firstColumn="1" w:lastColumn="0" w:oddVBand="0" w:evenVBand="0" w:oddHBand="0" w:evenHBand="0" w:firstRowFirstColumn="0" w:firstRowLastColumn="0" w:lastRowFirstColumn="0" w:lastRowLastColumn="0"/>
            <w:tcW w:w="851" w:type="dxa"/>
          </w:tcPr>
          <w:p w14:paraId="488FFC9E" w14:textId="77777777" w:rsidR="003F4354" w:rsidRPr="00837FC8" w:rsidRDefault="003F4354">
            <w:pPr>
              <w:rPr>
                <w:b/>
                <w:bCs/>
                <w:noProof/>
              </w:rPr>
            </w:pPr>
          </w:p>
        </w:tc>
        <w:tc>
          <w:tcPr>
            <w:tcW w:w="2018" w:type="dxa"/>
          </w:tcPr>
          <w:p w14:paraId="56DB0779" w14:textId="77777777" w:rsidR="003F4354" w:rsidRPr="00837FC8" w:rsidRDefault="003F4354">
            <w:pPr>
              <w:jc w:val="center"/>
              <w:cnfStyle w:val="100000000000" w:firstRow="1" w:lastRow="0" w:firstColumn="0" w:lastColumn="0" w:oddVBand="0" w:evenVBand="0" w:oddHBand="0" w:evenHBand="0" w:firstRowFirstColumn="0" w:firstRowLastColumn="0" w:lastRowFirstColumn="0" w:lastRowLastColumn="0"/>
              <w:rPr>
                <w:b/>
                <w:bCs/>
                <w:noProof/>
              </w:rPr>
            </w:pPr>
            <w:r w:rsidRPr="00837FC8">
              <w:rPr>
                <w:b/>
                <w:bCs/>
                <w:noProof/>
              </w:rPr>
              <w:t>Residential</w:t>
            </w:r>
          </w:p>
        </w:tc>
        <w:tc>
          <w:tcPr>
            <w:tcW w:w="2018" w:type="dxa"/>
          </w:tcPr>
          <w:p w14:paraId="2BBA9123" w14:textId="77777777" w:rsidR="003F4354" w:rsidRPr="00837FC8" w:rsidRDefault="003F4354">
            <w:pPr>
              <w:jc w:val="center"/>
              <w:cnfStyle w:val="100000000000" w:firstRow="1" w:lastRow="0" w:firstColumn="0" w:lastColumn="0" w:oddVBand="0" w:evenVBand="0" w:oddHBand="0" w:evenHBand="0" w:firstRowFirstColumn="0" w:firstRowLastColumn="0" w:lastRowFirstColumn="0" w:lastRowLastColumn="0"/>
              <w:rPr>
                <w:b/>
                <w:bCs/>
                <w:noProof/>
              </w:rPr>
            </w:pPr>
            <w:r w:rsidRPr="00837FC8">
              <w:rPr>
                <w:b/>
                <w:bCs/>
                <w:noProof/>
              </w:rPr>
              <w:t>Non-residential</w:t>
            </w:r>
          </w:p>
        </w:tc>
        <w:tc>
          <w:tcPr>
            <w:tcW w:w="2018" w:type="dxa"/>
          </w:tcPr>
          <w:p w14:paraId="2F5EBFF0" w14:textId="77777777" w:rsidR="003F4354" w:rsidRPr="00837FC8" w:rsidRDefault="003F4354">
            <w:pPr>
              <w:jc w:val="center"/>
              <w:cnfStyle w:val="100000000000" w:firstRow="1" w:lastRow="0" w:firstColumn="0" w:lastColumn="0" w:oddVBand="0" w:evenVBand="0" w:oddHBand="0" w:evenHBand="0" w:firstRowFirstColumn="0" w:firstRowLastColumn="0" w:lastRowFirstColumn="0" w:lastRowLastColumn="0"/>
              <w:rPr>
                <w:b/>
                <w:bCs/>
                <w:noProof/>
              </w:rPr>
            </w:pPr>
            <w:r w:rsidRPr="00837FC8">
              <w:rPr>
                <w:b/>
                <w:bCs/>
                <w:noProof/>
              </w:rPr>
              <w:t>Transport</w:t>
            </w:r>
          </w:p>
        </w:tc>
        <w:tc>
          <w:tcPr>
            <w:tcW w:w="2018" w:type="dxa"/>
          </w:tcPr>
          <w:p w14:paraId="60F613F5" w14:textId="77777777" w:rsidR="003F4354" w:rsidRPr="00837FC8" w:rsidRDefault="003F4354">
            <w:pPr>
              <w:jc w:val="center"/>
              <w:cnfStyle w:val="100000000000" w:firstRow="1" w:lastRow="0" w:firstColumn="0" w:lastColumn="0" w:oddVBand="0" w:evenVBand="0" w:oddHBand="0" w:evenHBand="0" w:firstRowFirstColumn="0" w:firstRowLastColumn="0" w:lastRowFirstColumn="0" w:lastRowLastColumn="0"/>
              <w:rPr>
                <w:b/>
                <w:bCs/>
                <w:noProof/>
              </w:rPr>
            </w:pPr>
            <w:r w:rsidRPr="00837FC8">
              <w:rPr>
                <w:b/>
                <w:bCs/>
                <w:noProof/>
              </w:rPr>
              <w:t>Energy and utilities</w:t>
            </w:r>
          </w:p>
        </w:tc>
      </w:tr>
      <w:tr w:rsidR="003F4354" w:rsidRPr="00837FC8" w14:paraId="6C813FA1" w14:textId="77777777" w:rsidTr="00C06A50">
        <w:trPr>
          <w:trHeight w:val="533"/>
        </w:trPr>
        <w:tc>
          <w:tcPr>
            <w:cnfStyle w:val="001000000000" w:firstRow="0" w:lastRow="0" w:firstColumn="1" w:lastColumn="0" w:oddVBand="0" w:evenVBand="0" w:oddHBand="0" w:evenHBand="0" w:firstRowFirstColumn="0" w:firstRowLastColumn="0" w:lastRowFirstColumn="0" w:lastRowLastColumn="0"/>
            <w:tcW w:w="851" w:type="dxa"/>
          </w:tcPr>
          <w:p w14:paraId="520C882A" w14:textId="77777777" w:rsidR="003F4354" w:rsidRPr="00837FC8" w:rsidRDefault="003F4354">
            <w:pPr>
              <w:rPr>
                <w:b/>
                <w:bCs/>
                <w:noProof/>
              </w:rPr>
            </w:pPr>
            <w:r w:rsidRPr="00837FC8">
              <w:rPr>
                <w:b/>
                <w:bCs/>
                <w:noProof/>
              </w:rPr>
              <w:t>2015</w:t>
            </w:r>
          </w:p>
        </w:tc>
        <w:tc>
          <w:tcPr>
            <w:tcW w:w="2018" w:type="dxa"/>
          </w:tcPr>
          <w:p w14:paraId="45D0A0F4"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51%</w:t>
            </w:r>
          </w:p>
        </w:tc>
        <w:tc>
          <w:tcPr>
            <w:tcW w:w="2018" w:type="dxa"/>
          </w:tcPr>
          <w:p w14:paraId="6FBB877B"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27%</w:t>
            </w:r>
          </w:p>
        </w:tc>
        <w:tc>
          <w:tcPr>
            <w:tcW w:w="2018" w:type="dxa"/>
          </w:tcPr>
          <w:p w14:paraId="08496788"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11%</w:t>
            </w:r>
          </w:p>
        </w:tc>
        <w:tc>
          <w:tcPr>
            <w:tcW w:w="2018" w:type="dxa"/>
          </w:tcPr>
          <w:p w14:paraId="03158AFA"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12%</w:t>
            </w:r>
          </w:p>
        </w:tc>
      </w:tr>
      <w:tr w:rsidR="003F4354" w:rsidRPr="00837FC8" w14:paraId="381CA7D9" w14:textId="77777777" w:rsidTr="00C06A50">
        <w:trPr>
          <w:trHeight w:val="533"/>
        </w:trPr>
        <w:tc>
          <w:tcPr>
            <w:cnfStyle w:val="001000000000" w:firstRow="0" w:lastRow="0" w:firstColumn="1" w:lastColumn="0" w:oddVBand="0" w:evenVBand="0" w:oddHBand="0" w:evenHBand="0" w:firstRowFirstColumn="0" w:firstRowLastColumn="0" w:lastRowFirstColumn="0" w:lastRowLastColumn="0"/>
            <w:tcW w:w="851" w:type="dxa"/>
          </w:tcPr>
          <w:p w14:paraId="35730724" w14:textId="77777777" w:rsidR="003F4354" w:rsidRPr="00837FC8" w:rsidRDefault="003F4354">
            <w:pPr>
              <w:rPr>
                <w:b/>
                <w:bCs/>
                <w:noProof/>
              </w:rPr>
            </w:pPr>
            <w:r w:rsidRPr="00837FC8">
              <w:rPr>
                <w:b/>
                <w:bCs/>
                <w:noProof/>
              </w:rPr>
              <w:t>2021</w:t>
            </w:r>
          </w:p>
        </w:tc>
        <w:tc>
          <w:tcPr>
            <w:tcW w:w="2018" w:type="dxa"/>
          </w:tcPr>
          <w:p w14:paraId="18E5C008"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46%</w:t>
            </w:r>
          </w:p>
        </w:tc>
        <w:tc>
          <w:tcPr>
            <w:tcW w:w="2018" w:type="dxa"/>
          </w:tcPr>
          <w:p w14:paraId="41049F1D"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26%</w:t>
            </w:r>
          </w:p>
        </w:tc>
        <w:tc>
          <w:tcPr>
            <w:tcW w:w="2018" w:type="dxa"/>
          </w:tcPr>
          <w:p w14:paraId="6958FBD1"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18%</w:t>
            </w:r>
          </w:p>
        </w:tc>
        <w:tc>
          <w:tcPr>
            <w:tcW w:w="2018" w:type="dxa"/>
          </w:tcPr>
          <w:p w14:paraId="15C16A6D"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11%</w:t>
            </w:r>
          </w:p>
        </w:tc>
      </w:tr>
      <w:tr w:rsidR="003F4354" w:rsidRPr="00837FC8" w14:paraId="5F0DC0B5" w14:textId="77777777" w:rsidTr="00C06A50">
        <w:trPr>
          <w:trHeight w:val="513"/>
        </w:trPr>
        <w:tc>
          <w:tcPr>
            <w:cnfStyle w:val="001000000000" w:firstRow="0" w:lastRow="0" w:firstColumn="1" w:lastColumn="0" w:oddVBand="0" w:evenVBand="0" w:oddHBand="0" w:evenHBand="0" w:firstRowFirstColumn="0" w:firstRowLastColumn="0" w:lastRowFirstColumn="0" w:lastRowLastColumn="0"/>
            <w:tcW w:w="851" w:type="dxa"/>
          </w:tcPr>
          <w:p w14:paraId="3E5FF7EA" w14:textId="77777777" w:rsidR="003F4354" w:rsidRPr="00837FC8" w:rsidRDefault="003F4354">
            <w:pPr>
              <w:rPr>
                <w:b/>
                <w:bCs/>
                <w:noProof/>
              </w:rPr>
            </w:pPr>
            <w:r w:rsidRPr="00837FC8">
              <w:rPr>
                <w:b/>
                <w:bCs/>
                <w:noProof/>
              </w:rPr>
              <w:t>2030</w:t>
            </w:r>
          </w:p>
        </w:tc>
        <w:tc>
          <w:tcPr>
            <w:tcW w:w="2018" w:type="dxa"/>
          </w:tcPr>
          <w:p w14:paraId="02B69BCF"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46%</w:t>
            </w:r>
          </w:p>
        </w:tc>
        <w:tc>
          <w:tcPr>
            <w:tcW w:w="2018" w:type="dxa"/>
          </w:tcPr>
          <w:p w14:paraId="328418D6"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24%</w:t>
            </w:r>
          </w:p>
        </w:tc>
        <w:tc>
          <w:tcPr>
            <w:tcW w:w="2018" w:type="dxa"/>
          </w:tcPr>
          <w:p w14:paraId="10B98BE9"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19%</w:t>
            </w:r>
          </w:p>
        </w:tc>
        <w:tc>
          <w:tcPr>
            <w:tcW w:w="2018" w:type="dxa"/>
          </w:tcPr>
          <w:p w14:paraId="39391CAC"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noProof/>
              </w:rPr>
            </w:pPr>
            <w:r w:rsidRPr="00837FC8">
              <w:rPr>
                <w:noProof/>
              </w:rPr>
              <w:t>11%</w:t>
            </w:r>
          </w:p>
        </w:tc>
      </w:tr>
    </w:tbl>
    <w:p w14:paraId="2DA6D1DF" w14:textId="77777777" w:rsidR="003F4354" w:rsidRPr="00837FC8" w:rsidRDefault="003F4354" w:rsidP="003F4354">
      <w:pPr>
        <w:rPr>
          <w:b/>
          <w:bCs/>
          <w:noProof/>
        </w:rPr>
      </w:pPr>
    </w:p>
    <w:p w14:paraId="2E1DB00C" w14:textId="59574E32" w:rsidR="008F5B7A" w:rsidRDefault="008F5B7A" w:rsidP="00FF6070">
      <w:pPr>
        <w:pStyle w:val="Caption"/>
        <w:rPr>
          <w:bCs/>
        </w:rPr>
      </w:pPr>
      <w:bookmarkStart w:id="66" w:name="_Ref117676532"/>
      <w:r>
        <w:rPr>
          <w:bCs/>
          <w:noProof/>
          <w14:numSpacing w14:val="default"/>
        </w:rPr>
        <w:drawing>
          <wp:inline distT="0" distB="0" distL="0" distR="0" wp14:anchorId="055FC54F" wp14:editId="0EA61BB9">
            <wp:extent cx="6081823" cy="2842139"/>
            <wp:effectExtent l="0" t="0" r="0" b="0"/>
            <wp:docPr id="1380174540" name="Picture 1380174540" descr="A picture containing text, font, lin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174540" name="Picture 3" descr="A picture containing text, font, line, screenshot&#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099850" cy="2850564"/>
                    </a:xfrm>
                    <a:prstGeom prst="rect">
                      <a:avLst/>
                    </a:prstGeom>
                  </pic:spPr>
                </pic:pic>
              </a:graphicData>
            </a:graphic>
          </wp:inline>
        </w:drawing>
      </w:r>
    </w:p>
    <w:p w14:paraId="464781CB" w14:textId="5920312A" w:rsidR="003F4354" w:rsidRPr="00837FC8" w:rsidRDefault="003F4354" w:rsidP="00FF6070">
      <w:pPr>
        <w:pStyle w:val="Caption"/>
        <w:rPr>
          <w:bCs/>
          <w:noProof/>
        </w:rPr>
      </w:pPr>
      <w:r w:rsidRPr="003E1D52">
        <w:rPr>
          <w:bCs/>
        </w:rPr>
        <w:t xml:space="preserve">Figure </w:t>
      </w:r>
      <w:r w:rsidRPr="003E1D52">
        <w:rPr>
          <w:bCs/>
        </w:rPr>
        <w:fldChar w:fldCharType="begin"/>
      </w:r>
      <w:r w:rsidRPr="003E1D52">
        <w:rPr>
          <w:bCs/>
        </w:rPr>
        <w:instrText xml:space="preserve"> SEQ Figure \* ARABIC </w:instrText>
      </w:r>
      <w:r w:rsidRPr="003E1D52">
        <w:rPr>
          <w:bCs/>
        </w:rPr>
        <w:fldChar w:fldCharType="separate"/>
      </w:r>
      <w:r w:rsidR="000154C7">
        <w:rPr>
          <w:bCs/>
          <w:noProof/>
        </w:rPr>
        <w:t>10</w:t>
      </w:r>
      <w:r w:rsidRPr="003E1D52">
        <w:rPr>
          <w:bCs/>
          <w:noProof/>
        </w:rPr>
        <w:fldChar w:fldCharType="end"/>
      </w:r>
      <w:bookmarkEnd w:id="66"/>
      <w:r w:rsidRPr="00837FC8">
        <w:t xml:space="preserve"> Historical share of construction activity by sector</w:t>
      </w:r>
    </w:p>
    <w:p w14:paraId="58C2D854" w14:textId="70690BEB" w:rsidR="003F4354" w:rsidRDefault="003F4354" w:rsidP="003F4354">
      <w:r w:rsidRPr="00837FC8">
        <w:t>The residential sector demand</w:t>
      </w:r>
      <w:r>
        <w:t xml:space="preserve">s </w:t>
      </w:r>
      <w:r w:rsidRPr="00837FC8">
        <w:t xml:space="preserve">all extractive types analysed in </w:t>
      </w:r>
      <w:r>
        <w:t>the</w:t>
      </w:r>
      <w:r w:rsidRPr="00837FC8">
        <w:t xml:space="preserve"> </w:t>
      </w:r>
      <w:r>
        <w:t>Study</w:t>
      </w:r>
      <w:r w:rsidRPr="00837FC8">
        <w:t xml:space="preserve">. For the other sectors, it is assumed that there may be little or no demand for some of the extractive types. All sectors have high demand </w:t>
      </w:r>
      <w:r>
        <w:t xml:space="preserve">for </w:t>
      </w:r>
      <w:r w:rsidRPr="00837FC8">
        <w:t>hard rock, and sand and gravel, as these are used in construction (</w:t>
      </w:r>
      <w:r w:rsidRPr="006F42F1">
        <w:fldChar w:fldCharType="begin"/>
      </w:r>
      <w:r w:rsidRPr="006F42F1">
        <w:instrText xml:space="preserve"> REF _Ref114232978 \h  \* MERGEFORMAT </w:instrText>
      </w:r>
      <w:r w:rsidRPr="006F42F1">
        <w:fldChar w:fldCharType="separate"/>
      </w:r>
      <w:r w:rsidR="000154C7" w:rsidRPr="006F42F1">
        <w:t xml:space="preserve">Table </w:t>
      </w:r>
      <w:r w:rsidR="000154C7">
        <w:rPr>
          <w:noProof/>
        </w:rPr>
        <w:t>4</w:t>
      </w:r>
      <w:r w:rsidRPr="006F42F1">
        <w:fldChar w:fldCharType="end"/>
      </w:r>
      <w:r w:rsidRPr="006F42F1">
        <w:t>)</w:t>
      </w:r>
      <w:r w:rsidRPr="00C71AF9">
        <w:t>.</w:t>
      </w:r>
    </w:p>
    <w:p w14:paraId="5E047E4D" w14:textId="2D25DC25" w:rsidR="003F4354" w:rsidRDefault="003F4354" w:rsidP="00FF6070">
      <w:pPr>
        <w:pStyle w:val="Caption"/>
      </w:pPr>
      <w:bookmarkStart w:id="67" w:name="_Ref114232978"/>
      <w:r w:rsidRPr="006F42F1">
        <w:t xml:space="preserve">Table </w:t>
      </w:r>
      <w:r w:rsidRPr="006F42F1">
        <w:fldChar w:fldCharType="begin"/>
      </w:r>
      <w:r w:rsidRPr="006F42F1">
        <w:instrText>SEQ Table \* ARABIC</w:instrText>
      </w:r>
      <w:r w:rsidRPr="006F42F1">
        <w:fldChar w:fldCharType="separate"/>
      </w:r>
      <w:r w:rsidR="000154C7">
        <w:rPr>
          <w:noProof/>
        </w:rPr>
        <w:t>4</w:t>
      </w:r>
      <w:r w:rsidRPr="006F42F1">
        <w:fldChar w:fldCharType="end"/>
      </w:r>
      <w:bookmarkEnd w:id="67"/>
      <w:r w:rsidRPr="00837FC8">
        <w:t xml:space="preserve"> Rock type requirements by sector</w:t>
      </w:r>
    </w:p>
    <w:p w14:paraId="540788AE" w14:textId="1C621B9C" w:rsidR="006200B6" w:rsidRPr="006200B6" w:rsidRDefault="006200B6" w:rsidP="00A37739">
      <w:pPr>
        <w:pStyle w:val="BodyText"/>
      </w:pPr>
      <w:r w:rsidRPr="00837FC8">
        <w:rPr>
          <w:b/>
          <w:bCs/>
          <w:noProof/>
          <w:lang w:val="en-GB" w:eastAsia="en-GB"/>
        </w:rPr>
        <w:drawing>
          <wp:inline distT="0" distB="0" distL="0" distR="0" wp14:anchorId="7AC9E4F1" wp14:editId="1BE016B4">
            <wp:extent cx="2562446" cy="3436531"/>
            <wp:effectExtent l="0" t="19050" r="9525" b="31115"/>
            <wp:docPr id="17" name="Diagram 17">
              <a:extLst xmlns:a="http://schemas.openxmlformats.org/drawingml/2006/main">
                <a:ext uri="{FF2B5EF4-FFF2-40B4-BE49-F238E27FC236}">
                  <a16:creationId xmlns:a16="http://schemas.microsoft.com/office/drawing/2014/main" id="{2815F6BE-7FDC-43F0-83E8-C809A23416DC}"/>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309B9B26" w14:textId="4D284C49" w:rsidR="003F4354" w:rsidRDefault="003F4354" w:rsidP="003F4354">
      <w:pPr>
        <w:rPr>
          <w:b/>
          <w:bCs/>
        </w:rPr>
      </w:pPr>
    </w:p>
    <w:p w14:paraId="5C4ED67F" w14:textId="511F15FE" w:rsidR="003F4354" w:rsidRPr="00160107" w:rsidDel="00983FA5" w:rsidRDefault="003F4354" w:rsidP="003F4354">
      <w:pPr>
        <w:pStyle w:val="Heading2"/>
      </w:pPr>
      <w:bookmarkStart w:id="68" w:name="_Toc130274681"/>
      <w:bookmarkStart w:id="69" w:name="_Toc137567792"/>
      <w:r w:rsidRPr="00160107">
        <w:t>2.</w:t>
      </w:r>
      <w:r>
        <w:t>6</w:t>
      </w:r>
      <w:r w:rsidRPr="00160107">
        <w:t xml:space="preserve">. Demand for </w:t>
      </w:r>
      <w:r>
        <w:t>l</w:t>
      </w:r>
      <w:r w:rsidRPr="00160107" w:rsidDel="00983FA5">
        <w:t>imestone</w:t>
      </w:r>
      <w:bookmarkEnd w:id="68"/>
      <w:bookmarkEnd w:id="69"/>
    </w:p>
    <w:p w14:paraId="71675DA2" w14:textId="77777777" w:rsidR="003F4354" w:rsidRDefault="003F4354" w:rsidP="003F4354">
      <w:pPr>
        <w:rPr>
          <w:color w:val="232222" w:themeColor="text1"/>
        </w:rPr>
      </w:pPr>
      <w:r w:rsidRPr="00837FC8" w:rsidDel="00983FA5">
        <w:rPr>
          <w:color w:val="232222" w:themeColor="text1"/>
        </w:rPr>
        <w:t xml:space="preserve">Limestone demand forecasting was not undertaken. Limestone represents only a small percentage of the Victorian extractive industry (about </w:t>
      </w:r>
      <w:r>
        <w:rPr>
          <w:color w:val="232222" w:themeColor="text1"/>
        </w:rPr>
        <w:t>1.2</w:t>
      </w:r>
      <w:r w:rsidRPr="00837FC8" w:rsidDel="00983FA5">
        <w:rPr>
          <w:color w:val="232222" w:themeColor="text1"/>
        </w:rPr>
        <w:t xml:space="preserve"> million tonnes per year). Limestone is an intermediate input for cement clinker, an input for concrete. However, Victorian cement production has ceased, or has been greatly reduced in recent years, in part, to meet net zero emissions targets.</w:t>
      </w:r>
    </w:p>
    <w:p w14:paraId="3ADB32F1" w14:textId="77777777" w:rsidR="003F4354" w:rsidRDefault="003F4354" w:rsidP="003F4354">
      <w:pPr>
        <w:rPr>
          <w:color w:val="232222" w:themeColor="text1"/>
        </w:rPr>
      </w:pPr>
      <w:r w:rsidRPr="00837FC8" w:rsidDel="00983FA5">
        <w:rPr>
          <w:color w:val="232222" w:themeColor="text1"/>
        </w:rPr>
        <w:t>While limestone production for cement represents only a small and declining percentage of the Victorian extractive industry, demand for cement and concrete is expected to increase rapidly over 2022-30.</w:t>
      </w:r>
    </w:p>
    <w:p w14:paraId="1903E5F5" w14:textId="77777777" w:rsidR="003F4354" w:rsidRDefault="003F4354" w:rsidP="003F4354">
      <w:pPr>
        <w:rPr>
          <w:color w:val="232222" w:themeColor="text1"/>
        </w:rPr>
      </w:pPr>
      <w:r w:rsidRPr="00837FC8" w:rsidDel="00983FA5">
        <w:rPr>
          <w:color w:val="232222" w:themeColor="text1"/>
        </w:rPr>
        <w:t xml:space="preserve">LGAs with a high demand for limestone have changed significantly. Historically, the demand for limestone was widespread, coming from the construction industry where limestone was used </w:t>
      </w:r>
      <w:r w:rsidRPr="00160107" w:rsidDel="00983FA5">
        <w:rPr>
          <w:color w:val="232222" w:themeColor="text1"/>
        </w:rPr>
        <w:t>to produce clinker for cement production.</w:t>
      </w:r>
    </w:p>
    <w:p w14:paraId="35863A76" w14:textId="77777777" w:rsidR="003F4354" w:rsidRDefault="003F4354" w:rsidP="003F4354">
      <w:pPr>
        <w:rPr>
          <w:color w:val="232222" w:themeColor="text1"/>
        </w:rPr>
      </w:pPr>
      <w:r w:rsidDel="00983FA5">
        <w:rPr>
          <w:color w:val="232222" w:themeColor="text1"/>
        </w:rPr>
        <w:t>The</w:t>
      </w:r>
      <w:r w:rsidRPr="00837FC8" w:rsidDel="00983FA5">
        <w:rPr>
          <w:color w:val="232222" w:themeColor="text1"/>
        </w:rPr>
        <w:t xml:space="preserve"> two main drivers of the demand for limestone in Victoria are agriculture and gold mining.</w:t>
      </w:r>
      <w:r w:rsidRPr="00160107" w:rsidDel="00983FA5">
        <w:rPr>
          <w:color w:val="232222" w:themeColor="text1"/>
        </w:rPr>
        <w:t xml:space="preserve"> In agriculture, limestone is </w:t>
      </w:r>
      <w:r w:rsidRPr="00837FC8" w:rsidDel="00983FA5">
        <w:rPr>
          <w:color w:val="232222" w:themeColor="text1"/>
        </w:rPr>
        <w:t>applied to soil to balance pH. Agricultural demand is seasonal, with farmers mostly spreading limestone during summer. Gold mining uses limestone for processing gold.</w:t>
      </w:r>
    </w:p>
    <w:p w14:paraId="62F27FEF" w14:textId="77777777" w:rsidR="003F4354" w:rsidRDefault="003F4354" w:rsidP="003F4354">
      <w:pPr>
        <w:rPr>
          <w:color w:val="232222" w:themeColor="text1"/>
        </w:rPr>
      </w:pPr>
      <w:r w:rsidRPr="00837FC8" w:rsidDel="00983FA5">
        <w:rPr>
          <w:color w:val="232222" w:themeColor="text1"/>
        </w:rPr>
        <w:t xml:space="preserve">Hence, the greatest demand for limestone </w:t>
      </w:r>
      <w:r w:rsidDel="00983FA5">
        <w:rPr>
          <w:color w:val="232222" w:themeColor="text1"/>
        </w:rPr>
        <w:t>comes from</w:t>
      </w:r>
      <w:r w:rsidRPr="00837FC8" w:rsidDel="00983FA5">
        <w:rPr>
          <w:color w:val="232222" w:themeColor="text1"/>
        </w:rPr>
        <w:t xml:space="preserve"> rural LGAs</w:t>
      </w:r>
      <w:r w:rsidRPr="00160107" w:rsidDel="00983FA5">
        <w:rPr>
          <w:color w:val="232222" w:themeColor="text1"/>
        </w:rPr>
        <w:t xml:space="preserve"> </w:t>
      </w:r>
      <w:r w:rsidRPr="00837FC8" w:rsidDel="00983FA5">
        <w:rPr>
          <w:color w:val="232222" w:themeColor="text1"/>
        </w:rPr>
        <w:t>with extensive agriculture</w:t>
      </w:r>
      <w:r w:rsidDel="00983FA5">
        <w:rPr>
          <w:color w:val="232222" w:themeColor="text1"/>
        </w:rPr>
        <w:t xml:space="preserve"> and</w:t>
      </w:r>
      <w:r w:rsidRPr="00837FC8" w:rsidDel="00983FA5">
        <w:rPr>
          <w:color w:val="232222" w:themeColor="text1"/>
        </w:rPr>
        <w:t xml:space="preserve"> LGAs with gold mines.</w:t>
      </w:r>
    </w:p>
    <w:p w14:paraId="1023D337" w14:textId="797D9CBA" w:rsidR="003F4354" w:rsidRPr="00837FC8" w:rsidRDefault="003F4354" w:rsidP="003F4354">
      <w:pPr>
        <w:pStyle w:val="Heading2"/>
      </w:pPr>
      <w:bookmarkStart w:id="70" w:name="_Toc130274682"/>
      <w:bookmarkStart w:id="71" w:name="_Toc137567793"/>
      <w:r w:rsidRPr="00837FC8">
        <w:t>2.</w:t>
      </w:r>
      <w:r>
        <w:t>7</w:t>
      </w:r>
      <w:r w:rsidRPr="00837FC8">
        <w:t xml:space="preserve"> Conclusions</w:t>
      </w:r>
      <w:r>
        <w:t xml:space="preserve"> relating to demand analysis</w:t>
      </w:r>
      <w:bookmarkEnd w:id="70"/>
      <w:bookmarkEnd w:id="71"/>
    </w:p>
    <w:p w14:paraId="7ABB1E86" w14:textId="77777777" w:rsidR="003F4354" w:rsidRDefault="003F4354" w:rsidP="003F4354">
      <w:r w:rsidRPr="00837FC8">
        <w:t xml:space="preserve">Metropolitan Melbourne continues to have the highest demand for </w:t>
      </w:r>
      <w:r>
        <w:t>extractive resources</w:t>
      </w:r>
      <w:r w:rsidRPr="00837FC8">
        <w:t>. This is due to residential construction and construction in sectors linked to population growth, such as commercial buildings. Melbourne is forecast to demand 80 per cent of the state’s total hard rock between 2022-30, with the greatest demand from the western suburbs. Demand for sand and gravel is likely to be greatest in the south-east and north-east, and the demand for clay is forecast to be greatest in the west.</w:t>
      </w:r>
    </w:p>
    <w:p w14:paraId="41D15225" w14:textId="77777777" w:rsidR="003F4354" w:rsidRDefault="003F4354" w:rsidP="003F4354">
      <w:r w:rsidRPr="00837FC8">
        <w:t xml:space="preserve">Casey, Monash and Wyndham </w:t>
      </w:r>
      <w:r w:rsidRPr="00837FC8">
        <w:rPr>
          <w:color w:val="232222" w:themeColor="text1"/>
        </w:rPr>
        <w:t xml:space="preserve">LGAs </w:t>
      </w:r>
      <w:r w:rsidRPr="00837FC8">
        <w:t xml:space="preserve">consistently demand more </w:t>
      </w:r>
      <w:r>
        <w:t>extractive resources</w:t>
      </w:r>
      <w:r w:rsidRPr="00837FC8">
        <w:t xml:space="preserve"> than many other LGAs in outer Melbourne, reflecting a high level of residential construction and the planned infrastructure projects, such as the Suburban Rail Loop.</w:t>
      </w:r>
    </w:p>
    <w:p w14:paraId="0EF8823B" w14:textId="77777777" w:rsidR="003F4354" w:rsidRDefault="003F4354" w:rsidP="003F4354">
      <w:r w:rsidRPr="00837FC8">
        <w:t xml:space="preserve">In regional Victoria, planned and prospective wind farm construction in south-west Victoria is expected to concentrate </w:t>
      </w:r>
      <w:r>
        <w:t>extractive resources</w:t>
      </w:r>
      <w:r w:rsidRPr="00837FC8">
        <w:t xml:space="preserve"> demand.</w:t>
      </w:r>
    </w:p>
    <w:p w14:paraId="04F5F66A" w14:textId="77777777" w:rsidR="003F4354" w:rsidRDefault="003F4354" w:rsidP="00C06A50">
      <w:pPr>
        <w:pStyle w:val="Heading1"/>
      </w:pPr>
      <w:bookmarkStart w:id="72" w:name="_Toc130274683"/>
      <w:bookmarkStart w:id="73" w:name="_Toc137567794"/>
      <w:r w:rsidRPr="00837FC8">
        <w:lastRenderedPageBreak/>
        <w:t>3. Supply</w:t>
      </w:r>
      <w:r>
        <w:t xml:space="preserve"> </w:t>
      </w:r>
      <w:r w:rsidRPr="00C06A50">
        <w:t>analysis</w:t>
      </w:r>
      <w:bookmarkEnd w:id="72"/>
      <w:bookmarkEnd w:id="73"/>
    </w:p>
    <w:p w14:paraId="3854FD62" w14:textId="77777777" w:rsidR="003F4354" w:rsidRDefault="003F4354" w:rsidP="003F4354">
      <w:r>
        <w:t>The purpose of supply-side forecasting is to model the amount of extractive resources expected to be available to market, and whether that amount meets forecast demand in every year over the forecast horizon (2022-30).</w:t>
      </w:r>
    </w:p>
    <w:p w14:paraId="20082BBD" w14:textId="77777777" w:rsidR="003F4354" w:rsidRDefault="003F4354" w:rsidP="003F4354">
      <w:pPr>
        <w:pStyle w:val="Heading2"/>
      </w:pPr>
      <w:bookmarkStart w:id="74" w:name="_Toc130274684"/>
      <w:bookmarkStart w:id="75" w:name="_Toc137567795"/>
      <w:r w:rsidRPr="00837FC8">
        <w:t>3.1 Methodology and assumptions</w:t>
      </w:r>
      <w:bookmarkEnd w:id="74"/>
      <w:bookmarkEnd w:id="75"/>
    </w:p>
    <w:p w14:paraId="557B9091" w14:textId="77777777" w:rsidR="003F4354" w:rsidRDefault="003F4354" w:rsidP="003F4354">
      <w:pPr>
        <w:rPr>
          <w:rFonts w:cstheme="minorHAnsi"/>
          <w:szCs w:val="22"/>
        </w:rPr>
      </w:pPr>
      <w:r w:rsidRPr="009E6BD9">
        <w:rPr>
          <w:rFonts w:cstheme="minorHAnsi"/>
          <w:szCs w:val="22"/>
        </w:rPr>
        <w:t xml:space="preserve">The supply forecasts in </w:t>
      </w:r>
      <w:r>
        <w:rPr>
          <w:rFonts w:cstheme="minorHAnsi"/>
          <w:szCs w:val="22"/>
        </w:rPr>
        <w:t xml:space="preserve">the Study are </w:t>
      </w:r>
      <w:r w:rsidRPr="009E6BD9">
        <w:rPr>
          <w:rFonts w:cstheme="minorHAnsi"/>
          <w:szCs w:val="22"/>
        </w:rPr>
        <w:t xml:space="preserve">based on </w:t>
      </w:r>
      <w:r>
        <w:rPr>
          <w:rFonts w:cstheme="minorHAnsi"/>
          <w:szCs w:val="22"/>
        </w:rPr>
        <w:t xml:space="preserve">data from the </w:t>
      </w:r>
      <w:r w:rsidRPr="009E6BD9">
        <w:rPr>
          <w:rFonts w:cstheme="minorHAnsi"/>
          <w:szCs w:val="22"/>
        </w:rPr>
        <w:t>2020</w:t>
      </w:r>
      <w:r>
        <w:rPr>
          <w:rFonts w:cstheme="minorHAnsi"/>
          <w:szCs w:val="22"/>
        </w:rPr>
        <w:t>–</w:t>
      </w:r>
      <w:r w:rsidRPr="009E6BD9">
        <w:rPr>
          <w:rFonts w:cstheme="minorHAnsi"/>
          <w:szCs w:val="22"/>
        </w:rPr>
        <w:t>21 financial year</w:t>
      </w:r>
      <w:r>
        <w:rPr>
          <w:rFonts w:cstheme="minorHAnsi"/>
          <w:szCs w:val="22"/>
        </w:rPr>
        <w:t xml:space="preserve">. The primary data was collected as part of industry surveys in that year. This data represents a reserve estimate and has a high reliability in that it is approved for development and is considered technically and economically feasible to extract. For work authorities that were not covered by the industry surveys, data obtained from work authority holder annual reports was utilised to make up the gap. This data is less reliable and cannot be </w:t>
      </w:r>
      <w:r w:rsidRPr="00897571">
        <w:rPr>
          <w:rFonts w:cstheme="minorHAnsi"/>
          <w:szCs w:val="22"/>
        </w:rPr>
        <w:t>differentiated as to whether it represents resource data or reserve data.</w:t>
      </w:r>
    </w:p>
    <w:p w14:paraId="184C5BB9" w14:textId="7482B58B" w:rsidR="003F4354" w:rsidRDefault="003F4354" w:rsidP="003F4354">
      <w:pPr>
        <w:rPr>
          <w:rFonts w:cstheme="minorHAnsi"/>
        </w:rPr>
      </w:pPr>
      <w:r w:rsidRPr="00897571">
        <w:rPr>
          <w:rFonts w:cstheme="minorHAnsi"/>
        </w:rPr>
        <w:t>The supply data has been broken down into four categories of extractive resources: hard rock, sand and gravel, clay and other.</w:t>
      </w:r>
      <w:r>
        <w:rPr>
          <w:rFonts w:cstheme="minorHAnsi"/>
        </w:rPr>
        <w:t xml:space="preserve"> </w:t>
      </w:r>
    </w:p>
    <w:p w14:paraId="5F1C37B6" w14:textId="39B849EB" w:rsidR="003F4354" w:rsidRDefault="003F4354" w:rsidP="00C06A50">
      <w:pPr>
        <w:pStyle w:val="Heading3"/>
      </w:pPr>
      <w:bookmarkStart w:id="76" w:name="_Toc137567796"/>
      <w:r>
        <w:t xml:space="preserve">Supply </w:t>
      </w:r>
      <w:r w:rsidR="00C06A50">
        <w:t>d</w:t>
      </w:r>
      <w:r>
        <w:t>ata gathered from industry surveys</w:t>
      </w:r>
      <w:bookmarkEnd w:id="76"/>
    </w:p>
    <w:p w14:paraId="7A3D70BF" w14:textId="77777777" w:rsidR="003F4354" w:rsidRDefault="003F4354" w:rsidP="003F4354">
      <w:pPr>
        <w:rPr>
          <w:rFonts w:cstheme="minorHAnsi"/>
        </w:rPr>
      </w:pPr>
      <w:r>
        <w:rPr>
          <w:rFonts w:cstheme="minorHAnsi"/>
        </w:rPr>
        <w:t xml:space="preserve">With regards to the industry survey data, the Department undertook in person interviews with </w:t>
      </w:r>
      <w:r w:rsidRPr="00837FC8">
        <w:rPr>
          <w:rFonts w:cstheme="minorHAnsi"/>
        </w:rPr>
        <w:t>20 industry operators</w:t>
      </w:r>
      <w:r>
        <w:rPr>
          <w:rFonts w:cstheme="minorHAnsi"/>
        </w:rPr>
        <w:t xml:space="preserve"> that represented </w:t>
      </w:r>
      <w:r w:rsidRPr="00837FC8">
        <w:rPr>
          <w:rFonts w:cstheme="minorHAnsi"/>
        </w:rPr>
        <w:t>145 work authorities</w:t>
      </w:r>
      <w:r>
        <w:rPr>
          <w:rFonts w:cstheme="minorHAnsi"/>
        </w:rPr>
        <w:t xml:space="preserve">. The companies interviewed represented </w:t>
      </w:r>
      <w:r w:rsidRPr="00837FC8">
        <w:rPr>
          <w:rFonts w:cstheme="minorHAnsi"/>
        </w:rPr>
        <w:t>approximately 70 per cent of the state’s 2020-21 production.</w:t>
      </w:r>
      <w:r>
        <w:rPr>
          <w:rFonts w:cstheme="minorHAnsi"/>
        </w:rPr>
        <w:t xml:space="preserve"> </w:t>
      </w:r>
    </w:p>
    <w:p w14:paraId="13601048" w14:textId="5892290B" w:rsidR="003F4354" w:rsidRPr="00837FC8" w:rsidRDefault="003F4354" w:rsidP="003F4354">
      <w:pPr>
        <w:rPr>
          <w:rFonts w:cstheme="minorHAnsi"/>
        </w:rPr>
      </w:pPr>
      <w:r w:rsidRPr="00837FC8">
        <w:rPr>
          <w:rFonts w:cstheme="minorHAnsi"/>
        </w:rPr>
        <w:t xml:space="preserve">The </w:t>
      </w:r>
      <w:r>
        <w:rPr>
          <w:rFonts w:cstheme="minorHAnsi"/>
        </w:rPr>
        <w:t xml:space="preserve">following data was collected for each work authority by way of tailored questions asked by Departmental staff. </w:t>
      </w:r>
    </w:p>
    <w:p w14:paraId="675D592B" w14:textId="77777777" w:rsidR="003F4354" w:rsidRDefault="003F4354" w:rsidP="004129D2">
      <w:pPr>
        <w:pStyle w:val="ListBullet"/>
      </w:pPr>
      <w:r>
        <w:t>Summary of current operations</w:t>
      </w:r>
    </w:p>
    <w:p w14:paraId="0332BD9C" w14:textId="77777777" w:rsidR="003F4354" w:rsidRPr="00837FC8" w:rsidRDefault="003F4354" w:rsidP="004129D2">
      <w:pPr>
        <w:pStyle w:val="ListBullet"/>
      </w:pPr>
      <w:r w:rsidRPr="5ECAB36F">
        <w:t>the top three rock types they extracted, in order of weight</w:t>
      </w:r>
    </w:p>
    <w:p w14:paraId="4CA0CE3B" w14:textId="77777777" w:rsidR="003F4354" w:rsidRPr="00837FC8" w:rsidRDefault="003F4354" w:rsidP="004129D2">
      <w:pPr>
        <w:pStyle w:val="ListBullet"/>
      </w:pPr>
      <w:r w:rsidRPr="5ECAB36F">
        <w:t>a resource estimate of the site in metric tonnes, including percentages by rock type</w:t>
      </w:r>
    </w:p>
    <w:p w14:paraId="50148EFE" w14:textId="77777777" w:rsidR="003F4354" w:rsidRPr="00837FC8" w:rsidRDefault="003F4354" w:rsidP="004129D2">
      <w:pPr>
        <w:pStyle w:val="ListBullet"/>
      </w:pPr>
      <w:r w:rsidRPr="5ECAB36F">
        <w:t xml:space="preserve">the current reserve that </w:t>
      </w:r>
      <w:r>
        <w:t>is permitted</w:t>
      </w:r>
      <w:r w:rsidRPr="5ECAB36F">
        <w:t xml:space="preserve"> to be extracted (in metric tonnes) and the associated percentages of this by rock type</w:t>
      </w:r>
    </w:p>
    <w:p w14:paraId="3FBE83C9" w14:textId="77777777" w:rsidR="003F4354" w:rsidRPr="00837FC8" w:rsidRDefault="003F4354" w:rsidP="004129D2">
      <w:pPr>
        <w:pStyle w:val="ListBullet"/>
      </w:pPr>
      <w:r w:rsidRPr="5ECAB36F">
        <w:t>the maximum production rate of the quarry site (metric tonnes per annum)</w:t>
      </w:r>
    </w:p>
    <w:p w14:paraId="0AD283E0" w14:textId="77777777" w:rsidR="003F4354" w:rsidRDefault="003F4354" w:rsidP="004129D2">
      <w:pPr>
        <w:pStyle w:val="ListBullet"/>
      </w:pPr>
      <w:r w:rsidRPr="00837FC8">
        <w:t>estimation of additional resources and production due to planned expansion (before 2030)</w:t>
      </w:r>
    </w:p>
    <w:p w14:paraId="4919D149" w14:textId="77777777" w:rsidR="003F4354" w:rsidRPr="00D81F24" w:rsidRDefault="003F4354" w:rsidP="004129D2">
      <w:pPr>
        <w:pStyle w:val="ListBullet"/>
      </w:pPr>
      <w:r w:rsidRPr="5ECAB36F">
        <w:t>plans for the work authority in the future (e.g. apply for variation, close).</w:t>
      </w:r>
    </w:p>
    <w:p w14:paraId="0AE07B97" w14:textId="77777777" w:rsidR="003F4354" w:rsidRDefault="003F4354" w:rsidP="004129D2">
      <w:pPr>
        <w:pStyle w:val="ListBullet"/>
      </w:pPr>
      <w:r w:rsidRPr="5ECAB36F">
        <w:t>estimation of location</w:t>
      </w:r>
      <w:r>
        <w:t xml:space="preserve">, </w:t>
      </w:r>
      <w:r w:rsidRPr="5ECAB36F">
        <w:t xml:space="preserve">size </w:t>
      </w:r>
      <w:r>
        <w:t xml:space="preserve">and timing </w:t>
      </w:r>
      <w:r w:rsidRPr="5ECAB36F">
        <w:t>of production of any new quarries/expansions.</w:t>
      </w:r>
    </w:p>
    <w:p w14:paraId="41F1E8F8" w14:textId="77777777" w:rsidR="003F4354" w:rsidRDefault="003F4354" w:rsidP="003F4354">
      <w:pPr>
        <w:rPr>
          <w:rFonts w:cstheme="minorHAnsi"/>
        </w:rPr>
      </w:pPr>
      <w:r w:rsidRPr="00837FC8">
        <w:rPr>
          <w:rFonts w:cstheme="minorHAnsi"/>
        </w:rPr>
        <w:t>The Appendix includes further information on the questions</w:t>
      </w:r>
      <w:r>
        <w:rPr>
          <w:rFonts w:cstheme="minorHAnsi"/>
        </w:rPr>
        <w:t xml:space="preserve"> asked</w:t>
      </w:r>
      <w:r w:rsidRPr="00837FC8">
        <w:rPr>
          <w:rFonts w:cstheme="minorHAnsi"/>
        </w:rPr>
        <w:t>.</w:t>
      </w:r>
      <w:r>
        <w:rPr>
          <w:rFonts w:cstheme="minorHAnsi"/>
        </w:rPr>
        <w:t xml:space="preserve"> </w:t>
      </w:r>
    </w:p>
    <w:p w14:paraId="6171F112" w14:textId="77777777" w:rsidR="003F4354" w:rsidRDefault="003F4354" w:rsidP="003F4354">
      <w:pPr>
        <w:rPr>
          <w:rFonts w:cstheme="minorHAnsi"/>
        </w:rPr>
      </w:pPr>
      <w:r>
        <w:rPr>
          <w:rFonts w:cstheme="minorHAnsi"/>
        </w:rPr>
        <w:t xml:space="preserve">The survey data that is used in the initial supply forecasts is reserves data. Forecasting (as described in the forecasting section below) then factors in known new work plan approvals and variations that aim to develop some of the surveyed resource estimate data over time.   </w:t>
      </w:r>
    </w:p>
    <w:p w14:paraId="30EC18E4" w14:textId="77777777" w:rsidR="003F4354" w:rsidRDefault="003F4354" w:rsidP="003F4354">
      <w:pPr>
        <w:rPr>
          <w:rFonts w:cstheme="minorHAnsi"/>
        </w:rPr>
      </w:pPr>
      <w:r w:rsidRPr="00837FC8">
        <w:rPr>
          <w:rFonts w:cstheme="minorHAnsi"/>
        </w:rPr>
        <w:t xml:space="preserve">This survey </w:t>
      </w:r>
      <w:r>
        <w:rPr>
          <w:rFonts w:cstheme="minorHAnsi"/>
        </w:rPr>
        <w:t xml:space="preserve">data is being treated as Commercial in Confidence </w:t>
      </w:r>
      <w:r w:rsidRPr="00837FC8">
        <w:rPr>
          <w:rFonts w:cstheme="minorHAnsi"/>
        </w:rPr>
        <w:t xml:space="preserve">and the </w:t>
      </w:r>
      <w:r>
        <w:rPr>
          <w:rFonts w:cstheme="minorHAnsi"/>
        </w:rPr>
        <w:t xml:space="preserve">work authority level data is visible only to the </w:t>
      </w:r>
      <w:r w:rsidRPr="00837FC8">
        <w:rPr>
          <w:rFonts w:cstheme="minorHAnsi"/>
        </w:rPr>
        <w:t>Department</w:t>
      </w:r>
      <w:r>
        <w:rPr>
          <w:rFonts w:cstheme="minorHAnsi"/>
        </w:rPr>
        <w:t xml:space="preserve"> to support its analysis</w:t>
      </w:r>
      <w:r w:rsidRPr="00837FC8">
        <w:rPr>
          <w:rFonts w:cstheme="minorHAnsi"/>
        </w:rPr>
        <w:t xml:space="preserve">. </w:t>
      </w:r>
      <w:r>
        <w:rPr>
          <w:rFonts w:cstheme="minorHAnsi"/>
        </w:rPr>
        <w:t xml:space="preserve">To ensure that confidentiality requirements are met the data reported has been aggregated to a suitable level so that no specific work authority can be identified. For this reason, the regional analysis has been aggregated in Regional Development Victoria partnership zones rather than LGAs. </w:t>
      </w:r>
      <w:r>
        <w:rPr>
          <w:rStyle w:val="FootnoteReference"/>
          <w:rFonts w:cstheme="minorHAnsi"/>
        </w:rPr>
        <w:footnoteReference w:id="25"/>
      </w:r>
      <w:r>
        <w:rPr>
          <w:rFonts w:cstheme="minorHAnsi"/>
        </w:rPr>
        <w:t xml:space="preserve">If the regional data were presented by LGA, in some instances where there were limited suppliers to the area, it would have been possible to identify specific suppliers.     </w:t>
      </w:r>
    </w:p>
    <w:p w14:paraId="14264697" w14:textId="77777777" w:rsidR="003F4354" w:rsidRDefault="003F4354" w:rsidP="00C06A50">
      <w:pPr>
        <w:pStyle w:val="Heading3"/>
      </w:pPr>
      <w:bookmarkStart w:id="77" w:name="_Toc137567797"/>
      <w:r>
        <w:t>Supply data gathered from work authority annual reports</w:t>
      </w:r>
      <w:bookmarkEnd w:id="77"/>
      <w:r>
        <w:t xml:space="preserve"> </w:t>
      </w:r>
    </w:p>
    <w:p w14:paraId="04D6F4E6" w14:textId="77777777" w:rsidR="003F4354" w:rsidRDefault="003F4354" w:rsidP="003F4354">
      <w:pPr>
        <w:rPr>
          <w:rFonts w:cstheme="minorHAnsi"/>
        </w:rPr>
      </w:pPr>
      <w:r w:rsidRPr="00837FC8">
        <w:rPr>
          <w:rFonts w:cstheme="minorHAnsi"/>
        </w:rPr>
        <w:t>The</w:t>
      </w:r>
      <w:r>
        <w:rPr>
          <w:rFonts w:cstheme="minorHAnsi"/>
        </w:rPr>
        <w:t xml:space="preserve"> industry surveys </w:t>
      </w:r>
      <w:r w:rsidRPr="00837FC8">
        <w:rPr>
          <w:rFonts w:cstheme="minorHAnsi"/>
        </w:rPr>
        <w:t xml:space="preserve">did not account for </w:t>
      </w:r>
      <w:r>
        <w:rPr>
          <w:rFonts w:cstheme="minorHAnsi"/>
        </w:rPr>
        <w:t>all work authorities in Victoria.</w:t>
      </w:r>
      <w:r w:rsidRPr="00837FC8">
        <w:rPr>
          <w:rFonts w:cstheme="minorHAnsi"/>
        </w:rPr>
        <w:t xml:space="preserve"> </w:t>
      </w:r>
      <w:r>
        <w:rPr>
          <w:rFonts w:cstheme="minorHAnsi"/>
        </w:rPr>
        <w:t>For w</w:t>
      </w:r>
      <w:r w:rsidRPr="00837FC8">
        <w:rPr>
          <w:rFonts w:cstheme="minorHAnsi"/>
        </w:rPr>
        <w:t xml:space="preserve">ork authorities </w:t>
      </w:r>
      <w:r>
        <w:rPr>
          <w:rFonts w:cstheme="minorHAnsi"/>
        </w:rPr>
        <w:t xml:space="preserve">that were not able to be </w:t>
      </w:r>
      <w:r w:rsidRPr="00837FC8">
        <w:rPr>
          <w:rFonts w:cstheme="minorHAnsi"/>
        </w:rPr>
        <w:t>interviewed</w:t>
      </w:r>
      <w:r>
        <w:rPr>
          <w:rFonts w:cstheme="minorHAnsi"/>
        </w:rPr>
        <w:t xml:space="preserve">, resource estimations were derived </w:t>
      </w:r>
      <w:r w:rsidRPr="00837FC8">
        <w:rPr>
          <w:rFonts w:cstheme="minorHAnsi"/>
        </w:rPr>
        <w:t>from the mandatory 2020-21 financial year report</w:t>
      </w:r>
      <w:r>
        <w:rPr>
          <w:rFonts w:cstheme="minorHAnsi"/>
        </w:rPr>
        <w:t xml:space="preserve"> (the annual report)</w:t>
      </w:r>
      <w:r w:rsidRPr="00837FC8">
        <w:rPr>
          <w:rFonts w:cstheme="minorHAnsi"/>
        </w:rPr>
        <w:t xml:space="preserve">. </w:t>
      </w:r>
    </w:p>
    <w:p w14:paraId="04880E16" w14:textId="77777777" w:rsidR="003F4354" w:rsidRDefault="003F4354" w:rsidP="003F4354">
      <w:pPr>
        <w:rPr>
          <w:rFonts w:cstheme="minorHAnsi"/>
        </w:rPr>
      </w:pPr>
      <w:r w:rsidRPr="00837FC8">
        <w:rPr>
          <w:rFonts w:cstheme="minorHAnsi"/>
        </w:rPr>
        <w:lastRenderedPageBreak/>
        <w:t xml:space="preserve">Under the </w:t>
      </w:r>
      <w:r w:rsidRPr="00ED5AB1">
        <w:rPr>
          <w:rFonts w:cstheme="minorHAnsi"/>
          <w:i/>
          <w:iCs/>
        </w:rPr>
        <w:t>Mineral Resources (Sustainable Development) (Extractive Industries) Regulations 2019</w:t>
      </w:r>
      <w:r w:rsidRPr="00ED5AB1">
        <w:rPr>
          <w:i/>
          <w:iCs/>
        </w:rPr>
        <w:t>,</w:t>
      </w:r>
      <w:r w:rsidRPr="00ED5AB1">
        <w:rPr>
          <w:rFonts w:cstheme="minorHAnsi"/>
          <w:i/>
          <w:iCs/>
        </w:rPr>
        <w:t xml:space="preserve"> </w:t>
      </w:r>
      <w:r>
        <w:rPr>
          <w:rFonts w:cstheme="minorHAnsi"/>
        </w:rPr>
        <w:t>each extractive industry work authority must</w:t>
      </w:r>
      <w:r w:rsidRPr="00837FC8">
        <w:rPr>
          <w:rFonts w:cstheme="minorHAnsi"/>
        </w:rPr>
        <w:t xml:space="preserve"> </w:t>
      </w:r>
      <w:r>
        <w:rPr>
          <w:rFonts w:cstheme="minorHAnsi"/>
        </w:rPr>
        <w:t xml:space="preserve">annually </w:t>
      </w:r>
      <w:r w:rsidRPr="00837FC8">
        <w:rPr>
          <w:rFonts w:cstheme="minorHAnsi"/>
        </w:rPr>
        <w:t>report</w:t>
      </w:r>
      <w:r>
        <w:rPr>
          <w:rFonts w:cstheme="minorHAnsi"/>
        </w:rPr>
        <w:t xml:space="preserve"> (under Regulation 19(3)(h) </w:t>
      </w:r>
      <w:r w:rsidRPr="006857D8">
        <w:rPr>
          <w:rFonts w:cstheme="minorHAnsi"/>
        </w:rPr>
        <w:t xml:space="preserve">the most recent </w:t>
      </w:r>
      <w:r>
        <w:rPr>
          <w:rFonts w:cstheme="minorHAnsi"/>
        </w:rPr>
        <w:t>extractive</w:t>
      </w:r>
      <w:r w:rsidRPr="006857D8">
        <w:rPr>
          <w:rFonts w:cstheme="minorHAnsi"/>
        </w:rPr>
        <w:t xml:space="preserve"> resource estimate for</w:t>
      </w:r>
      <w:r>
        <w:rPr>
          <w:rFonts w:cstheme="minorHAnsi"/>
        </w:rPr>
        <w:t xml:space="preserve"> </w:t>
      </w:r>
      <w:r w:rsidRPr="006857D8">
        <w:rPr>
          <w:rFonts w:cstheme="minorHAnsi"/>
        </w:rPr>
        <w:t>the extractive industry work authority</w:t>
      </w:r>
      <w:r w:rsidRPr="00837FC8">
        <w:rPr>
          <w:rFonts w:cstheme="minorHAnsi"/>
        </w:rPr>
        <w:t>.</w:t>
      </w:r>
      <w:r>
        <w:rPr>
          <w:rFonts w:cstheme="minorHAnsi"/>
        </w:rPr>
        <w:t xml:space="preserve"> This provision was introduced recently in 2020.</w:t>
      </w:r>
    </w:p>
    <w:p w14:paraId="411A037A" w14:textId="77777777" w:rsidR="003F4354" w:rsidRDefault="003F4354" w:rsidP="003F4354">
      <w:pPr>
        <w:rPr>
          <w:rFonts w:cstheme="minorHAnsi"/>
        </w:rPr>
      </w:pPr>
      <w:r>
        <w:rPr>
          <w:rFonts w:cstheme="minorHAnsi"/>
        </w:rPr>
        <w:t>This regulatory</w:t>
      </w:r>
      <w:r w:rsidRPr="00837FC8">
        <w:rPr>
          <w:rFonts w:cstheme="minorHAnsi"/>
        </w:rPr>
        <w:t xml:space="preserve"> </w:t>
      </w:r>
      <w:r>
        <w:rPr>
          <w:rFonts w:cstheme="minorHAnsi"/>
        </w:rPr>
        <w:t xml:space="preserve">annual </w:t>
      </w:r>
      <w:r w:rsidRPr="00837FC8">
        <w:rPr>
          <w:rFonts w:cstheme="minorHAnsi"/>
        </w:rPr>
        <w:t xml:space="preserve">reporting requirement </w:t>
      </w:r>
      <w:r>
        <w:rPr>
          <w:rFonts w:cstheme="minorHAnsi"/>
        </w:rPr>
        <w:t xml:space="preserve">does not provide specificity as to what the resource estimate needs to include. It is likely that the data collected under this requirement is an overall estimate of the resource within the work authority and is not the reserve estimate (i.e. it would include resources that are not approved for development under an approved work plan). While it is not possible to be definitive, to ensure conservative assumptions, the annual report data is considered to be a resource rather than a reserve estimate. As such, it is likely to be an </w:t>
      </w:r>
      <w:r w:rsidRPr="00837FC8">
        <w:rPr>
          <w:rFonts w:cstheme="minorHAnsi"/>
        </w:rPr>
        <w:t>overestimate of the amount of material that each work authority can bring to market.</w:t>
      </w:r>
    </w:p>
    <w:p w14:paraId="20D2C56F" w14:textId="77777777" w:rsidR="003F4354" w:rsidRDefault="003F4354" w:rsidP="003F4354">
      <w:pPr>
        <w:rPr>
          <w:rFonts w:cstheme="minorHAnsi"/>
        </w:rPr>
      </w:pPr>
      <w:r>
        <w:rPr>
          <w:rFonts w:cstheme="minorHAnsi"/>
        </w:rPr>
        <w:t xml:space="preserve">In addition, this reported data is not verified or audited.  </w:t>
      </w:r>
    </w:p>
    <w:p w14:paraId="2E16B8D9" w14:textId="77777777" w:rsidR="003F4354" w:rsidRDefault="003F4354" w:rsidP="003F4354">
      <w:pPr>
        <w:rPr>
          <w:rFonts w:cstheme="minorHAnsi"/>
        </w:rPr>
      </w:pPr>
      <w:r>
        <w:rPr>
          <w:rFonts w:cstheme="minorHAnsi"/>
        </w:rPr>
        <w:t>While the annual report data is less reliable, it has still been included in the Study as it was the only way to establish a complete supply dataset. This is pertinent. Appropriate caveats are made throughout the report.</w:t>
      </w:r>
    </w:p>
    <w:p w14:paraId="7438B6AC" w14:textId="77777777" w:rsidR="003F4354" w:rsidRDefault="003F4354" w:rsidP="00C06A50">
      <w:pPr>
        <w:pStyle w:val="Heading3"/>
      </w:pPr>
      <w:bookmarkStart w:id="78" w:name="_Toc137567798"/>
      <w:r w:rsidRPr="00837FC8">
        <w:t>Supply data methodology</w:t>
      </w:r>
      <w:bookmarkEnd w:id="78"/>
    </w:p>
    <w:p w14:paraId="1F2D6C3A" w14:textId="77777777" w:rsidR="003F4354" w:rsidRDefault="003F4354" w:rsidP="003F4354">
      <w:r w:rsidRPr="009C3F64">
        <w:t>The supply forecast models commence with quantity of reserves held in work authorities in operation. For work authorities included in the industry interviews, these values will reflect what was reported. For work authorities not involved in the interviews, these values will be the resource estimate, as reported in the work authority annual returns for 2020-21.</w:t>
      </w:r>
    </w:p>
    <w:p w14:paraId="37304081" w14:textId="77777777" w:rsidR="003F4354" w:rsidRDefault="003F4354" w:rsidP="003F4354">
      <w:r w:rsidRPr="009C3F64">
        <w:t xml:space="preserve">The supply forecast has been constructed for three rock types and reported at the LGA level over the forecast horizon (2022-30). The supply forecast involves determining the stock of extractive materials in each year, where the stock of supply equals the current total reserves for a given rock type, plus any additional supply expected to come online </w:t>
      </w:r>
      <w:r w:rsidRPr="009C3F64">
        <w:rPr>
          <w:rFonts w:cstheme="minorHAnsi"/>
        </w:rPr>
        <w:t>via known w</w:t>
      </w:r>
      <w:r w:rsidRPr="009C3F64">
        <w:t>ork plan variations or approvals before 2030.</w:t>
      </w:r>
    </w:p>
    <w:p w14:paraId="08D63393" w14:textId="2C9DA784" w:rsidR="003F4354" w:rsidRPr="009C3F64" w:rsidRDefault="003F4354" w:rsidP="003F4354">
      <w:r w:rsidRPr="009C3F64">
        <w:t>In forecasting new supplies that may come online prior to 2030, three separate supply replenishment forecasts have been used:</w:t>
      </w:r>
    </w:p>
    <w:p w14:paraId="1C8542C8" w14:textId="77777777" w:rsidR="003F4354" w:rsidRPr="009C3F64" w:rsidRDefault="003F4354" w:rsidP="004129D2">
      <w:pPr>
        <w:pStyle w:val="ListNumber"/>
      </w:pPr>
      <w:r w:rsidRPr="009C3F64">
        <w:t>Low supply replenishment scenario: This scenario is conservative; new supplies are derived from low-risk work plan approvals and variations only</w:t>
      </w:r>
    </w:p>
    <w:p w14:paraId="3F5FB05C" w14:textId="77777777" w:rsidR="003F4354" w:rsidRPr="009C3F64" w:rsidRDefault="003F4354" w:rsidP="004129D2">
      <w:pPr>
        <w:pStyle w:val="ListNumber"/>
      </w:pPr>
      <w:r w:rsidRPr="009C3F64">
        <w:t>Medium supply replenishment scenario: Moderate assumptions in that the additional supply is derived from low- and medium-risk work plan and work plan variations.</w:t>
      </w:r>
    </w:p>
    <w:p w14:paraId="70CBE130" w14:textId="77777777" w:rsidR="003F4354" w:rsidRDefault="003F4354" w:rsidP="004129D2">
      <w:pPr>
        <w:pStyle w:val="ListNumber"/>
      </w:pPr>
      <w:r w:rsidRPr="009C3F64">
        <w:t>High supply replenishment scenario: Optimistic in that additional supply assumes all proposed work plan and work plan applications are approved.</w:t>
      </w:r>
    </w:p>
    <w:p w14:paraId="657EB4E9" w14:textId="77777777" w:rsidR="003F4354" w:rsidRDefault="003F4354" w:rsidP="003F4354">
      <w:pPr>
        <w:rPr>
          <w:rFonts w:cstheme="minorHAnsi"/>
        </w:rPr>
      </w:pPr>
      <w:r w:rsidRPr="009C3F64">
        <w:t xml:space="preserve">The level of risk to a work plan or work plan variation application was determined via multicriteria analysis that included whether planning permits were required, whether blasting was required, quarry location, size, </w:t>
      </w:r>
      <w:r w:rsidRPr="009C3F64">
        <w:rPr>
          <w:rFonts w:cstheme="minorHAnsi"/>
        </w:rPr>
        <w:t>and any known environmental, cultural or community sensitivities.</w:t>
      </w:r>
    </w:p>
    <w:p w14:paraId="1E1B5EBE" w14:textId="77777777" w:rsidR="003F4354" w:rsidRDefault="003F4354" w:rsidP="003F4354">
      <w:pPr>
        <w:rPr>
          <w:rFonts w:cstheme="minorHAnsi"/>
        </w:rPr>
      </w:pPr>
      <w:r w:rsidRPr="009C3F64">
        <w:rPr>
          <w:rFonts w:cstheme="minorHAnsi"/>
        </w:rPr>
        <w:t xml:space="preserve">Whether an application has a low, medium or high chance of approval depends on whether the application is for a new or existing site. New work authority sites usually require planning permits from the relevant local council, which can introduce barriers. However, an extension application for an existing quarry that has previously been submitted to the Earth Resources Regulation and is already statutory endorsed is more likely to proceed through </w:t>
      </w:r>
      <w:r>
        <w:rPr>
          <w:rFonts w:cstheme="minorHAnsi"/>
        </w:rPr>
        <w:t xml:space="preserve">the </w:t>
      </w:r>
      <w:r w:rsidRPr="009C3F64">
        <w:rPr>
          <w:rFonts w:cstheme="minorHAnsi"/>
        </w:rPr>
        <w:t>next stages of the process.</w:t>
      </w:r>
    </w:p>
    <w:p w14:paraId="7E1C21A6" w14:textId="48EF4448" w:rsidR="003F4354" w:rsidRPr="00837FC8" w:rsidRDefault="003F4354" w:rsidP="00C06A50">
      <w:pPr>
        <w:pStyle w:val="Heading3"/>
      </w:pPr>
      <w:bookmarkStart w:id="79" w:name="_Toc137567799"/>
      <w:r w:rsidRPr="00837FC8">
        <w:t>Supply modelling uncertainty and assumptions</w:t>
      </w:r>
      <w:bookmarkEnd w:id="79"/>
    </w:p>
    <w:p w14:paraId="1843D74A" w14:textId="77777777" w:rsidR="003F4354" w:rsidRPr="00837FC8" w:rsidRDefault="003F4354" w:rsidP="003F4354">
      <w:pPr>
        <w:rPr>
          <w:rFonts w:cstheme="minorHAnsi"/>
        </w:rPr>
      </w:pPr>
      <w:r>
        <w:rPr>
          <w:rFonts w:cstheme="minorHAnsi"/>
        </w:rPr>
        <w:t xml:space="preserve">The model includes a degree of uncertainty that should be acknowledged. </w:t>
      </w:r>
      <w:r w:rsidRPr="00837FC8">
        <w:rPr>
          <w:rFonts w:cstheme="minorHAnsi"/>
        </w:rPr>
        <w:t xml:space="preserve">In the case of the supply data, the most pertinent </w:t>
      </w:r>
      <w:r>
        <w:rPr>
          <w:rFonts w:cstheme="minorHAnsi"/>
        </w:rPr>
        <w:t>sources of uncertainty include</w:t>
      </w:r>
      <w:r w:rsidRPr="00837FC8">
        <w:rPr>
          <w:rFonts w:cstheme="minorHAnsi"/>
        </w:rPr>
        <w:t>:</w:t>
      </w:r>
    </w:p>
    <w:p w14:paraId="7DA700A1" w14:textId="77777777" w:rsidR="003F4354" w:rsidRPr="00837FC8" w:rsidRDefault="003F4354" w:rsidP="004129D2">
      <w:pPr>
        <w:pStyle w:val="ListBullet"/>
      </w:pPr>
      <w:r>
        <w:t>The regulatory approvals process and estimating the length of time that may be involved.</w:t>
      </w:r>
    </w:p>
    <w:p w14:paraId="0AD01D06" w14:textId="77777777" w:rsidR="003F4354" w:rsidRDefault="003F4354" w:rsidP="004129D2">
      <w:pPr>
        <w:pStyle w:val="ListBullet"/>
      </w:pPr>
      <w:r>
        <w:t xml:space="preserve">Commercial decision making in that the </w:t>
      </w:r>
      <w:r w:rsidRPr="00837FC8">
        <w:t xml:space="preserve">work plan </w:t>
      </w:r>
      <w:r>
        <w:t>(and length/scope of extraction) may be changed over time by the work authority holder.</w:t>
      </w:r>
    </w:p>
    <w:p w14:paraId="10462140" w14:textId="77777777" w:rsidR="003F4354" w:rsidRDefault="003F4354" w:rsidP="003F4354">
      <w:pPr>
        <w:pStyle w:val="Heading2"/>
      </w:pPr>
      <w:bookmarkStart w:id="80" w:name="_Toc130274685"/>
      <w:bookmarkStart w:id="81" w:name="_Toc137567800"/>
      <w:r w:rsidRPr="00837FC8">
        <w:t xml:space="preserve">3.2 </w:t>
      </w:r>
      <w:r>
        <w:t>Supply f</w:t>
      </w:r>
      <w:r w:rsidRPr="00837FC8">
        <w:t>orecasts</w:t>
      </w:r>
      <w:bookmarkEnd w:id="80"/>
      <w:bookmarkEnd w:id="81"/>
    </w:p>
    <w:p w14:paraId="70FA7617" w14:textId="29669725" w:rsidR="003F4354" w:rsidRDefault="003F4354" w:rsidP="003F4354">
      <w:pPr>
        <w:rPr>
          <w:rFonts w:cstheme="minorHAnsi"/>
        </w:rPr>
      </w:pPr>
      <w:r w:rsidRPr="006F42F1">
        <w:rPr>
          <w:rFonts w:cstheme="minorHAnsi"/>
        </w:rPr>
        <w:fldChar w:fldCharType="begin"/>
      </w:r>
      <w:r w:rsidRPr="006F42F1">
        <w:rPr>
          <w:rFonts w:cstheme="minorHAnsi"/>
        </w:rPr>
        <w:instrText xml:space="preserve"> REF _Ref117677103 \h  \* MERGEFORMAT </w:instrText>
      </w:r>
      <w:r w:rsidRPr="006F42F1">
        <w:rPr>
          <w:rFonts w:cstheme="minorHAnsi"/>
        </w:rPr>
      </w:r>
      <w:r w:rsidRPr="006F42F1">
        <w:rPr>
          <w:rFonts w:cstheme="minorHAnsi"/>
        </w:rPr>
        <w:fldChar w:fldCharType="separate"/>
      </w:r>
      <w:r w:rsidR="000154C7" w:rsidRPr="006F42F1">
        <w:t xml:space="preserve">Table </w:t>
      </w:r>
      <w:r w:rsidR="000154C7">
        <w:rPr>
          <w:noProof/>
        </w:rPr>
        <w:t>5</w:t>
      </w:r>
      <w:r w:rsidRPr="006F42F1">
        <w:rPr>
          <w:rFonts w:cstheme="minorHAnsi"/>
        </w:rPr>
        <w:fldChar w:fldCharType="end"/>
      </w:r>
      <w:r w:rsidRPr="00837FC8">
        <w:rPr>
          <w:rFonts w:cstheme="minorHAnsi"/>
        </w:rPr>
        <w:t xml:space="preserve"> describes the current extractive</w:t>
      </w:r>
      <w:r>
        <w:rPr>
          <w:rFonts w:cstheme="minorHAnsi"/>
        </w:rPr>
        <w:t xml:space="preserve"> reserves and resources</w:t>
      </w:r>
      <w:r w:rsidRPr="00837FC8">
        <w:rPr>
          <w:rFonts w:cstheme="minorHAnsi"/>
        </w:rPr>
        <w:t xml:space="preserve"> available as estimated by survey data and data from industry’s annual reporting requirements.</w:t>
      </w:r>
      <w:r>
        <w:rPr>
          <w:rFonts w:cstheme="minorHAnsi"/>
        </w:rPr>
        <w:t xml:space="preserve"> The data shows c</w:t>
      </w:r>
      <w:r w:rsidRPr="00837FC8">
        <w:t>urrent Victorian work authorities hold 1,131</w:t>
      </w:r>
      <w:r>
        <w:t xml:space="preserve"> million tonnes in reserves and an additional 811</w:t>
      </w:r>
      <w:r w:rsidRPr="00837FC8">
        <w:t xml:space="preserve"> million tonnes of extractive resources.</w:t>
      </w:r>
      <w:r>
        <w:t xml:space="preserve"> </w:t>
      </w:r>
      <w:r w:rsidRPr="00837FC8">
        <w:rPr>
          <w:rFonts w:cstheme="minorHAnsi"/>
        </w:rPr>
        <w:t xml:space="preserve">Hard rock has the most reserves available, followed by </w:t>
      </w:r>
      <w:r w:rsidRPr="009C3F64">
        <w:rPr>
          <w:rFonts w:cstheme="minorHAnsi"/>
        </w:rPr>
        <w:t>sand and gravel, clay and other products.</w:t>
      </w:r>
    </w:p>
    <w:p w14:paraId="04C73E00" w14:textId="77777777" w:rsidR="003F4354" w:rsidRDefault="003F4354" w:rsidP="003F4354">
      <w:pPr>
        <w:rPr>
          <w:rFonts w:cstheme="minorHAnsi"/>
        </w:rPr>
      </w:pPr>
      <w:r w:rsidRPr="009C3F64">
        <w:rPr>
          <w:rFonts w:cstheme="minorHAnsi"/>
        </w:rPr>
        <w:lastRenderedPageBreak/>
        <w:t xml:space="preserve">As expected, the addition of the annual report data suggests that there is a significantly greater supply available. It is also clear that this is an overestimation because the survey data (reserve data) comprises about 70 per cent of annual extractive resources production, and the increment of 811 million tonnes represents about a 60 per cent increase in the supply estimate overall (whereas it should rationally represent about 30 per cent).   </w:t>
      </w:r>
    </w:p>
    <w:p w14:paraId="6A5EC7B1" w14:textId="77777777" w:rsidR="003F4354" w:rsidRDefault="003F4354" w:rsidP="003F4354">
      <w:pPr>
        <w:rPr>
          <w:rFonts w:cstheme="minorHAnsi"/>
        </w:rPr>
      </w:pPr>
      <w:r w:rsidRPr="009C3F64">
        <w:rPr>
          <w:rFonts w:cstheme="minorHAnsi"/>
        </w:rPr>
        <w:t xml:space="preserve">While this is a limitation of the dataset, it is the best means available to estimate a complete supply dataset that covers all work authorities in Victoria. Consequently, it has been kept in the analysis. </w:t>
      </w:r>
    </w:p>
    <w:p w14:paraId="19E645CF" w14:textId="4B1C0450" w:rsidR="003F4354" w:rsidRPr="00837FC8" w:rsidRDefault="003F4354" w:rsidP="00FF6070">
      <w:pPr>
        <w:pStyle w:val="Caption"/>
      </w:pPr>
      <w:bookmarkStart w:id="82" w:name="_Ref117677103"/>
      <w:r w:rsidRPr="006F42F1">
        <w:t xml:space="preserve">Table </w:t>
      </w:r>
      <w:fldSimple w:instr=" SEQ Table \* ARABIC ">
        <w:r w:rsidR="000154C7">
          <w:rPr>
            <w:noProof/>
          </w:rPr>
          <w:t>5</w:t>
        </w:r>
      </w:fldSimple>
      <w:bookmarkEnd w:id="82"/>
      <w:r w:rsidRPr="00837FC8">
        <w:t xml:space="preserve"> Current </w:t>
      </w:r>
      <w:r>
        <w:t xml:space="preserve">extractive </w:t>
      </w:r>
      <w:r w:rsidRPr="00837FC8">
        <w:t xml:space="preserve">reserves </w:t>
      </w:r>
      <w:r>
        <w:t xml:space="preserve">and resources </w:t>
      </w:r>
      <w:r w:rsidRPr="00837FC8">
        <w:t>by rock group or rock type</w:t>
      </w:r>
    </w:p>
    <w:tbl>
      <w:tblPr>
        <w:tblStyle w:val="TableGrid"/>
        <w:tblW w:w="9551" w:type="dxa"/>
        <w:tblLook w:val="0420" w:firstRow="1" w:lastRow="0" w:firstColumn="0" w:lastColumn="0" w:noHBand="0" w:noVBand="1"/>
      </w:tblPr>
      <w:tblGrid>
        <w:gridCol w:w="2694"/>
        <w:gridCol w:w="3428"/>
        <w:gridCol w:w="3429"/>
      </w:tblGrid>
      <w:tr w:rsidR="003F4354" w:rsidRPr="00837FC8" w14:paraId="64023E19" w14:textId="77777777" w:rsidTr="00407F8B">
        <w:trPr>
          <w:cnfStyle w:val="100000000000" w:firstRow="1" w:lastRow="0" w:firstColumn="0" w:lastColumn="0" w:oddVBand="0" w:evenVBand="0" w:oddHBand="0" w:evenHBand="0" w:firstRowFirstColumn="0" w:firstRowLastColumn="0" w:lastRowFirstColumn="0" w:lastRowLastColumn="0"/>
          <w:trHeight w:val="340"/>
        </w:trPr>
        <w:tc>
          <w:tcPr>
            <w:tcW w:w="2694" w:type="dxa"/>
            <w:hideMark/>
          </w:tcPr>
          <w:p w14:paraId="3210C781" w14:textId="77777777" w:rsidR="003F4354" w:rsidRPr="00837FC8" w:rsidRDefault="003F4354" w:rsidP="00FF6070">
            <w:pPr>
              <w:pStyle w:val="TableHeadingLeft"/>
            </w:pPr>
            <w:r w:rsidRPr="00837FC8">
              <w:t>Rock Type</w:t>
            </w:r>
          </w:p>
        </w:tc>
        <w:tc>
          <w:tcPr>
            <w:tcW w:w="3428" w:type="dxa"/>
            <w:hideMark/>
          </w:tcPr>
          <w:p w14:paraId="48C26745" w14:textId="77777777" w:rsidR="003F4354" w:rsidRPr="00837FC8" w:rsidRDefault="003F4354" w:rsidP="00FF6070">
            <w:pPr>
              <w:pStyle w:val="TableHeadingCentre"/>
            </w:pPr>
            <w:r w:rsidRPr="00837FC8">
              <w:t>Reserve (Mt)</w:t>
            </w:r>
          </w:p>
        </w:tc>
        <w:tc>
          <w:tcPr>
            <w:tcW w:w="3429" w:type="dxa"/>
            <w:hideMark/>
          </w:tcPr>
          <w:p w14:paraId="65009FE0" w14:textId="77777777" w:rsidR="003F4354" w:rsidRPr="00837FC8" w:rsidRDefault="003F4354" w:rsidP="00FF6070">
            <w:pPr>
              <w:pStyle w:val="TableHeadingCentre"/>
            </w:pPr>
            <w:r w:rsidRPr="00837FC8">
              <w:t>Re</w:t>
            </w:r>
            <w:r>
              <w:t>source</w:t>
            </w:r>
            <w:r w:rsidRPr="00837FC8">
              <w:t xml:space="preserve"> (Mt)</w:t>
            </w:r>
          </w:p>
        </w:tc>
      </w:tr>
      <w:tr w:rsidR="003F4354" w:rsidRPr="00837FC8" w14:paraId="2E4684D4" w14:textId="77777777" w:rsidTr="00407F8B">
        <w:trPr>
          <w:trHeight w:val="340"/>
        </w:trPr>
        <w:tc>
          <w:tcPr>
            <w:tcW w:w="2694" w:type="dxa"/>
          </w:tcPr>
          <w:p w14:paraId="45152A3C" w14:textId="77777777" w:rsidR="003F4354" w:rsidRPr="00FF6070" w:rsidRDefault="003F4354" w:rsidP="00FF6070">
            <w:pPr>
              <w:pStyle w:val="TableTextLeft"/>
              <w:rPr>
                <w:i/>
                <w:iCs/>
              </w:rPr>
            </w:pPr>
            <w:r w:rsidRPr="00FF6070">
              <w:rPr>
                <w:i/>
                <w:iCs/>
              </w:rPr>
              <w:t>Data source</w:t>
            </w:r>
          </w:p>
        </w:tc>
        <w:tc>
          <w:tcPr>
            <w:tcW w:w="3428" w:type="dxa"/>
          </w:tcPr>
          <w:p w14:paraId="580221E0" w14:textId="77777777" w:rsidR="003F4354" w:rsidRPr="00FF6070" w:rsidRDefault="003F4354" w:rsidP="00FF6070">
            <w:pPr>
              <w:pStyle w:val="TableTextCentre"/>
              <w:rPr>
                <w:i/>
                <w:iCs/>
              </w:rPr>
            </w:pPr>
            <w:r w:rsidRPr="00FF6070">
              <w:rPr>
                <w:i/>
                <w:iCs/>
              </w:rPr>
              <w:t>Survey data</w:t>
            </w:r>
          </w:p>
        </w:tc>
        <w:tc>
          <w:tcPr>
            <w:tcW w:w="3429" w:type="dxa"/>
          </w:tcPr>
          <w:p w14:paraId="64DA85A9" w14:textId="77777777" w:rsidR="003F4354" w:rsidRPr="00FF6070" w:rsidRDefault="003F4354" w:rsidP="00FF6070">
            <w:pPr>
              <w:pStyle w:val="TableTextCentre"/>
              <w:rPr>
                <w:i/>
                <w:iCs/>
              </w:rPr>
            </w:pPr>
            <w:r w:rsidRPr="00FF6070">
              <w:rPr>
                <w:i/>
                <w:iCs/>
              </w:rPr>
              <w:t>Annual report data</w:t>
            </w:r>
          </w:p>
        </w:tc>
      </w:tr>
      <w:tr w:rsidR="003F4354" w:rsidRPr="00837FC8" w14:paraId="11758A28" w14:textId="77777777" w:rsidTr="00407F8B">
        <w:trPr>
          <w:trHeight w:val="340"/>
        </w:trPr>
        <w:tc>
          <w:tcPr>
            <w:tcW w:w="2694" w:type="dxa"/>
            <w:hideMark/>
          </w:tcPr>
          <w:p w14:paraId="62628A16" w14:textId="77777777" w:rsidR="003F4354" w:rsidRPr="00837FC8" w:rsidRDefault="003F4354" w:rsidP="00FF6070">
            <w:pPr>
              <w:pStyle w:val="TableTextLeft"/>
            </w:pPr>
            <w:r w:rsidRPr="00837FC8">
              <w:t>Hard rock</w:t>
            </w:r>
          </w:p>
        </w:tc>
        <w:tc>
          <w:tcPr>
            <w:tcW w:w="3428" w:type="dxa"/>
            <w:hideMark/>
          </w:tcPr>
          <w:p w14:paraId="79585C5C" w14:textId="77777777" w:rsidR="003F4354" w:rsidRPr="00837FC8" w:rsidRDefault="003F4354" w:rsidP="00FF6070">
            <w:pPr>
              <w:pStyle w:val="TableTextCentre"/>
            </w:pPr>
            <w:r w:rsidRPr="00837FC8">
              <w:t>955</w:t>
            </w:r>
          </w:p>
        </w:tc>
        <w:tc>
          <w:tcPr>
            <w:tcW w:w="3429" w:type="dxa"/>
          </w:tcPr>
          <w:p w14:paraId="4DDC249D" w14:textId="77777777" w:rsidR="003F4354" w:rsidRPr="00837FC8" w:rsidRDefault="003F4354" w:rsidP="00FF6070">
            <w:pPr>
              <w:pStyle w:val="TableTextCentre"/>
            </w:pPr>
            <w:r>
              <w:t>434</w:t>
            </w:r>
          </w:p>
        </w:tc>
      </w:tr>
      <w:tr w:rsidR="003F4354" w:rsidRPr="00837FC8" w14:paraId="09ADC65F" w14:textId="77777777" w:rsidTr="00407F8B">
        <w:trPr>
          <w:trHeight w:val="340"/>
        </w:trPr>
        <w:tc>
          <w:tcPr>
            <w:tcW w:w="2694" w:type="dxa"/>
            <w:hideMark/>
          </w:tcPr>
          <w:p w14:paraId="6541E251" w14:textId="77777777" w:rsidR="003F4354" w:rsidRPr="00837FC8" w:rsidRDefault="003F4354" w:rsidP="00FF6070">
            <w:pPr>
              <w:pStyle w:val="TableTextLeft"/>
            </w:pPr>
            <w:r w:rsidRPr="00837FC8">
              <w:t>Sand and gravel</w:t>
            </w:r>
          </w:p>
        </w:tc>
        <w:tc>
          <w:tcPr>
            <w:tcW w:w="3428" w:type="dxa"/>
          </w:tcPr>
          <w:p w14:paraId="2B9429B3" w14:textId="77777777" w:rsidR="003F4354" w:rsidRPr="00837FC8" w:rsidRDefault="003F4354" w:rsidP="00FF6070">
            <w:pPr>
              <w:pStyle w:val="TableTextCentre"/>
            </w:pPr>
            <w:r w:rsidRPr="00837FC8">
              <w:t>149</w:t>
            </w:r>
          </w:p>
        </w:tc>
        <w:tc>
          <w:tcPr>
            <w:tcW w:w="3429" w:type="dxa"/>
          </w:tcPr>
          <w:p w14:paraId="6E107D8F" w14:textId="77777777" w:rsidR="003F4354" w:rsidRPr="00837FC8" w:rsidRDefault="003F4354" w:rsidP="00FF6070">
            <w:pPr>
              <w:pStyle w:val="TableTextCentre"/>
            </w:pPr>
            <w:r>
              <w:t>131</w:t>
            </w:r>
          </w:p>
        </w:tc>
      </w:tr>
      <w:tr w:rsidR="003F4354" w:rsidRPr="00837FC8" w14:paraId="4FC18416" w14:textId="77777777" w:rsidTr="00407F8B">
        <w:trPr>
          <w:trHeight w:val="340"/>
        </w:trPr>
        <w:tc>
          <w:tcPr>
            <w:tcW w:w="2694" w:type="dxa"/>
            <w:hideMark/>
          </w:tcPr>
          <w:p w14:paraId="6A9FE1E2" w14:textId="77777777" w:rsidR="003F4354" w:rsidRPr="00837FC8" w:rsidRDefault="003F4354" w:rsidP="00FF6070">
            <w:pPr>
              <w:pStyle w:val="TableTextLeft"/>
            </w:pPr>
            <w:r w:rsidRPr="00837FC8">
              <w:t>Clay (and clay shale)</w:t>
            </w:r>
          </w:p>
        </w:tc>
        <w:tc>
          <w:tcPr>
            <w:tcW w:w="3428" w:type="dxa"/>
          </w:tcPr>
          <w:p w14:paraId="12A97DDC" w14:textId="77777777" w:rsidR="003F4354" w:rsidRPr="00837FC8" w:rsidRDefault="003F4354" w:rsidP="00FF6070">
            <w:pPr>
              <w:pStyle w:val="TableTextCentre"/>
            </w:pPr>
            <w:r w:rsidRPr="00837FC8">
              <w:t>19</w:t>
            </w:r>
          </w:p>
        </w:tc>
        <w:tc>
          <w:tcPr>
            <w:tcW w:w="3429" w:type="dxa"/>
          </w:tcPr>
          <w:p w14:paraId="0B4E23D6" w14:textId="77777777" w:rsidR="003F4354" w:rsidRPr="00837FC8" w:rsidRDefault="003F4354" w:rsidP="00FF6070">
            <w:pPr>
              <w:pStyle w:val="TableTextCentre"/>
            </w:pPr>
            <w:r>
              <w:t>9</w:t>
            </w:r>
          </w:p>
        </w:tc>
      </w:tr>
      <w:tr w:rsidR="003F4354" w:rsidRPr="00837FC8" w14:paraId="313D962A" w14:textId="77777777" w:rsidTr="00407F8B">
        <w:trPr>
          <w:trHeight w:val="340"/>
        </w:trPr>
        <w:tc>
          <w:tcPr>
            <w:tcW w:w="2694" w:type="dxa"/>
          </w:tcPr>
          <w:p w14:paraId="4DF51470" w14:textId="77777777" w:rsidR="003F4354" w:rsidRPr="00837FC8" w:rsidRDefault="003F4354" w:rsidP="00FF6070">
            <w:pPr>
              <w:pStyle w:val="TableTextLeft"/>
            </w:pPr>
            <w:r w:rsidRPr="00837FC8">
              <w:t>Other</w:t>
            </w:r>
          </w:p>
        </w:tc>
        <w:tc>
          <w:tcPr>
            <w:tcW w:w="3428" w:type="dxa"/>
          </w:tcPr>
          <w:p w14:paraId="4E1DDB5D" w14:textId="77777777" w:rsidR="003F4354" w:rsidRPr="00837FC8" w:rsidRDefault="003F4354" w:rsidP="00FF6070">
            <w:pPr>
              <w:pStyle w:val="TableTextCentre"/>
            </w:pPr>
            <w:r w:rsidRPr="00837FC8">
              <w:t>8</w:t>
            </w:r>
          </w:p>
        </w:tc>
        <w:tc>
          <w:tcPr>
            <w:tcW w:w="3429" w:type="dxa"/>
          </w:tcPr>
          <w:p w14:paraId="6A754DFB" w14:textId="77777777" w:rsidR="003F4354" w:rsidRPr="00837FC8" w:rsidRDefault="003F4354" w:rsidP="00FF6070">
            <w:pPr>
              <w:pStyle w:val="TableTextCentre"/>
            </w:pPr>
            <w:r w:rsidRPr="00837FC8">
              <w:t>2</w:t>
            </w:r>
            <w:r>
              <w:t>37</w:t>
            </w:r>
          </w:p>
        </w:tc>
      </w:tr>
      <w:tr w:rsidR="003F4354" w:rsidRPr="00837FC8" w14:paraId="4D1B646A" w14:textId="77777777" w:rsidTr="00407F8B">
        <w:trPr>
          <w:trHeight w:val="340"/>
        </w:trPr>
        <w:tc>
          <w:tcPr>
            <w:tcW w:w="2694" w:type="dxa"/>
            <w:hideMark/>
          </w:tcPr>
          <w:p w14:paraId="22B68607" w14:textId="77777777" w:rsidR="003F4354" w:rsidRPr="00FF6070" w:rsidRDefault="003F4354" w:rsidP="00FF6070">
            <w:pPr>
              <w:pStyle w:val="TableTextLeft"/>
              <w:rPr>
                <w:b/>
                <w:bCs/>
              </w:rPr>
            </w:pPr>
            <w:r w:rsidRPr="00FF6070">
              <w:rPr>
                <w:b/>
                <w:bCs/>
              </w:rPr>
              <w:t>Total</w:t>
            </w:r>
          </w:p>
        </w:tc>
        <w:tc>
          <w:tcPr>
            <w:tcW w:w="3428" w:type="dxa"/>
            <w:hideMark/>
          </w:tcPr>
          <w:p w14:paraId="4F4079EF" w14:textId="77777777" w:rsidR="003F4354" w:rsidRPr="00FF6070" w:rsidRDefault="003F4354" w:rsidP="00FF6070">
            <w:pPr>
              <w:pStyle w:val="TableTextCentre"/>
              <w:rPr>
                <w:b/>
                <w:bCs/>
              </w:rPr>
            </w:pPr>
            <w:r w:rsidRPr="00FF6070">
              <w:rPr>
                <w:b/>
                <w:bCs/>
              </w:rPr>
              <w:t>1,131</w:t>
            </w:r>
          </w:p>
        </w:tc>
        <w:tc>
          <w:tcPr>
            <w:tcW w:w="3429" w:type="dxa"/>
            <w:hideMark/>
          </w:tcPr>
          <w:p w14:paraId="779292EC" w14:textId="77777777" w:rsidR="003F4354" w:rsidRPr="00FF6070" w:rsidRDefault="003F4354" w:rsidP="00FF6070">
            <w:pPr>
              <w:pStyle w:val="TableTextCentre"/>
              <w:rPr>
                <w:b/>
                <w:bCs/>
              </w:rPr>
            </w:pPr>
            <w:r w:rsidRPr="00FF6070">
              <w:rPr>
                <w:b/>
                <w:bCs/>
              </w:rPr>
              <w:t>811</w:t>
            </w:r>
          </w:p>
        </w:tc>
      </w:tr>
    </w:tbl>
    <w:p w14:paraId="2EE819F0" w14:textId="77777777" w:rsidR="003F4354" w:rsidRPr="00837FC8" w:rsidRDefault="003F4354" w:rsidP="003F4354">
      <w:pPr>
        <w:rPr>
          <w:rFonts w:cstheme="minorHAnsi"/>
        </w:rPr>
      </w:pPr>
      <w:bookmarkStart w:id="83" w:name="_Ref114511710"/>
    </w:p>
    <w:p w14:paraId="490745CC" w14:textId="78425CFF" w:rsidR="003F4354" w:rsidRDefault="003F4354" w:rsidP="003F4354">
      <w:pPr>
        <w:rPr>
          <w:rFonts w:cstheme="minorHAnsi"/>
        </w:rPr>
      </w:pPr>
      <w:r w:rsidRPr="006F42F1">
        <w:rPr>
          <w:rFonts w:cstheme="minorHAnsi"/>
        </w:rPr>
        <w:fldChar w:fldCharType="begin"/>
      </w:r>
      <w:r w:rsidRPr="006F42F1">
        <w:rPr>
          <w:rFonts w:cstheme="minorHAnsi"/>
        </w:rPr>
        <w:instrText xml:space="preserve"> REF _Ref117677151 \h  \* MERGEFORMAT </w:instrText>
      </w:r>
      <w:r w:rsidRPr="006F42F1">
        <w:rPr>
          <w:rFonts w:cstheme="minorHAnsi"/>
        </w:rPr>
      </w:r>
      <w:r w:rsidRPr="006F42F1">
        <w:rPr>
          <w:rFonts w:cstheme="minorHAnsi"/>
        </w:rPr>
        <w:fldChar w:fldCharType="separate"/>
      </w:r>
      <w:r w:rsidR="000154C7" w:rsidRPr="006F42F1">
        <w:t xml:space="preserve">Table </w:t>
      </w:r>
      <w:r w:rsidR="000154C7">
        <w:rPr>
          <w:noProof/>
        </w:rPr>
        <w:t>6</w:t>
      </w:r>
      <w:r w:rsidRPr="006F42F1">
        <w:rPr>
          <w:rFonts w:cstheme="minorHAnsi"/>
        </w:rPr>
        <w:fldChar w:fldCharType="end"/>
      </w:r>
      <w:r w:rsidRPr="00837FC8">
        <w:rPr>
          <w:rFonts w:cstheme="minorHAnsi"/>
        </w:rPr>
        <w:t xml:space="preserve"> shows that regional areas contain more reserves than metropolitan areas. There are only 587 million tonnes of </w:t>
      </w:r>
      <w:r>
        <w:rPr>
          <w:rFonts w:cstheme="minorHAnsi"/>
        </w:rPr>
        <w:t>extractive resources</w:t>
      </w:r>
      <w:r w:rsidRPr="00837FC8">
        <w:rPr>
          <w:rFonts w:cstheme="minorHAnsi"/>
        </w:rPr>
        <w:t xml:space="preserve"> left in metropolitan areas, but 1,356 million tonnes across the regional areas.</w:t>
      </w:r>
    </w:p>
    <w:p w14:paraId="58FE2F4B" w14:textId="23BC314E" w:rsidR="003F4354" w:rsidRPr="00837FC8" w:rsidRDefault="003F4354" w:rsidP="00FF6070">
      <w:pPr>
        <w:pStyle w:val="Caption"/>
      </w:pPr>
      <w:bookmarkStart w:id="84" w:name="_Ref117677151"/>
      <w:r w:rsidRPr="006F42F1">
        <w:t xml:space="preserve">Table </w:t>
      </w:r>
      <w:fldSimple w:instr=" SEQ Table \* ARABIC ">
        <w:r w:rsidR="000154C7">
          <w:rPr>
            <w:noProof/>
          </w:rPr>
          <w:t>6</w:t>
        </w:r>
      </w:fldSimple>
      <w:bookmarkEnd w:id="84"/>
      <w:r w:rsidRPr="00837FC8">
        <w:t xml:space="preserve"> Current reserves by rock type and region (Mt)</w:t>
      </w:r>
    </w:p>
    <w:tbl>
      <w:tblPr>
        <w:tblStyle w:val="TableGrid"/>
        <w:tblW w:w="9586" w:type="dxa"/>
        <w:tblLook w:val="04A0" w:firstRow="1" w:lastRow="0" w:firstColumn="1" w:lastColumn="0" w:noHBand="0" w:noVBand="1"/>
      </w:tblPr>
      <w:tblGrid>
        <w:gridCol w:w="1985"/>
        <w:gridCol w:w="1636"/>
        <w:gridCol w:w="1496"/>
        <w:gridCol w:w="1496"/>
        <w:gridCol w:w="1485"/>
        <w:gridCol w:w="1488"/>
      </w:tblGrid>
      <w:tr w:rsidR="003F4354" w:rsidRPr="00837FC8" w14:paraId="4EDAFB20" w14:textId="77777777" w:rsidTr="00407F8B">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985" w:type="dxa"/>
            <w:noWrap/>
            <w:hideMark/>
          </w:tcPr>
          <w:p w14:paraId="2A692597" w14:textId="77777777" w:rsidR="003F4354" w:rsidRPr="00837FC8" w:rsidRDefault="003F4354" w:rsidP="00FF6070">
            <w:pPr>
              <w:pStyle w:val="TableHeadingLeft"/>
            </w:pPr>
            <w:r w:rsidRPr="00837FC8">
              <w:t>Rock type in millions of tonnes (Mt)</w:t>
            </w:r>
          </w:p>
        </w:tc>
        <w:tc>
          <w:tcPr>
            <w:tcW w:w="1636" w:type="dxa"/>
            <w:noWrap/>
            <w:hideMark/>
          </w:tcPr>
          <w:p w14:paraId="1ED3E76D"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 xml:space="preserve">Hard rock </w:t>
            </w:r>
          </w:p>
        </w:tc>
        <w:tc>
          <w:tcPr>
            <w:tcW w:w="1496" w:type="dxa"/>
            <w:noWrap/>
            <w:hideMark/>
          </w:tcPr>
          <w:p w14:paraId="426204B5"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Sand</w:t>
            </w:r>
          </w:p>
        </w:tc>
        <w:tc>
          <w:tcPr>
            <w:tcW w:w="1496" w:type="dxa"/>
            <w:noWrap/>
            <w:hideMark/>
          </w:tcPr>
          <w:p w14:paraId="455B71DD"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Clay</w:t>
            </w:r>
          </w:p>
        </w:tc>
        <w:tc>
          <w:tcPr>
            <w:tcW w:w="1485" w:type="dxa"/>
            <w:noWrap/>
            <w:hideMark/>
          </w:tcPr>
          <w:p w14:paraId="602C0A84"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Other</w:t>
            </w:r>
          </w:p>
        </w:tc>
        <w:tc>
          <w:tcPr>
            <w:tcW w:w="1488" w:type="dxa"/>
            <w:noWrap/>
            <w:hideMark/>
          </w:tcPr>
          <w:p w14:paraId="149C64FD"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 xml:space="preserve">Total </w:t>
            </w:r>
          </w:p>
        </w:tc>
      </w:tr>
      <w:tr w:rsidR="003F4354" w:rsidRPr="00837FC8" w14:paraId="1371F7F0" w14:textId="77777777" w:rsidTr="00407F8B">
        <w:trPr>
          <w:trHeight w:val="259"/>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1E0E3D3" w14:textId="77777777" w:rsidR="003F4354" w:rsidRPr="00837FC8" w:rsidRDefault="003F4354">
            <w:pPr>
              <w:rPr>
                <w:rFonts w:cstheme="minorHAnsi"/>
              </w:rPr>
            </w:pPr>
            <w:r w:rsidRPr="00837FC8">
              <w:rPr>
                <w:rFonts w:cstheme="minorHAnsi"/>
              </w:rPr>
              <w:t>Regional</w:t>
            </w:r>
          </w:p>
        </w:tc>
        <w:tc>
          <w:tcPr>
            <w:tcW w:w="1636" w:type="dxa"/>
            <w:noWrap/>
            <w:hideMark/>
          </w:tcPr>
          <w:p w14:paraId="6B90F063"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879</w:t>
            </w:r>
          </w:p>
        </w:tc>
        <w:tc>
          <w:tcPr>
            <w:tcW w:w="1496" w:type="dxa"/>
            <w:noWrap/>
            <w:hideMark/>
          </w:tcPr>
          <w:p w14:paraId="326304E5"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225</w:t>
            </w:r>
          </w:p>
        </w:tc>
        <w:tc>
          <w:tcPr>
            <w:tcW w:w="1496" w:type="dxa"/>
            <w:noWrap/>
            <w:hideMark/>
          </w:tcPr>
          <w:p w14:paraId="1BBF93A5"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12</w:t>
            </w:r>
          </w:p>
        </w:tc>
        <w:tc>
          <w:tcPr>
            <w:tcW w:w="1485" w:type="dxa"/>
            <w:noWrap/>
            <w:hideMark/>
          </w:tcPr>
          <w:p w14:paraId="1F8FDB3D"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239</w:t>
            </w:r>
          </w:p>
        </w:tc>
        <w:tc>
          <w:tcPr>
            <w:tcW w:w="1488" w:type="dxa"/>
            <w:noWrap/>
            <w:hideMark/>
          </w:tcPr>
          <w:p w14:paraId="6CDA72C6"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1356</w:t>
            </w:r>
          </w:p>
        </w:tc>
      </w:tr>
      <w:tr w:rsidR="003F4354" w:rsidRPr="00837FC8" w14:paraId="0076240F" w14:textId="77777777" w:rsidTr="00407F8B">
        <w:trPr>
          <w:trHeight w:val="259"/>
        </w:trPr>
        <w:tc>
          <w:tcPr>
            <w:cnfStyle w:val="001000000000" w:firstRow="0" w:lastRow="0" w:firstColumn="1" w:lastColumn="0" w:oddVBand="0" w:evenVBand="0" w:oddHBand="0" w:evenHBand="0" w:firstRowFirstColumn="0" w:firstRowLastColumn="0" w:lastRowFirstColumn="0" w:lastRowLastColumn="0"/>
            <w:tcW w:w="1985" w:type="dxa"/>
            <w:noWrap/>
            <w:hideMark/>
          </w:tcPr>
          <w:p w14:paraId="16417C25" w14:textId="77777777" w:rsidR="003F4354" w:rsidRPr="00837FC8" w:rsidRDefault="003F4354">
            <w:pPr>
              <w:rPr>
                <w:rFonts w:cstheme="minorHAnsi"/>
              </w:rPr>
            </w:pPr>
            <w:r w:rsidRPr="00837FC8">
              <w:rPr>
                <w:rFonts w:cstheme="minorHAnsi"/>
              </w:rPr>
              <w:t>Metro</w:t>
            </w:r>
          </w:p>
        </w:tc>
        <w:tc>
          <w:tcPr>
            <w:tcW w:w="1636" w:type="dxa"/>
            <w:noWrap/>
            <w:hideMark/>
          </w:tcPr>
          <w:p w14:paraId="694455A1"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510</w:t>
            </w:r>
          </w:p>
        </w:tc>
        <w:tc>
          <w:tcPr>
            <w:tcW w:w="1496" w:type="dxa"/>
            <w:noWrap/>
            <w:hideMark/>
          </w:tcPr>
          <w:p w14:paraId="7D95F88C"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55</w:t>
            </w:r>
          </w:p>
        </w:tc>
        <w:tc>
          <w:tcPr>
            <w:tcW w:w="1496" w:type="dxa"/>
            <w:noWrap/>
            <w:hideMark/>
          </w:tcPr>
          <w:p w14:paraId="7D6D04BF"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16</w:t>
            </w:r>
          </w:p>
        </w:tc>
        <w:tc>
          <w:tcPr>
            <w:tcW w:w="1485" w:type="dxa"/>
            <w:noWrap/>
            <w:hideMark/>
          </w:tcPr>
          <w:p w14:paraId="5A5C172F"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6</w:t>
            </w:r>
          </w:p>
        </w:tc>
        <w:tc>
          <w:tcPr>
            <w:tcW w:w="1488" w:type="dxa"/>
            <w:noWrap/>
            <w:hideMark/>
          </w:tcPr>
          <w:p w14:paraId="19F25366"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587</w:t>
            </w:r>
          </w:p>
        </w:tc>
      </w:tr>
      <w:tr w:rsidR="003F4354" w:rsidRPr="00837FC8" w14:paraId="6826817A" w14:textId="77777777" w:rsidTr="00407F8B">
        <w:trPr>
          <w:trHeight w:val="259"/>
        </w:trPr>
        <w:tc>
          <w:tcPr>
            <w:cnfStyle w:val="001000000000" w:firstRow="0" w:lastRow="0" w:firstColumn="1" w:lastColumn="0" w:oddVBand="0" w:evenVBand="0" w:oddHBand="0" w:evenHBand="0" w:firstRowFirstColumn="0" w:firstRowLastColumn="0" w:lastRowFirstColumn="0" w:lastRowLastColumn="0"/>
            <w:tcW w:w="1985" w:type="dxa"/>
            <w:noWrap/>
            <w:hideMark/>
          </w:tcPr>
          <w:p w14:paraId="4F52092C" w14:textId="77777777" w:rsidR="003F4354" w:rsidRPr="00837FC8" w:rsidRDefault="003F4354">
            <w:pPr>
              <w:rPr>
                <w:rFonts w:cstheme="minorHAnsi"/>
                <w:b/>
                <w:bCs/>
              </w:rPr>
            </w:pPr>
            <w:r w:rsidRPr="00837FC8">
              <w:rPr>
                <w:rFonts w:cstheme="minorHAnsi"/>
                <w:b/>
                <w:bCs/>
              </w:rPr>
              <w:t>Total</w:t>
            </w:r>
          </w:p>
        </w:tc>
        <w:tc>
          <w:tcPr>
            <w:tcW w:w="1636" w:type="dxa"/>
            <w:noWrap/>
            <w:hideMark/>
          </w:tcPr>
          <w:p w14:paraId="1936BFE5"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1389</w:t>
            </w:r>
          </w:p>
        </w:tc>
        <w:tc>
          <w:tcPr>
            <w:tcW w:w="1496" w:type="dxa"/>
            <w:noWrap/>
            <w:hideMark/>
          </w:tcPr>
          <w:p w14:paraId="646C6A23"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281</w:t>
            </w:r>
          </w:p>
        </w:tc>
        <w:tc>
          <w:tcPr>
            <w:tcW w:w="1496" w:type="dxa"/>
            <w:noWrap/>
            <w:hideMark/>
          </w:tcPr>
          <w:p w14:paraId="2E30B887"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28</w:t>
            </w:r>
          </w:p>
        </w:tc>
        <w:tc>
          <w:tcPr>
            <w:tcW w:w="1485" w:type="dxa"/>
            <w:noWrap/>
            <w:hideMark/>
          </w:tcPr>
          <w:p w14:paraId="1E23D788"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rPr>
            </w:pPr>
            <w:r w:rsidRPr="00837FC8">
              <w:rPr>
                <w:rFonts w:cstheme="minorHAnsi"/>
              </w:rPr>
              <w:t>244</w:t>
            </w:r>
          </w:p>
        </w:tc>
        <w:tc>
          <w:tcPr>
            <w:tcW w:w="1488" w:type="dxa"/>
            <w:noWrap/>
            <w:hideMark/>
          </w:tcPr>
          <w:p w14:paraId="601030A1" w14:textId="77777777" w:rsidR="003F4354" w:rsidRPr="00837FC8" w:rsidRDefault="003F4354">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sidRPr="00837FC8">
              <w:rPr>
                <w:rFonts w:cstheme="minorHAnsi"/>
                <w:b/>
                <w:bCs/>
              </w:rPr>
              <w:t>1942</w:t>
            </w:r>
          </w:p>
        </w:tc>
      </w:tr>
    </w:tbl>
    <w:p w14:paraId="2842223A" w14:textId="77777777" w:rsidR="003F4354" w:rsidRDefault="003F4354" w:rsidP="003F4354">
      <w:pPr>
        <w:rPr>
          <w:b/>
          <w:bCs/>
        </w:rPr>
      </w:pPr>
    </w:p>
    <w:p w14:paraId="1C53FE62" w14:textId="5A4B0053" w:rsidR="003F4354" w:rsidRDefault="003F4354" w:rsidP="003F4354">
      <w:r w:rsidRPr="006F42F1">
        <w:fldChar w:fldCharType="begin"/>
      </w:r>
      <w:r w:rsidRPr="006F42F1">
        <w:instrText xml:space="preserve"> REF _Ref117677196 \h  \* MERGEFORMAT </w:instrText>
      </w:r>
      <w:r w:rsidRPr="006F42F1">
        <w:fldChar w:fldCharType="separate"/>
      </w:r>
      <w:r w:rsidR="000154C7" w:rsidRPr="006F42F1">
        <w:t xml:space="preserve">Table </w:t>
      </w:r>
      <w:r w:rsidR="000154C7">
        <w:rPr>
          <w:noProof/>
        </w:rPr>
        <w:t>7</w:t>
      </w:r>
      <w:r w:rsidRPr="006F42F1">
        <w:fldChar w:fldCharType="end"/>
      </w:r>
      <w:r w:rsidRPr="00837FC8">
        <w:t xml:space="preserve"> shows that most of the </w:t>
      </w:r>
      <w:r w:rsidR="002A7A2D">
        <w:t xml:space="preserve">proposed supply of rock and sand comes from </w:t>
      </w:r>
      <w:r w:rsidRPr="00837FC8">
        <w:t>work authority variation permit</w:t>
      </w:r>
      <w:r w:rsidR="002A7A2D">
        <w:t xml:space="preserve"> applications</w:t>
      </w:r>
      <w:r w:rsidR="00783A24">
        <w:t xml:space="preserve"> </w:t>
      </w:r>
      <w:r w:rsidRPr="00837FC8">
        <w:t>are for hard rock</w:t>
      </w:r>
      <w:r>
        <w:t>.</w:t>
      </w:r>
      <w:r w:rsidRPr="00837FC8">
        <w:t xml:space="preserve"> </w:t>
      </w:r>
      <w:r>
        <w:t>This suggests</w:t>
      </w:r>
      <w:r w:rsidRPr="00837FC8">
        <w:t xml:space="preserve"> there are quarries </w:t>
      </w:r>
      <w:r w:rsidR="002A7A2D">
        <w:t xml:space="preserve">now </w:t>
      </w:r>
      <w:r w:rsidRPr="00837FC8">
        <w:t xml:space="preserve">that could supply more rock if allowed to extract from a larger area. Due to dwindling sand and gravel supplies, this rock type requires the </w:t>
      </w:r>
      <w:r>
        <w:t>greatest number of</w:t>
      </w:r>
      <w:r w:rsidRPr="00837FC8">
        <w:t xml:space="preserve"> new work authorities</w:t>
      </w:r>
      <w:r w:rsidR="002A7A2D">
        <w:t xml:space="preserve"> or work plan variations</w:t>
      </w:r>
      <w:r w:rsidRPr="00837FC8">
        <w:t>. There are no permits for creating new clay work authorities</w:t>
      </w:r>
      <w:r>
        <w:t xml:space="preserve"> and only a few work plan variations to extend </w:t>
      </w:r>
      <w:r w:rsidRPr="00837FC8">
        <w:t>the reach of already existing ones.</w:t>
      </w:r>
    </w:p>
    <w:p w14:paraId="711CDE4B" w14:textId="7A84B1ED" w:rsidR="003F4354" w:rsidRPr="00837FC8" w:rsidRDefault="003F4354" w:rsidP="00FF6070">
      <w:pPr>
        <w:pStyle w:val="Caption"/>
      </w:pPr>
      <w:bookmarkStart w:id="85" w:name="_Ref117677196"/>
      <w:r w:rsidRPr="006F42F1">
        <w:t xml:space="preserve">Table </w:t>
      </w:r>
      <w:fldSimple w:instr=" SEQ Table \* ARABIC ">
        <w:r w:rsidR="000154C7">
          <w:rPr>
            <w:noProof/>
          </w:rPr>
          <w:t>7</w:t>
        </w:r>
      </w:fldSimple>
      <w:bookmarkEnd w:id="85"/>
      <w:r w:rsidRPr="00837FC8">
        <w:t xml:space="preserve"> </w:t>
      </w:r>
      <w:bookmarkEnd w:id="83"/>
      <w:r w:rsidR="002A7A2D">
        <w:t xml:space="preserve">Proposed new supply 2022-30 from </w:t>
      </w:r>
      <w:r w:rsidRPr="00837FC8">
        <w:t>new work authorities/work plan variations by rock group or rock type</w:t>
      </w:r>
    </w:p>
    <w:tbl>
      <w:tblPr>
        <w:tblStyle w:val="TableGrid"/>
        <w:tblW w:w="8037" w:type="dxa"/>
        <w:tblLook w:val="0420" w:firstRow="1" w:lastRow="0" w:firstColumn="0" w:lastColumn="0" w:noHBand="0" w:noVBand="1"/>
      </w:tblPr>
      <w:tblGrid>
        <w:gridCol w:w="2127"/>
        <w:gridCol w:w="1706"/>
        <w:gridCol w:w="278"/>
        <w:gridCol w:w="1800"/>
        <w:gridCol w:w="2126"/>
      </w:tblGrid>
      <w:tr w:rsidR="00FF6070" w:rsidRPr="00837FC8" w14:paraId="141FF981" w14:textId="77777777" w:rsidTr="007B7F59">
        <w:trPr>
          <w:cnfStyle w:val="100000000000" w:firstRow="1" w:lastRow="0" w:firstColumn="0" w:lastColumn="0" w:oddVBand="0" w:evenVBand="0" w:oddHBand="0" w:evenHBand="0" w:firstRowFirstColumn="0" w:firstRowLastColumn="0" w:lastRowFirstColumn="0" w:lastRowLastColumn="0"/>
          <w:trHeight w:val="340"/>
        </w:trPr>
        <w:tc>
          <w:tcPr>
            <w:tcW w:w="2127" w:type="dxa"/>
            <w:hideMark/>
          </w:tcPr>
          <w:p w14:paraId="7B88D6DB" w14:textId="77777777" w:rsidR="003F4354" w:rsidRPr="00ED5AB1" w:rsidRDefault="003F4354" w:rsidP="00FF6070">
            <w:pPr>
              <w:pStyle w:val="TableHeadingLeft"/>
            </w:pPr>
            <w:r w:rsidRPr="00ED5AB1">
              <w:t>Rock type</w:t>
            </w:r>
          </w:p>
        </w:tc>
        <w:tc>
          <w:tcPr>
            <w:tcW w:w="1706" w:type="dxa"/>
            <w:hideMark/>
          </w:tcPr>
          <w:p w14:paraId="4BA79A40" w14:textId="77777777" w:rsidR="003F4354" w:rsidRPr="00ED5AB1" w:rsidRDefault="003F4354" w:rsidP="00FF6070">
            <w:pPr>
              <w:pStyle w:val="TableHeadingCentre"/>
            </w:pPr>
            <w:r w:rsidRPr="00ED5AB1">
              <w:t>Work plan variations (Mt)</w:t>
            </w:r>
          </w:p>
        </w:tc>
        <w:tc>
          <w:tcPr>
            <w:tcW w:w="278" w:type="dxa"/>
          </w:tcPr>
          <w:p w14:paraId="77D56B7A" w14:textId="36A79174" w:rsidR="003F4354" w:rsidRPr="009C3F64" w:rsidRDefault="003F4354" w:rsidP="00FF6070">
            <w:pPr>
              <w:pStyle w:val="TableHeadingCentre"/>
              <w:rPr>
                <w:highlight w:val="yellow"/>
              </w:rPr>
            </w:pPr>
          </w:p>
        </w:tc>
        <w:tc>
          <w:tcPr>
            <w:tcW w:w="1800" w:type="dxa"/>
            <w:hideMark/>
          </w:tcPr>
          <w:p w14:paraId="51892C8B" w14:textId="77777777" w:rsidR="003F4354" w:rsidRPr="00ED5AB1" w:rsidRDefault="003F4354" w:rsidP="00FF6070">
            <w:pPr>
              <w:pStyle w:val="TableHeadingCentre"/>
            </w:pPr>
            <w:r w:rsidRPr="00ED5AB1">
              <w:t>New work authorities (Mt)</w:t>
            </w:r>
          </w:p>
        </w:tc>
        <w:tc>
          <w:tcPr>
            <w:tcW w:w="2126" w:type="dxa"/>
            <w:hideMark/>
          </w:tcPr>
          <w:p w14:paraId="167EA8D7" w14:textId="77777777" w:rsidR="003F4354" w:rsidRPr="00ED5AB1" w:rsidRDefault="003F4354" w:rsidP="00FF6070">
            <w:pPr>
              <w:pStyle w:val="TableHeadingCentre"/>
            </w:pPr>
            <w:r w:rsidRPr="00ED5AB1">
              <w:t>Share of additional tonnages (%)</w:t>
            </w:r>
          </w:p>
        </w:tc>
      </w:tr>
      <w:tr w:rsidR="003F4354" w:rsidRPr="00837FC8" w14:paraId="5CB0EDBD" w14:textId="77777777" w:rsidTr="007B7F59">
        <w:trPr>
          <w:trHeight w:val="340"/>
        </w:trPr>
        <w:tc>
          <w:tcPr>
            <w:tcW w:w="2127" w:type="dxa"/>
            <w:hideMark/>
          </w:tcPr>
          <w:p w14:paraId="29B38296" w14:textId="77777777" w:rsidR="003F4354" w:rsidRPr="00837FC8" w:rsidRDefault="003F4354" w:rsidP="00FF6070">
            <w:pPr>
              <w:pStyle w:val="TableTextLeft"/>
            </w:pPr>
            <w:r w:rsidRPr="00837FC8">
              <w:t>Hard rock</w:t>
            </w:r>
          </w:p>
        </w:tc>
        <w:tc>
          <w:tcPr>
            <w:tcW w:w="1706" w:type="dxa"/>
            <w:hideMark/>
          </w:tcPr>
          <w:p w14:paraId="66A57B39" w14:textId="77777777" w:rsidR="003F4354" w:rsidRPr="00837FC8" w:rsidRDefault="003F4354" w:rsidP="00FF6070">
            <w:pPr>
              <w:pStyle w:val="TableTextCentre"/>
            </w:pPr>
            <w:r w:rsidRPr="00837FC8">
              <w:t>563</w:t>
            </w:r>
          </w:p>
        </w:tc>
        <w:tc>
          <w:tcPr>
            <w:tcW w:w="278" w:type="dxa"/>
          </w:tcPr>
          <w:p w14:paraId="75752587" w14:textId="5583E2AF" w:rsidR="003F4354" w:rsidRPr="009C3F64" w:rsidRDefault="003F4354" w:rsidP="00FF6070">
            <w:pPr>
              <w:pStyle w:val="TableTextCentre"/>
              <w:rPr>
                <w:highlight w:val="yellow"/>
              </w:rPr>
            </w:pPr>
          </w:p>
        </w:tc>
        <w:tc>
          <w:tcPr>
            <w:tcW w:w="1800" w:type="dxa"/>
            <w:hideMark/>
          </w:tcPr>
          <w:p w14:paraId="2A2D947F" w14:textId="77777777" w:rsidR="003F4354" w:rsidRPr="00837FC8" w:rsidRDefault="003F4354" w:rsidP="00FF6070">
            <w:pPr>
              <w:pStyle w:val="TableTextCentre"/>
            </w:pPr>
            <w:r w:rsidRPr="00837FC8">
              <w:t>41</w:t>
            </w:r>
          </w:p>
        </w:tc>
        <w:tc>
          <w:tcPr>
            <w:tcW w:w="2126" w:type="dxa"/>
            <w:hideMark/>
          </w:tcPr>
          <w:p w14:paraId="31A687B5" w14:textId="77777777" w:rsidR="003F4354" w:rsidRPr="00837FC8" w:rsidRDefault="003F4354" w:rsidP="00FF6070">
            <w:pPr>
              <w:pStyle w:val="TableTextCentre"/>
            </w:pPr>
            <w:r w:rsidRPr="00837FC8">
              <w:t>71</w:t>
            </w:r>
          </w:p>
        </w:tc>
      </w:tr>
      <w:tr w:rsidR="003F4354" w:rsidRPr="00837FC8" w14:paraId="6C1CCBB8" w14:textId="77777777" w:rsidTr="007B7F59">
        <w:trPr>
          <w:trHeight w:val="340"/>
        </w:trPr>
        <w:tc>
          <w:tcPr>
            <w:tcW w:w="2127" w:type="dxa"/>
            <w:hideMark/>
          </w:tcPr>
          <w:p w14:paraId="0A9D5457" w14:textId="77777777" w:rsidR="003F4354" w:rsidRPr="00837FC8" w:rsidRDefault="003F4354" w:rsidP="00FF6070">
            <w:pPr>
              <w:pStyle w:val="TableTextLeft"/>
            </w:pPr>
            <w:r w:rsidRPr="00837FC8">
              <w:t>Sand and gravel</w:t>
            </w:r>
          </w:p>
        </w:tc>
        <w:tc>
          <w:tcPr>
            <w:tcW w:w="1706" w:type="dxa"/>
            <w:hideMark/>
          </w:tcPr>
          <w:p w14:paraId="50B93791" w14:textId="77777777" w:rsidR="003F4354" w:rsidRPr="00837FC8" w:rsidRDefault="003F4354" w:rsidP="00FF6070">
            <w:pPr>
              <w:pStyle w:val="TableTextCentre"/>
            </w:pPr>
            <w:r w:rsidRPr="00837FC8">
              <w:t>173</w:t>
            </w:r>
          </w:p>
        </w:tc>
        <w:tc>
          <w:tcPr>
            <w:tcW w:w="278" w:type="dxa"/>
          </w:tcPr>
          <w:p w14:paraId="6C9584B9" w14:textId="3F9C41B8" w:rsidR="003F4354" w:rsidRPr="009C3F64" w:rsidRDefault="003F4354" w:rsidP="00FF6070">
            <w:pPr>
              <w:pStyle w:val="TableTextCentre"/>
              <w:rPr>
                <w:highlight w:val="yellow"/>
              </w:rPr>
            </w:pPr>
          </w:p>
        </w:tc>
        <w:tc>
          <w:tcPr>
            <w:tcW w:w="1800" w:type="dxa"/>
            <w:hideMark/>
          </w:tcPr>
          <w:p w14:paraId="3F119F40" w14:textId="77777777" w:rsidR="003F4354" w:rsidRPr="00837FC8" w:rsidRDefault="003F4354" w:rsidP="00FF6070">
            <w:pPr>
              <w:pStyle w:val="TableTextCentre"/>
            </w:pPr>
            <w:r w:rsidRPr="00837FC8">
              <w:t>86</w:t>
            </w:r>
          </w:p>
        </w:tc>
        <w:tc>
          <w:tcPr>
            <w:tcW w:w="2126" w:type="dxa"/>
            <w:hideMark/>
          </w:tcPr>
          <w:p w14:paraId="22171F69" w14:textId="77777777" w:rsidR="003F4354" w:rsidRPr="00837FC8" w:rsidRDefault="003F4354" w:rsidP="00FF6070">
            <w:pPr>
              <w:pStyle w:val="TableTextCentre"/>
            </w:pPr>
            <w:r w:rsidRPr="00837FC8">
              <w:t>28</w:t>
            </w:r>
          </w:p>
        </w:tc>
      </w:tr>
      <w:tr w:rsidR="003F4354" w:rsidRPr="00837FC8" w14:paraId="2324F4E3" w14:textId="77777777" w:rsidTr="007B7F59">
        <w:trPr>
          <w:trHeight w:val="340"/>
        </w:trPr>
        <w:tc>
          <w:tcPr>
            <w:tcW w:w="2127" w:type="dxa"/>
            <w:hideMark/>
          </w:tcPr>
          <w:p w14:paraId="27C0441C" w14:textId="77777777" w:rsidR="003F4354" w:rsidRPr="00837FC8" w:rsidRDefault="003F4354" w:rsidP="00FF6070">
            <w:pPr>
              <w:pStyle w:val="TableTextLeft"/>
            </w:pPr>
            <w:r w:rsidRPr="00837FC8">
              <w:t>Clay (and clay shale)</w:t>
            </w:r>
          </w:p>
        </w:tc>
        <w:tc>
          <w:tcPr>
            <w:tcW w:w="1706" w:type="dxa"/>
            <w:hideMark/>
          </w:tcPr>
          <w:p w14:paraId="1601C02A" w14:textId="77777777" w:rsidR="003F4354" w:rsidRPr="00837FC8" w:rsidRDefault="003F4354" w:rsidP="00FF6070">
            <w:pPr>
              <w:pStyle w:val="TableTextCentre"/>
            </w:pPr>
            <w:r w:rsidRPr="00837FC8">
              <w:t>11</w:t>
            </w:r>
          </w:p>
        </w:tc>
        <w:tc>
          <w:tcPr>
            <w:tcW w:w="278" w:type="dxa"/>
          </w:tcPr>
          <w:p w14:paraId="5C35C480" w14:textId="68920A21" w:rsidR="003F4354" w:rsidRPr="009C3F64" w:rsidRDefault="003F4354" w:rsidP="00FF6070">
            <w:pPr>
              <w:pStyle w:val="TableTextCentre"/>
              <w:rPr>
                <w:highlight w:val="yellow"/>
              </w:rPr>
            </w:pPr>
          </w:p>
        </w:tc>
        <w:tc>
          <w:tcPr>
            <w:tcW w:w="1800" w:type="dxa"/>
            <w:hideMark/>
          </w:tcPr>
          <w:p w14:paraId="15C05A03" w14:textId="77777777" w:rsidR="003F4354" w:rsidRPr="00837FC8" w:rsidRDefault="003F4354" w:rsidP="00FF6070">
            <w:pPr>
              <w:pStyle w:val="TableTextCentre"/>
            </w:pPr>
            <w:r w:rsidRPr="00837FC8">
              <w:t>0</w:t>
            </w:r>
          </w:p>
        </w:tc>
        <w:tc>
          <w:tcPr>
            <w:tcW w:w="2126" w:type="dxa"/>
            <w:hideMark/>
          </w:tcPr>
          <w:p w14:paraId="0F49F411" w14:textId="77777777" w:rsidR="003F4354" w:rsidRPr="00837FC8" w:rsidRDefault="003F4354" w:rsidP="00FF6070">
            <w:pPr>
              <w:pStyle w:val="TableTextCentre"/>
            </w:pPr>
            <w:r w:rsidRPr="00837FC8">
              <w:t>1</w:t>
            </w:r>
          </w:p>
        </w:tc>
      </w:tr>
      <w:tr w:rsidR="003F4354" w:rsidRPr="00837FC8" w14:paraId="01CC9715" w14:textId="77777777" w:rsidTr="007B7F59">
        <w:trPr>
          <w:trHeight w:val="340"/>
        </w:trPr>
        <w:tc>
          <w:tcPr>
            <w:tcW w:w="2127" w:type="dxa"/>
          </w:tcPr>
          <w:p w14:paraId="5BD37198" w14:textId="77777777" w:rsidR="003F4354" w:rsidRPr="00837FC8" w:rsidRDefault="003F4354" w:rsidP="00FF6070">
            <w:pPr>
              <w:pStyle w:val="TableTextLeft"/>
            </w:pPr>
            <w:r w:rsidRPr="00837FC8">
              <w:t>Other</w:t>
            </w:r>
          </w:p>
        </w:tc>
        <w:tc>
          <w:tcPr>
            <w:tcW w:w="1706" w:type="dxa"/>
          </w:tcPr>
          <w:p w14:paraId="59B9B8D9" w14:textId="77777777" w:rsidR="003F4354" w:rsidRPr="00837FC8" w:rsidRDefault="003F4354" w:rsidP="00FF6070">
            <w:pPr>
              <w:pStyle w:val="TableTextCentre"/>
            </w:pPr>
            <w:r w:rsidRPr="00837FC8">
              <w:t>0</w:t>
            </w:r>
          </w:p>
        </w:tc>
        <w:tc>
          <w:tcPr>
            <w:tcW w:w="278" w:type="dxa"/>
          </w:tcPr>
          <w:p w14:paraId="44F53480" w14:textId="459B8F78" w:rsidR="003F4354" w:rsidRPr="009C3F64" w:rsidRDefault="003F4354" w:rsidP="00FF6070">
            <w:pPr>
              <w:pStyle w:val="TableTextCentre"/>
              <w:rPr>
                <w:highlight w:val="yellow"/>
              </w:rPr>
            </w:pPr>
          </w:p>
        </w:tc>
        <w:tc>
          <w:tcPr>
            <w:tcW w:w="1800" w:type="dxa"/>
          </w:tcPr>
          <w:p w14:paraId="0DEBD9E9" w14:textId="77777777" w:rsidR="003F4354" w:rsidRPr="00837FC8" w:rsidRDefault="003F4354" w:rsidP="00FF6070">
            <w:pPr>
              <w:pStyle w:val="TableTextCentre"/>
            </w:pPr>
            <w:r w:rsidRPr="00837FC8">
              <w:t>0</w:t>
            </w:r>
          </w:p>
        </w:tc>
        <w:tc>
          <w:tcPr>
            <w:tcW w:w="2126" w:type="dxa"/>
          </w:tcPr>
          <w:p w14:paraId="2C137718" w14:textId="77777777" w:rsidR="003F4354" w:rsidRPr="00837FC8" w:rsidRDefault="003F4354" w:rsidP="00FF6070">
            <w:pPr>
              <w:pStyle w:val="TableTextCentre"/>
            </w:pPr>
            <w:r w:rsidRPr="00837FC8">
              <w:t>0</w:t>
            </w:r>
          </w:p>
        </w:tc>
      </w:tr>
      <w:tr w:rsidR="003F4354" w:rsidRPr="00837FC8" w14:paraId="7D522B1F" w14:textId="77777777" w:rsidTr="007B7F59">
        <w:trPr>
          <w:trHeight w:val="340"/>
        </w:trPr>
        <w:tc>
          <w:tcPr>
            <w:tcW w:w="2127" w:type="dxa"/>
            <w:hideMark/>
          </w:tcPr>
          <w:p w14:paraId="20CCBF6C" w14:textId="77777777" w:rsidR="003F4354" w:rsidRPr="00837FC8" w:rsidRDefault="003F4354" w:rsidP="00FF6070">
            <w:pPr>
              <w:pStyle w:val="TableTextLeft"/>
            </w:pPr>
            <w:r w:rsidRPr="00837FC8">
              <w:rPr>
                <w:b/>
                <w:bCs/>
              </w:rPr>
              <w:t>Total</w:t>
            </w:r>
          </w:p>
        </w:tc>
        <w:tc>
          <w:tcPr>
            <w:tcW w:w="1706" w:type="dxa"/>
            <w:hideMark/>
          </w:tcPr>
          <w:p w14:paraId="69D84DF4" w14:textId="77777777" w:rsidR="003F4354" w:rsidRPr="00837FC8" w:rsidRDefault="003F4354" w:rsidP="00FF6070">
            <w:pPr>
              <w:pStyle w:val="TableTextCentre"/>
            </w:pPr>
            <w:r w:rsidRPr="00837FC8">
              <w:rPr>
                <w:b/>
                <w:bCs/>
              </w:rPr>
              <w:t>747</w:t>
            </w:r>
          </w:p>
        </w:tc>
        <w:tc>
          <w:tcPr>
            <w:tcW w:w="278" w:type="dxa"/>
          </w:tcPr>
          <w:p w14:paraId="2A337191" w14:textId="7BDBD59E" w:rsidR="003F4354" w:rsidRPr="009C3F64" w:rsidRDefault="003F4354" w:rsidP="00FF6070">
            <w:pPr>
              <w:pStyle w:val="TableTextCentre"/>
              <w:rPr>
                <w:b/>
                <w:bCs/>
                <w:highlight w:val="yellow"/>
              </w:rPr>
            </w:pPr>
          </w:p>
        </w:tc>
        <w:tc>
          <w:tcPr>
            <w:tcW w:w="1800" w:type="dxa"/>
            <w:hideMark/>
          </w:tcPr>
          <w:p w14:paraId="12989F0C" w14:textId="77777777" w:rsidR="003F4354" w:rsidRPr="00837FC8" w:rsidRDefault="003F4354" w:rsidP="00FF6070">
            <w:pPr>
              <w:pStyle w:val="TableTextCentre"/>
            </w:pPr>
            <w:r w:rsidRPr="00837FC8">
              <w:rPr>
                <w:b/>
                <w:bCs/>
              </w:rPr>
              <w:t>127</w:t>
            </w:r>
          </w:p>
        </w:tc>
        <w:tc>
          <w:tcPr>
            <w:tcW w:w="2126" w:type="dxa"/>
            <w:hideMark/>
          </w:tcPr>
          <w:p w14:paraId="041A3AE6" w14:textId="77777777" w:rsidR="003F4354" w:rsidRPr="00837FC8" w:rsidRDefault="003F4354" w:rsidP="00FF6070">
            <w:pPr>
              <w:pStyle w:val="TableTextCentre"/>
            </w:pPr>
            <w:r w:rsidRPr="00837FC8">
              <w:rPr>
                <w:b/>
                <w:bCs/>
              </w:rPr>
              <w:t>100</w:t>
            </w:r>
          </w:p>
        </w:tc>
      </w:tr>
    </w:tbl>
    <w:p w14:paraId="1F83F475" w14:textId="77777777" w:rsidR="003F4354" w:rsidRDefault="003F4354" w:rsidP="003F4354">
      <w:r>
        <w:t xml:space="preserve">Getting a work plan variation approved requires significant planning and regulatory requirements to be met. To get an entirely new work authority approved requires further regulatory steps. It is therefore risky to assume that all possible work plan variations and new work authority proposals will proceed. The state </w:t>
      </w:r>
      <w:r>
        <w:lastRenderedPageBreak/>
        <w:t xml:space="preserve">cannot rely on the extractive material that is forecast from all of these variations and proposals as not all may come to fruition. </w:t>
      </w:r>
    </w:p>
    <w:p w14:paraId="296EDDAF" w14:textId="52B37C60" w:rsidR="003F4354" w:rsidRDefault="00580A0F" w:rsidP="003F4354">
      <w:r>
        <w:fldChar w:fldCharType="begin"/>
      </w:r>
      <w:r>
        <w:instrText xml:space="preserve"> REF _Ref117677226 \h </w:instrText>
      </w:r>
      <w:r>
        <w:fldChar w:fldCharType="separate"/>
      </w:r>
      <w:r w:rsidR="000154C7" w:rsidRPr="00FF6070">
        <w:t xml:space="preserve">Table </w:t>
      </w:r>
      <w:r w:rsidR="000154C7">
        <w:rPr>
          <w:noProof/>
        </w:rPr>
        <w:t>8</w:t>
      </w:r>
      <w:r>
        <w:fldChar w:fldCharType="end"/>
      </w:r>
      <w:r>
        <w:t xml:space="preserve"> </w:t>
      </w:r>
      <w:r w:rsidR="003F4354">
        <w:t xml:space="preserve">shows how many more additional tonnages of extractive materials may be available under three risk scenarios, based on the data in </w:t>
      </w:r>
      <w:r>
        <w:fldChar w:fldCharType="begin"/>
      </w:r>
      <w:r>
        <w:instrText xml:space="preserve"> REF _Ref117677196 \h </w:instrText>
      </w:r>
      <w:r>
        <w:fldChar w:fldCharType="separate"/>
      </w:r>
      <w:r w:rsidR="000154C7" w:rsidRPr="006F42F1">
        <w:t xml:space="preserve">Table </w:t>
      </w:r>
      <w:r w:rsidR="000154C7">
        <w:rPr>
          <w:noProof/>
        </w:rPr>
        <w:t>7</w:t>
      </w:r>
      <w:r>
        <w:fldChar w:fldCharType="end"/>
      </w:r>
      <w:r w:rsidR="003F4354">
        <w:t xml:space="preserve">. To establish these risk scenarios, industry survey information about work plan variations and new work authorities was correlated with a high-level assessment of planning complexity levels (e.g. land use zones, overlays) at the supply locations. </w:t>
      </w:r>
    </w:p>
    <w:p w14:paraId="04E89323" w14:textId="77777777" w:rsidR="003F4354" w:rsidRDefault="003F4354" w:rsidP="003F4354">
      <w:pPr>
        <w:rPr>
          <w:rFonts w:cstheme="minorHAnsi"/>
        </w:rPr>
      </w:pPr>
      <w:r w:rsidRPr="00837FC8">
        <w:rPr>
          <w:rFonts w:cstheme="minorHAnsi"/>
        </w:rPr>
        <w:t>The high</w:t>
      </w:r>
      <w:r>
        <w:rPr>
          <w:rFonts w:cstheme="minorHAnsi"/>
        </w:rPr>
        <w:t>-</w:t>
      </w:r>
      <w:r w:rsidRPr="00837FC8">
        <w:rPr>
          <w:rFonts w:cstheme="minorHAnsi"/>
        </w:rPr>
        <w:t xml:space="preserve">risk scenario </w:t>
      </w:r>
      <w:r>
        <w:rPr>
          <w:rFonts w:cstheme="minorHAnsi"/>
        </w:rPr>
        <w:t xml:space="preserve">(high supply replenishment scenario) </w:t>
      </w:r>
      <w:r w:rsidRPr="00837FC8">
        <w:rPr>
          <w:rFonts w:cstheme="minorHAnsi"/>
        </w:rPr>
        <w:t xml:space="preserve">assumes that all the work plan variations and new work authority permits are expected to be approved and the supply to enter the market by 2030. However, this is </w:t>
      </w:r>
      <w:r>
        <w:rPr>
          <w:rFonts w:cstheme="minorHAnsi"/>
        </w:rPr>
        <w:t xml:space="preserve">an unlikely outcome </w:t>
      </w:r>
      <w:r w:rsidRPr="00837FC8">
        <w:rPr>
          <w:rFonts w:cstheme="minorHAnsi"/>
        </w:rPr>
        <w:t xml:space="preserve">due to delays and restrictions associated with </w:t>
      </w:r>
      <w:r>
        <w:rPr>
          <w:rFonts w:cstheme="minorHAnsi"/>
        </w:rPr>
        <w:t xml:space="preserve">regulatory approvals (including </w:t>
      </w:r>
      <w:r w:rsidRPr="00837FC8">
        <w:rPr>
          <w:rFonts w:cstheme="minorHAnsi"/>
        </w:rPr>
        <w:t>planning permits</w:t>
      </w:r>
      <w:r>
        <w:rPr>
          <w:rFonts w:cstheme="minorHAnsi"/>
        </w:rPr>
        <w:t xml:space="preserve">) </w:t>
      </w:r>
      <w:r w:rsidRPr="00837FC8">
        <w:rPr>
          <w:rFonts w:cstheme="minorHAnsi"/>
        </w:rPr>
        <w:t>community resistance</w:t>
      </w:r>
      <w:r>
        <w:rPr>
          <w:rFonts w:cstheme="minorHAnsi"/>
        </w:rPr>
        <w:t xml:space="preserve"> and other factors.</w:t>
      </w:r>
    </w:p>
    <w:p w14:paraId="587369C8" w14:textId="77777777" w:rsidR="003F4354" w:rsidRDefault="003F4354" w:rsidP="003F4354">
      <w:pPr>
        <w:rPr>
          <w:rFonts w:cstheme="minorHAnsi"/>
        </w:rPr>
      </w:pPr>
      <w:r w:rsidRPr="00837FC8">
        <w:rPr>
          <w:rFonts w:cstheme="minorHAnsi"/>
        </w:rPr>
        <w:t xml:space="preserve">The medium risk scenario </w:t>
      </w:r>
      <w:r>
        <w:rPr>
          <w:rFonts w:cstheme="minorHAnsi"/>
        </w:rPr>
        <w:t xml:space="preserve">(medium supply replenishment scenario) </w:t>
      </w:r>
      <w:r w:rsidRPr="00837FC8">
        <w:rPr>
          <w:rFonts w:cstheme="minorHAnsi"/>
        </w:rPr>
        <w:t>assumes that both low and medium risk applications for approvals will be granted and that the supply from these will enter the market.</w:t>
      </w:r>
    </w:p>
    <w:p w14:paraId="51D76200" w14:textId="77777777" w:rsidR="003F4354" w:rsidRDefault="003F4354" w:rsidP="003F4354">
      <w:r w:rsidRPr="00837FC8">
        <w:rPr>
          <w:rFonts w:cstheme="minorHAnsi"/>
        </w:rPr>
        <w:t>The low</w:t>
      </w:r>
      <w:r>
        <w:rPr>
          <w:rFonts w:cstheme="minorHAnsi"/>
        </w:rPr>
        <w:t>-</w:t>
      </w:r>
      <w:r w:rsidRPr="00837FC8">
        <w:rPr>
          <w:rFonts w:cstheme="minorHAnsi"/>
        </w:rPr>
        <w:t xml:space="preserve">risk scenario </w:t>
      </w:r>
      <w:r>
        <w:rPr>
          <w:rFonts w:cstheme="minorHAnsi"/>
        </w:rPr>
        <w:t xml:space="preserve">(low supply replenishment scenario) </w:t>
      </w:r>
      <w:r w:rsidRPr="00837FC8">
        <w:rPr>
          <w:rFonts w:cstheme="minorHAnsi"/>
        </w:rPr>
        <w:t xml:space="preserve">is the most conservative. It assumes that only applications </w:t>
      </w:r>
      <w:r w:rsidRPr="00837FC8">
        <w:t>for new work authorities and variations to existing work authorities that have limited restrictions (and are therefore very likely to be approved) will enter the market.</w:t>
      </w:r>
    </w:p>
    <w:p w14:paraId="14A6A318" w14:textId="7E010807" w:rsidR="003F4354" w:rsidRPr="00FF6070" w:rsidRDefault="003F4354" w:rsidP="00FF6070">
      <w:pPr>
        <w:pStyle w:val="Caption"/>
      </w:pPr>
      <w:bookmarkStart w:id="86" w:name="_Ref117677226"/>
      <w:r w:rsidRPr="00FF6070">
        <w:t xml:space="preserve">Table </w:t>
      </w:r>
      <w:fldSimple w:instr=" SEQ Table \* ARABIC ">
        <w:r w:rsidR="000154C7">
          <w:rPr>
            <w:noProof/>
          </w:rPr>
          <w:t>8</w:t>
        </w:r>
      </w:fldSimple>
      <w:bookmarkEnd w:id="86"/>
      <w:r w:rsidRPr="00FF6070">
        <w:t xml:space="preserve"> Additional tonnages available for new work authorities or variations to current work authorities, by risk category</w:t>
      </w:r>
    </w:p>
    <w:tbl>
      <w:tblPr>
        <w:tblStyle w:val="TableGrid"/>
        <w:tblW w:w="9616" w:type="dxa"/>
        <w:tblLook w:val="0420" w:firstRow="1" w:lastRow="0" w:firstColumn="0" w:lastColumn="0" w:noHBand="0" w:noVBand="1"/>
      </w:tblPr>
      <w:tblGrid>
        <w:gridCol w:w="3040"/>
        <w:gridCol w:w="3288"/>
        <w:gridCol w:w="3288"/>
      </w:tblGrid>
      <w:tr w:rsidR="003F4354" w:rsidRPr="00837FC8" w14:paraId="57590769" w14:textId="77777777" w:rsidTr="00407F8B">
        <w:trPr>
          <w:cnfStyle w:val="100000000000" w:firstRow="1" w:lastRow="0" w:firstColumn="0" w:lastColumn="0" w:oddVBand="0" w:evenVBand="0" w:oddHBand="0" w:evenHBand="0" w:firstRowFirstColumn="0" w:firstRowLastColumn="0" w:lastRowFirstColumn="0" w:lastRowLastColumn="0"/>
          <w:trHeight w:val="340"/>
        </w:trPr>
        <w:tc>
          <w:tcPr>
            <w:tcW w:w="3040" w:type="dxa"/>
            <w:hideMark/>
          </w:tcPr>
          <w:p w14:paraId="57CB9F37" w14:textId="77777777" w:rsidR="003F4354" w:rsidRPr="00837FC8" w:rsidRDefault="003F4354" w:rsidP="00FF6070">
            <w:pPr>
              <w:pStyle w:val="TableHeadingLeft"/>
            </w:pPr>
            <w:r w:rsidRPr="00837FC8">
              <w:t>Risk category</w:t>
            </w:r>
          </w:p>
        </w:tc>
        <w:tc>
          <w:tcPr>
            <w:tcW w:w="3288" w:type="dxa"/>
            <w:hideMark/>
          </w:tcPr>
          <w:p w14:paraId="39A7F678" w14:textId="77777777" w:rsidR="003F4354" w:rsidRPr="00837FC8" w:rsidRDefault="003F4354" w:rsidP="00FF6070">
            <w:pPr>
              <w:pStyle w:val="TableHeadingCentre"/>
            </w:pPr>
            <w:r w:rsidRPr="00837FC8">
              <w:t>Work plan variations (Mt)</w:t>
            </w:r>
          </w:p>
        </w:tc>
        <w:tc>
          <w:tcPr>
            <w:tcW w:w="3288" w:type="dxa"/>
            <w:hideMark/>
          </w:tcPr>
          <w:p w14:paraId="7BA72C3D" w14:textId="77777777" w:rsidR="003F4354" w:rsidRPr="00837FC8" w:rsidRDefault="003F4354" w:rsidP="00FF6070">
            <w:pPr>
              <w:pStyle w:val="TableHeadingCentre"/>
            </w:pPr>
            <w:r w:rsidRPr="00837FC8">
              <w:t>New work authorities (Mt)</w:t>
            </w:r>
          </w:p>
        </w:tc>
      </w:tr>
      <w:tr w:rsidR="003F4354" w:rsidRPr="00837FC8" w14:paraId="259DA028" w14:textId="77777777" w:rsidTr="00407F8B">
        <w:trPr>
          <w:trHeight w:val="340"/>
        </w:trPr>
        <w:tc>
          <w:tcPr>
            <w:tcW w:w="3040" w:type="dxa"/>
            <w:hideMark/>
          </w:tcPr>
          <w:p w14:paraId="0D7E2CAD" w14:textId="77777777" w:rsidR="003F4354" w:rsidRPr="00837FC8" w:rsidRDefault="003F4354" w:rsidP="00FF6070">
            <w:pPr>
              <w:pStyle w:val="TableTextLeft"/>
            </w:pPr>
            <w:r w:rsidRPr="00837FC8">
              <w:t>High</w:t>
            </w:r>
          </w:p>
        </w:tc>
        <w:tc>
          <w:tcPr>
            <w:tcW w:w="3288" w:type="dxa"/>
            <w:hideMark/>
          </w:tcPr>
          <w:p w14:paraId="3C84A10B" w14:textId="77777777" w:rsidR="003F4354" w:rsidRPr="00837FC8" w:rsidRDefault="003F4354" w:rsidP="00FF6070">
            <w:pPr>
              <w:pStyle w:val="TableTextCentre"/>
            </w:pPr>
            <w:r w:rsidRPr="00837FC8">
              <w:t>747</w:t>
            </w:r>
          </w:p>
        </w:tc>
        <w:tc>
          <w:tcPr>
            <w:tcW w:w="3288" w:type="dxa"/>
            <w:hideMark/>
          </w:tcPr>
          <w:p w14:paraId="472305AD" w14:textId="77777777" w:rsidR="003F4354" w:rsidRPr="00837FC8" w:rsidRDefault="003F4354" w:rsidP="00FF6070">
            <w:pPr>
              <w:pStyle w:val="TableTextCentre"/>
            </w:pPr>
            <w:r w:rsidRPr="00837FC8">
              <w:t>127</w:t>
            </w:r>
          </w:p>
        </w:tc>
      </w:tr>
      <w:tr w:rsidR="003F4354" w:rsidRPr="00837FC8" w14:paraId="79040614" w14:textId="77777777" w:rsidTr="00407F8B">
        <w:trPr>
          <w:trHeight w:val="340"/>
        </w:trPr>
        <w:tc>
          <w:tcPr>
            <w:tcW w:w="3040" w:type="dxa"/>
            <w:hideMark/>
          </w:tcPr>
          <w:p w14:paraId="2B15DDFF" w14:textId="77777777" w:rsidR="003F4354" w:rsidRPr="00837FC8" w:rsidRDefault="003F4354" w:rsidP="00FF6070">
            <w:pPr>
              <w:pStyle w:val="TableTextLeft"/>
            </w:pPr>
            <w:r w:rsidRPr="00837FC8">
              <w:t>Medium</w:t>
            </w:r>
          </w:p>
        </w:tc>
        <w:tc>
          <w:tcPr>
            <w:tcW w:w="3288" w:type="dxa"/>
            <w:hideMark/>
          </w:tcPr>
          <w:p w14:paraId="00F253B6" w14:textId="77777777" w:rsidR="003F4354" w:rsidRPr="00837FC8" w:rsidRDefault="003F4354" w:rsidP="00FF6070">
            <w:pPr>
              <w:pStyle w:val="TableTextCentre"/>
            </w:pPr>
            <w:r w:rsidRPr="00837FC8">
              <w:t>253</w:t>
            </w:r>
          </w:p>
        </w:tc>
        <w:tc>
          <w:tcPr>
            <w:tcW w:w="3288" w:type="dxa"/>
            <w:hideMark/>
          </w:tcPr>
          <w:p w14:paraId="6B8218F3" w14:textId="77777777" w:rsidR="003F4354" w:rsidRPr="00837FC8" w:rsidRDefault="003F4354" w:rsidP="00FF6070">
            <w:pPr>
              <w:pStyle w:val="TableTextCentre"/>
            </w:pPr>
            <w:r w:rsidRPr="00837FC8">
              <w:t>15</w:t>
            </w:r>
          </w:p>
        </w:tc>
      </w:tr>
      <w:tr w:rsidR="003F4354" w:rsidRPr="00837FC8" w14:paraId="4583C262" w14:textId="77777777" w:rsidTr="00407F8B">
        <w:trPr>
          <w:trHeight w:val="340"/>
        </w:trPr>
        <w:tc>
          <w:tcPr>
            <w:tcW w:w="3040" w:type="dxa"/>
            <w:hideMark/>
          </w:tcPr>
          <w:p w14:paraId="2A6A36E9" w14:textId="77777777" w:rsidR="003F4354" w:rsidRPr="00837FC8" w:rsidRDefault="003F4354" w:rsidP="00FF6070">
            <w:pPr>
              <w:pStyle w:val="TableTextLeft"/>
            </w:pPr>
            <w:r w:rsidRPr="00837FC8">
              <w:t>Low</w:t>
            </w:r>
          </w:p>
        </w:tc>
        <w:tc>
          <w:tcPr>
            <w:tcW w:w="3288" w:type="dxa"/>
            <w:hideMark/>
          </w:tcPr>
          <w:p w14:paraId="47C9560C" w14:textId="77777777" w:rsidR="003F4354" w:rsidRPr="00837FC8" w:rsidRDefault="003F4354" w:rsidP="00FF6070">
            <w:pPr>
              <w:pStyle w:val="TableTextCentre"/>
            </w:pPr>
            <w:r w:rsidRPr="00837FC8">
              <w:t>163</w:t>
            </w:r>
          </w:p>
        </w:tc>
        <w:tc>
          <w:tcPr>
            <w:tcW w:w="3288" w:type="dxa"/>
            <w:hideMark/>
          </w:tcPr>
          <w:p w14:paraId="11F6D631" w14:textId="77777777" w:rsidR="003F4354" w:rsidRPr="00837FC8" w:rsidRDefault="003F4354" w:rsidP="00FF6070">
            <w:pPr>
              <w:pStyle w:val="TableTextCentre"/>
            </w:pPr>
            <w:r w:rsidRPr="00837FC8">
              <w:t>0</w:t>
            </w:r>
          </w:p>
        </w:tc>
      </w:tr>
    </w:tbl>
    <w:p w14:paraId="728DE74C" w14:textId="77777777" w:rsidR="003F4354" w:rsidRDefault="003F4354" w:rsidP="003F4354">
      <w:pPr>
        <w:rPr>
          <w:rFonts w:cstheme="minorHAnsi"/>
          <w:u w:val="single"/>
        </w:rPr>
      </w:pPr>
    </w:p>
    <w:p w14:paraId="1C9E96B1" w14:textId="77777777" w:rsidR="003F4354" w:rsidRDefault="003F4354" w:rsidP="00FF6070">
      <w:pPr>
        <w:pStyle w:val="Heading3"/>
      </w:pPr>
      <w:bookmarkStart w:id="87" w:name="_Toc137567801"/>
      <w:r w:rsidRPr="00837FC8">
        <w:t>Location of supply</w:t>
      </w:r>
      <w:bookmarkEnd w:id="87"/>
    </w:p>
    <w:p w14:paraId="46079217" w14:textId="77777777" w:rsidR="003F4354" w:rsidRDefault="003F4354" w:rsidP="003F4354">
      <w:pPr>
        <w:rPr>
          <w:rFonts w:cstheme="minorHAnsi"/>
        </w:rPr>
      </w:pPr>
      <w:r w:rsidRPr="00837FC8">
        <w:rPr>
          <w:rFonts w:cstheme="minorHAnsi"/>
        </w:rPr>
        <w:t xml:space="preserve">The following </w:t>
      </w:r>
      <w:r>
        <w:rPr>
          <w:rFonts w:cstheme="minorHAnsi"/>
        </w:rPr>
        <w:t>f</w:t>
      </w:r>
      <w:r w:rsidRPr="00837FC8">
        <w:rPr>
          <w:rFonts w:cstheme="minorHAnsi"/>
        </w:rPr>
        <w:t>igures show sources of extractive</w:t>
      </w:r>
      <w:r>
        <w:rPr>
          <w:rFonts w:cstheme="minorHAnsi"/>
        </w:rPr>
        <w:t xml:space="preserve"> materials</w:t>
      </w:r>
      <w:r w:rsidRPr="00837FC8">
        <w:rPr>
          <w:rFonts w:cstheme="minorHAnsi"/>
        </w:rPr>
        <w:t xml:space="preserve"> likely to supply the market. The maps have been further aggregated to Victoria’s nine regional partnerships to ensure that no single work authority can be identified.</w:t>
      </w:r>
      <w:r>
        <w:rPr>
          <w:rFonts w:cstheme="minorHAnsi"/>
        </w:rPr>
        <w:t xml:space="preserve"> </w:t>
      </w:r>
    </w:p>
    <w:p w14:paraId="5A5D00D8" w14:textId="3F72C1FD" w:rsidR="003F4354" w:rsidRDefault="003F4354" w:rsidP="003F4354">
      <w:pPr>
        <w:rPr>
          <w:rFonts w:cstheme="minorHAnsi"/>
        </w:rPr>
      </w:pPr>
      <w:r w:rsidRPr="00BB4A7A">
        <w:rPr>
          <w:rFonts w:cstheme="minorHAnsi"/>
        </w:rPr>
        <w:t xml:space="preserve">Most of the hard rock supply is in north and west Greater Melbourne, and in regional </w:t>
      </w:r>
      <w:r w:rsidRPr="00EE1210">
        <w:rPr>
          <w:rFonts w:cstheme="minorHAnsi"/>
        </w:rPr>
        <w:t>Victoria (</w:t>
      </w:r>
      <w:r w:rsidRPr="006F42F1">
        <w:rPr>
          <w:rFonts w:cstheme="minorHAnsi"/>
        </w:rPr>
        <w:fldChar w:fldCharType="begin"/>
      </w:r>
      <w:r w:rsidRPr="006F42F1">
        <w:rPr>
          <w:rFonts w:cstheme="minorHAnsi"/>
        </w:rPr>
        <w:instrText xml:space="preserve"> REF _Ref117676606 \h  \* MERGEFORMAT </w:instrText>
      </w:r>
      <w:r w:rsidRPr="006F42F1">
        <w:rPr>
          <w:rFonts w:cstheme="minorHAnsi"/>
        </w:rPr>
      </w:r>
      <w:r w:rsidRPr="006F42F1">
        <w:rPr>
          <w:rFonts w:cstheme="minorHAnsi"/>
        </w:rPr>
        <w:fldChar w:fldCharType="separate"/>
      </w:r>
      <w:r w:rsidR="000154C7" w:rsidRPr="000154C7">
        <w:rPr>
          <w:rFonts w:cstheme="minorHAnsi"/>
        </w:rPr>
        <w:t>Figure 11</w:t>
      </w:r>
      <w:r w:rsidRPr="006F42F1">
        <w:rPr>
          <w:rFonts w:cstheme="minorHAnsi"/>
        </w:rPr>
        <w:fldChar w:fldCharType="end"/>
      </w:r>
      <w:r w:rsidRPr="00EE1210">
        <w:rPr>
          <w:rFonts w:cstheme="minorHAnsi"/>
        </w:rPr>
        <w:t>).</w:t>
      </w:r>
    </w:p>
    <w:p w14:paraId="5155ECC5" w14:textId="7C45FD56" w:rsidR="003F4354" w:rsidRDefault="003F4354" w:rsidP="003F4354">
      <w:pPr>
        <w:rPr>
          <w:rFonts w:cstheme="minorHAnsi"/>
          <w:u w:val="single"/>
        </w:rPr>
      </w:pPr>
      <w:r w:rsidRPr="00160107">
        <w:rPr>
          <w:rFonts w:cstheme="minorHAnsi"/>
        </w:rPr>
        <w:t xml:space="preserve">Most of the sand and gravel supply is located the Lang Lang to Grantville sand belt, which spans the LGAs of Cardinia, Bass Coast and South Gippsland to the east of Greater Melbourne. West of Greater Melbourne, there are some reserves in Barwon and in the Central Highlands </w:t>
      </w:r>
      <w:r w:rsidRPr="00EE1210">
        <w:rPr>
          <w:rFonts w:cstheme="minorHAnsi"/>
        </w:rPr>
        <w:t>(</w:t>
      </w:r>
      <w:r w:rsidRPr="006F42F1">
        <w:rPr>
          <w:rFonts w:cstheme="minorHAnsi"/>
        </w:rPr>
        <w:fldChar w:fldCharType="begin"/>
      </w:r>
      <w:r w:rsidRPr="006F42F1">
        <w:rPr>
          <w:rFonts w:cstheme="minorHAnsi"/>
        </w:rPr>
        <w:instrText xml:space="preserve"> REF _Ref117676649 \h  \* MERGEFORMAT </w:instrText>
      </w:r>
      <w:r w:rsidRPr="006F42F1">
        <w:rPr>
          <w:rFonts w:cstheme="minorHAnsi"/>
        </w:rPr>
      </w:r>
      <w:r w:rsidRPr="006F42F1">
        <w:rPr>
          <w:rFonts w:cstheme="minorHAnsi"/>
        </w:rPr>
        <w:fldChar w:fldCharType="separate"/>
      </w:r>
      <w:r w:rsidR="000154C7" w:rsidRPr="000154C7">
        <w:t xml:space="preserve">Figure </w:t>
      </w:r>
      <w:r w:rsidR="000154C7" w:rsidRPr="000154C7">
        <w:rPr>
          <w:noProof/>
        </w:rPr>
        <w:t>12</w:t>
      </w:r>
      <w:r w:rsidRPr="006F42F1">
        <w:rPr>
          <w:rFonts w:cstheme="minorHAnsi"/>
        </w:rPr>
        <w:fldChar w:fldCharType="end"/>
      </w:r>
      <w:r w:rsidRPr="00EE1210">
        <w:rPr>
          <w:rFonts w:cstheme="minorHAnsi"/>
        </w:rPr>
        <w:t>).</w:t>
      </w:r>
    </w:p>
    <w:p w14:paraId="24080E0D" w14:textId="27F104B6" w:rsidR="003F4354" w:rsidRDefault="003F4354" w:rsidP="003F4354">
      <w:pPr>
        <w:rPr>
          <w:rFonts w:cstheme="minorHAnsi"/>
          <w:u w:val="single"/>
        </w:rPr>
      </w:pPr>
      <w:r w:rsidRPr="00160107">
        <w:rPr>
          <w:rFonts w:cstheme="minorHAnsi"/>
        </w:rPr>
        <w:t xml:space="preserve">The majority of clay is located just north of the Melbourne CBD. West of Melbourne are some smaller reserves in the Golden Plains </w:t>
      </w:r>
      <w:r w:rsidRPr="00EE1210">
        <w:rPr>
          <w:rFonts w:cstheme="minorHAnsi"/>
        </w:rPr>
        <w:t>region (</w:t>
      </w:r>
      <w:r w:rsidRPr="006F42F1">
        <w:rPr>
          <w:rFonts w:cstheme="minorHAnsi"/>
        </w:rPr>
        <w:fldChar w:fldCharType="begin"/>
      </w:r>
      <w:r w:rsidRPr="006F42F1">
        <w:rPr>
          <w:rFonts w:cstheme="minorHAnsi"/>
        </w:rPr>
        <w:instrText xml:space="preserve"> REF _Ref117676771 \h  \* MERGEFORMAT </w:instrText>
      </w:r>
      <w:r w:rsidRPr="006F42F1">
        <w:rPr>
          <w:rFonts w:cstheme="minorHAnsi"/>
        </w:rPr>
      </w:r>
      <w:r w:rsidRPr="006F42F1">
        <w:rPr>
          <w:rFonts w:cstheme="minorHAnsi"/>
        </w:rPr>
        <w:fldChar w:fldCharType="separate"/>
      </w:r>
      <w:r w:rsidR="000154C7" w:rsidRPr="000154C7">
        <w:t xml:space="preserve">Figure </w:t>
      </w:r>
      <w:r w:rsidR="000154C7" w:rsidRPr="000154C7">
        <w:rPr>
          <w:noProof/>
        </w:rPr>
        <w:t>13</w:t>
      </w:r>
      <w:r w:rsidRPr="006F42F1">
        <w:rPr>
          <w:rFonts w:cstheme="minorHAnsi"/>
        </w:rPr>
        <w:fldChar w:fldCharType="end"/>
      </w:r>
      <w:r w:rsidRPr="00EE1210">
        <w:rPr>
          <w:rFonts w:cstheme="minorHAnsi"/>
        </w:rPr>
        <w:t>).</w:t>
      </w:r>
    </w:p>
    <w:p w14:paraId="58AA9247" w14:textId="68692046" w:rsidR="003F4354" w:rsidRPr="00837FC8" w:rsidRDefault="003F4354" w:rsidP="003F4354">
      <w:pPr>
        <w:keepNext/>
      </w:pPr>
      <w:r w:rsidRPr="00837FC8">
        <w:rPr>
          <w:rFonts w:cstheme="minorHAnsi"/>
          <w:noProof/>
          <w:sz w:val="22"/>
          <w:szCs w:val="22"/>
          <w:lang w:val="en-GB" w:eastAsia="en-GB"/>
        </w:rPr>
        <w:lastRenderedPageBreak/>
        <w:drawing>
          <wp:inline distT="0" distB="0" distL="0" distR="0" wp14:anchorId="411D06C2" wp14:editId="14FF0ED8">
            <wp:extent cx="5522026" cy="3823327"/>
            <wp:effectExtent l="0" t="0" r="2540" b="6350"/>
            <wp:docPr id="234793285" name="Picture 23479328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rotWithShape="1">
                    <a:blip r:embed="rId58" cstate="print">
                      <a:extLst>
                        <a:ext uri="{28A0092B-C50C-407E-A947-70E740481C1C}">
                          <a14:useLocalDpi xmlns:a14="http://schemas.microsoft.com/office/drawing/2010/main" val="0"/>
                        </a:ext>
                      </a:extLst>
                    </a:blip>
                    <a:srcRect l="1865" t="2943" r="1778" b="2315"/>
                    <a:stretch/>
                  </pic:blipFill>
                  <pic:spPr bwMode="auto">
                    <a:xfrm>
                      <a:off x="0" y="0"/>
                      <a:ext cx="5522766" cy="3823839"/>
                    </a:xfrm>
                    <a:prstGeom prst="rect">
                      <a:avLst/>
                    </a:prstGeom>
                    <a:ln>
                      <a:noFill/>
                    </a:ln>
                    <a:extLst>
                      <a:ext uri="{53640926-AAD7-44D8-BBD7-CCE9431645EC}">
                        <a14:shadowObscured xmlns:a14="http://schemas.microsoft.com/office/drawing/2010/main"/>
                      </a:ext>
                    </a:extLst>
                  </pic:spPr>
                </pic:pic>
              </a:graphicData>
            </a:graphic>
          </wp:inline>
        </w:drawing>
      </w:r>
    </w:p>
    <w:p w14:paraId="4ABC61D0" w14:textId="055ED1B0" w:rsidR="003F4354" w:rsidRDefault="003F4354" w:rsidP="00FF6070">
      <w:pPr>
        <w:pStyle w:val="Caption"/>
        <w:rPr>
          <w:rFonts w:cstheme="minorHAnsi"/>
          <w:sz w:val="22"/>
          <w:szCs w:val="22"/>
        </w:rPr>
      </w:pPr>
      <w:bookmarkStart w:id="88" w:name="_Ref117676606"/>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11</w:t>
      </w:r>
      <w:r w:rsidRPr="00160107">
        <w:rPr>
          <w:bCs/>
          <w:noProof/>
        </w:rPr>
        <w:fldChar w:fldCharType="end"/>
      </w:r>
      <w:bookmarkEnd w:id="88"/>
      <w:r w:rsidRPr="00837FC8">
        <w:t xml:space="preserve"> Current hard rock reserves categorised by Regional Development Victoria partnership zones (Mt)</w:t>
      </w:r>
    </w:p>
    <w:p w14:paraId="3FCB0223" w14:textId="640FBC6C" w:rsidR="003F4354" w:rsidRPr="00837FC8" w:rsidRDefault="003F4354" w:rsidP="003F4354">
      <w:pPr>
        <w:keepNext/>
      </w:pPr>
      <w:r w:rsidRPr="00407F8B">
        <w:rPr>
          <w:rFonts w:cstheme="minorHAnsi"/>
          <w:noProof/>
          <w:lang w:val="en-GB" w:eastAsia="en-GB"/>
        </w:rPr>
        <w:drawing>
          <wp:inline distT="0" distB="0" distL="0" distR="0" wp14:anchorId="3B06366A" wp14:editId="10203FBA">
            <wp:extent cx="5521960" cy="3870914"/>
            <wp:effectExtent l="0" t="0" r="254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10;&#10;Description automatically generated"/>
                    <pic:cNvPicPr/>
                  </pic:nvPicPr>
                  <pic:blipFill rotWithShape="1">
                    <a:blip r:embed="rId59" cstate="print">
                      <a:extLst>
                        <a:ext uri="{28A0092B-C50C-407E-A947-70E740481C1C}">
                          <a14:useLocalDpi xmlns:a14="http://schemas.microsoft.com/office/drawing/2010/main" val="0"/>
                        </a:ext>
                      </a:extLst>
                    </a:blip>
                    <a:srcRect l="2072" t="2061" r="1573" b="2021"/>
                    <a:stretch/>
                  </pic:blipFill>
                  <pic:spPr bwMode="auto">
                    <a:xfrm>
                      <a:off x="0" y="0"/>
                      <a:ext cx="5522577" cy="3871346"/>
                    </a:xfrm>
                    <a:prstGeom prst="rect">
                      <a:avLst/>
                    </a:prstGeom>
                    <a:ln>
                      <a:noFill/>
                    </a:ln>
                    <a:extLst>
                      <a:ext uri="{53640926-AAD7-44D8-BBD7-CCE9431645EC}">
                        <a14:shadowObscured xmlns:a14="http://schemas.microsoft.com/office/drawing/2010/main"/>
                      </a:ext>
                    </a:extLst>
                  </pic:spPr>
                </pic:pic>
              </a:graphicData>
            </a:graphic>
          </wp:inline>
        </w:drawing>
      </w:r>
    </w:p>
    <w:p w14:paraId="6A1DC60A" w14:textId="7D42E2A7" w:rsidR="003F4354" w:rsidRPr="00837FC8" w:rsidRDefault="003F4354" w:rsidP="00FF6070">
      <w:pPr>
        <w:pStyle w:val="Caption"/>
        <w:rPr>
          <w:rFonts w:cstheme="minorHAnsi"/>
          <w:u w:val="single"/>
        </w:rPr>
      </w:pPr>
      <w:bookmarkStart w:id="89" w:name="_Ref117676649"/>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12</w:t>
      </w:r>
      <w:r w:rsidRPr="00160107">
        <w:rPr>
          <w:bCs/>
          <w:noProof/>
        </w:rPr>
        <w:fldChar w:fldCharType="end"/>
      </w:r>
      <w:bookmarkEnd w:id="89"/>
      <w:r w:rsidRPr="00837FC8">
        <w:t xml:space="preserve"> Current sand and gravel reserves categorised by Regional Development Victoria partnership zones (Mt)</w:t>
      </w:r>
    </w:p>
    <w:p w14:paraId="134358DC" w14:textId="77777777" w:rsidR="003F4354" w:rsidRPr="00837FC8" w:rsidRDefault="003F4354" w:rsidP="003F4354">
      <w:pPr>
        <w:keepNext/>
      </w:pPr>
      <w:r w:rsidRPr="00837FC8">
        <w:rPr>
          <w:rFonts w:cstheme="minorHAnsi"/>
          <w:b/>
          <w:bCs/>
          <w:noProof/>
          <w:lang w:val="en-GB" w:eastAsia="en-GB"/>
        </w:rPr>
        <w:lastRenderedPageBreak/>
        <w:drawing>
          <wp:inline distT="0" distB="0" distL="0" distR="0" wp14:anchorId="70F17156" wp14:editId="0F4FCAD4">
            <wp:extent cx="5557652" cy="3859142"/>
            <wp:effectExtent l="0" t="0" r="5080" b="8255"/>
            <wp:docPr id="1375020502" name="Picture 137502050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rotWithShape="1">
                    <a:blip r:embed="rId60" cstate="print">
                      <a:extLst>
                        <a:ext uri="{28A0092B-C50C-407E-A947-70E740481C1C}">
                          <a14:useLocalDpi xmlns:a14="http://schemas.microsoft.com/office/drawing/2010/main" val="0"/>
                        </a:ext>
                      </a:extLst>
                    </a:blip>
                    <a:srcRect l="1658" t="2355" r="1367" b="2021"/>
                    <a:stretch/>
                  </pic:blipFill>
                  <pic:spPr bwMode="auto">
                    <a:xfrm>
                      <a:off x="0" y="0"/>
                      <a:ext cx="5558127" cy="3859472"/>
                    </a:xfrm>
                    <a:prstGeom prst="rect">
                      <a:avLst/>
                    </a:prstGeom>
                    <a:ln>
                      <a:noFill/>
                    </a:ln>
                    <a:extLst>
                      <a:ext uri="{53640926-AAD7-44D8-BBD7-CCE9431645EC}">
                        <a14:shadowObscured xmlns:a14="http://schemas.microsoft.com/office/drawing/2010/main"/>
                      </a:ext>
                    </a:extLst>
                  </pic:spPr>
                </pic:pic>
              </a:graphicData>
            </a:graphic>
          </wp:inline>
        </w:drawing>
      </w:r>
    </w:p>
    <w:p w14:paraId="19B4A0A1" w14:textId="0333C614" w:rsidR="003F4354" w:rsidRPr="00837FC8" w:rsidRDefault="003F4354" w:rsidP="00FF6070">
      <w:pPr>
        <w:pStyle w:val="Caption"/>
        <w:rPr>
          <w:rFonts w:cstheme="minorHAnsi"/>
          <w:bCs/>
        </w:rPr>
      </w:pPr>
      <w:bookmarkStart w:id="90" w:name="_Ref117676771"/>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13</w:t>
      </w:r>
      <w:r w:rsidRPr="00160107">
        <w:rPr>
          <w:bCs/>
          <w:noProof/>
        </w:rPr>
        <w:fldChar w:fldCharType="end"/>
      </w:r>
      <w:bookmarkEnd w:id="90"/>
      <w:r w:rsidRPr="00837FC8">
        <w:t xml:space="preserve"> Current clay and clay shale reserves categorised by Regional Development Victoria partnership zones (Mt)</w:t>
      </w:r>
    </w:p>
    <w:p w14:paraId="4182F683" w14:textId="77777777" w:rsidR="003F4354" w:rsidRPr="00837FC8" w:rsidRDefault="003F4354" w:rsidP="003F4354">
      <w:pPr>
        <w:rPr>
          <w:rFonts w:cstheme="minorHAnsi"/>
          <w:b/>
          <w:bCs/>
        </w:rPr>
      </w:pPr>
      <w:r w:rsidRPr="00837FC8">
        <w:rPr>
          <w:rFonts w:cstheme="minorHAnsi"/>
          <w:b/>
          <w:bCs/>
        </w:rPr>
        <w:br w:type="page"/>
      </w:r>
    </w:p>
    <w:p w14:paraId="2171B135" w14:textId="77777777" w:rsidR="003F4354" w:rsidRDefault="003F4354" w:rsidP="003F4354">
      <w:pPr>
        <w:pStyle w:val="Heading2"/>
      </w:pPr>
      <w:bookmarkStart w:id="91" w:name="_Toc130274686"/>
      <w:bookmarkStart w:id="92" w:name="_Toc137567802"/>
      <w:r w:rsidRPr="00837FC8">
        <w:lastRenderedPageBreak/>
        <w:t>3.3 Distance and transport costs</w:t>
      </w:r>
      <w:bookmarkEnd w:id="91"/>
      <w:bookmarkEnd w:id="92"/>
    </w:p>
    <w:p w14:paraId="44FF6CF0" w14:textId="77777777" w:rsidR="003F4354" w:rsidRDefault="003F4354" w:rsidP="003F4354">
      <w:pPr>
        <w:rPr>
          <w:rFonts w:cstheme="minorHAnsi"/>
        </w:rPr>
      </w:pPr>
      <w:r w:rsidRPr="00837FC8">
        <w:rPr>
          <w:rFonts w:cstheme="minorHAnsi"/>
        </w:rPr>
        <w:t>The extractive industry incurs costs at many levels. There is the initial (high) cost of establishing a quarry. This takes time and involves assessments to ensure that the geology and other relevant environmental factors can justify the investment. Then there are extensive site facility set-up costs including processing plants, mobile equipment, amenities, offices, weighbridges, workshops and access roads.</w:t>
      </w:r>
    </w:p>
    <w:p w14:paraId="0FFD615D" w14:textId="77777777" w:rsidR="003F4354" w:rsidRDefault="003F4354" w:rsidP="003F4354">
      <w:pPr>
        <w:rPr>
          <w:rFonts w:cstheme="minorHAnsi"/>
        </w:rPr>
      </w:pPr>
      <w:r w:rsidRPr="00837FC8">
        <w:rPr>
          <w:rFonts w:cstheme="minorHAnsi"/>
        </w:rPr>
        <w:t xml:space="preserve">Next is the cost of extracting and transporting the product. Raw </w:t>
      </w:r>
      <w:r>
        <w:rPr>
          <w:rFonts w:cstheme="minorHAnsi"/>
        </w:rPr>
        <w:t>extractive resources</w:t>
      </w:r>
      <w:r w:rsidRPr="00837FC8">
        <w:rPr>
          <w:rFonts w:cstheme="minorHAnsi"/>
        </w:rPr>
        <w:t xml:space="preserve"> need to be processed and then transported to a project site. In Australia, most transport is by road, some by rail and a little by ship. The closer the quarry is to the project site, the lower the product cost.</w:t>
      </w:r>
    </w:p>
    <w:p w14:paraId="648FE701" w14:textId="77777777" w:rsidR="003F4354" w:rsidRDefault="003F4354" w:rsidP="003F4354">
      <w:pPr>
        <w:autoSpaceDE w:val="0"/>
        <w:autoSpaceDN w:val="0"/>
        <w:adjustRightInd w:val="0"/>
        <w:rPr>
          <w:rFonts w:cstheme="minorHAnsi"/>
        </w:rPr>
      </w:pPr>
      <w:r w:rsidRPr="00837FC8">
        <w:rPr>
          <w:rFonts w:cstheme="minorHAnsi"/>
        </w:rPr>
        <w:t xml:space="preserve">Historically, Melbourne has been fortunate with lower </w:t>
      </w:r>
      <w:r>
        <w:rPr>
          <w:rFonts w:cstheme="minorHAnsi"/>
        </w:rPr>
        <w:t>extractive resource</w:t>
      </w:r>
      <w:r w:rsidRPr="00837FC8">
        <w:rPr>
          <w:rFonts w:cstheme="minorHAnsi"/>
        </w:rPr>
        <w:t xml:space="preserve"> costs due to quarries being close to construction regions. </w:t>
      </w:r>
      <w:r>
        <w:rPr>
          <w:rFonts w:cstheme="minorHAnsi"/>
        </w:rPr>
        <w:t>The Study has found the</w:t>
      </w:r>
      <w:r w:rsidRPr="00837FC8">
        <w:rPr>
          <w:rFonts w:cstheme="minorHAnsi"/>
        </w:rPr>
        <w:t xml:space="preserve"> average distance for transporting hard rock to metropolitan Melbourne is 20-25 km; for sand it is 50 km.</w:t>
      </w:r>
    </w:p>
    <w:p w14:paraId="690453AC" w14:textId="77777777" w:rsidR="003F4354" w:rsidRDefault="003F4354" w:rsidP="003F4354">
      <w:pPr>
        <w:autoSpaceDE w:val="0"/>
        <w:autoSpaceDN w:val="0"/>
        <w:adjustRightInd w:val="0"/>
        <w:rPr>
          <w:rFonts w:cstheme="minorHAnsi"/>
        </w:rPr>
      </w:pPr>
      <w:r>
        <w:rPr>
          <w:rFonts w:cstheme="minorHAnsi"/>
        </w:rPr>
        <w:t>Transport</w:t>
      </w:r>
      <w:r w:rsidRPr="00837FC8">
        <w:rPr>
          <w:rFonts w:cstheme="minorHAnsi"/>
        </w:rPr>
        <w:t xml:space="preserve"> costs are approximately 25-30 per cent of the total extraction cost</w:t>
      </w:r>
      <w:r>
        <w:rPr>
          <w:rFonts w:cstheme="minorHAnsi"/>
        </w:rPr>
        <w:t xml:space="preserve"> for quarries close to project sites</w:t>
      </w:r>
      <w:r w:rsidRPr="00837FC8">
        <w:rPr>
          <w:rFonts w:cstheme="minorHAnsi"/>
        </w:rPr>
        <w:t>.</w:t>
      </w:r>
      <w:r>
        <w:rPr>
          <w:rStyle w:val="FootnoteReference"/>
          <w:rFonts w:cstheme="minorHAnsi"/>
        </w:rPr>
        <w:footnoteReference w:id="26"/>
      </w:r>
    </w:p>
    <w:p w14:paraId="49116FDB" w14:textId="77777777" w:rsidR="003F4354" w:rsidRDefault="003F4354" w:rsidP="003F4354">
      <w:r w:rsidRPr="00837FC8">
        <w:t xml:space="preserve">Once </w:t>
      </w:r>
      <w:r>
        <w:t>extractive resources</w:t>
      </w:r>
      <w:r w:rsidRPr="00837FC8">
        <w:t xml:space="preserve"> exceed these transport distances, the cost of rock starts to increase significantly. As a rule of thumb, </w:t>
      </w:r>
      <w:r>
        <w:t>the</w:t>
      </w:r>
      <w:r w:rsidRPr="00837FC8">
        <w:t xml:space="preserve"> Study assumes that transport costs are flat and about 20 cents per tonne per kilometre.</w:t>
      </w:r>
    </w:p>
    <w:p w14:paraId="504B25A4" w14:textId="77777777" w:rsidR="003F4354" w:rsidRDefault="003F4354" w:rsidP="003F4354">
      <w:pPr>
        <w:rPr>
          <w:rFonts w:cstheme="minorHAnsi"/>
        </w:rPr>
      </w:pPr>
      <w:r w:rsidRPr="00837FC8">
        <w:rPr>
          <w:rFonts w:cstheme="minorHAnsi"/>
        </w:rPr>
        <w:t xml:space="preserve">Trucking is more expensive than rail or shipping. However, trucks are </w:t>
      </w:r>
      <w:r>
        <w:rPr>
          <w:rFonts w:cstheme="minorHAnsi"/>
        </w:rPr>
        <w:t>often</w:t>
      </w:r>
      <w:r w:rsidRPr="00837FC8">
        <w:rPr>
          <w:rFonts w:cstheme="minorHAnsi"/>
        </w:rPr>
        <w:t xml:space="preserve"> the only vehicles that can access quarry sites.</w:t>
      </w:r>
    </w:p>
    <w:p w14:paraId="269BFBE4" w14:textId="77777777" w:rsidR="003F4354" w:rsidRDefault="003F4354" w:rsidP="003F4354">
      <w:pPr>
        <w:rPr>
          <w:rFonts w:cstheme="minorHAnsi"/>
        </w:rPr>
      </w:pPr>
      <w:r w:rsidRPr="00837FC8">
        <w:rPr>
          <w:rFonts w:cstheme="minorHAnsi"/>
        </w:rPr>
        <w:t xml:space="preserve">To minimise costs, a project may obtain material from several quarries. For example, in a road project, a quarry close to the start of the road may initially be cheapest. As the road progresses, another quarry may be closer and hence cheaper. Understanding the </w:t>
      </w:r>
      <w:r>
        <w:rPr>
          <w:rFonts w:cstheme="minorHAnsi"/>
        </w:rPr>
        <w:t>supply and demand</w:t>
      </w:r>
      <w:r w:rsidRPr="00837FC8">
        <w:rPr>
          <w:rFonts w:cstheme="minorHAnsi"/>
        </w:rPr>
        <w:t xml:space="preserve"> across Victoria helps with project planning.</w:t>
      </w:r>
    </w:p>
    <w:p w14:paraId="7708CAFF" w14:textId="6DEFE11D" w:rsidR="003F4354" w:rsidRPr="00837FC8" w:rsidRDefault="003F4354" w:rsidP="003F4354">
      <w:pPr>
        <w:autoSpaceDE w:val="0"/>
        <w:autoSpaceDN w:val="0"/>
        <w:adjustRightInd w:val="0"/>
        <w:rPr>
          <w:rFonts w:cstheme="minorHAnsi"/>
        </w:rPr>
      </w:pPr>
      <w:r w:rsidRPr="00837FC8">
        <w:rPr>
          <w:rFonts w:cstheme="minorHAnsi"/>
        </w:rPr>
        <w:t>Other costs associated with the extractive industry are:</w:t>
      </w:r>
    </w:p>
    <w:p w14:paraId="27607E17" w14:textId="77777777" w:rsidR="003F4354" w:rsidRPr="00837FC8" w:rsidRDefault="003F4354" w:rsidP="004129D2">
      <w:pPr>
        <w:pStyle w:val="ListBullet"/>
      </w:pPr>
      <w:r w:rsidRPr="00837FC8">
        <w:t>damage to roads during transport</w:t>
      </w:r>
    </w:p>
    <w:p w14:paraId="3BD21019" w14:textId="77777777" w:rsidR="003F4354" w:rsidRPr="00837FC8" w:rsidRDefault="003F4354" w:rsidP="004129D2">
      <w:pPr>
        <w:pStyle w:val="ListBullet"/>
      </w:pPr>
      <w:r w:rsidRPr="00837FC8">
        <w:t>fuel used in trucks</w:t>
      </w:r>
    </w:p>
    <w:p w14:paraId="04C05D76" w14:textId="77777777" w:rsidR="003F4354" w:rsidRPr="00837FC8" w:rsidRDefault="003F4354" w:rsidP="004129D2">
      <w:pPr>
        <w:pStyle w:val="ListBullet"/>
      </w:pPr>
      <w:r w:rsidRPr="00837FC8">
        <w:t>Occupational Health and Safety, and compliance</w:t>
      </w:r>
      <w:r w:rsidRPr="00837FC8">
        <w:rPr>
          <w:rStyle w:val="FootnoteReference"/>
          <w:rFonts w:cstheme="minorHAnsi"/>
        </w:rPr>
        <w:t xml:space="preserve"> </w:t>
      </w:r>
    </w:p>
    <w:p w14:paraId="62CE2B31" w14:textId="77777777" w:rsidR="003F4354" w:rsidRPr="00837FC8" w:rsidRDefault="003F4354" w:rsidP="004129D2">
      <w:pPr>
        <w:pStyle w:val="ListBullet"/>
      </w:pPr>
      <w:r w:rsidRPr="00837FC8">
        <w:t>depreciation</w:t>
      </w:r>
    </w:p>
    <w:p w14:paraId="1A5BE0E7" w14:textId="77777777" w:rsidR="003F4354" w:rsidRPr="00837FC8" w:rsidRDefault="003F4354" w:rsidP="004129D2">
      <w:pPr>
        <w:pStyle w:val="ListBullet"/>
      </w:pPr>
      <w:r w:rsidRPr="00837FC8">
        <w:t>labour</w:t>
      </w:r>
    </w:p>
    <w:p w14:paraId="51CFB92F" w14:textId="77777777" w:rsidR="003F4354" w:rsidRPr="00837FC8" w:rsidRDefault="003F4354" w:rsidP="004129D2">
      <w:pPr>
        <w:pStyle w:val="ListBullet"/>
      </w:pPr>
      <w:r w:rsidRPr="00837FC8">
        <w:t>repairs and maintenance</w:t>
      </w:r>
    </w:p>
    <w:p w14:paraId="290033EA" w14:textId="77777777" w:rsidR="003F4354" w:rsidRPr="00837FC8" w:rsidRDefault="003F4354" w:rsidP="004129D2">
      <w:pPr>
        <w:pStyle w:val="ListBullet"/>
      </w:pPr>
      <w:r w:rsidRPr="00837FC8">
        <w:t>fuel and energy</w:t>
      </w:r>
    </w:p>
    <w:p w14:paraId="07D46ACF" w14:textId="77777777" w:rsidR="003F4354" w:rsidRPr="00837FC8" w:rsidRDefault="003F4354" w:rsidP="004129D2">
      <w:pPr>
        <w:pStyle w:val="ListBullet"/>
      </w:pPr>
      <w:r w:rsidRPr="00837FC8">
        <w:t xml:space="preserve">royalties </w:t>
      </w:r>
    </w:p>
    <w:p w14:paraId="39B10E1F" w14:textId="2ACBDA67" w:rsidR="003F4354" w:rsidRPr="00FF6070" w:rsidRDefault="003F4354" w:rsidP="004129D2">
      <w:pPr>
        <w:pStyle w:val="ListBullet"/>
      </w:pPr>
      <w:r w:rsidRPr="00837FC8">
        <w:t>environmental impact, including emissions.</w:t>
      </w:r>
    </w:p>
    <w:p w14:paraId="57CDB719" w14:textId="77777777" w:rsidR="003F4354" w:rsidRDefault="003F4354" w:rsidP="003F4354">
      <w:pPr>
        <w:pStyle w:val="Heading2"/>
      </w:pPr>
      <w:bookmarkStart w:id="93" w:name="_Toc130274687"/>
      <w:bookmarkStart w:id="94" w:name="_Toc137567803"/>
      <w:r w:rsidRPr="00837FC8">
        <w:t>3.4 Conclusions</w:t>
      </w:r>
      <w:r>
        <w:t xml:space="preserve"> relating to supply analysis</w:t>
      </w:r>
      <w:bookmarkEnd w:id="93"/>
      <w:bookmarkEnd w:id="94"/>
    </w:p>
    <w:p w14:paraId="41F9844D" w14:textId="77777777" w:rsidR="003F4354" w:rsidRDefault="003F4354" w:rsidP="003F4354">
      <w:pPr>
        <w:rPr>
          <w:rFonts w:cstheme="minorHAnsi"/>
        </w:rPr>
      </w:pPr>
      <w:r w:rsidRPr="00837FC8">
        <w:rPr>
          <w:rFonts w:cstheme="minorHAnsi"/>
        </w:rPr>
        <w:t>Different areas of Victoria supply different extractive</w:t>
      </w:r>
      <w:r>
        <w:rPr>
          <w:rFonts w:cstheme="minorHAnsi"/>
        </w:rPr>
        <w:t xml:space="preserve"> resources</w:t>
      </w:r>
      <w:r w:rsidRPr="00837FC8">
        <w:rPr>
          <w:rFonts w:cstheme="minorHAnsi"/>
        </w:rPr>
        <w:t>. Suppl</w:t>
      </w:r>
      <w:r>
        <w:rPr>
          <w:rFonts w:cstheme="minorHAnsi"/>
        </w:rPr>
        <w:t>y</w:t>
      </w:r>
      <w:r w:rsidRPr="00837FC8">
        <w:rPr>
          <w:rFonts w:cstheme="minorHAnsi"/>
        </w:rPr>
        <w:t xml:space="preserve"> </w:t>
      </w:r>
      <w:r>
        <w:rPr>
          <w:rFonts w:cstheme="minorHAnsi"/>
        </w:rPr>
        <w:t>is mostly concentrated</w:t>
      </w:r>
      <w:r w:rsidRPr="00837FC8">
        <w:rPr>
          <w:rFonts w:cstheme="minorHAnsi"/>
        </w:rPr>
        <w:t xml:space="preserve"> reasonably close to Greater Melbourne, the location of greatest demand. Quarry location is important, as the closer it is to a project site, the lower the cost of </w:t>
      </w:r>
      <w:r>
        <w:rPr>
          <w:rFonts w:cstheme="minorHAnsi"/>
        </w:rPr>
        <w:t>extractive resources</w:t>
      </w:r>
      <w:r w:rsidRPr="00837FC8">
        <w:rPr>
          <w:rFonts w:cstheme="minorHAnsi"/>
        </w:rPr>
        <w:t>.</w:t>
      </w:r>
    </w:p>
    <w:p w14:paraId="10CBDB9A" w14:textId="77777777" w:rsidR="003F4354" w:rsidRDefault="003F4354" w:rsidP="003F4354">
      <w:pPr>
        <w:rPr>
          <w:rFonts w:cstheme="minorHAnsi"/>
        </w:rPr>
      </w:pPr>
      <w:r w:rsidRPr="00837FC8">
        <w:rPr>
          <w:rFonts w:cstheme="minorHAnsi"/>
        </w:rPr>
        <w:t>The Department has undertaken surveys and analysed data to determine the current and likely future status of the Victorian extractive</w:t>
      </w:r>
      <w:r>
        <w:rPr>
          <w:rFonts w:cstheme="minorHAnsi"/>
        </w:rPr>
        <w:t xml:space="preserve"> </w:t>
      </w:r>
      <w:r w:rsidRPr="00837FC8">
        <w:rPr>
          <w:rFonts w:cstheme="minorHAnsi"/>
        </w:rPr>
        <w:t>industry. Forecasts are based on three categories of likelihood of sites proceeding: low, medium, high. The results help determine aspects of the Victorian extractive industry most under threat and the response options.</w:t>
      </w:r>
    </w:p>
    <w:p w14:paraId="5B224D64" w14:textId="77777777" w:rsidR="003F4354" w:rsidRDefault="003F4354" w:rsidP="003F4354">
      <w:pPr>
        <w:rPr>
          <w:rFonts w:cstheme="minorHAnsi"/>
          <w:sz w:val="22"/>
          <w:szCs w:val="22"/>
        </w:rPr>
      </w:pPr>
      <w:r w:rsidRPr="00837FC8">
        <w:rPr>
          <w:rFonts w:cstheme="minorHAnsi"/>
        </w:rPr>
        <w:t>Hard rock represents the extractive</w:t>
      </w:r>
      <w:r>
        <w:rPr>
          <w:rFonts w:cstheme="minorHAnsi"/>
        </w:rPr>
        <w:t xml:space="preserve"> material</w:t>
      </w:r>
      <w:r w:rsidRPr="00837FC8">
        <w:rPr>
          <w:rFonts w:cstheme="minorHAnsi"/>
        </w:rPr>
        <w:t xml:space="preserve"> in highest demand, followed by sand.</w:t>
      </w:r>
    </w:p>
    <w:p w14:paraId="178E9DCB" w14:textId="77777777" w:rsidR="003F4354" w:rsidRDefault="003F4354" w:rsidP="003F4354">
      <w:pPr>
        <w:pStyle w:val="Heading1"/>
      </w:pPr>
      <w:bookmarkStart w:id="95" w:name="_Toc130274688"/>
      <w:bookmarkStart w:id="96" w:name="_Toc137567804"/>
      <w:r w:rsidRPr="00837FC8">
        <w:lastRenderedPageBreak/>
        <w:t>4. Integration analysis</w:t>
      </w:r>
      <w:bookmarkEnd w:id="95"/>
      <w:bookmarkEnd w:id="96"/>
    </w:p>
    <w:p w14:paraId="07CD14F0" w14:textId="77777777" w:rsidR="003F4354" w:rsidRDefault="003F4354" w:rsidP="003F4354">
      <w:pPr>
        <w:pStyle w:val="Heading2"/>
      </w:pPr>
      <w:bookmarkStart w:id="97" w:name="_Toc130274689"/>
      <w:bookmarkStart w:id="98" w:name="_Toc137567805"/>
      <w:r w:rsidRPr="00837FC8">
        <w:t>4.1 Methodology and assumptions</w:t>
      </w:r>
      <w:bookmarkEnd w:id="97"/>
      <w:bookmarkEnd w:id="98"/>
    </w:p>
    <w:p w14:paraId="2A45D102" w14:textId="77777777" w:rsidR="003F4354" w:rsidRDefault="003F4354" w:rsidP="003F4354">
      <w:pPr>
        <w:rPr>
          <w:rFonts w:cstheme="minorHAnsi"/>
        </w:rPr>
      </w:pPr>
      <w:r w:rsidRPr="009C3F64">
        <w:rPr>
          <w:rFonts w:cstheme="minorHAnsi"/>
        </w:rPr>
        <w:t>This section integrates supply and demand forecasts for extractive materials at a regional scale and relates them to impacts on transport distances to market. To the best of the Department’s knowledge, this is the first analysis of this nature that has been undertaken by Government.</w:t>
      </w:r>
    </w:p>
    <w:p w14:paraId="09E87EAD" w14:textId="77777777" w:rsidR="003F4354" w:rsidRDefault="003F4354" w:rsidP="003F4354">
      <w:pPr>
        <w:rPr>
          <w:rFonts w:cstheme="minorHAnsi"/>
        </w:rPr>
      </w:pPr>
      <w:r w:rsidRPr="009C3F64">
        <w:rPr>
          <w:rFonts w:cstheme="minorHAnsi"/>
        </w:rPr>
        <w:t xml:space="preserve">This analysis, termed ‘integration analysis’ or ‘integration model’ has been designed and undertaken by Departmental analysts using Microsoft Excel. The approach has produced the forecast supply and demand data presented in the Study, subject to a number of assumptions. It is a prototype analysis and has not been tested or peer reviewed outside Government so the results should </w:t>
      </w:r>
      <w:r>
        <w:rPr>
          <w:rFonts w:cstheme="minorHAnsi"/>
        </w:rPr>
        <w:t>be treated</w:t>
      </w:r>
      <w:r w:rsidRPr="009C3F64">
        <w:rPr>
          <w:rFonts w:cstheme="minorHAnsi"/>
        </w:rPr>
        <w:t xml:space="preserve"> as indicative only and not be used to make investment decisions. The model represents a useful tool for Government use in the future to support policy analysis and decision making.</w:t>
      </w:r>
    </w:p>
    <w:p w14:paraId="224CF182" w14:textId="77777777" w:rsidR="003F4354" w:rsidRDefault="003F4354" w:rsidP="003F4354">
      <w:pPr>
        <w:rPr>
          <w:rFonts w:cstheme="minorHAnsi"/>
        </w:rPr>
      </w:pPr>
      <w:r w:rsidRPr="009C3F64">
        <w:rPr>
          <w:rFonts w:cstheme="minorHAnsi"/>
        </w:rPr>
        <w:t>The model assumes that minimising transport costs will determine the most likely suppliers of material to demand centres, which ordinarily will preclude more distant suppliers. While this logic holds true, some market behaviours involving joint ventures and alliances, aggressive quotations, and supply assurances can result in a departure from this premise.</w:t>
      </w:r>
    </w:p>
    <w:p w14:paraId="4A390096" w14:textId="69F69FFF" w:rsidR="003F4354" w:rsidRDefault="003F4354" w:rsidP="003F4354">
      <w:pPr>
        <w:rPr>
          <w:rFonts w:cstheme="minorHAnsi"/>
        </w:rPr>
      </w:pPr>
      <w:r w:rsidRPr="009C3F64">
        <w:rPr>
          <w:rFonts w:cstheme="minorHAnsi"/>
        </w:rPr>
        <w:t>The integration analysis aims to identify regions of high demand and relate these to regions of concentrated supply, and establish the potential transport distance impacts that emerge from this comparison. The key steps involved in the integration model</w:t>
      </w:r>
      <w:r>
        <w:rPr>
          <w:rFonts w:cstheme="minorHAnsi"/>
        </w:rPr>
        <w:t xml:space="preserve"> have been outlined in</w:t>
      </w:r>
      <w:r w:rsidRPr="00837FC8">
        <w:rPr>
          <w:rFonts w:cstheme="minorHAnsi"/>
        </w:rPr>
        <w:t xml:space="preserve"> </w:t>
      </w:r>
      <w:r w:rsidRPr="006F42F1">
        <w:rPr>
          <w:rFonts w:cstheme="minorHAnsi"/>
        </w:rPr>
        <w:fldChar w:fldCharType="begin"/>
      </w:r>
      <w:r w:rsidRPr="006F42F1">
        <w:rPr>
          <w:rFonts w:cstheme="minorHAnsi"/>
        </w:rPr>
        <w:instrText xml:space="preserve"> REF _Ref117676849 \h  \* MERGEFORMAT </w:instrText>
      </w:r>
      <w:r w:rsidRPr="006F42F1">
        <w:rPr>
          <w:rFonts w:cstheme="minorHAnsi"/>
        </w:rPr>
      </w:r>
      <w:r w:rsidRPr="006F42F1">
        <w:rPr>
          <w:rFonts w:cstheme="minorHAnsi"/>
        </w:rPr>
        <w:fldChar w:fldCharType="separate"/>
      </w:r>
      <w:r w:rsidR="000154C7" w:rsidRPr="000154C7">
        <w:t xml:space="preserve">Figure </w:t>
      </w:r>
      <w:r w:rsidR="000154C7" w:rsidRPr="000154C7">
        <w:rPr>
          <w:noProof/>
        </w:rPr>
        <w:t>14</w:t>
      </w:r>
      <w:r w:rsidRPr="006F42F1">
        <w:rPr>
          <w:rFonts w:cstheme="minorHAnsi"/>
        </w:rPr>
        <w:fldChar w:fldCharType="end"/>
      </w:r>
      <w:r w:rsidRPr="00837FC8">
        <w:rPr>
          <w:rFonts w:cstheme="minorHAnsi"/>
        </w:rPr>
        <w:t>.</w:t>
      </w:r>
      <w:r>
        <w:rPr>
          <w:rFonts w:cstheme="minorHAnsi"/>
        </w:rPr>
        <w:t xml:space="preserve"> </w:t>
      </w:r>
      <w:r w:rsidRPr="00837FC8">
        <w:rPr>
          <w:rFonts w:cstheme="minorHAnsi"/>
        </w:rPr>
        <w:t>Th</w:t>
      </w:r>
      <w:r>
        <w:rPr>
          <w:rFonts w:cstheme="minorHAnsi"/>
        </w:rPr>
        <w:t>e integration model provides a</w:t>
      </w:r>
      <w:r w:rsidRPr="00837FC8">
        <w:rPr>
          <w:rFonts w:cstheme="minorHAnsi"/>
        </w:rPr>
        <w:t xml:space="preserve"> more complete picture of the extractive industry’s position and the scenarios that may arise in the future.</w:t>
      </w:r>
      <w:r>
        <w:rPr>
          <w:rFonts w:cstheme="minorHAnsi"/>
        </w:rPr>
        <w:t xml:space="preserve"> </w:t>
      </w:r>
    </w:p>
    <w:p w14:paraId="07D84DBE" w14:textId="77777777" w:rsidR="003F4354" w:rsidRDefault="003F4354" w:rsidP="003F4354">
      <w:pPr>
        <w:rPr>
          <w:rFonts w:cstheme="minorHAnsi"/>
        </w:rPr>
      </w:pPr>
    </w:p>
    <w:p w14:paraId="24B17DFF" w14:textId="77777777" w:rsidR="003F4354" w:rsidRPr="00837FC8" w:rsidRDefault="003F4354" w:rsidP="003F4354">
      <w:pPr>
        <w:rPr>
          <w:rFonts w:cstheme="minorHAnsi"/>
        </w:rPr>
      </w:pPr>
    </w:p>
    <w:p w14:paraId="483B6180" w14:textId="77777777" w:rsidR="003F4354" w:rsidRPr="00837FC8" w:rsidRDefault="003F4354" w:rsidP="003F4354">
      <w:pPr>
        <w:rPr>
          <w:rFonts w:cstheme="minorHAnsi"/>
          <w:u w:val="single"/>
        </w:rPr>
      </w:pPr>
      <w:r w:rsidRPr="00837FC8">
        <w:rPr>
          <w:rFonts w:cstheme="minorHAnsi"/>
          <w:u w:val="single"/>
        </w:rPr>
        <w:br w:type="page"/>
      </w:r>
    </w:p>
    <w:p w14:paraId="61281E3B" w14:textId="77777777" w:rsidR="003F4354" w:rsidRDefault="003F4354" w:rsidP="003F4354">
      <w:pPr>
        <w:rPr>
          <w:u w:val="single"/>
        </w:rPr>
      </w:pPr>
      <w:r>
        <w:rPr>
          <w:noProof/>
          <w:lang w:val="en-GB" w:eastAsia="en-GB"/>
        </w:rPr>
        <w:lastRenderedPageBreak/>
        <w:drawing>
          <wp:inline distT="0" distB="0" distL="0" distR="0" wp14:anchorId="070564E0" wp14:editId="74FB87EA">
            <wp:extent cx="4153179" cy="7124700"/>
            <wp:effectExtent l="19050" t="19050" r="19050" b="19050"/>
            <wp:docPr id="42" name="Picture 42" descr="A picture containing text, screenshot, parallel,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screenshot, parallel, line&#10;&#10;Description automatically generated"/>
                    <pic:cNvPicPr/>
                  </pic:nvPicPr>
                  <pic:blipFill>
                    <a:blip r:embed="rId61"/>
                    <a:stretch>
                      <a:fillRect/>
                    </a:stretch>
                  </pic:blipFill>
                  <pic:spPr>
                    <a:xfrm>
                      <a:off x="0" y="0"/>
                      <a:ext cx="4158483" cy="7133800"/>
                    </a:xfrm>
                    <a:prstGeom prst="rect">
                      <a:avLst/>
                    </a:prstGeom>
                    <a:ln>
                      <a:solidFill>
                        <a:schemeClr val="accent1"/>
                      </a:solidFill>
                    </a:ln>
                  </pic:spPr>
                </pic:pic>
              </a:graphicData>
            </a:graphic>
          </wp:inline>
        </w:drawing>
      </w:r>
    </w:p>
    <w:p w14:paraId="575855C2" w14:textId="79C10511" w:rsidR="003F4354" w:rsidRDefault="003F4354" w:rsidP="00FF6070">
      <w:pPr>
        <w:pStyle w:val="Caption"/>
        <w:rPr>
          <w:u w:val="single"/>
        </w:rPr>
      </w:pPr>
      <w:bookmarkStart w:id="99" w:name="_Ref117676849"/>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14</w:t>
      </w:r>
      <w:r w:rsidRPr="00160107">
        <w:rPr>
          <w:bCs/>
          <w:noProof/>
        </w:rPr>
        <w:fldChar w:fldCharType="end"/>
      </w:r>
      <w:bookmarkEnd w:id="99"/>
      <w:r w:rsidRPr="00837FC8">
        <w:t xml:space="preserve"> The steps involved in integration modelling of </w:t>
      </w:r>
      <w:r>
        <w:t>extractive resources</w:t>
      </w:r>
      <w:r w:rsidRPr="00837FC8">
        <w:t xml:space="preserve"> </w:t>
      </w:r>
    </w:p>
    <w:p w14:paraId="6777999B" w14:textId="77777777" w:rsidR="003F4354" w:rsidRDefault="003F4354" w:rsidP="003F4354">
      <w:r w:rsidRPr="00160107">
        <w:t xml:space="preserve">The integration </w:t>
      </w:r>
      <w:r>
        <w:t xml:space="preserve">model is underpinned by a series of key assumptions. </w:t>
      </w:r>
    </w:p>
    <w:p w14:paraId="02FC0D11" w14:textId="72DEC6A5" w:rsidR="003F4354" w:rsidRPr="00837FC8" w:rsidRDefault="003F4354" w:rsidP="003F4354">
      <w:pPr>
        <w:spacing w:after="160" w:line="259" w:lineRule="auto"/>
      </w:pPr>
      <w:r>
        <w:t>Supply</w:t>
      </w:r>
      <w:r w:rsidRPr="00837FC8">
        <w:t xml:space="preserve"> and </w:t>
      </w:r>
      <w:r>
        <w:t>demand</w:t>
      </w:r>
      <w:r w:rsidRPr="00837FC8">
        <w:t xml:space="preserve"> forecasts </w:t>
      </w:r>
      <w:r>
        <w:t xml:space="preserve">have been </w:t>
      </w:r>
      <w:r w:rsidRPr="00837FC8">
        <w:t>matched based on rock types (e.g. sand and gravel) rather than product types (e.g. concrete sand). All rock types are assumed to be of the same quality which is not the case in practice.</w:t>
      </w:r>
    </w:p>
    <w:p w14:paraId="1A8DEACB" w14:textId="77777777" w:rsidR="003F4354" w:rsidRPr="009C3F64" w:rsidRDefault="003F4354" w:rsidP="003F4354">
      <w:pPr>
        <w:spacing w:after="160" w:line="259" w:lineRule="auto"/>
      </w:pPr>
      <w:r w:rsidRPr="00837FC8">
        <w:t xml:space="preserve">Two or more work authorities </w:t>
      </w:r>
      <w:r>
        <w:t xml:space="preserve">have been allowed to </w:t>
      </w:r>
      <w:r w:rsidRPr="00837FC8">
        <w:t xml:space="preserve">supply demand centres. The </w:t>
      </w:r>
      <w:r>
        <w:t xml:space="preserve">model primarily requires that demand be supplied from </w:t>
      </w:r>
      <w:r w:rsidRPr="00837FC8">
        <w:t>Victorian work authorities</w:t>
      </w:r>
      <w:r>
        <w:t>, however, d</w:t>
      </w:r>
      <w:r w:rsidRPr="00837FC8">
        <w:t xml:space="preserve">emand centres </w:t>
      </w:r>
      <w:r>
        <w:t xml:space="preserve">are allowed to </w:t>
      </w:r>
      <w:r w:rsidRPr="00837FC8">
        <w:t xml:space="preserve">source material from interstate if no Victorian suppliers </w:t>
      </w:r>
      <w:r>
        <w:t xml:space="preserve">are available to </w:t>
      </w:r>
      <w:r w:rsidRPr="00837FC8">
        <w:t xml:space="preserve">fulfil their demand. </w:t>
      </w:r>
      <w:r w:rsidRPr="009C3F64">
        <w:t>If extractive materials are needed to be imported from interstate, the model assumes this material has travelled a distance of 500 km.</w:t>
      </w:r>
    </w:p>
    <w:p w14:paraId="51752844" w14:textId="77777777" w:rsidR="003F4354" w:rsidRPr="009C3F64" w:rsidRDefault="003F4354" w:rsidP="003F4354">
      <w:pPr>
        <w:spacing w:after="160" w:line="259" w:lineRule="auto"/>
      </w:pPr>
      <w:r w:rsidRPr="009C3F64">
        <w:lastRenderedPageBreak/>
        <w:t>Similar to the supply forecasts, the model allows for work authorities to be depleted and to exit the market in a given year. Further supplies are allowed to re-enter the market if they have a pending plan to vary the work authority extraction parameters expected to be approved before 2030. This follows the same low-, medium- and high-risk scenarios developed in the supply forecasts within section 3 that reflect the likelihood of additional supply entering the market.</w:t>
      </w:r>
    </w:p>
    <w:p w14:paraId="1696A43A" w14:textId="77777777" w:rsidR="003F4354" w:rsidRPr="009C3F64" w:rsidRDefault="003F4354" w:rsidP="003F4354">
      <w:pPr>
        <w:spacing w:after="160" w:line="259" w:lineRule="auto"/>
      </w:pPr>
      <w:r w:rsidRPr="009C3F64">
        <w:t>Within the integration model, the low-risk scenario has been termed a high-replenishment scenario and the high-risk scenario has been termed the low-replenishment scenario.</w:t>
      </w:r>
    </w:p>
    <w:p w14:paraId="2C2711A6" w14:textId="77777777" w:rsidR="003F4354" w:rsidRPr="009C3F64" w:rsidRDefault="003F4354" w:rsidP="003F4354">
      <w:pPr>
        <w:spacing w:after="160" w:line="259" w:lineRule="auto"/>
      </w:pPr>
      <w:r w:rsidRPr="009C3F64">
        <w:t xml:space="preserve">Each work authority has also been assumed to produce raw material at the same cost, with transport costs being the only difference in price for the projects. </w:t>
      </w:r>
    </w:p>
    <w:p w14:paraId="71DCD934" w14:textId="77777777" w:rsidR="003F4354" w:rsidRPr="009C3F64" w:rsidRDefault="003F4354" w:rsidP="003F4354">
      <w:pPr>
        <w:spacing w:after="160" w:line="259" w:lineRule="auto"/>
      </w:pPr>
      <w:r w:rsidRPr="009C3F64">
        <w:t>The findings of the integration models have not been presented at the LGA level to protect data confidentiality requirements of work authorities.</w:t>
      </w:r>
    </w:p>
    <w:p w14:paraId="4085A02B" w14:textId="77777777" w:rsidR="003F4354" w:rsidRPr="00837FC8" w:rsidRDefault="003F4354" w:rsidP="003F4354">
      <w:pPr>
        <w:spacing w:after="160" w:line="259" w:lineRule="auto"/>
      </w:pPr>
      <w:r w:rsidRPr="009C3F64">
        <w:t>While the Government retains all the raw data and modelling, this report focuses on findings of the medium supply replenishment scenario. The Study does not, however, assess the likelihood of the assumptions underpinning this scenario eventuating.</w:t>
      </w:r>
      <w:r>
        <w:t xml:space="preserve"> </w:t>
      </w:r>
    </w:p>
    <w:p w14:paraId="052C8403" w14:textId="77777777" w:rsidR="003F4354" w:rsidRDefault="003F4354" w:rsidP="003F4354">
      <w:pPr>
        <w:pStyle w:val="Heading2"/>
      </w:pPr>
      <w:bookmarkStart w:id="100" w:name="_Toc130274690"/>
      <w:bookmarkStart w:id="101" w:name="_Toc137567806"/>
      <w:r w:rsidRPr="00837FC8">
        <w:t xml:space="preserve">4.2 Integration </w:t>
      </w:r>
      <w:r>
        <w:t>analysis f</w:t>
      </w:r>
      <w:r w:rsidRPr="00837FC8">
        <w:t>indings</w:t>
      </w:r>
      <w:bookmarkEnd w:id="100"/>
      <w:bookmarkEnd w:id="101"/>
    </w:p>
    <w:p w14:paraId="4A349286" w14:textId="1D6A5244" w:rsidR="003F4354" w:rsidRDefault="003F4354" w:rsidP="003F4354">
      <w:r>
        <w:t xml:space="preserve">The modelled weighted average transport distances under varying supply replenishment scenarios, for each of hard rock and for sand and gravel are shown in </w:t>
      </w:r>
      <w:r w:rsidRPr="006F42F1">
        <w:fldChar w:fldCharType="begin"/>
      </w:r>
      <w:r w:rsidRPr="006F42F1">
        <w:instrText xml:space="preserve"> REF _Ref117677304 \h  \* MERGEFORMAT </w:instrText>
      </w:r>
      <w:r w:rsidRPr="006F42F1">
        <w:fldChar w:fldCharType="separate"/>
      </w:r>
      <w:r w:rsidR="000154C7" w:rsidRPr="000154C7">
        <w:t xml:space="preserve">Table </w:t>
      </w:r>
      <w:r w:rsidR="000154C7" w:rsidRPr="000154C7">
        <w:rPr>
          <w:noProof/>
        </w:rPr>
        <w:t>9</w:t>
      </w:r>
      <w:r w:rsidRPr="006F42F1">
        <w:fldChar w:fldCharType="end"/>
      </w:r>
      <w:r w:rsidRPr="00C71AF9">
        <w:t xml:space="preserve"> and </w:t>
      </w:r>
      <w:r w:rsidRPr="006F42F1">
        <w:fldChar w:fldCharType="begin"/>
      </w:r>
      <w:r w:rsidRPr="006F42F1">
        <w:instrText xml:space="preserve"> REF _Ref117677307 \h  \* MERGEFORMAT </w:instrText>
      </w:r>
      <w:r w:rsidRPr="006F42F1">
        <w:fldChar w:fldCharType="separate"/>
      </w:r>
      <w:r w:rsidR="000154C7" w:rsidRPr="000154C7">
        <w:t xml:space="preserve">Table </w:t>
      </w:r>
      <w:r w:rsidR="000154C7" w:rsidRPr="000154C7">
        <w:rPr>
          <w:noProof/>
        </w:rPr>
        <w:t>10</w:t>
      </w:r>
      <w:r w:rsidRPr="006F42F1">
        <w:fldChar w:fldCharType="end"/>
      </w:r>
      <w:r w:rsidRPr="00837FC8">
        <w:t xml:space="preserve"> </w:t>
      </w:r>
      <w:r>
        <w:t>respectively.</w:t>
      </w:r>
    </w:p>
    <w:p w14:paraId="590628CD" w14:textId="77777777" w:rsidR="003F4354" w:rsidRDefault="003F4354" w:rsidP="003F4354">
      <w:r>
        <w:t xml:space="preserve">These results show that </w:t>
      </w:r>
      <w:r w:rsidRPr="00837FC8">
        <w:t xml:space="preserve">transport distances </w:t>
      </w:r>
      <w:r>
        <w:t>generally would</w:t>
      </w:r>
      <w:r w:rsidRPr="00837FC8">
        <w:t xml:space="preserve"> rise by 2030. </w:t>
      </w:r>
    </w:p>
    <w:p w14:paraId="3AB143D7" w14:textId="77777777" w:rsidR="003F4354" w:rsidRDefault="003F4354" w:rsidP="003F4354">
      <w:r>
        <w:t>As expected, u</w:t>
      </w:r>
      <w:r w:rsidRPr="00837FC8">
        <w:t>nder a low</w:t>
      </w:r>
      <w:r>
        <w:t xml:space="preserve"> supply replenishment </w:t>
      </w:r>
      <w:r w:rsidRPr="00837FC8">
        <w:t>scenario, where there is little chance of new work authorities</w:t>
      </w:r>
      <w:r>
        <w:t>, plans</w:t>
      </w:r>
      <w:r w:rsidRPr="00837FC8">
        <w:t xml:space="preserve"> or </w:t>
      </w:r>
      <w:r>
        <w:t xml:space="preserve">plan </w:t>
      </w:r>
      <w:r w:rsidRPr="00837FC8">
        <w:t xml:space="preserve">variations being approved, transport distances increase </w:t>
      </w:r>
      <w:r>
        <w:t>the most. Conversely, u</w:t>
      </w:r>
      <w:r w:rsidRPr="00837FC8">
        <w:t>nder the high supply</w:t>
      </w:r>
      <w:r>
        <w:t xml:space="preserve"> replenishment</w:t>
      </w:r>
      <w:r w:rsidRPr="00837FC8">
        <w:t xml:space="preserve"> scenario, when there </w:t>
      </w:r>
      <w:r>
        <w:t xml:space="preserve">is a higher expected </w:t>
      </w:r>
      <w:r w:rsidRPr="009C3F64">
        <w:t>rate of replenishment, average transport distances increase the least.</w:t>
      </w:r>
    </w:p>
    <w:p w14:paraId="79A45E8D" w14:textId="6986793B" w:rsidR="003F4354" w:rsidRPr="00837FC8" w:rsidRDefault="003F4354" w:rsidP="00FF6070">
      <w:r w:rsidRPr="009C3F64">
        <w:t>Under the assumptions made within the medium supply replenishment scenario, average transport distances of hard rock to Greater Melbourne would increase by about 120 km for hard rock and for sand and gravel.</w:t>
      </w:r>
      <w:r>
        <w:t xml:space="preserve">    </w:t>
      </w:r>
    </w:p>
    <w:p w14:paraId="31CC39DD" w14:textId="1E4E5B4E" w:rsidR="003F4354" w:rsidRPr="00837FC8" w:rsidRDefault="003F4354" w:rsidP="00FF6070">
      <w:pPr>
        <w:pStyle w:val="Caption"/>
      </w:pPr>
      <w:bookmarkStart w:id="102" w:name="_Ref117677304"/>
      <w:r w:rsidRPr="00160107">
        <w:rPr>
          <w:bCs/>
        </w:rPr>
        <w:t xml:space="preserve">Table </w:t>
      </w:r>
      <w:r w:rsidRPr="00160107">
        <w:rPr>
          <w:bCs/>
        </w:rPr>
        <w:fldChar w:fldCharType="begin"/>
      </w:r>
      <w:r w:rsidRPr="00160107">
        <w:rPr>
          <w:bCs/>
        </w:rPr>
        <w:instrText xml:space="preserve"> SEQ Table \* ARABIC </w:instrText>
      </w:r>
      <w:r w:rsidRPr="00160107">
        <w:rPr>
          <w:bCs/>
        </w:rPr>
        <w:fldChar w:fldCharType="separate"/>
      </w:r>
      <w:r w:rsidR="000154C7">
        <w:rPr>
          <w:bCs/>
          <w:noProof/>
        </w:rPr>
        <w:t>9</w:t>
      </w:r>
      <w:r w:rsidRPr="00160107">
        <w:rPr>
          <w:bCs/>
          <w:noProof/>
        </w:rPr>
        <w:fldChar w:fldCharType="end"/>
      </w:r>
      <w:bookmarkEnd w:id="102"/>
      <w:r w:rsidRPr="00837FC8">
        <w:t xml:space="preserve"> Weighted average transport distances for hard rock under varying supply scenarios</w:t>
      </w:r>
    </w:p>
    <w:tbl>
      <w:tblPr>
        <w:tblStyle w:val="TableGrid"/>
        <w:tblW w:w="0" w:type="auto"/>
        <w:tblLook w:val="04A0" w:firstRow="1" w:lastRow="0" w:firstColumn="1" w:lastColumn="0" w:noHBand="0" w:noVBand="1"/>
      </w:tblPr>
      <w:tblGrid>
        <w:gridCol w:w="2002"/>
        <w:gridCol w:w="1235"/>
        <w:gridCol w:w="1103"/>
        <w:gridCol w:w="1235"/>
        <w:gridCol w:w="1655"/>
        <w:gridCol w:w="1235"/>
        <w:gridCol w:w="1103"/>
      </w:tblGrid>
      <w:tr w:rsidR="003F4354" w:rsidRPr="00837FC8" w14:paraId="156AF9E3" w14:textId="77777777" w:rsidTr="0040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tcPr>
          <w:p w14:paraId="02D4A9D5" w14:textId="77777777" w:rsidR="003F4354" w:rsidRPr="00837FC8" w:rsidRDefault="003F4354" w:rsidP="00FF6070">
            <w:pPr>
              <w:pStyle w:val="TableHeadingLeft"/>
            </w:pPr>
            <w:r w:rsidRPr="00837FC8">
              <w:t>Hard rock</w:t>
            </w:r>
          </w:p>
        </w:tc>
        <w:tc>
          <w:tcPr>
            <w:tcW w:w="2338" w:type="dxa"/>
            <w:gridSpan w:val="2"/>
          </w:tcPr>
          <w:p w14:paraId="3383FBFD"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 xml:space="preserve">Low </w:t>
            </w:r>
            <w:r>
              <w:t>replenishment</w:t>
            </w:r>
            <w:r w:rsidRPr="00837FC8">
              <w:t xml:space="preserve"> scenario</w:t>
            </w:r>
          </w:p>
        </w:tc>
        <w:tc>
          <w:tcPr>
            <w:tcW w:w="2890" w:type="dxa"/>
            <w:gridSpan w:val="2"/>
          </w:tcPr>
          <w:p w14:paraId="6966E7CF"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 xml:space="preserve">Medium </w:t>
            </w:r>
            <w:r>
              <w:t>replenishment</w:t>
            </w:r>
            <w:r w:rsidRPr="00837FC8">
              <w:t xml:space="preserve"> scenario</w:t>
            </w:r>
          </w:p>
        </w:tc>
        <w:tc>
          <w:tcPr>
            <w:tcW w:w="2338" w:type="dxa"/>
            <w:gridSpan w:val="2"/>
          </w:tcPr>
          <w:p w14:paraId="2BD7EB4F"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 xml:space="preserve">High </w:t>
            </w:r>
            <w:r>
              <w:t>replenishment</w:t>
            </w:r>
            <w:r w:rsidRPr="00837FC8">
              <w:t xml:space="preserve"> scenario</w:t>
            </w:r>
          </w:p>
        </w:tc>
      </w:tr>
      <w:tr w:rsidR="003F4354" w:rsidRPr="00837FC8" w14:paraId="6183B636" w14:textId="77777777" w:rsidTr="00407F8B">
        <w:tc>
          <w:tcPr>
            <w:cnfStyle w:val="001000000000" w:firstRow="0" w:lastRow="0" w:firstColumn="1" w:lastColumn="0" w:oddVBand="0" w:evenVBand="0" w:oddHBand="0" w:evenHBand="0" w:firstRowFirstColumn="0" w:firstRowLastColumn="0" w:lastRowFirstColumn="0" w:lastRowLastColumn="0"/>
            <w:tcW w:w="2002" w:type="dxa"/>
          </w:tcPr>
          <w:p w14:paraId="4401382E" w14:textId="77777777" w:rsidR="003F4354" w:rsidRPr="00837FC8" w:rsidRDefault="003F4354" w:rsidP="00FF6070">
            <w:pPr>
              <w:pStyle w:val="TableTextLeftBold"/>
            </w:pPr>
            <w:r w:rsidRPr="00837FC8">
              <w:t>Average transport distance (km)</w:t>
            </w:r>
          </w:p>
        </w:tc>
        <w:tc>
          <w:tcPr>
            <w:tcW w:w="1235" w:type="dxa"/>
          </w:tcPr>
          <w:p w14:paraId="7DD517D2"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Greater Melbourne</w:t>
            </w:r>
          </w:p>
        </w:tc>
        <w:tc>
          <w:tcPr>
            <w:tcW w:w="1103" w:type="dxa"/>
          </w:tcPr>
          <w:p w14:paraId="72FFCEB1"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Regional Victoria</w:t>
            </w:r>
          </w:p>
        </w:tc>
        <w:tc>
          <w:tcPr>
            <w:tcW w:w="1235" w:type="dxa"/>
          </w:tcPr>
          <w:p w14:paraId="5AA962CC"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Greater Melbourne</w:t>
            </w:r>
          </w:p>
        </w:tc>
        <w:tc>
          <w:tcPr>
            <w:tcW w:w="1655" w:type="dxa"/>
          </w:tcPr>
          <w:p w14:paraId="2F4007BF"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Regional Victoria</w:t>
            </w:r>
          </w:p>
        </w:tc>
        <w:tc>
          <w:tcPr>
            <w:tcW w:w="1235" w:type="dxa"/>
          </w:tcPr>
          <w:p w14:paraId="467609D8"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Greater Melbourne</w:t>
            </w:r>
          </w:p>
        </w:tc>
        <w:tc>
          <w:tcPr>
            <w:tcW w:w="1103" w:type="dxa"/>
          </w:tcPr>
          <w:p w14:paraId="39648D0B"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Regional Victoria</w:t>
            </w:r>
          </w:p>
        </w:tc>
      </w:tr>
      <w:tr w:rsidR="003F4354" w:rsidRPr="00837FC8" w14:paraId="3D8EE7E7" w14:textId="77777777" w:rsidTr="00407F8B">
        <w:tc>
          <w:tcPr>
            <w:cnfStyle w:val="001000000000" w:firstRow="0" w:lastRow="0" w:firstColumn="1" w:lastColumn="0" w:oddVBand="0" w:evenVBand="0" w:oddHBand="0" w:evenHBand="0" w:firstRowFirstColumn="0" w:firstRowLastColumn="0" w:lastRowFirstColumn="0" w:lastRowLastColumn="0"/>
            <w:tcW w:w="2002" w:type="dxa"/>
          </w:tcPr>
          <w:p w14:paraId="14F21FF2" w14:textId="77777777" w:rsidR="003F4354" w:rsidRPr="00837FC8" w:rsidRDefault="003F4354" w:rsidP="00FF6070">
            <w:pPr>
              <w:pStyle w:val="TableTextLeftBold"/>
            </w:pPr>
            <w:r w:rsidRPr="00837FC8">
              <w:t>2022</w:t>
            </w:r>
          </w:p>
        </w:tc>
        <w:tc>
          <w:tcPr>
            <w:tcW w:w="1235" w:type="dxa"/>
          </w:tcPr>
          <w:p w14:paraId="27C030BA"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32</w:t>
            </w:r>
          </w:p>
        </w:tc>
        <w:tc>
          <w:tcPr>
            <w:tcW w:w="1103" w:type="dxa"/>
          </w:tcPr>
          <w:p w14:paraId="131A10B0"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20</w:t>
            </w:r>
          </w:p>
        </w:tc>
        <w:tc>
          <w:tcPr>
            <w:tcW w:w="1235" w:type="dxa"/>
          </w:tcPr>
          <w:p w14:paraId="69FEDD7E"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32</w:t>
            </w:r>
          </w:p>
        </w:tc>
        <w:tc>
          <w:tcPr>
            <w:tcW w:w="1655" w:type="dxa"/>
          </w:tcPr>
          <w:p w14:paraId="71841565"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20</w:t>
            </w:r>
          </w:p>
        </w:tc>
        <w:tc>
          <w:tcPr>
            <w:tcW w:w="1235" w:type="dxa"/>
          </w:tcPr>
          <w:p w14:paraId="7335AFBC"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32</w:t>
            </w:r>
          </w:p>
        </w:tc>
        <w:tc>
          <w:tcPr>
            <w:tcW w:w="1103" w:type="dxa"/>
          </w:tcPr>
          <w:p w14:paraId="6DA3BCCD"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20</w:t>
            </w:r>
          </w:p>
        </w:tc>
      </w:tr>
      <w:tr w:rsidR="003F4354" w:rsidRPr="00837FC8" w14:paraId="23CAA7C9" w14:textId="77777777" w:rsidTr="00407F8B">
        <w:tc>
          <w:tcPr>
            <w:cnfStyle w:val="001000000000" w:firstRow="0" w:lastRow="0" w:firstColumn="1" w:lastColumn="0" w:oddVBand="0" w:evenVBand="0" w:oddHBand="0" w:evenHBand="0" w:firstRowFirstColumn="0" w:firstRowLastColumn="0" w:lastRowFirstColumn="0" w:lastRowLastColumn="0"/>
            <w:tcW w:w="2002" w:type="dxa"/>
          </w:tcPr>
          <w:p w14:paraId="2E636442" w14:textId="77777777" w:rsidR="003F4354" w:rsidRPr="00837FC8" w:rsidRDefault="003F4354" w:rsidP="00FF6070">
            <w:pPr>
              <w:pStyle w:val="TableTextLeftBold"/>
            </w:pPr>
            <w:r w:rsidRPr="00837FC8">
              <w:t>2030</w:t>
            </w:r>
          </w:p>
        </w:tc>
        <w:tc>
          <w:tcPr>
            <w:tcW w:w="1235" w:type="dxa"/>
          </w:tcPr>
          <w:p w14:paraId="3609FB90"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165</w:t>
            </w:r>
          </w:p>
        </w:tc>
        <w:tc>
          <w:tcPr>
            <w:tcW w:w="1103" w:type="dxa"/>
          </w:tcPr>
          <w:p w14:paraId="38049702"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32</w:t>
            </w:r>
          </w:p>
        </w:tc>
        <w:tc>
          <w:tcPr>
            <w:tcW w:w="1235" w:type="dxa"/>
          </w:tcPr>
          <w:p w14:paraId="2321FD72"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151</w:t>
            </w:r>
          </w:p>
        </w:tc>
        <w:tc>
          <w:tcPr>
            <w:tcW w:w="1655" w:type="dxa"/>
          </w:tcPr>
          <w:p w14:paraId="6A04D075"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32</w:t>
            </w:r>
          </w:p>
        </w:tc>
        <w:tc>
          <w:tcPr>
            <w:tcW w:w="1235" w:type="dxa"/>
          </w:tcPr>
          <w:p w14:paraId="55BE14BC"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71</w:t>
            </w:r>
          </w:p>
        </w:tc>
        <w:tc>
          <w:tcPr>
            <w:tcW w:w="1103" w:type="dxa"/>
          </w:tcPr>
          <w:p w14:paraId="782E5047"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32</w:t>
            </w:r>
          </w:p>
        </w:tc>
      </w:tr>
    </w:tbl>
    <w:p w14:paraId="30938464" w14:textId="77777777" w:rsidR="003F4354" w:rsidRPr="00837FC8" w:rsidRDefault="003F4354" w:rsidP="003F4354"/>
    <w:p w14:paraId="264AB6EA" w14:textId="6A8FA94B" w:rsidR="003F4354" w:rsidRPr="00837FC8" w:rsidRDefault="003F4354" w:rsidP="00FF6070">
      <w:pPr>
        <w:pStyle w:val="Caption"/>
      </w:pPr>
      <w:bookmarkStart w:id="103" w:name="_Ref117677307"/>
      <w:r w:rsidRPr="00160107">
        <w:rPr>
          <w:bCs/>
        </w:rPr>
        <w:t xml:space="preserve">Table </w:t>
      </w:r>
      <w:r w:rsidRPr="00160107">
        <w:rPr>
          <w:bCs/>
        </w:rPr>
        <w:fldChar w:fldCharType="begin"/>
      </w:r>
      <w:r w:rsidRPr="00160107">
        <w:rPr>
          <w:bCs/>
        </w:rPr>
        <w:instrText xml:space="preserve"> SEQ Table \* ARABIC </w:instrText>
      </w:r>
      <w:r w:rsidRPr="00160107">
        <w:rPr>
          <w:bCs/>
        </w:rPr>
        <w:fldChar w:fldCharType="separate"/>
      </w:r>
      <w:r w:rsidR="000154C7">
        <w:rPr>
          <w:bCs/>
          <w:noProof/>
        </w:rPr>
        <w:t>10</w:t>
      </w:r>
      <w:r w:rsidRPr="00160107">
        <w:rPr>
          <w:bCs/>
          <w:noProof/>
        </w:rPr>
        <w:fldChar w:fldCharType="end"/>
      </w:r>
      <w:bookmarkEnd w:id="103"/>
      <w:r w:rsidRPr="00837FC8">
        <w:t xml:space="preserve"> Weighted average transport distances for sand and gravel</w:t>
      </w:r>
    </w:p>
    <w:tbl>
      <w:tblPr>
        <w:tblStyle w:val="TableGrid"/>
        <w:tblW w:w="9498" w:type="dxa"/>
        <w:tblLook w:val="04A0" w:firstRow="1" w:lastRow="0" w:firstColumn="1" w:lastColumn="0" w:noHBand="0" w:noVBand="1"/>
      </w:tblPr>
      <w:tblGrid>
        <w:gridCol w:w="1950"/>
        <w:gridCol w:w="1232"/>
        <w:gridCol w:w="1169"/>
        <w:gridCol w:w="1322"/>
        <w:gridCol w:w="1487"/>
        <w:gridCol w:w="1322"/>
        <w:gridCol w:w="1016"/>
      </w:tblGrid>
      <w:tr w:rsidR="003F4354" w:rsidRPr="00837FC8" w14:paraId="62A187DB" w14:textId="77777777" w:rsidTr="00407F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tcPr>
          <w:p w14:paraId="1B57E688" w14:textId="77777777" w:rsidR="003F4354" w:rsidRPr="00837FC8" w:rsidRDefault="003F4354" w:rsidP="00FF6070">
            <w:pPr>
              <w:pStyle w:val="TableHeadingLeft"/>
            </w:pPr>
            <w:r w:rsidRPr="00837FC8">
              <w:t>Sand and gravel</w:t>
            </w:r>
          </w:p>
        </w:tc>
        <w:tc>
          <w:tcPr>
            <w:tcW w:w="2410" w:type="dxa"/>
            <w:gridSpan w:val="2"/>
          </w:tcPr>
          <w:p w14:paraId="1633B9BD"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Low</w:t>
            </w:r>
            <w:r>
              <w:t xml:space="preserve"> replenishment</w:t>
            </w:r>
            <w:r w:rsidRPr="00837FC8">
              <w:t xml:space="preserve">  scenario</w:t>
            </w:r>
          </w:p>
        </w:tc>
        <w:tc>
          <w:tcPr>
            <w:tcW w:w="2835" w:type="dxa"/>
            <w:gridSpan w:val="2"/>
          </w:tcPr>
          <w:p w14:paraId="59694254"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 xml:space="preserve">Medium </w:t>
            </w:r>
            <w:r>
              <w:t xml:space="preserve">replenishment </w:t>
            </w:r>
            <w:r w:rsidRPr="00837FC8">
              <w:t>scenario</w:t>
            </w:r>
          </w:p>
        </w:tc>
        <w:tc>
          <w:tcPr>
            <w:tcW w:w="2268" w:type="dxa"/>
            <w:gridSpan w:val="2"/>
          </w:tcPr>
          <w:p w14:paraId="362272F9"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 xml:space="preserve">High </w:t>
            </w:r>
            <w:r>
              <w:t xml:space="preserve">replenishment </w:t>
            </w:r>
            <w:r w:rsidRPr="00837FC8">
              <w:t>scenario</w:t>
            </w:r>
          </w:p>
        </w:tc>
      </w:tr>
      <w:tr w:rsidR="003F4354" w:rsidRPr="00837FC8" w14:paraId="40FB05A7" w14:textId="77777777" w:rsidTr="00407F8B">
        <w:tc>
          <w:tcPr>
            <w:cnfStyle w:val="001000000000" w:firstRow="0" w:lastRow="0" w:firstColumn="1" w:lastColumn="0" w:oddVBand="0" w:evenVBand="0" w:oddHBand="0" w:evenHBand="0" w:firstRowFirstColumn="0" w:firstRowLastColumn="0" w:lastRowFirstColumn="0" w:lastRowLastColumn="0"/>
            <w:tcW w:w="1985" w:type="dxa"/>
          </w:tcPr>
          <w:p w14:paraId="69E5CEBF" w14:textId="77777777" w:rsidR="003F4354" w:rsidRPr="00FF6070" w:rsidRDefault="003F4354" w:rsidP="00FF6070">
            <w:pPr>
              <w:pStyle w:val="TableTextLeftBold"/>
            </w:pPr>
            <w:r w:rsidRPr="00FF6070">
              <w:t>Average transport distance (km)</w:t>
            </w:r>
          </w:p>
        </w:tc>
        <w:tc>
          <w:tcPr>
            <w:tcW w:w="1235" w:type="dxa"/>
          </w:tcPr>
          <w:p w14:paraId="30396EB2"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Greater Melbourne</w:t>
            </w:r>
          </w:p>
        </w:tc>
        <w:tc>
          <w:tcPr>
            <w:tcW w:w="1175" w:type="dxa"/>
          </w:tcPr>
          <w:p w14:paraId="26587F6D"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Regional Victoria</w:t>
            </w:r>
          </w:p>
        </w:tc>
        <w:tc>
          <w:tcPr>
            <w:tcW w:w="1328" w:type="dxa"/>
          </w:tcPr>
          <w:p w14:paraId="2C1D4D7E"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Greater Melbourne</w:t>
            </w:r>
          </w:p>
        </w:tc>
        <w:tc>
          <w:tcPr>
            <w:tcW w:w="1507" w:type="dxa"/>
          </w:tcPr>
          <w:p w14:paraId="7B32ACE4"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Regional Victoria</w:t>
            </w:r>
          </w:p>
        </w:tc>
        <w:tc>
          <w:tcPr>
            <w:tcW w:w="1328" w:type="dxa"/>
          </w:tcPr>
          <w:p w14:paraId="621FAA07"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Greater Melbourne</w:t>
            </w:r>
          </w:p>
        </w:tc>
        <w:tc>
          <w:tcPr>
            <w:tcW w:w="940" w:type="dxa"/>
          </w:tcPr>
          <w:p w14:paraId="73CAAA7A"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Regional Victoria</w:t>
            </w:r>
          </w:p>
        </w:tc>
      </w:tr>
      <w:tr w:rsidR="003F4354" w:rsidRPr="00837FC8" w14:paraId="76B8F97F" w14:textId="77777777" w:rsidTr="00407F8B">
        <w:tc>
          <w:tcPr>
            <w:cnfStyle w:val="001000000000" w:firstRow="0" w:lastRow="0" w:firstColumn="1" w:lastColumn="0" w:oddVBand="0" w:evenVBand="0" w:oddHBand="0" w:evenHBand="0" w:firstRowFirstColumn="0" w:firstRowLastColumn="0" w:lastRowFirstColumn="0" w:lastRowLastColumn="0"/>
            <w:tcW w:w="1985" w:type="dxa"/>
          </w:tcPr>
          <w:p w14:paraId="7914B0E8" w14:textId="77777777" w:rsidR="003F4354" w:rsidRPr="00FF6070" w:rsidRDefault="003F4354" w:rsidP="00FF6070">
            <w:pPr>
              <w:pStyle w:val="TableTextLeftBold"/>
            </w:pPr>
            <w:r w:rsidRPr="00FF6070">
              <w:t>2022</w:t>
            </w:r>
          </w:p>
        </w:tc>
        <w:tc>
          <w:tcPr>
            <w:tcW w:w="1235" w:type="dxa"/>
          </w:tcPr>
          <w:p w14:paraId="29D39AEF"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62</w:t>
            </w:r>
          </w:p>
        </w:tc>
        <w:tc>
          <w:tcPr>
            <w:tcW w:w="1175" w:type="dxa"/>
          </w:tcPr>
          <w:p w14:paraId="35EB96F8"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20</w:t>
            </w:r>
          </w:p>
        </w:tc>
        <w:tc>
          <w:tcPr>
            <w:tcW w:w="1328" w:type="dxa"/>
          </w:tcPr>
          <w:p w14:paraId="2A0B8143"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62</w:t>
            </w:r>
          </w:p>
        </w:tc>
        <w:tc>
          <w:tcPr>
            <w:tcW w:w="1507" w:type="dxa"/>
          </w:tcPr>
          <w:p w14:paraId="166AA0AA"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20</w:t>
            </w:r>
          </w:p>
        </w:tc>
        <w:tc>
          <w:tcPr>
            <w:tcW w:w="1328" w:type="dxa"/>
          </w:tcPr>
          <w:p w14:paraId="13A24B83"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62</w:t>
            </w:r>
          </w:p>
        </w:tc>
        <w:tc>
          <w:tcPr>
            <w:tcW w:w="940" w:type="dxa"/>
          </w:tcPr>
          <w:p w14:paraId="5437AB71"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20</w:t>
            </w:r>
          </w:p>
        </w:tc>
      </w:tr>
      <w:tr w:rsidR="003F4354" w:rsidRPr="00837FC8" w14:paraId="31E8FDAA" w14:textId="77777777" w:rsidTr="00407F8B">
        <w:tc>
          <w:tcPr>
            <w:cnfStyle w:val="001000000000" w:firstRow="0" w:lastRow="0" w:firstColumn="1" w:lastColumn="0" w:oddVBand="0" w:evenVBand="0" w:oddHBand="0" w:evenHBand="0" w:firstRowFirstColumn="0" w:firstRowLastColumn="0" w:lastRowFirstColumn="0" w:lastRowLastColumn="0"/>
            <w:tcW w:w="1985" w:type="dxa"/>
          </w:tcPr>
          <w:p w14:paraId="3148691C" w14:textId="77777777" w:rsidR="003F4354" w:rsidRPr="00FF6070" w:rsidRDefault="003F4354" w:rsidP="00FF6070">
            <w:pPr>
              <w:pStyle w:val="TableTextLeftBold"/>
            </w:pPr>
            <w:r w:rsidRPr="00FF6070">
              <w:t>2030</w:t>
            </w:r>
          </w:p>
        </w:tc>
        <w:tc>
          <w:tcPr>
            <w:tcW w:w="1235" w:type="dxa"/>
          </w:tcPr>
          <w:p w14:paraId="41F52745"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209</w:t>
            </w:r>
          </w:p>
        </w:tc>
        <w:tc>
          <w:tcPr>
            <w:tcW w:w="1175" w:type="dxa"/>
          </w:tcPr>
          <w:p w14:paraId="74F06292"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63</w:t>
            </w:r>
          </w:p>
        </w:tc>
        <w:tc>
          <w:tcPr>
            <w:tcW w:w="1328" w:type="dxa"/>
          </w:tcPr>
          <w:p w14:paraId="45027971"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183</w:t>
            </w:r>
          </w:p>
        </w:tc>
        <w:tc>
          <w:tcPr>
            <w:tcW w:w="1507" w:type="dxa"/>
          </w:tcPr>
          <w:p w14:paraId="0AF9CE61"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63</w:t>
            </w:r>
          </w:p>
        </w:tc>
        <w:tc>
          <w:tcPr>
            <w:tcW w:w="1328" w:type="dxa"/>
          </w:tcPr>
          <w:p w14:paraId="2C6F090D"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138</w:t>
            </w:r>
          </w:p>
        </w:tc>
        <w:tc>
          <w:tcPr>
            <w:tcW w:w="940" w:type="dxa"/>
          </w:tcPr>
          <w:p w14:paraId="3ABAF8D6" w14:textId="77777777" w:rsidR="003F4354" w:rsidRPr="00FF6070"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FF6070">
              <w:t>63</w:t>
            </w:r>
          </w:p>
        </w:tc>
      </w:tr>
    </w:tbl>
    <w:p w14:paraId="7708CB4F" w14:textId="77777777" w:rsidR="003F4354" w:rsidRDefault="003F4354" w:rsidP="003F4354"/>
    <w:p w14:paraId="0BD0CFE4" w14:textId="4A9742D1" w:rsidR="003F4354" w:rsidRDefault="003F4354" w:rsidP="003F4354">
      <w:r w:rsidRPr="00160107">
        <w:t xml:space="preserve">To demonstrate the </w:t>
      </w:r>
      <w:r>
        <w:t>regional capability of the model, the a</w:t>
      </w:r>
      <w:r w:rsidRPr="004C6752">
        <w:t>verage transport distances for hard rock under the medium supply replenishment scenario</w:t>
      </w:r>
      <w:r>
        <w:t xml:space="preserve">, in 2022 and then again in 2030 are illustrated via maps </w:t>
      </w:r>
      <w:r w:rsidRPr="00EE1210">
        <w:t xml:space="preserve">in </w:t>
      </w:r>
      <w:r w:rsidRPr="006F42F1">
        <w:t>Figures 1</w:t>
      </w:r>
      <w:r w:rsidR="00814C9B">
        <w:t>5</w:t>
      </w:r>
      <w:r w:rsidRPr="00EE1210">
        <w:t xml:space="preserve"> and </w:t>
      </w:r>
      <w:r w:rsidRPr="006F42F1">
        <w:t>1</w:t>
      </w:r>
      <w:r w:rsidR="00814C9B">
        <w:t>6</w:t>
      </w:r>
      <w:r w:rsidRPr="00EE1210">
        <w:t xml:space="preserve"> respectively. The average transport distances for sand and gravel under the medium supply replenishment scenario, in 2022 and then again in 2030 are illustrated via maps in </w:t>
      </w:r>
      <w:r w:rsidRPr="006F42F1">
        <w:t>Figures 1</w:t>
      </w:r>
      <w:r w:rsidR="00814C9B">
        <w:t>7</w:t>
      </w:r>
      <w:r w:rsidRPr="00EE1210">
        <w:t xml:space="preserve"> and </w:t>
      </w:r>
      <w:r w:rsidRPr="006F42F1">
        <w:t>1</w:t>
      </w:r>
      <w:r w:rsidR="00814C9B">
        <w:t>8</w:t>
      </w:r>
      <w:r w:rsidRPr="00EE1210">
        <w:t xml:space="preserve"> </w:t>
      </w:r>
      <w:r w:rsidRPr="00EE1210">
        <w:lastRenderedPageBreak/>
        <w:t>respectively. These figures show average transport distances for materials</w:t>
      </w:r>
      <w:r w:rsidRPr="00EE1210" w:rsidDel="00295CD7">
        <w:t xml:space="preserve"> </w:t>
      </w:r>
      <w:r w:rsidRPr="00EE1210">
        <w:t xml:space="preserve">to construction projects in Victoria’s LGAs, under the </w:t>
      </w:r>
      <w:r>
        <w:t>medium-risk</w:t>
      </w:r>
      <w:r w:rsidRPr="00EE1210">
        <w:t xml:space="preserve"> supply scenario.</w:t>
      </w:r>
    </w:p>
    <w:p w14:paraId="53DDEC38" w14:textId="6F71AC16" w:rsidR="003F4354" w:rsidRDefault="003F4354" w:rsidP="003F4354">
      <w:r w:rsidRPr="006F42F1">
        <w:t xml:space="preserve">Figures </w:t>
      </w:r>
      <w:r w:rsidR="00814C9B">
        <w:t>15-18</w:t>
      </w:r>
      <w:r w:rsidRPr="00EE1210">
        <w:t xml:space="preserve"> are useful for</w:t>
      </w:r>
      <w:r>
        <w:t xml:space="preserve"> visualising the differential impacts on transport distances for different regions and they demonstrate the potential of this model for undertaking such analysis. For example, the </w:t>
      </w:r>
      <w:r w:rsidRPr="00837FC8">
        <w:t>LGAs within Greater Melbourne compete for hard rock, sand and gravel. Areas north of Melbourne are at a disadvantage in obtaining sand and gravel as most of the state’s supply is close to Port Phillip Bay. Areas such as Mildura and Swan Hill in the state’s north are likely to access extractive materials from interstate.</w:t>
      </w:r>
    </w:p>
    <w:p w14:paraId="33BEE1B1" w14:textId="77777777" w:rsidR="001A7EF2" w:rsidRDefault="003F4354" w:rsidP="001A7EF2">
      <w:r>
        <w:t>While the results are indicative, when assumptions are made that m</w:t>
      </w:r>
      <w:r w:rsidRPr="00837FC8">
        <w:t>any work authorities with significant resources or large production capacities are leaving the market as their reserves become depleted</w:t>
      </w:r>
      <w:r>
        <w:t xml:space="preserve">, </w:t>
      </w:r>
      <w:r w:rsidRPr="00837FC8">
        <w:t>increased transport distances for LGAs</w:t>
      </w:r>
      <w:r>
        <w:t xml:space="preserve"> are observed, </w:t>
      </w:r>
      <w:r w:rsidRPr="00837FC8">
        <w:t>particularly those in Greater Melbourne.</w:t>
      </w:r>
    </w:p>
    <w:p w14:paraId="09146E32" w14:textId="77777777" w:rsidR="001A7EF2" w:rsidRDefault="001A7EF2" w:rsidP="001A7EF2"/>
    <w:p w14:paraId="10C50A49" w14:textId="77777777" w:rsidR="001A7EF2" w:rsidRDefault="003F4354" w:rsidP="001A7EF2">
      <w:pPr>
        <w:rPr>
          <w:bCs/>
        </w:rPr>
      </w:pPr>
      <w:r w:rsidRPr="00837FC8">
        <w:rPr>
          <w:noProof/>
          <w:lang w:val="en-GB" w:eastAsia="en-GB"/>
        </w:rPr>
        <w:drawing>
          <wp:inline distT="0" distB="0" distL="0" distR="0" wp14:anchorId="709A1218" wp14:editId="51CC4F13">
            <wp:extent cx="5498275" cy="3838700"/>
            <wp:effectExtent l="0" t="0" r="7620" b="0"/>
            <wp:docPr id="28" name="Picture 2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ap&#10;&#10;Description automatically generated"/>
                    <pic:cNvPicPr/>
                  </pic:nvPicPr>
                  <pic:blipFill rotWithShape="1">
                    <a:blip r:embed="rId62" cstate="print">
                      <a:extLst>
                        <a:ext uri="{28A0092B-C50C-407E-A947-70E740481C1C}">
                          <a14:useLocalDpi xmlns:a14="http://schemas.microsoft.com/office/drawing/2010/main" val="0"/>
                        </a:ext>
                      </a:extLst>
                    </a:blip>
                    <a:srcRect l="2107" t="2692" r="2237" b="2469"/>
                    <a:stretch/>
                  </pic:blipFill>
                  <pic:spPr bwMode="auto">
                    <a:xfrm>
                      <a:off x="0" y="0"/>
                      <a:ext cx="5504206" cy="3842841"/>
                    </a:xfrm>
                    <a:prstGeom prst="rect">
                      <a:avLst/>
                    </a:prstGeom>
                    <a:ln>
                      <a:noFill/>
                    </a:ln>
                    <a:extLst>
                      <a:ext uri="{53640926-AAD7-44D8-BBD7-CCE9431645EC}">
                        <a14:shadowObscured xmlns:a14="http://schemas.microsoft.com/office/drawing/2010/main"/>
                      </a:ext>
                    </a:extLst>
                  </pic:spPr>
                </pic:pic>
              </a:graphicData>
            </a:graphic>
          </wp:inline>
        </w:drawing>
      </w:r>
    </w:p>
    <w:p w14:paraId="5E00C8AB" w14:textId="6963AF1B" w:rsidR="003F4354" w:rsidRDefault="003F4354" w:rsidP="001A7EF2">
      <w:pPr>
        <w:pStyle w:val="Caption"/>
      </w:pPr>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15</w:t>
      </w:r>
      <w:r w:rsidRPr="00160107">
        <w:rPr>
          <w:bCs/>
          <w:noProof/>
        </w:rPr>
        <w:fldChar w:fldCharType="end"/>
      </w:r>
      <w:r w:rsidRPr="00837FC8">
        <w:t xml:space="preserve"> Average transport distances for hard rock in 2022 </w:t>
      </w:r>
      <w:r>
        <w:t>under the</w:t>
      </w:r>
      <w:r w:rsidRPr="00837FC8">
        <w:t xml:space="preserve"> medium </w:t>
      </w:r>
      <w:r>
        <w:t>supply replenishment scenario</w:t>
      </w:r>
    </w:p>
    <w:p w14:paraId="27B98F07" w14:textId="03BBFDB5" w:rsidR="003F4354" w:rsidRPr="00837FC8" w:rsidRDefault="003F4354" w:rsidP="003F4354">
      <w:pPr>
        <w:keepNext/>
      </w:pPr>
      <w:r w:rsidRPr="00837FC8">
        <w:rPr>
          <w:noProof/>
          <w:lang w:val="en-GB" w:eastAsia="en-GB"/>
        </w:rPr>
        <w:lastRenderedPageBreak/>
        <w:drawing>
          <wp:inline distT="0" distB="0" distL="0" distR="0" wp14:anchorId="78D0BA1B" wp14:editId="1BB3BAE9">
            <wp:extent cx="5521351" cy="3847606"/>
            <wp:effectExtent l="0" t="0" r="3175" b="635"/>
            <wp:docPr id="29" name="Picture 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p&#10;&#10;Description automatically generated"/>
                    <pic:cNvPicPr/>
                  </pic:nvPicPr>
                  <pic:blipFill rotWithShape="1">
                    <a:blip r:embed="rId63" cstate="print">
                      <a:extLst>
                        <a:ext uri="{28A0092B-C50C-407E-A947-70E740481C1C}">
                          <a14:useLocalDpi xmlns:a14="http://schemas.microsoft.com/office/drawing/2010/main" val="0"/>
                        </a:ext>
                      </a:extLst>
                    </a:blip>
                    <a:srcRect l="2072" t="2355" r="1573" b="2292"/>
                    <a:stretch/>
                  </pic:blipFill>
                  <pic:spPr bwMode="auto">
                    <a:xfrm>
                      <a:off x="0" y="0"/>
                      <a:ext cx="5522643" cy="3848506"/>
                    </a:xfrm>
                    <a:prstGeom prst="rect">
                      <a:avLst/>
                    </a:prstGeom>
                    <a:ln>
                      <a:noFill/>
                    </a:ln>
                    <a:extLst>
                      <a:ext uri="{53640926-AAD7-44D8-BBD7-CCE9431645EC}">
                        <a14:shadowObscured xmlns:a14="http://schemas.microsoft.com/office/drawing/2010/main"/>
                      </a:ext>
                    </a:extLst>
                  </pic:spPr>
                </pic:pic>
              </a:graphicData>
            </a:graphic>
          </wp:inline>
        </w:drawing>
      </w:r>
    </w:p>
    <w:p w14:paraId="480D900C" w14:textId="2310BDFA" w:rsidR="003F4354" w:rsidRDefault="003F4354" w:rsidP="00FF6070">
      <w:pPr>
        <w:pStyle w:val="Caption"/>
      </w:pPr>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16</w:t>
      </w:r>
      <w:r w:rsidRPr="00160107">
        <w:rPr>
          <w:bCs/>
          <w:noProof/>
        </w:rPr>
        <w:fldChar w:fldCharType="end"/>
      </w:r>
      <w:r w:rsidRPr="00837FC8">
        <w:t xml:space="preserve"> Average transport distances for hard rock in 2030 </w:t>
      </w:r>
      <w:r>
        <w:t xml:space="preserve">under the </w:t>
      </w:r>
      <w:r w:rsidRPr="00837FC8">
        <w:t xml:space="preserve">medium </w:t>
      </w:r>
      <w:r>
        <w:t>supply replenishment scenario</w:t>
      </w:r>
    </w:p>
    <w:p w14:paraId="55ABBECE" w14:textId="5F1F1FA3" w:rsidR="003F4354" w:rsidRPr="00837FC8" w:rsidRDefault="003F4354" w:rsidP="003F4354">
      <w:pPr>
        <w:keepNext/>
      </w:pPr>
      <w:r>
        <w:rPr>
          <w:noProof/>
          <w:lang w:val="en-GB" w:eastAsia="en-GB"/>
        </w:rPr>
        <w:drawing>
          <wp:inline distT="0" distB="0" distL="0" distR="0" wp14:anchorId="30B3E803" wp14:editId="3B2A4EB0">
            <wp:extent cx="5557520" cy="3887435"/>
            <wp:effectExtent l="0" t="0" r="5080" b="0"/>
            <wp:docPr id="1968299701" name="Picture 196829970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rotWithShape="1">
                    <a:blip r:embed="rId64">
                      <a:extLst>
                        <a:ext uri="{28A0092B-C50C-407E-A947-70E740481C1C}">
                          <a14:useLocalDpi xmlns:a14="http://schemas.microsoft.com/office/drawing/2010/main" val="0"/>
                        </a:ext>
                      </a:extLst>
                    </a:blip>
                    <a:srcRect l="2072" t="2061" r="1365" b="2021"/>
                    <a:stretch/>
                  </pic:blipFill>
                  <pic:spPr bwMode="auto">
                    <a:xfrm>
                      <a:off x="0" y="0"/>
                      <a:ext cx="5564686" cy="3892448"/>
                    </a:xfrm>
                    <a:prstGeom prst="rect">
                      <a:avLst/>
                    </a:prstGeom>
                    <a:ln>
                      <a:noFill/>
                    </a:ln>
                    <a:extLst>
                      <a:ext uri="{53640926-AAD7-44D8-BBD7-CCE9431645EC}">
                        <a14:shadowObscured xmlns:a14="http://schemas.microsoft.com/office/drawing/2010/main"/>
                      </a:ext>
                    </a:extLst>
                  </pic:spPr>
                </pic:pic>
              </a:graphicData>
            </a:graphic>
          </wp:inline>
        </w:drawing>
      </w:r>
    </w:p>
    <w:p w14:paraId="38C3BCA7" w14:textId="06A7FB63" w:rsidR="003F4354" w:rsidRPr="00837FC8" w:rsidRDefault="003F4354" w:rsidP="00FF6070">
      <w:pPr>
        <w:pStyle w:val="Caption"/>
      </w:pPr>
      <w:r w:rsidRPr="00160107">
        <w:rPr>
          <w:bCs/>
        </w:rPr>
        <w:t xml:space="preserve">Figure </w:t>
      </w:r>
      <w:fldSimple w:instr=" SEQ Figure \* ARABIC ">
        <w:r w:rsidR="000154C7">
          <w:rPr>
            <w:noProof/>
          </w:rPr>
          <w:t>17</w:t>
        </w:r>
      </w:fldSimple>
      <w:r w:rsidRPr="00837FC8">
        <w:t xml:space="preserve"> Average transport distances for sand and gravel in 20</w:t>
      </w:r>
      <w:r>
        <w:t>22</w:t>
      </w:r>
      <w:r w:rsidRPr="00837FC8">
        <w:t xml:space="preserve"> </w:t>
      </w:r>
      <w:r>
        <w:t xml:space="preserve">under the </w:t>
      </w:r>
      <w:r w:rsidRPr="00837FC8">
        <w:t xml:space="preserve">medium </w:t>
      </w:r>
      <w:r>
        <w:t>supply replenishment scenario</w:t>
      </w:r>
    </w:p>
    <w:p w14:paraId="48292803" w14:textId="77777777" w:rsidR="003F4354" w:rsidRPr="00837FC8" w:rsidRDefault="003F4354" w:rsidP="00FF6070">
      <w:pPr>
        <w:pStyle w:val="Caption"/>
      </w:pPr>
      <w:r>
        <w:rPr>
          <w:noProof/>
          <w:lang w:val="en-GB" w:eastAsia="en-GB"/>
        </w:rPr>
        <w:lastRenderedPageBreak/>
        <w:drawing>
          <wp:inline distT="0" distB="0" distL="0" distR="0" wp14:anchorId="0D18DFB1" wp14:editId="45DD3FB3">
            <wp:extent cx="5557652" cy="3847267"/>
            <wp:effectExtent l="0" t="0" r="5080" b="1270"/>
            <wp:docPr id="1269907229" name="Picture 126990722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rotWithShape="1">
                    <a:blip r:embed="rId65">
                      <a:extLst>
                        <a:ext uri="{28A0092B-C50C-407E-A947-70E740481C1C}">
                          <a14:useLocalDpi xmlns:a14="http://schemas.microsoft.com/office/drawing/2010/main" val="0"/>
                        </a:ext>
                      </a:extLst>
                    </a:blip>
                    <a:srcRect l="1451" t="2648" r="1575" b="2021"/>
                    <a:stretch/>
                  </pic:blipFill>
                  <pic:spPr bwMode="auto">
                    <a:xfrm>
                      <a:off x="0" y="0"/>
                      <a:ext cx="5558127" cy="3847596"/>
                    </a:xfrm>
                    <a:prstGeom prst="rect">
                      <a:avLst/>
                    </a:prstGeom>
                    <a:ln>
                      <a:noFill/>
                    </a:ln>
                    <a:extLst>
                      <a:ext uri="{53640926-AAD7-44D8-BBD7-CCE9431645EC}">
                        <a14:shadowObscured xmlns:a14="http://schemas.microsoft.com/office/drawing/2010/main"/>
                      </a:ext>
                    </a:extLst>
                  </pic:spPr>
                </pic:pic>
              </a:graphicData>
            </a:graphic>
          </wp:inline>
        </w:drawing>
      </w:r>
    </w:p>
    <w:p w14:paraId="6DF0D0A8" w14:textId="12E17080" w:rsidR="003F4354" w:rsidRPr="00837FC8" w:rsidRDefault="003F4354" w:rsidP="00FF6070">
      <w:pPr>
        <w:pStyle w:val="Caption"/>
      </w:pPr>
      <w:r w:rsidRPr="00160107">
        <w:rPr>
          <w:bCs/>
        </w:rPr>
        <w:t xml:space="preserve">Figure </w:t>
      </w:r>
      <w:fldSimple w:instr=" SEQ Figure \* ARABIC ">
        <w:r w:rsidR="000154C7">
          <w:rPr>
            <w:noProof/>
          </w:rPr>
          <w:t>18</w:t>
        </w:r>
      </w:fldSimple>
      <w:r w:rsidRPr="00837FC8">
        <w:t xml:space="preserve"> Average transport distances for sand and gravel in 2030 </w:t>
      </w:r>
      <w:r>
        <w:t xml:space="preserve">under the </w:t>
      </w:r>
      <w:r w:rsidRPr="00837FC8">
        <w:t xml:space="preserve">medium </w:t>
      </w:r>
      <w:r>
        <w:t>supply replenishment scenario</w:t>
      </w:r>
    </w:p>
    <w:p w14:paraId="23D55F1F" w14:textId="77777777" w:rsidR="003F4354" w:rsidRDefault="003F4354" w:rsidP="003F4354">
      <w:pPr>
        <w:pStyle w:val="Heading2"/>
      </w:pPr>
      <w:bookmarkStart w:id="104" w:name="_Toc130274691"/>
      <w:bookmarkStart w:id="105" w:name="_Toc137567807"/>
      <w:r w:rsidRPr="00837FC8">
        <w:t xml:space="preserve">4.3 Impact of </w:t>
      </w:r>
      <w:r>
        <w:t xml:space="preserve">supply and </w:t>
      </w:r>
      <w:r w:rsidRPr="00837FC8">
        <w:t>demand on costs</w:t>
      </w:r>
      <w:bookmarkEnd w:id="104"/>
      <w:bookmarkEnd w:id="105"/>
    </w:p>
    <w:p w14:paraId="10F0F3A6" w14:textId="6B42AFE3" w:rsidR="003F4354" w:rsidRDefault="003F4354" w:rsidP="003F4354">
      <w:r w:rsidRPr="63D3B3AC">
        <w:t xml:space="preserve">The proportion of extractive materials in construction projects heavily </w:t>
      </w:r>
      <w:r>
        <w:t>depends</w:t>
      </w:r>
      <w:r w:rsidRPr="63D3B3AC">
        <w:t xml:space="preserve"> on the structure and design of the building and the type of extractive material needed. The estimates in </w:t>
      </w:r>
      <w:r w:rsidRPr="006F42F1">
        <w:fldChar w:fldCharType="begin"/>
      </w:r>
      <w:r w:rsidRPr="006F42F1">
        <w:instrText xml:space="preserve"> REF _Ref117677612 \h  \* MERGEFORMAT </w:instrText>
      </w:r>
      <w:r w:rsidRPr="006F42F1">
        <w:fldChar w:fldCharType="separate"/>
      </w:r>
      <w:r w:rsidR="000154C7" w:rsidRPr="000154C7">
        <w:t xml:space="preserve">Table </w:t>
      </w:r>
      <w:r w:rsidR="000154C7" w:rsidRPr="000154C7">
        <w:rPr>
          <w:noProof/>
        </w:rPr>
        <w:t>11</w:t>
      </w:r>
      <w:r w:rsidRPr="006F42F1">
        <w:fldChar w:fldCharType="end"/>
      </w:r>
      <w:r w:rsidRPr="63D3B3AC">
        <w:t xml:space="preserve"> show the percentage of a project’s cost associated with </w:t>
      </w:r>
      <w:r>
        <w:t>extractive resources</w:t>
      </w:r>
      <w:r w:rsidRPr="63D3B3AC">
        <w:t>.</w:t>
      </w:r>
    </w:p>
    <w:p w14:paraId="0DFB47E1" w14:textId="5FD80C73" w:rsidR="003F4354" w:rsidRPr="00837FC8" w:rsidRDefault="003F4354" w:rsidP="00FF6070">
      <w:pPr>
        <w:pStyle w:val="Caption"/>
      </w:pPr>
      <w:bookmarkStart w:id="106" w:name="_Ref117677612"/>
      <w:r w:rsidRPr="00160107">
        <w:rPr>
          <w:bCs/>
        </w:rPr>
        <w:t xml:space="preserve">Table </w:t>
      </w:r>
      <w:r w:rsidRPr="00160107">
        <w:rPr>
          <w:bCs/>
        </w:rPr>
        <w:fldChar w:fldCharType="begin"/>
      </w:r>
      <w:r w:rsidRPr="00160107">
        <w:rPr>
          <w:bCs/>
        </w:rPr>
        <w:instrText xml:space="preserve"> SEQ Table \* ARABIC </w:instrText>
      </w:r>
      <w:r w:rsidRPr="00160107">
        <w:rPr>
          <w:bCs/>
        </w:rPr>
        <w:fldChar w:fldCharType="separate"/>
      </w:r>
      <w:r w:rsidR="000154C7">
        <w:rPr>
          <w:bCs/>
          <w:noProof/>
        </w:rPr>
        <w:t>11</w:t>
      </w:r>
      <w:r w:rsidRPr="00160107">
        <w:rPr>
          <w:bCs/>
          <w:noProof/>
        </w:rPr>
        <w:fldChar w:fldCharType="end"/>
      </w:r>
      <w:bookmarkEnd w:id="106"/>
      <w:r w:rsidRPr="00837FC8">
        <w:t xml:space="preserve"> Share of extractive-based construction materials as a percentage share of total building material costs</w:t>
      </w:r>
    </w:p>
    <w:tbl>
      <w:tblPr>
        <w:tblStyle w:val="TableGrid"/>
        <w:tblW w:w="0" w:type="auto"/>
        <w:tblLook w:val="04A0" w:firstRow="1" w:lastRow="0" w:firstColumn="1" w:lastColumn="0" w:noHBand="0" w:noVBand="1"/>
      </w:tblPr>
      <w:tblGrid>
        <w:gridCol w:w="3261"/>
        <w:gridCol w:w="3430"/>
      </w:tblGrid>
      <w:tr w:rsidR="003F4354" w:rsidRPr="00837FC8" w14:paraId="2D4D13C9" w14:textId="77777777" w:rsidTr="00A012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61" w:type="dxa"/>
          </w:tcPr>
          <w:p w14:paraId="7C01420D" w14:textId="77777777" w:rsidR="003F4354" w:rsidRPr="00837FC8" w:rsidRDefault="003F4354" w:rsidP="00FF6070">
            <w:pPr>
              <w:pStyle w:val="TableHeadingLeft"/>
            </w:pPr>
            <w:r w:rsidRPr="00837FC8">
              <w:t>Project type</w:t>
            </w:r>
          </w:p>
        </w:tc>
        <w:tc>
          <w:tcPr>
            <w:tcW w:w="3430" w:type="dxa"/>
          </w:tcPr>
          <w:p w14:paraId="574FD938"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Percentage range (</w:t>
            </w:r>
            <w:r>
              <w:t xml:space="preserve">% </w:t>
            </w:r>
            <w:r w:rsidRPr="00837FC8">
              <w:t>estimate)</w:t>
            </w:r>
          </w:p>
        </w:tc>
      </w:tr>
      <w:tr w:rsidR="003F4354" w:rsidRPr="00837FC8" w14:paraId="0DCAD525" w14:textId="77777777" w:rsidTr="00A0129A">
        <w:tc>
          <w:tcPr>
            <w:cnfStyle w:val="001000000000" w:firstRow="0" w:lastRow="0" w:firstColumn="1" w:lastColumn="0" w:oddVBand="0" w:evenVBand="0" w:oddHBand="0" w:evenHBand="0" w:firstRowFirstColumn="0" w:firstRowLastColumn="0" w:lastRowFirstColumn="0" w:lastRowLastColumn="0"/>
            <w:tcW w:w="3261" w:type="dxa"/>
          </w:tcPr>
          <w:p w14:paraId="00FCC2B7" w14:textId="77777777" w:rsidR="003F4354" w:rsidRPr="00837FC8" w:rsidRDefault="003F4354" w:rsidP="00FF6070">
            <w:pPr>
              <w:pStyle w:val="TableTextLeft"/>
            </w:pPr>
            <w:r w:rsidRPr="00837FC8">
              <w:t>Residential</w:t>
            </w:r>
          </w:p>
        </w:tc>
        <w:tc>
          <w:tcPr>
            <w:tcW w:w="3430" w:type="dxa"/>
          </w:tcPr>
          <w:p w14:paraId="7BC69EE6"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22 - 53</w:t>
            </w:r>
          </w:p>
        </w:tc>
      </w:tr>
      <w:tr w:rsidR="003F4354" w:rsidRPr="00837FC8" w14:paraId="525CCC3B" w14:textId="77777777" w:rsidTr="00A0129A">
        <w:tc>
          <w:tcPr>
            <w:cnfStyle w:val="001000000000" w:firstRow="0" w:lastRow="0" w:firstColumn="1" w:lastColumn="0" w:oddVBand="0" w:evenVBand="0" w:oddHBand="0" w:evenHBand="0" w:firstRowFirstColumn="0" w:firstRowLastColumn="0" w:lastRowFirstColumn="0" w:lastRowLastColumn="0"/>
            <w:tcW w:w="3261" w:type="dxa"/>
          </w:tcPr>
          <w:p w14:paraId="395FA790" w14:textId="77777777" w:rsidR="003F4354" w:rsidRPr="00837FC8" w:rsidRDefault="003F4354" w:rsidP="00FF6070">
            <w:pPr>
              <w:pStyle w:val="TableTextLeft"/>
            </w:pPr>
            <w:r w:rsidRPr="00837FC8">
              <w:t>Non-residential</w:t>
            </w:r>
          </w:p>
        </w:tc>
        <w:tc>
          <w:tcPr>
            <w:tcW w:w="3430" w:type="dxa"/>
          </w:tcPr>
          <w:p w14:paraId="25ABFEDB"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39 - 48</w:t>
            </w:r>
          </w:p>
        </w:tc>
      </w:tr>
      <w:tr w:rsidR="003F4354" w:rsidRPr="00837FC8" w14:paraId="69CC3E05" w14:textId="77777777" w:rsidTr="00A0129A">
        <w:tc>
          <w:tcPr>
            <w:cnfStyle w:val="001000000000" w:firstRow="0" w:lastRow="0" w:firstColumn="1" w:lastColumn="0" w:oddVBand="0" w:evenVBand="0" w:oddHBand="0" w:evenHBand="0" w:firstRowFirstColumn="0" w:firstRowLastColumn="0" w:lastRowFirstColumn="0" w:lastRowLastColumn="0"/>
            <w:tcW w:w="3261" w:type="dxa"/>
          </w:tcPr>
          <w:p w14:paraId="4D13E7DF" w14:textId="77777777" w:rsidR="003F4354" w:rsidRPr="00837FC8" w:rsidRDefault="003F4354" w:rsidP="00FF6070">
            <w:pPr>
              <w:pStyle w:val="TableTextLeft"/>
            </w:pPr>
            <w:r w:rsidRPr="00837FC8">
              <w:t>Transport – Road</w:t>
            </w:r>
          </w:p>
        </w:tc>
        <w:tc>
          <w:tcPr>
            <w:tcW w:w="3430" w:type="dxa"/>
          </w:tcPr>
          <w:p w14:paraId="0FB33A32"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35 - 48</w:t>
            </w:r>
          </w:p>
        </w:tc>
      </w:tr>
      <w:tr w:rsidR="003F4354" w:rsidRPr="00837FC8" w14:paraId="74D32E98" w14:textId="77777777" w:rsidTr="00A0129A">
        <w:tc>
          <w:tcPr>
            <w:cnfStyle w:val="001000000000" w:firstRow="0" w:lastRow="0" w:firstColumn="1" w:lastColumn="0" w:oddVBand="0" w:evenVBand="0" w:oddHBand="0" w:evenHBand="0" w:firstRowFirstColumn="0" w:firstRowLastColumn="0" w:lastRowFirstColumn="0" w:lastRowLastColumn="0"/>
            <w:tcW w:w="3261" w:type="dxa"/>
          </w:tcPr>
          <w:p w14:paraId="5B7425F3" w14:textId="77777777" w:rsidR="003F4354" w:rsidRPr="00837FC8" w:rsidRDefault="003F4354" w:rsidP="00FF6070">
            <w:pPr>
              <w:pStyle w:val="TableTextLeft"/>
            </w:pPr>
            <w:r w:rsidRPr="00837FC8">
              <w:t>Transport – Rail</w:t>
            </w:r>
          </w:p>
        </w:tc>
        <w:tc>
          <w:tcPr>
            <w:tcW w:w="3430" w:type="dxa"/>
          </w:tcPr>
          <w:p w14:paraId="11E0B6D8"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1 - 6</w:t>
            </w:r>
          </w:p>
        </w:tc>
      </w:tr>
      <w:tr w:rsidR="003F4354" w:rsidRPr="00837FC8" w14:paraId="3CDA97AD" w14:textId="77777777" w:rsidTr="00A0129A">
        <w:tc>
          <w:tcPr>
            <w:cnfStyle w:val="001000000000" w:firstRow="0" w:lastRow="0" w:firstColumn="1" w:lastColumn="0" w:oddVBand="0" w:evenVBand="0" w:oddHBand="0" w:evenHBand="0" w:firstRowFirstColumn="0" w:firstRowLastColumn="0" w:lastRowFirstColumn="0" w:lastRowLastColumn="0"/>
            <w:tcW w:w="3261" w:type="dxa"/>
          </w:tcPr>
          <w:p w14:paraId="64AF6AE9" w14:textId="77777777" w:rsidR="003F4354" w:rsidRPr="00837FC8" w:rsidRDefault="003F4354" w:rsidP="00FF6070">
            <w:pPr>
              <w:pStyle w:val="TableTextLeft"/>
            </w:pPr>
            <w:r w:rsidRPr="00837FC8">
              <w:t>Energy &amp; Utilities – Solar Farm</w:t>
            </w:r>
          </w:p>
        </w:tc>
        <w:tc>
          <w:tcPr>
            <w:tcW w:w="3430" w:type="dxa"/>
          </w:tcPr>
          <w:p w14:paraId="38A569DA"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w:t>
            </w:r>
          </w:p>
        </w:tc>
      </w:tr>
      <w:tr w:rsidR="003F4354" w:rsidRPr="00837FC8" w14:paraId="44ABD419" w14:textId="77777777" w:rsidTr="00A0129A">
        <w:tc>
          <w:tcPr>
            <w:cnfStyle w:val="001000000000" w:firstRow="0" w:lastRow="0" w:firstColumn="1" w:lastColumn="0" w:oddVBand="0" w:evenVBand="0" w:oddHBand="0" w:evenHBand="0" w:firstRowFirstColumn="0" w:firstRowLastColumn="0" w:lastRowFirstColumn="0" w:lastRowLastColumn="0"/>
            <w:tcW w:w="3261" w:type="dxa"/>
          </w:tcPr>
          <w:p w14:paraId="28F9ACA1" w14:textId="77777777" w:rsidR="003F4354" w:rsidRPr="00837FC8" w:rsidRDefault="003F4354" w:rsidP="00FF6070">
            <w:pPr>
              <w:pStyle w:val="TableTextLeft"/>
            </w:pPr>
            <w:r w:rsidRPr="00837FC8">
              <w:t>Energy &amp; Utilities – Wind Farm</w:t>
            </w:r>
          </w:p>
        </w:tc>
        <w:tc>
          <w:tcPr>
            <w:tcW w:w="3430" w:type="dxa"/>
          </w:tcPr>
          <w:p w14:paraId="0D605BBB"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3 - 4</w:t>
            </w:r>
          </w:p>
        </w:tc>
      </w:tr>
    </w:tbl>
    <w:p w14:paraId="0EF4A1A5" w14:textId="77777777" w:rsidR="003F4354" w:rsidRPr="00837FC8" w:rsidRDefault="003F4354" w:rsidP="003F4354"/>
    <w:p w14:paraId="0274BB28" w14:textId="77777777" w:rsidR="003F4354" w:rsidRDefault="003F4354" w:rsidP="003F4354">
      <w:r w:rsidRPr="00837FC8">
        <w:t xml:space="preserve">These estimates can help approximate what projects will cost in the near future. Extractive cost increases will lead to increased project costs by 2030. Under the medium supply scenario, transport costs are expected to increase by 70 per cent and 51 per cent for hard rock and sand and gravel, respectively, between 2021-22 to 2029-30. With these increases, a metropolitan Melbourne elevated rail project estimated at $1.4 billion of building materials and $87 million of extractive materials in 2021-22, would have </w:t>
      </w:r>
      <w:r>
        <w:t>extractive resources</w:t>
      </w:r>
      <w:r w:rsidRPr="00837FC8">
        <w:t xml:space="preserve"> costing $112 million in 2029-30.</w:t>
      </w:r>
    </w:p>
    <w:p w14:paraId="586C963A" w14:textId="77777777" w:rsidR="003F4354" w:rsidRDefault="003F4354" w:rsidP="003F4354">
      <w:pPr>
        <w:rPr>
          <w:rFonts w:cstheme="minorHAnsi"/>
        </w:rPr>
      </w:pPr>
      <w:r w:rsidRPr="00837FC8">
        <w:rPr>
          <w:rFonts w:cstheme="minorHAnsi"/>
        </w:rPr>
        <w:t xml:space="preserve">The estimates can also help to predict how the costs of building a house may increase by 2030. If a typical house uses $6,300 of </w:t>
      </w:r>
      <w:r>
        <w:rPr>
          <w:rFonts w:cstheme="minorHAnsi"/>
        </w:rPr>
        <w:t>extractive resources</w:t>
      </w:r>
      <w:r w:rsidRPr="00837FC8">
        <w:rPr>
          <w:rFonts w:cstheme="minorHAnsi"/>
        </w:rPr>
        <w:t xml:space="preserve"> in 2021-22 and the same price impacts for the elevated rail project are applied, the cost of </w:t>
      </w:r>
      <w:r>
        <w:rPr>
          <w:rFonts w:cstheme="minorHAnsi"/>
        </w:rPr>
        <w:t>extractive resources</w:t>
      </w:r>
      <w:r w:rsidRPr="00837FC8">
        <w:rPr>
          <w:rFonts w:cstheme="minorHAnsi"/>
        </w:rPr>
        <w:t xml:space="preserve"> will rise to $7,496. Note, this statement considers only costs of </w:t>
      </w:r>
      <w:r>
        <w:rPr>
          <w:rFonts w:cstheme="minorHAnsi"/>
        </w:rPr>
        <w:t>extractive resources</w:t>
      </w:r>
      <w:r w:rsidRPr="00837FC8">
        <w:rPr>
          <w:rFonts w:cstheme="minorHAnsi"/>
        </w:rPr>
        <w:t>, and doesn’t account for other price rises.</w:t>
      </w:r>
    </w:p>
    <w:p w14:paraId="282AF10C" w14:textId="77777777" w:rsidR="003F4354" w:rsidRDefault="003F4354" w:rsidP="003F4354">
      <w:r w:rsidRPr="00837FC8">
        <w:lastRenderedPageBreak/>
        <w:t xml:space="preserve">Although wind farms are expected to demand high volumes of extractive materials (320,000 tonnes for a 100 turbine facility), this cost is small </w:t>
      </w:r>
      <w:r>
        <w:t>compared</w:t>
      </w:r>
      <w:r w:rsidRPr="00837FC8">
        <w:t xml:space="preserve"> to the other building costs, such as the tower, turbine and turbine blades.</w:t>
      </w:r>
    </w:p>
    <w:p w14:paraId="0306597D" w14:textId="77777777" w:rsidR="003F4354" w:rsidRDefault="003F4354" w:rsidP="003F4354">
      <w:pPr>
        <w:pStyle w:val="Heading2"/>
      </w:pPr>
      <w:bookmarkStart w:id="107" w:name="_Toc130274692"/>
      <w:bookmarkStart w:id="108" w:name="_Toc137567808"/>
      <w:r w:rsidRPr="00837FC8">
        <w:t xml:space="preserve">4.4 </w:t>
      </w:r>
      <w:r>
        <w:t>Conclusions relating to integration analysis</w:t>
      </w:r>
      <w:bookmarkEnd w:id="107"/>
      <w:bookmarkEnd w:id="108"/>
    </w:p>
    <w:p w14:paraId="1670AF36" w14:textId="77777777" w:rsidR="003F4354" w:rsidRDefault="003F4354" w:rsidP="003F4354">
      <w:pPr>
        <w:rPr>
          <w:rFonts w:cstheme="minorHAnsi"/>
        </w:rPr>
      </w:pPr>
      <w:r w:rsidRPr="009C3F64">
        <w:rPr>
          <w:rFonts w:cstheme="minorHAnsi"/>
        </w:rPr>
        <w:t xml:space="preserve">The integration model is a promising tool for Government to use to understand the impacts of various supply demand forecasts on regional </w:t>
      </w:r>
      <w:r w:rsidRPr="009C3F64">
        <w:t>transport distances of extractive resources materials. The model needs further review and testing of its underlying assumptions to ensure that the findings are robust.</w:t>
      </w:r>
    </w:p>
    <w:p w14:paraId="6A2FDC16" w14:textId="77777777" w:rsidR="003F4354" w:rsidRDefault="003F4354" w:rsidP="003F4354">
      <w:pPr>
        <w:rPr>
          <w:rFonts w:cstheme="minorHAnsi"/>
        </w:rPr>
      </w:pPr>
      <w:r w:rsidRPr="009C3F64">
        <w:rPr>
          <w:rFonts w:cstheme="minorHAnsi"/>
        </w:rPr>
        <w:t xml:space="preserve">The model demonstrates that a medium replenishment scenario would lead to a major increase in average transport distances for supply to Melbourne and the regions. In the short-term, additional supply would be needed beyond the assumptions in the medium replenishment scenario to ensure that extractive materials are delivered to Greater Melbourne at an affordable price. </w:t>
      </w:r>
    </w:p>
    <w:p w14:paraId="2F3FE1C6" w14:textId="77777777" w:rsidR="003F4354" w:rsidRDefault="003F4354" w:rsidP="003F4354">
      <w:pPr>
        <w:rPr>
          <w:rFonts w:cstheme="minorHAnsi"/>
        </w:rPr>
      </w:pPr>
      <w:r w:rsidRPr="009C3F64">
        <w:rPr>
          <w:rFonts w:cstheme="minorHAnsi"/>
        </w:rPr>
        <w:t>Actual kilometre distances must be treated as indicative and further work is required to confirm the results. But the outputs still show there is a case for Government to intervene in the market to support further expansions of extractive resources in close-to-demand-areas beyond what is expected in the status quo. The results indicate that work plan approvals and new work authorities that can service Greater Melbourne should</w:t>
      </w:r>
      <w:r w:rsidRPr="00837FC8">
        <w:rPr>
          <w:rFonts w:cstheme="minorHAnsi"/>
        </w:rPr>
        <w:t xml:space="preserve"> be prioritised for approval. This is particularly important for work plan variations associated with an existing work authority that has a high production capacity with depleting reserves. </w:t>
      </w:r>
    </w:p>
    <w:p w14:paraId="6B4609BC" w14:textId="77777777" w:rsidR="003F4354" w:rsidRDefault="003F4354" w:rsidP="003F4354">
      <w:pPr>
        <w:rPr>
          <w:rFonts w:cstheme="minorHAnsi"/>
        </w:rPr>
      </w:pPr>
      <w:r w:rsidRPr="00837FC8">
        <w:rPr>
          <w:rFonts w:cstheme="minorHAnsi"/>
        </w:rPr>
        <w:t>A limitation of this analysis is that it does not consider site-specific issues (such as cultural heritage, native vegetation or groundwater issues) associated with applications for work plan variations and new work authorities.</w:t>
      </w:r>
      <w:r>
        <w:rPr>
          <w:rFonts w:cstheme="minorHAnsi"/>
        </w:rPr>
        <w:t xml:space="preserve"> A further limitation is that the data inputs represent only known and planned quarry developments at the point that industry surveys were undertaken. It does not factor in any quarry developments from new market entrants, or plans not disclosed by the existing industry, that may occur between now and 2030.</w:t>
      </w:r>
    </w:p>
    <w:p w14:paraId="204095A5" w14:textId="77777777" w:rsidR="003F4354" w:rsidRDefault="003F4354" w:rsidP="003F4354">
      <w:pPr>
        <w:pStyle w:val="Heading1"/>
      </w:pPr>
      <w:bookmarkStart w:id="109" w:name="_Toc130274693"/>
      <w:bookmarkStart w:id="110" w:name="_Toc137567809"/>
      <w:r w:rsidRPr="00837FC8">
        <w:lastRenderedPageBreak/>
        <w:t>5. S</w:t>
      </w:r>
      <w:r>
        <w:t>imulation modelling tool</w:t>
      </w:r>
      <w:bookmarkEnd w:id="109"/>
      <w:bookmarkEnd w:id="110"/>
    </w:p>
    <w:p w14:paraId="572C26B6" w14:textId="77777777" w:rsidR="003F4354" w:rsidRDefault="003F4354" w:rsidP="003F4354">
      <w:pPr>
        <w:pStyle w:val="Heading2"/>
      </w:pPr>
      <w:bookmarkStart w:id="111" w:name="_Toc130274694"/>
      <w:bookmarkStart w:id="112" w:name="_Toc137567810"/>
      <w:r w:rsidRPr="00837FC8">
        <w:t xml:space="preserve">5.1 </w:t>
      </w:r>
      <w:r>
        <w:t>Methodology and assumptions</w:t>
      </w:r>
      <w:bookmarkEnd w:id="111"/>
      <w:bookmarkEnd w:id="112"/>
    </w:p>
    <w:p w14:paraId="5366C709" w14:textId="77777777" w:rsidR="003F4354" w:rsidRDefault="003F4354" w:rsidP="003F4354">
      <w:pPr>
        <w:rPr>
          <w:color w:val="232222" w:themeColor="text1"/>
        </w:rPr>
      </w:pPr>
      <w:r w:rsidRPr="009C3F64">
        <w:t>To further support the integration model, the Department commissioned Digital Twin Analytics to develop a prototype simulation modelling tool (SMT). The</w:t>
      </w:r>
      <w:r w:rsidRPr="009C3F64">
        <w:rPr>
          <w:color w:val="232222" w:themeColor="text1"/>
        </w:rPr>
        <w:t xml:space="preserve"> SMT assesses the potential impacts of reducing supply of an extractive commodity in a certain supply area on the extractive resources supply chain in Victoria.  </w:t>
      </w:r>
    </w:p>
    <w:p w14:paraId="5F99D327" w14:textId="77777777" w:rsidR="003F4354" w:rsidRDefault="003F4354" w:rsidP="003F4354">
      <w:r w:rsidRPr="009C3F64">
        <w:t>The SMT is a ‘digital twin’, constructed using agent-based simulation techniques. Agent-based simulations replicate the actions and interactions of autonomous agents, such as organisations or groups, to understand a system’s</w:t>
      </w:r>
      <w:r w:rsidRPr="009B1DCF">
        <w:t xml:space="preserve"> behaviour and what governs its outcomes. In essence, the SMT creates a digital twin of the real world that can be endlessly manipulated.</w:t>
      </w:r>
    </w:p>
    <w:p w14:paraId="3202C147" w14:textId="28EE78B7" w:rsidR="003F4354" w:rsidRPr="00837FC8" w:rsidRDefault="003F4354" w:rsidP="003F4354">
      <w:pPr>
        <w:rPr>
          <w:color w:val="232222" w:themeColor="text1"/>
        </w:rPr>
      </w:pPr>
      <w:r w:rsidRPr="00837FC8">
        <w:rPr>
          <w:color w:val="232222" w:themeColor="text1"/>
        </w:rPr>
        <w:t>The model incorporates inputs that:</w:t>
      </w:r>
    </w:p>
    <w:p w14:paraId="2EBD9ED4" w14:textId="77777777" w:rsidR="003F4354" w:rsidRPr="00837FC8" w:rsidRDefault="003F4354" w:rsidP="004129D2">
      <w:pPr>
        <w:pStyle w:val="ListBullet"/>
      </w:pPr>
      <w:r w:rsidRPr="00837FC8">
        <w:t>define model scope (e.g. work authorities and projects)</w:t>
      </w:r>
    </w:p>
    <w:p w14:paraId="48F9038C" w14:textId="77777777" w:rsidR="003F4354" w:rsidRDefault="003F4354" w:rsidP="004129D2">
      <w:pPr>
        <w:pStyle w:val="ListBullet"/>
      </w:pPr>
      <w:r w:rsidRPr="00837FC8">
        <w:t>define scenario parameters (e.g. work authority products and capacities)</w:t>
      </w:r>
    </w:p>
    <w:p w14:paraId="5D0873A9" w14:textId="77777777" w:rsidR="003F4354" w:rsidRDefault="003F4354" w:rsidP="003F4354">
      <w:pPr>
        <w:rPr>
          <w:color w:val="232222" w:themeColor="text1"/>
        </w:rPr>
      </w:pPr>
      <w:r w:rsidRPr="00AF249E">
        <w:rPr>
          <w:color w:val="232222" w:themeColor="text1"/>
        </w:rPr>
        <w:t xml:space="preserve">Analyses utilising the SMT require </w:t>
      </w:r>
      <w:r>
        <w:rPr>
          <w:color w:val="232222" w:themeColor="text1"/>
        </w:rPr>
        <w:t>supply and demand</w:t>
      </w:r>
      <w:r w:rsidRPr="00AF249E">
        <w:rPr>
          <w:color w:val="232222" w:themeColor="text1"/>
        </w:rPr>
        <w:t xml:space="preserve"> forecasts which the model utilises to “act-out” the contracting and supply of extractive resources throughout the state.</w:t>
      </w:r>
    </w:p>
    <w:p w14:paraId="3C02873D" w14:textId="77777777" w:rsidR="003F4354" w:rsidRDefault="003F4354" w:rsidP="003F4354">
      <w:pPr>
        <w:rPr>
          <w:color w:val="232222" w:themeColor="text1"/>
        </w:rPr>
      </w:pPr>
      <w:r w:rsidRPr="00837FC8">
        <w:rPr>
          <w:color w:val="232222" w:themeColor="text1"/>
        </w:rPr>
        <w:t>Supply (production)</w:t>
      </w:r>
      <w:r>
        <w:rPr>
          <w:color w:val="232222" w:themeColor="text1"/>
        </w:rPr>
        <w:t xml:space="preserve"> is estimated from</w:t>
      </w:r>
      <w:r w:rsidRPr="0004086A">
        <w:rPr>
          <w:color w:val="232222" w:themeColor="text1"/>
        </w:rPr>
        <w:t xml:space="preserve"> </w:t>
      </w:r>
      <w:r w:rsidRPr="00160107">
        <w:rPr>
          <w:color w:val="232222" w:themeColor="text1"/>
        </w:rPr>
        <w:t>work authorities</w:t>
      </w:r>
      <w:r w:rsidRPr="0004086A">
        <w:rPr>
          <w:color w:val="232222" w:themeColor="text1"/>
        </w:rPr>
        <w:t>:</w:t>
      </w:r>
      <w:r w:rsidRPr="00837FC8">
        <w:rPr>
          <w:color w:val="232222" w:themeColor="text1"/>
        </w:rPr>
        <w:t xml:space="preserve"> their location the type and quantity of product they supply (e.g. sand)</w:t>
      </w:r>
      <w:r>
        <w:rPr>
          <w:color w:val="232222" w:themeColor="text1"/>
        </w:rPr>
        <w:t xml:space="preserve"> as well as secondary materials produced. The industry survey and annual report supply data generated within the Study form the basis of this input. </w:t>
      </w:r>
    </w:p>
    <w:p w14:paraId="6BD5061E" w14:textId="77777777" w:rsidR="003F4354" w:rsidRDefault="003F4354" w:rsidP="003F4354">
      <w:pPr>
        <w:rPr>
          <w:color w:val="232222" w:themeColor="text1"/>
        </w:rPr>
      </w:pPr>
      <w:r w:rsidRPr="00837FC8">
        <w:rPr>
          <w:color w:val="232222" w:themeColor="text1"/>
        </w:rPr>
        <w:t xml:space="preserve">Demand </w:t>
      </w:r>
      <w:r>
        <w:rPr>
          <w:color w:val="232222" w:themeColor="text1"/>
        </w:rPr>
        <w:t xml:space="preserve">for materials </w:t>
      </w:r>
      <w:r w:rsidRPr="00837FC8">
        <w:rPr>
          <w:color w:val="232222" w:themeColor="text1"/>
        </w:rPr>
        <w:t>(end products)</w:t>
      </w:r>
      <w:r>
        <w:rPr>
          <w:color w:val="232222" w:themeColor="text1"/>
        </w:rPr>
        <w:t xml:space="preserve"> is estimated from </w:t>
      </w:r>
      <w:r w:rsidRPr="009C1E39">
        <w:rPr>
          <w:color w:val="232222" w:themeColor="text1"/>
        </w:rPr>
        <w:t>projects</w:t>
      </w:r>
      <w:r w:rsidRPr="00837FC8">
        <w:rPr>
          <w:color w:val="232222" w:themeColor="text1"/>
        </w:rPr>
        <w:t>: residential housing, commercial housing, transport-related (road, bridge, rail) and other industrial projects. Variables include project timing, size, material requirements, and the material demand profile</w:t>
      </w:r>
    </w:p>
    <w:p w14:paraId="6E9482A0" w14:textId="77777777" w:rsidR="003F4354" w:rsidRDefault="003F4354" w:rsidP="003F4354">
      <w:r w:rsidRPr="00837FC8">
        <w:t>The projects drive the model by creating demand for raw materials. Based on the type and size of the project, the model estimates the type of materials required from work authorities, and when.</w:t>
      </w:r>
    </w:p>
    <w:p w14:paraId="699727EB" w14:textId="77777777" w:rsidR="003F4354" w:rsidRDefault="003F4354" w:rsidP="003F4354">
      <w:pPr>
        <w:rPr>
          <w:color w:val="232222" w:themeColor="text1"/>
        </w:rPr>
      </w:pPr>
      <w:r w:rsidRPr="00837FC8">
        <w:rPr>
          <w:color w:val="232222" w:themeColor="text1"/>
        </w:rPr>
        <w:t>The model geolocates work authorities, processing plants and construction projects within Victoria. The model establishes hypothetical supply contracts between the consumers of construction materials and their suppliers by selecting the closest one (by road travel distance) that can provide the type and quantity of building materials the consumer requires. If one supplier cannot supply all the project’s needs, the model may seek materials from other suppliers.</w:t>
      </w:r>
    </w:p>
    <w:p w14:paraId="391637EF" w14:textId="7C8A2AAB" w:rsidR="003F4354" w:rsidRDefault="003F4354" w:rsidP="003F4354">
      <w:pPr>
        <w:autoSpaceDE w:val="0"/>
        <w:autoSpaceDN w:val="0"/>
        <w:adjustRightInd w:val="0"/>
        <w:rPr>
          <w:color w:val="232222" w:themeColor="text1"/>
        </w:rPr>
      </w:pPr>
      <w:r w:rsidRPr="00837FC8">
        <w:rPr>
          <w:color w:val="232222" w:themeColor="text1"/>
        </w:rPr>
        <w:t>The model assumes that the closest supplier is the cheapest, although this may not be true. The model also makes assumptions about what defines a project – its size, and the type and quality of material it requires</w:t>
      </w:r>
      <w:r>
        <w:rPr>
          <w:color w:val="232222" w:themeColor="text1"/>
        </w:rPr>
        <w:t xml:space="preserve">. An overview of the current SMT is provided in </w:t>
      </w:r>
      <w:r w:rsidRPr="00837FC8">
        <w:rPr>
          <w:color w:val="232222" w:themeColor="text1"/>
        </w:rPr>
        <w:fldChar w:fldCharType="begin"/>
      </w:r>
      <w:r w:rsidRPr="00837FC8">
        <w:rPr>
          <w:color w:val="232222" w:themeColor="text1"/>
        </w:rPr>
        <w:instrText xml:space="preserve"> REF _Ref117678571 \h </w:instrText>
      </w:r>
      <w:r w:rsidRPr="00837FC8">
        <w:rPr>
          <w:color w:val="232222" w:themeColor="text1"/>
        </w:rPr>
      </w:r>
      <w:r w:rsidRPr="00837FC8">
        <w:rPr>
          <w:color w:val="232222" w:themeColor="text1"/>
        </w:rPr>
        <w:fldChar w:fldCharType="separate"/>
      </w:r>
      <w:r w:rsidR="000154C7" w:rsidRPr="00837FC8">
        <w:t xml:space="preserve">Figure </w:t>
      </w:r>
      <w:r w:rsidR="000154C7">
        <w:rPr>
          <w:noProof/>
        </w:rPr>
        <w:t>19</w:t>
      </w:r>
      <w:r w:rsidRPr="00837FC8">
        <w:rPr>
          <w:color w:val="232222" w:themeColor="text1"/>
        </w:rPr>
        <w:fldChar w:fldCharType="end"/>
      </w:r>
      <w:r>
        <w:rPr>
          <w:color w:val="232222" w:themeColor="text1"/>
        </w:rPr>
        <w:t>.</w:t>
      </w:r>
    </w:p>
    <w:p w14:paraId="2C17B885" w14:textId="66E34D37" w:rsidR="003F4354" w:rsidRPr="00837FC8" w:rsidRDefault="003F4354" w:rsidP="003F4354">
      <w:pPr>
        <w:keepNext/>
        <w:autoSpaceDE w:val="0"/>
        <w:autoSpaceDN w:val="0"/>
        <w:adjustRightInd w:val="0"/>
      </w:pPr>
      <w:r w:rsidRPr="00837FC8">
        <w:rPr>
          <w:noProof/>
          <w:lang w:val="en-GB" w:eastAsia="en-GB"/>
        </w:rPr>
        <w:lastRenderedPageBreak/>
        <w:drawing>
          <wp:inline distT="0" distB="0" distL="0" distR="0" wp14:anchorId="522FAE46" wp14:editId="3EAE53A3">
            <wp:extent cx="6139543" cy="4010497"/>
            <wp:effectExtent l="0" t="0" r="0" b="9525"/>
            <wp:docPr id="60470172" name="Picture 60470172" descr="A picture containing text, screenshot,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70172" name="Picture 60470172" descr="A picture containing text, screenshot, diagram, font&#10;&#10;Description automatically generated"/>
                    <pic:cNvPicPr/>
                  </pic:nvPicPr>
                  <pic:blipFill>
                    <a:blip r:embed="rId66"/>
                    <a:stretch>
                      <a:fillRect/>
                    </a:stretch>
                  </pic:blipFill>
                  <pic:spPr>
                    <a:xfrm>
                      <a:off x="0" y="0"/>
                      <a:ext cx="6144635" cy="4013823"/>
                    </a:xfrm>
                    <a:prstGeom prst="rect">
                      <a:avLst/>
                    </a:prstGeom>
                  </pic:spPr>
                </pic:pic>
              </a:graphicData>
            </a:graphic>
          </wp:inline>
        </w:drawing>
      </w:r>
    </w:p>
    <w:p w14:paraId="74D4B6AE" w14:textId="3EB66438" w:rsidR="003F4354" w:rsidRDefault="003F4354" w:rsidP="00FF6070">
      <w:pPr>
        <w:pStyle w:val="Caption"/>
        <w:rPr>
          <w:color w:val="232222" w:themeColor="text1"/>
        </w:rPr>
      </w:pPr>
      <w:bookmarkStart w:id="113" w:name="_Ref117678571"/>
      <w:r w:rsidRPr="00837FC8">
        <w:t xml:space="preserve">Figure </w:t>
      </w:r>
      <w:fldSimple w:instr=" SEQ Figure \* ARABIC ">
        <w:r w:rsidR="000154C7">
          <w:rPr>
            <w:noProof/>
          </w:rPr>
          <w:t>19</w:t>
        </w:r>
      </w:fldSimple>
      <w:bookmarkEnd w:id="113"/>
      <w:r w:rsidRPr="00837FC8">
        <w:t xml:space="preserve"> Simulation Modelling Tool</w:t>
      </w:r>
      <w:r>
        <w:t xml:space="preserve"> steps</w:t>
      </w:r>
      <w:r w:rsidRPr="00837FC8">
        <w:t xml:space="preserve"> </w:t>
      </w:r>
    </w:p>
    <w:p w14:paraId="5353AEE8" w14:textId="77777777" w:rsidR="003F4354" w:rsidRDefault="003F4354" w:rsidP="003F4354">
      <w:r w:rsidRPr="00160107">
        <w:t xml:space="preserve">The SMT is the result of a number of prototyping iterations to develop a tool to enable the evaluation of the extractive resources supply chain in Victoria. It is currently in prototype 2 stage with a number of refinements and enhancements identified for development in subsequent prototyping stages.  </w:t>
      </w:r>
    </w:p>
    <w:p w14:paraId="212205B8" w14:textId="1F71298C" w:rsidR="003F4354" w:rsidRPr="00837FC8" w:rsidRDefault="003F4354" w:rsidP="003F4354">
      <w:r w:rsidRPr="00837FC8">
        <w:t xml:space="preserve">The </w:t>
      </w:r>
      <w:r>
        <w:t xml:space="preserve">SMT </w:t>
      </w:r>
      <w:r w:rsidRPr="00837FC8">
        <w:t xml:space="preserve">model will help </w:t>
      </w:r>
      <w:r>
        <w:t xml:space="preserve">the Government </w:t>
      </w:r>
      <w:r w:rsidRPr="00837FC8">
        <w:t>understand potential scenarios and consider the following questions:</w:t>
      </w:r>
    </w:p>
    <w:p w14:paraId="31422914" w14:textId="77777777" w:rsidR="003F4354" w:rsidRPr="00837FC8" w:rsidRDefault="003F4354" w:rsidP="004129D2">
      <w:pPr>
        <w:pStyle w:val="ListBullet"/>
      </w:pPr>
      <w:r w:rsidRPr="00837FC8">
        <w:t>Are there adequate sand resources available to meet demand?</w:t>
      </w:r>
    </w:p>
    <w:p w14:paraId="169BF12A" w14:textId="77777777" w:rsidR="003F4354" w:rsidRDefault="003F4354" w:rsidP="004129D2">
      <w:pPr>
        <w:pStyle w:val="ListBullet"/>
      </w:pPr>
      <w:r w:rsidRPr="00837FC8">
        <w:t>How will demand for sand affect the availability of supply?</w:t>
      </w:r>
    </w:p>
    <w:p w14:paraId="74CCC9B2" w14:textId="77777777" w:rsidR="003F4354" w:rsidRDefault="003F4354" w:rsidP="003F4354">
      <w:pPr>
        <w:pStyle w:val="Heading2"/>
      </w:pPr>
      <w:bookmarkStart w:id="114" w:name="_Toc130274695"/>
      <w:bookmarkStart w:id="115" w:name="_Toc137567811"/>
      <w:r w:rsidRPr="00837FC8">
        <w:t xml:space="preserve">5.2 </w:t>
      </w:r>
      <w:r>
        <w:t>SMT</w:t>
      </w:r>
      <w:r w:rsidRPr="00837FC8">
        <w:t xml:space="preserve"> scenarios</w:t>
      </w:r>
      <w:bookmarkEnd w:id="114"/>
      <w:bookmarkEnd w:id="115"/>
    </w:p>
    <w:p w14:paraId="1609D3DD" w14:textId="777F96E5" w:rsidR="003F4354" w:rsidRPr="00837FC8" w:rsidRDefault="003F4354" w:rsidP="00FF6070">
      <w:pPr>
        <w:pStyle w:val="Heading3"/>
      </w:pPr>
      <w:bookmarkStart w:id="116" w:name="_Toc137567812"/>
      <w:r w:rsidRPr="00837FC8">
        <w:t>Model simulations</w:t>
      </w:r>
      <w:bookmarkEnd w:id="116"/>
    </w:p>
    <w:p w14:paraId="3837646E" w14:textId="77777777" w:rsidR="003F4354" w:rsidRDefault="003F4354" w:rsidP="00FF6070">
      <w:r>
        <w:t xml:space="preserve">In this instance, the model has been used to understand what happens when </w:t>
      </w:r>
      <w:r w:rsidRPr="00837FC8">
        <w:t xml:space="preserve">sand supply in key supply areas to the east and west of Melbourne </w:t>
      </w:r>
      <w:r>
        <w:t xml:space="preserve">is withdrawn from the market </w:t>
      </w:r>
      <w:r w:rsidRPr="00837FC8">
        <w:t>and the impact on material availability for the building and construction industry.</w:t>
      </w:r>
      <w:r>
        <w:t xml:space="preserve"> This is based on real-world possibilities in Victoria today.</w:t>
      </w:r>
    </w:p>
    <w:p w14:paraId="73F0ED13" w14:textId="77777777" w:rsidR="003F4354" w:rsidRDefault="003F4354" w:rsidP="00FF6070">
      <w:r w:rsidRPr="00837FC8">
        <w:t>There were three simulations: a base case and two restricted sand supply scenarios. The analysis was based on the 2020-21 financial year.</w:t>
      </w:r>
    </w:p>
    <w:p w14:paraId="0C62C7BF" w14:textId="449592EC" w:rsidR="00FF6070" w:rsidRDefault="003F4354" w:rsidP="004129D2">
      <w:pPr>
        <w:pStyle w:val="ListBullet"/>
      </w:pPr>
      <w:r w:rsidRPr="00837FC8">
        <w:t>Base case. This scenario is used to compare model results with the performance of sand supply in 2020-21. It ensures that the model is calibrated to produce results comparable with actual industry performance.</w:t>
      </w:r>
    </w:p>
    <w:p w14:paraId="648EAF58" w14:textId="39324BD7" w:rsidR="003F4354" w:rsidRPr="00837FC8" w:rsidRDefault="003F4354" w:rsidP="004129D2">
      <w:pPr>
        <w:pStyle w:val="ListBullet"/>
      </w:pPr>
      <w:r w:rsidRPr="00837FC8">
        <w:t xml:space="preserve">East. In this scenario, there is reduced capacity to supply sand to the east of Melbourne. The East scenario took the base case scenario configuration and reduced the quantity of sand able to be supplied to the east of Melbourne (i.e. </w:t>
      </w:r>
      <w:r>
        <w:t xml:space="preserve">from the </w:t>
      </w:r>
      <w:r w:rsidRPr="00837FC8">
        <w:t>Lang Lang to Grantville sand belt).</w:t>
      </w:r>
    </w:p>
    <w:p w14:paraId="7FF8B7EB" w14:textId="77777777" w:rsidR="003F4354" w:rsidRDefault="003F4354" w:rsidP="004129D2">
      <w:pPr>
        <w:pStyle w:val="ListBullet"/>
      </w:pPr>
      <w:r w:rsidRPr="00837FC8">
        <w:t xml:space="preserve">West. This scenario involves reduced capacity to supply sand to the west of Melbourne. The West scenario took the base case scenario and reduced the quantity of sand able to be supplied to the west of Melbourne (i.e. </w:t>
      </w:r>
      <w:r>
        <w:t xml:space="preserve">from </w:t>
      </w:r>
      <w:r w:rsidRPr="00837FC8">
        <w:t>Bacchus Marsh).</w:t>
      </w:r>
    </w:p>
    <w:p w14:paraId="2E36A14F" w14:textId="7CC3D614" w:rsidR="003F4354" w:rsidRPr="00837FC8" w:rsidRDefault="003F4354" w:rsidP="00FF6070">
      <w:pPr>
        <w:pStyle w:val="Heading3"/>
      </w:pPr>
      <w:bookmarkStart w:id="117" w:name="_Toc137567813"/>
      <w:r w:rsidRPr="00837FC8">
        <w:lastRenderedPageBreak/>
        <w:t>How to use the scenarios</w:t>
      </w:r>
      <w:bookmarkEnd w:id="117"/>
    </w:p>
    <w:p w14:paraId="48332C21" w14:textId="77777777" w:rsidR="003F4354" w:rsidRPr="00FF6070" w:rsidRDefault="003F4354" w:rsidP="00FF6070">
      <w:r w:rsidRPr="00FF6070">
        <w:t>The SMT can test a variety of scenarios. The scenarios do not represent forecasts of the sand supply chain performance. Instead, they represent a retrospective analysis of what may have resulted in 2020-21 had the indicated sand supplies been unavailable. The SMT is still a prototype, so it would be unwise to attempt to forecast future supply chain performance until the model has been further verified and validated. The scenarios should instead be used to help support decision-making on extractive resource management.</w:t>
      </w:r>
    </w:p>
    <w:p w14:paraId="4C7AC1B5" w14:textId="03B4BFEA" w:rsidR="003F4354" w:rsidRPr="00837FC8" w:rsidRDefault="003F4354" w:rsidP="00FF6070">
      <w:pPr>
        <w:pStyle w:val="Heading3"/>
      </w:pPr>
      <w:bookmarkStart w:id="118" w:name="_Toc137567814"/>
      <w:r w:rsidRPr="00837FC8">
        <w:t>Chosen scenarios</w:t>
      </w:r>
      <w:bookmarkEnd w:id="118"/>
    </w:p>
    <w:p w14:paraId="60B6BE74" w14:textId="77777777" w:rsidR="003F4354" w:rsidRPr="00FF6070" w:rsidRDefault="003F4354" w:rsidP="00FF6070">
      <w:r w:rsidRPr="00FF6070">
        <w:t>The scenarios involved work authorities of significance to the Victorian sand market. The Shire of Moorabool, incorporating Bacchus Marsh, accounted for 7.4 per cent of annual sand production in 2020–21. The Lang Lang to Grantville sand belt spans three LGAs (Cardinia, South Gippsland, Bass Coast) and accounted for 38.4 per cent of 2020–21 sand production.</w:t>
      </w:r>
    </w:p>
    <w:p w14:paraId="2C3C8936" w14:textId="77777777" w:rsidR="003F4354" w:rsidRDefault="003F4354" w:rsidP="003F4354">
      <w:pPr>
        <w:pStyle w:val="Heading2"/>
      </w:pPr>
      <w:bookmarkStart w:id="119" w:name="_Toc130274696"/>
      <w:bookmarkStart w:id="120" w:name="_Toc137567815"/>
      <w:r w:rsidRPr="00837FC8">
        <w:t xml:space="preserve">5.3 </w:t>
      </w:r>
      <w:r>
        <w:t>Findings from the SMT scenarios</w:t>
      </w:r>
      <w:bookmarkEnd w:id="119"/>
      <w:bookmarkEnd w:id="120"/>
    </w:p>
    <w:p w14:paraId="5E574A41" w14:textId="6B1553CB" w:rsidR="003F4354" w:rsidRPr="00837FC8" w:rsidRDefault="003F4354" w:rsidP="00FF6070">
      <w:pPr>
        <w:pStyle w:val="Heading3"/>
      </w:pPr>
      <w:bookmarkStart w:id="121" w:name="_Toc137567816"/>
      <w:r w:rsidRPr="00837FC8">
        <w:t>Model results</w:t>
      </w:r>
      <w:bookmarkEnd w:id="121"/>
    </w:p>
    <w:p w14:paraId="2C6F6EC1" w14:textId="77777777" w:rsidR="003F4354" w:rsidRDefault="003F4354" w:rsidP="003F4354">
      <w:r w:rsidRPr="00837FC8">
        <w:t>The SMT models statewide demand for sand, based on demand for sand and sand-based products (i.e. concrete) generated by construction projects. Modelled construction projects (including residential, non-residential, transport, and energy-related) generate demand for sand.</w:t>
      </w:r>
    </w:p>
    <w:p w14:paraId="6266FE51" w14:textId="65047349" w:rsidR="003F4354" w:rsidRDefault="003F4354" w:rsidP="003F4354">
      <w:r w:rsidRPr="00EE1210">
        <w:t>In 2020-21, sand demand was greatest closer to Greater Melbourne and moderate in the north of the state (</w:t>
      </w:r>
      <w:r w:rsidRPr="00EE1210">
        <w:fldChar w:fldCharType="begin"/>
      </w:r>
      <w:r w:rsidRPr="00EE1210">
        <w:instrText xml:space="preserve"> REF _Ref117678769 \h </w:instrText>
      </w:r>
      <w:r w:rsidRPr="006F42F1">
        <w:instrText xml:space="preserve"> \* MERGEFORMAT </w:instrText>
      </w:r>
      <w:r w:rsidRPr="00EE1210">
        <w:fldChar w:fldCharType="separate"/>
      </w:r>
      <w:r w:rsidR="000154C7" w:rsidRPr="000154C7">
        <w:t xml:space="preserve">Figure </w:t>
      </w:r>
      <w:r w:rsidR="000154C7" w:rsidRPr="000154C7">
        <w:rPr>
          <w:noProof/>
        </w:rPr>
        <w:t>20</w:t>
      </w:r>
      <w:r w:rsidRPr="00EE1210">
        <w:fldChar w:fldCharType="end"/>
      </w:r>
      <w:r w:rsidRPr="00EE1210">
        <w:t>). Total sand demand was modelled including for processed materials such as asphalt and concrete. Data comes from industry reporting and interviews with selected operators.</w:t>
      </w:r>
    </w:p>
    <w:p w14:paraId="5208A1C3" w14:textId="49F8A1E1" w:rsidR="003F4354" w:rsidRPr="00837FC8" w:rsidRDefault="003F4354" w:rsidP="00CE0765">
      <w:pPr>
        <w:keepNext/>
      </w:pPr>
      <w:r w:rsidRPr="00837FC8">
        <w:rPr>
          <w:noProof/>
          <w:lang w:val="en-GB" w:eastAsia="en-GB"/>
        </w:rPr>
        <w:drawing>
          <wp:inline distT="0" distB="0" distL="0" distR="0" wp14:anchorId="78C1566C" wp14:editId="238B1776">
            <wp:extent cx="6059277" cy="4266954"/>
            <wp:effectExtent l="0" t="0" r="3810" b="0"/>
            <wp:docPr id="1153798869" name="Picture 1153798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98869" name="Picture 1153798869"/>
                    <pic:cNvPicPr/>
                  </pic:nvPicPr>
                  <pic:blipFill>
                    <a:blip r:embed="rId67" cstate="print">
                      <a:extLst>
                        <a:ext uri="{28A0092B-C50C-407E-A947-70E740481C1C}">
                          <a14:useLocalDpi xmlns:a14="http://schemas.microsoft.com/office/drawing/2010/main" val="0"/>
                        </a:ext>
                      </a:extLst>
                    </a:blip>
                    <a:stretch>
                      <a:fillRect/>
                    </a:stretch>
                  </pic:blipFill>
                  <pic:spPr>
                    <a:xfrm>
                      <a:off x="0" y="0"/>
                      <a:ext cx="6059277" cy="4266954"/>
                    </a:xfrm>
                    <a:prstGeom prst="rect">
                      <a:avLst/>
                    </a:prstGeom>
                  </pic:spPr>
                </pic:pic>
              </a:graphicData>
            </a:graphic>
          </wp:inline>
        </w:drawing>
      </w:r>
    </w:p>
    <w:p w14:paraId="793E80CD" w14:textId="63B1987F" w:rsidR="003F4354" w:rsidRDefault="003F4354" w:rsidP="00FF6070">
      <w:pPr>
        <w:pStyle w:val="Caption"/>
      </w:pPr>
      <w:bookmarkStart w:id="122" w:name="_Ref117678769"/>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20</w:t>
      </w:r>
      <w:r w:rsidRPr="00160107">
        <w:rPr>
          <w:bCs/>
          <w:noProof/>
        </w:rPr>
        <w:fldChar w:fldCharType="end"/>
      </w:r>
      <w:bookmarkEnd w:id="122"/>
      <w:r w:rsidRPr="00837FC8">
        <w:t xml:space="preserve"> Heatmap of demand for sand by LGA (in tonnes</w:t>
      </w:r>
      <w:r>
        <w:t xml:space="preserve"> per annum</w:t>
      </w:r>
      <w:r w:rsidRPr="00837FC8">
        <w:t>) for 2020-21</w:t>
      </w:r>
    </w:p>
    <w:p w14:paraId="4B7E3287" w14:textId="7383EDD7" w:rsidR="003F4354" w:rsidRDefault="003F4354" w:rsidP="003F4354">
      <w:r w:rsidRPr="00837FC8">
        <w:t xml:space="preserve">In the base case scenario, sand production is concentrated within two distinct regions, to the west and east of </w:t>
      </w:r>
      <w:r w:rsidRPr="00EE1210">
        <w:t>Melbourne (</w:t>
      </w:r>
      <w:r w:rsidRPr="006F42F1">
        <w:fldChar w:fldCharType="begin"/>
      </w:r>
      <w:r w:rsidRPr="006F42F1">
        <w:instrText xml:space="preserve"> REF _Ref117678801 \h  \* MERGEFORMAT </w:instrText>
      </w:r>
      <w:r w:rsidRPr="006F42F1">
        <w:fldChar w:fldCharType="separate"/>
      </w:r>
      <w:r w:rsidR="000154C7" w:rsidRPr="000154C7">
        <w:t xml:space="preserve">Figure </w:t>
      </w:r>
      <w:r w:rsidR="000154C7" w:rsidRPr="000154C7">
        <w:rPr>
          <w:noProof/>
        </w:rPr>
        <w:t>21</w:t>
      </w:r>
      <w:r w:rsidRPr="006F42F1">
        <w:fldChar w:fldCharType="end"/>
      </w:r>
      <w:r w:rsidRPr="00EE1210">
        <w:t>). The western supply region includes the LGAs of Golden Plains, Greater Geelong and Moorabool</w:t>
      </w:r>
      <w:r w:rsidRPr="00837FC8">
        <w:t xml:space="preserve"> Shire. To the east of Melbourne, there is supply from the Lang Lang to Grantville sand belt.</w:t>
      </w:r>
    </w:p>
    <w:p w14:paraId="64D14278" w14:textId="77777777" w:rsidR="0084509D" w:rsidRDefault="0084509D" w:rsidP="003F4354"/>
    <w:p w14:paraId="19C2DBA4" w14:textId="6DE0287D" w:rsidR="003F4354" w:rsidRPr="00837FC8" w:rsidRDefault="003F4354" w:rsidP="00CE0765">
      <w:pPr>
        <w:keepNext/>
      </w:pPr>
      <w:r w:rsidRPr="00837FC8">
        <w:rPr>
          <w:noProof/>
          <w:lang w:val="en-GB" w:eastAsia="en-GB"/>
        </w:rPr>
        <w:lastRenderedPageBreak/>
        <w:drawing>
          <wp:inline distT="0" distB="0" distL="0" distR="0" wp14:anchorId="7C4D5DDA" wp14:editId="648A62B1">
            <wp:extent cx="5626217" cy="3961992"/>
            <wp:effectExtent l="0" t="0" r="0" b="635"/>
            <wp:docPr id="976204795" name="Picture 976204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04795" name="Picture 97620479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626217" cy="3961992"/>
                    </a:xfrm>
                    <a:prstGeom prst="rect">
                      <a:avLst/>
                    </a:prstGeom>
                  </pic:spPr>
                </pic:pic>
              </a:graphicData>
            </a:graphic>
          </wp:inline>
        </w:drawing>
      </w:r>
    </w:p>
    <w:p w14:paraId="6370DD78" w14:textId="560EBEAF" w:rsidR="003F4354" w:rsidRPr="00837FC8" w:rsidRDefault="003F4354" w:rsidP="00FF6070">
      <w:pPr>
        <w:pStyle w:val="Caption"/>
        <w:rPr>
          <w:rFonts w:cstheme="minorHAnsi"/>
          <w:sz w:val="22"/>
          <w:szCs w:val="22"/>
        </w:rPr>
      </w:pPr>
      <w:bookmarkStart w:id="123" w:name="_Ref117678801"/>
      <w:bookmarkStart w:id="124" w:name="_Ref113997393"/>
      <w:r w:rsidRPr="00160107">
        <w:rPr>
          <w:bCs/>
        </w:rPr>
        <w:t xml:space="preserve">Figure </w:t>
      </w:r>
      <w:r w:rsidRPr="00160107">
        <w:rPr>
          <w:bCs/>
        </w:rPr>
        <w:fldChar w:fldCharType="begin"/>
      </w:r>
      <w:r w:rsidRPr="00160107">
        <w:rPr>
          <w:bCs/>
        </w:rPr>
        <w:instrText xml:space="preserve"> SEQ Figure \* ARABIC </w:instrText>
      </w:r>
      <w:r w:rsidRPr="00160107">
        <w:rPr>
          <w:bCs/>
        </w:rPr>
        <w:fldChar w:fldCharType="separate"/>
      </w:r>
      <w:r w:rsidR="000154C7">
        <w:rPr>
          <w:bCs/>
          <w:noProof/>
        </w:rPr>
        <w:t>21</w:t>
      </w:r>
      <w:r w:rsidRPr="00160107">
        <w:rPr>
          <w:bCs/>
          <w:noProof/>
        </w:rPr>
        <w:fldChar w:fldCharType="end"/>
      </w:r>
      <w:bookmarkEnd w:id="123"/>
      <w:r w:rsidRPr="00837FC8">
        <w:t xml:space="preserve"> </w:t>
      </w:r>
      <w:bookmarkEnd w:id="124"/>
      <w:r w:rsidRPr="00837FC8">
        <w:t>Heatmap of sand production by LGA (tonnes</w:t>
      </w:r>
      <w:r>
        <w:t xml:space="preserve"> per annum</w:t>
      </w:r>
      <w:r w:rsidRPr="00837FC8">
        <w:t>)</w:t>
      </w:r>
    </w:p>
    <w:p w14:paraId="20521CF2" w14:textId="7715F1B7" w:rsidR="003F4354" w:rsidRDefault="003F4354" w:rsidP="003F4354">
      <w:pPr>
        <w:rPr>
          <w:rFonts w:cstheme="minorHAnsi"/>
        </w:rPr>
      </w:pPr>
      <w:r w:rsidRPr="00837FC8">
        <w:rPr>
          <w:rFonts w:cstheme="minorHAnsi"/>
        </w:rPr>
        <w:t xml:space="preserve">In the East scenario, eastern regions of Victoria significantly reduce their sand production </w:t>
      </w:r>
      <w:r w:rsidRPr="00EE1210">
        <w:rPr>
          <w:rFonts w:cstheme="minorHAnsi"/>
        </w:rPr>
        <w:t>(</w:t>
      </w:r>
      <w:r w:rsidR="00EC66E6">
        <w:fldChar w:fldCharType="begin"/>
      </w:r>
      <w:r w:rsidR="00EC66E6">
        <w:rPr>
          <w:rFonts w:cstheme="minorHAnsi"/>
        </w:rPr>
        <w:instrText xml:space="preserve"> REF _Ref137567177 \h </w:instrText>
      </w:r>
      <w:r w:rsidR="00EC66E6">
        <w:fldChar w:fldCharType="separate"/>
      </w:r>
      <w:r w:rsidR="000154C7">
        <w:t xml:space="preserve">Figure </w:t>
      </w:r>
      <w:r w:rsidR="000154C7">
        <w:rPr>
          <w:noProof/>
        </w:rPr>
        <w:t>22</w:t>
      </w:r>
      <w:r w:rsidR="00EC66E6">
        <w:fldChar w:fldCharType="end"/>
      </w:r>
      <w:r w:rsidR="00E053A7">
        <w:t xml:space="preserve"> </w:t>
      </w:r>
      <w:r w:rsidRPr="006F42F1">
        <w:rPr>
          <w:rFonts w:cstheme="minorHAnsi"/>
        </w:rPr>
        <w:t>East</w:t>
      </w:r>
      <w:r w:rsidRPr="00EE1210">
        <w:rPr>
          <w:rFonts w:cstheme="minorHAnsi"/>
        </w:rPr>
        <w:t>). The scenario shows that if there was less sand available in the east, other</w:t>
      </w:r>
      <w:r w:rsidRPr="00837FC8">
        <w:rPr>
          <w:rFonts w:cstheme="minorHAnsi"/>
        </w:rPr>
        <w:t xml:space="preserve"> areas may be required to increase their production to meet demand.</w:t>
      </w:r>
      <w:r w:rsidR="009600CB">
        <w:rPr>
          <w:rFonts w:cstheme="minorHAnsi"/>
        </w:rPr>
        <w:t xml:space="preserve"> </w:t>
      </w:r>
    </w:p>
    <w:p w14:paraId="25CA2CF3" w14:textId="77777777" w:rsidR="003F4354" w:rsidRDefault="003F4354" w:rsidP="003F4354">
      <w:pPr>
        <w:rPr>
          <w:rFonts w:cstheme="minorHAnsi"/>
        </w:rPr>
      </w:pPr>
      <w:r w:rsidRPr="00837FC8">
        <w:rPr>
          <w:rFonts w:cstheme="minorHAnsi"/>
        </w:rPr>
        <w:t>The areas required to satisfy sand demand are not necessarily western region LGAs, as they are already at maximum production capacity. Instead, the areas that offer sand may be significantly further away from Greater Melbourne.</w:t>
      </w:r>
    </w:p>
    <w:p w14:paraId="08935246" w14:textId="5B039C50" w:rsidR="003F4354" w:rsidRDefault="003F4354" w:rsidP="003F4354">
      <w:pPr>
        <w:rPr>
          <w:rFonts w:cstheme="minorHAnsi"/>
        </w:rPr>
      </w:pPr>
      <w:r w:rsidRPr="00837FC8">
        <w:rPr>
          <w:rFonts w:cstheme="minorHAnsi"/>
        </w:rPr>
        <w:t xml:space="preserve">In the West scenario, the western sand regions significantly reduce their contributions </w:t>
      </w:r>
      <w:r w:rsidRPr="00EE1210">
        <w:rPr>
          <w:rFonts w:cstheme="minorHAnsi"/>
        </w:rPr>
        <w:t>(</w:t>
      </w:r>
      <w:r w:rsidR="00980ADB">
        <w:rPr>
          <w:rFonts w:cstheme="minorHAnsi"/>
        </w:rPr>
        <w:fldChar w:fldCharType="begin"/>
      </w:r>
      <w:r w:rsidR="00980ADB">
        <w:rPr>
          <w:rFonts w:cstheme="minorHAnsi"/>
        </w:rPr>
        <w:instrText xml:space="preserve"> REF _Ref137567177 \h </w:instrText>
      </w:r>
      <w:r w:rsidR="00980ADB">
        <w:rPr>
          <w:rFonts w:cstheme="minorHAnsi"/>
        </w:rPr>
      </w:r>
      <w:r w:rsidR="00980ADB">
        <w:rPr>
          <w:rFonts w:cstheme="minorHAnsi"/>
        </w:rPr>
        <w:fldChar w:fldCharType="separate"/>
      </w:r>
      <w:r w:rsidR="000154C7">
        <w:t xml:space="preserve">Figure </w:t>
      </w:r>
      <w:r w:rsidR="000154C7">
        <w:rPr>
          <w:noProof/>
        </w:rPr>
        <w:t>22</w:t>
      </w:r>
      <w:r w:rsidR="00980ADB">
        <w:rPr>
          <w:rFonts w:cstheme="minorHAnsi"/>
        </w:rPr>
        <w:fldChar w:fldCharType="end"/>
      </w:r>
      <w:r w:rsidR="00980ADB">
        <w:rPr>
          <w:rFonts w:cstheme="minorHAnsi"/>
        </w:rPr>
        <w:t xml:space="preserve"> </w:t>
      </w:r>
      <w:r w:rsidRPr="006F42F1">
        <w:rPr>
          <w:rFonts w:cstheme="minorHAnsi"/>
        </w:rPr>
        <w:t>West</w:t>
      </w:r>
      <w:r w:rsidRPr="00EE1210">
        <w:rPr>
          <w:rFonts w:cstheme="minorHAnsi"/>
        </w:rPr>
        <w:t>). The eastern regions continue to provide some sand, but again there is a</w:t>
      </w:r>
      <w:r w:rsidRPr="00837FC8">
        <w:rPr>
          <w:rFonts w:cstheme="minorHAnsi"/>
        </w:rPr>
        <w:t xml:space="preserve"> need for supplies to come from areas much further away from Melbourne, where most of the sand is required.</w:t>
      </w:r>
    </w:p>
    <w:p w14:paraId="0E67C52F" w14:textId="77777777" w:rsidR="003F4354" w:rsidRDefault="003F4354" w:rsidP="003F4354">
      <w:pPr>
        <w:rPr>
          <w:rFonts w:cstheme="minorHAnsi"/>
        </w:rPr>
      </w:pPr>
      <w:r w:rsidRPr="00837FC8">
        <w:rPr>
          <w:rFonts w:cstheme="minorHAnsi"/>
        </w:rPr>
        <w:t>To account for the reduced production, the model included several proxy interstate work authorities, allowing projects to source material interstate if Victorian work authorities cannot fulfil their orders.</w:t>
      </w:r>
    </w:p>
    <w:p w14:paraId="45362E4F" w14:textId="77777777" w:rsidR="00980ADB" w:rsidRDefault="0084509D" w:rsidP="00CE0765">
      <w:pPr>
        <w:keepNext/>
      </w:pPr>
      <w:r>
        <w:rPr>
          <w:noProof/>
        </w:rPr>
        <w:lastRenderedPageBreak/>
        <w:drawing>
          <wp:inline distT="0" distB="0" distL="0" distR="0" wp14:anchorId="5D5C99F5" wp14:editId="39247F71">
            <wp:extent cx="5147105" cy="3624549"/>
            <wp:effectExtent l="0" t="0" r="0" b="0"/>
            <wp:docPr id="149183925" name="Picture 14918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83925" name="Picture 149183925"/>
                    <pic:cNvPicPr/>
                  </pic:nvPicPr>
                  <pic:blipFill>
                    <a:blip r:embed="rId69" cstate="print">
                      <a:extLst>
                        <a:ext uri="{28A0092B-C50C-407E-A947-70E740481C1C}">
                          <a14:useLocalDpi xmlns:a14="http://schemas.microsoft.com/office/drawing/2010/main" val="0"/>
                        </a:ext>
                      </a:extLst>
                    </a:blip>
                    <a:stretch>
                      <a:fillRect/>
                    </a:stretch>
                  </pic:blipFill>
                  <pic:spPr>
                    <a:xfrm>
                      <a:off x="0" y="0"/>
                      <a:ext cx="5173094" cy="3642850"/>
                    </a:xfrm>
                    <a:prstGeom prst="rect">
                      <a:avLst/>
                    </a:prstGeom>
                  </pic:spPr>
                </pic:pic>
              </a:graphicData>
            </a:graphic>
          </wp:inline>
        </w:drawing>
      </w:r>
    </w:p>
    <w:p w14:paraId="74693C93" w14:textId="7FC370CC" w:rsidR="003F4354" w:rsidRDefault="00980ADB" w:rsidP="00CE0765">
      <w:pPr>
        <w:pStyle w:val="Caption"/>
      </w:pPr>
      <w:bookmarkStart w:id="125" w:name="_Ref137567177"/>
      <w:r>
        <w:t xml:space="preserve">Figure </w:t>
      </w:r>
      <w:fldSimple w:instr=" SEQ Figure \* ARABIC ">
        <w:r w:rsidR="000154C7">
          <w:rPr>
            <w:noProof/>
          </w:rPr>
          <w:t>22</w:t>
        </w:r>
      </w:fldSimple>
      <w:bookmarkEnd w:id="125"/>
      <w:r>
        <w:t xml:space="preserve"> (a)</w:t>
      </w:r>
      <w:r w:rsidRPr="005456E6">
        <w:t xml:space="preserve"> Difference in annual production between scenarios and base case (East scenario)</w:t>
      </w:r>
      <w:r>
        <w:rPr>
          <w:rStyle w:val="FootnoteReference"/>
        </w:rPr>
        <w:footnoteReference w:id="27"/>
      </w:r>
    </w:p>
    <w:p w14:paraId="662C45F2" w14:textId="77777777" w:rsidR="00836372" w:rsidRPr="00836372" w:rsidRDefault="00836372" w:rsidP="00393B37">
      <w:pPr>
        <w:pStyle w:val="BodyText"/>
      </w:pPr>
    </w:p>
    <w:p w14:paraId="18A7708F" w14:textId="77777777" w:rsidR="00980ADB" w:rsidRDefault="0084509D" w:rsidP="00CE0765">
      <w:pPr>
        <w:keepNext/>
      </w:pPr>
      <w:r>
        <w:rPr>
          <w:noProof/>
        </w:rPr>
        <w:drawing>
          <wp:inline distT="0" distB="0" distL="0" distR="0" wp14:anchorId="188D7857" wp14:editId="2C37AE8B">
            <wp:extent cx="5100172" cy="3591499"/>
            <wp:effectExtent l="0" t="0" r="5715" b="3175"/>
            <wp:docPr id="391530188" name="Picture 391530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530188" name="Picture 391530188"/>
                    <pic:cNvPicPr/>
                  </pic:nvPicPr>
                  <pic:blipFill>
                    <a:blip r:embed="rId70" cstate="print">
                      <a:extLst>
                        <a:ext uri="{28A0092B-C50C-407E-A947-70E740481C1C}">
                          <a14:useLocalDpi xmlns:a14="http://schemas.microsoft.com/office/drawing/2010/main" val="0"/>
                        </a:ext>
                      </a:extLst>
                    </a:blip>
                    <a:stretch>
                      <a:fillRect/>
                    </a:stretch>
                  </pic:blipFill>
                  <pic:spPr>
                    <a:xfrm>
                      <a:off x="0" y="0"/>
                      <a:ext cx="5119765" cy="3605296"/>
                    </a:xfrm>
                    <a:prstGeom prst="rect">
                      <a:avLst/>
                    </a:prstGeom>
                  </pic:spPr>
                </pic:pic>
              </a:graphicData>
            </a:graphic>
          </wp:inline>
        </w:drawing>
      </w:r>
    </w:p>
    <w:p w14:paraId="7F9C1276" w14:textId="4FC5BD47" w:rsidR="0084509D" w:rsidRPr="00837FC8" w:rsidRDefault="00980ADB" w:rsidP="00CE0765">
      <w:pPr>
        <w:pStyle w:val="Caption"/>
      </w:pPr>
      <w:bookmarkStart w:id="126" w:name="_Ref137567198"/>
      <w:r>
        <w:t xml:space="preserve">Figure </w:t>
      </w:r>
      <w:bookmarkEnd w:id="126"/>
      <w:r>
        <w:t>22 (</w:t>
      </w:r>
      <w:r w:rsidRPr="002322BC">
        <w:t>b</w:t>
      </w:r>
      <w:r>
        <w:t xml:space="preserve">) </w:t>
      </w:r>
      <w:r w:rsidRPr="002322BC">
        <w:t>Difference in annual production between scenarios and base case (West scenario)</w:t>
      </w:r>
      <w:r>
        <w:rPr>
          <w:rStyle w:val="FootnoteReference"/>
        </w:rPr>
        <w:footnoteReference w:id="28"/>
      </w:r>
    </w:p>
    <w:p w14:paraId="47F3944E" w14:textId="5485DFFB" w:rsidR="003F4354" w:rsidRDefault="003F4354" w:rsidP="003F4354">
      <w:pPr>
        <w:rPr>
          <w:rFonts w:cstheme="minorHAnsi"/>
        </w:rPr>
      </w:pPr>
      <w:r w:rsidRPr="00EC4535">
        <w:rPr>
          <w:rFonts w:cstheme="minorHAnsi"/>
        </w:rPr>
        <w:t xml:space="preserve">Regardless of whether sand production is reduced in the east or the west, the entire state is affected, with most LGAs needing to source their sand from more distant suppliers </w:t>
      </w:r>
      <w:r w:rsidR="00CE0765">
        <w:rPr>
          <w:rFonts w:cstheme="minorHAnsi"/>
        </w:rPr>
        <w:t>(</w:t>
      </w:r>
      <w:r w:rsidR="00CE0765">
        <w:rPr>
          <w:rFonts w:cstheme="minorHAnsi"/>
        </w:rPr>
        <w:fldChar w:fldCharType="begin"/>
      </w:r>
      <w:r w:rsidR="00CE0765">
        <w:rPr>
          <w:rFonts w:cstheme="minorHAnsi"/>
        </w:rPr>
        <w:instrText xml:space="preserve"> REF _Ref137567496 \h </w:instrText>
      </w:r>
      <w:r w:rsidR="00CE0765">
        <w:rPr>
          <w:rFonts w:cstheme="minorHAnsi"/>
        </w:rPr>
      </w:r>
      <w:r w:rsidR="00CE0765">
        <w:rPr>
          <w:rFonts w:cstheme="minorHAnsi"/>
        </w:rPr>
        <w:fldChar w:fldCharType="separate"/>
      </w:r>
      <w:r w:rsidR="000154C7">
        <w:t xml:space="preserve">Figure </w:t>
      </w:r>
      <w:r w:rsidR="000154C7">
        <w:rPr>
          <w:noProof/>
        </w:rPr>
        <w:t>23</w:t>
      </w:r>
      <w:r w:rsidR="00CE0765">
        <w:rPr>
          <w:rFonts w:cstheme="minorHAnsi"/>
        </w:rPr>
        <w:fldChar w:fldCharType="end"/>
      </w:r>
      <w:r w:rsidRPr="00EC4535">
        <w:rPr>
          <w:rFonts w:cstheme="minorHAnsi"/>
        </w:rPr>
        <w:t xml:space="preserve">). Most projects around </w:t>
      </w:r>
      <w:r w:rsidRPr="00EC4535">
        <w:rPr>
          <w:rFonts w:cstheme="minorHAnsi"/>
        </w:rPr>
        <w:lastRenderedPageBreak/>
        <w:t>Melbourne would experience increases in sand costs, with some parts of the city heavily impacted. Projects in the eastern regions are most adversely affected in both scenarios.</w:t>
      </w:r>
    </w:p>
    <w:p w14:paraId="5F19718D" w14:textId="58D5E2B9" w:rsidR="003F4354" w:rsidRDefault="003F4354" w:rsidP="003F4354">
      <w:pPr>
        <w:keepNext/>
      </w:pPr>
    </w:p>
    <w:p w14:paraId="21302BA1" w14:textId="77777777" w:rsidR="00CE0765" w:rsidRDefault="00CE0765" w:rsidP="00CE0765">
      <w:pPr>
        <w:keepNext/>
        <w:jc w:val="both"/>
      </w:pPr>
      <w:r>
        <w:rPr>
          <w:noProof/>
        </w:rPr>
        <w:drawing>
          <wp:inline distT="0" distB="0" distL="0" distR="0" wp14:anchorId="2AE2C18C" wp14:editId="143A2DF9">
            <wp:extent cx="5034709" cy="3545400"/>
            <wp:effectExtent l="0" t="0" r="0" b="0"/>
            <wp:docPr id="1490784866" name="Picture 1490784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784866" name="Picture 149078486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5043541" cy="3551619"/>
                    </a:xfrm>
                    <a:prstGeom prst="rect">
                      <a:avLst/>
                    </a:prstGeom>
                  </pic:spPr>
                </pic:pic>
              </a:graphicData>
            </a:graphic>
          </wp:inline>
        </w:drawing>
      </w:r>
    </w:p>
    <w:p w14:paraId="50069641" w14:textId="4C951106" w:rsidR="00CE0765" w:rsidRDefault="00CE0765" w:rsidP="00CE0765">
      <w:pPr>
        <w:pStyle w:val="Caption"/>
      </w:pPr>
      <w:bookmarkStart w:id="127" w:name="_Ref137567496"/>
      <w:r>
        <w:t xml:space="preserve">Figure </w:t>
      </w:r>
      <w:fldSimple w:instr=" SEQ Figure \* ARABIC ">
        <w:r w:rsidR="000154C7">
          <w:rPr>
            <w:noProof/>
          </w:rPr>
          <w:t>23</w:t>
        </w:r>
      </w:fldSimple>
      <w:bookmarkEnd w:id="127"/>
      <w:r>
        <w:t xml:space="preserve"> (a) </w:t>
      </w:r>
      <w:r w:rsidRPr="00B850E5">
        <w:t>Percentage difference in km per order, East disabled scenario</w:t>
      </w:r>
      <w:r>
        <w:rPr>
          <w:rStyle w:val="FootnoteReference"/>
        </w:rPr>
        <w:footnoteReference w:id="29"/>
      </w:r>
    </w:p>
    <w:p w14:paraId="6E2623B6" w14:textId="1516A7CD" w:rsidR="003F4354" w:rsidRDefault="00CE0765" w:rsidP="00CE0765">
      <w:pPr>
        <w:keepNext/>
      </w:pPr>
      <w:r>
        <w:rPr>
          <w:noProof/>
        </w:rPr>
        <w:drawing>
          <wp:inline distT="0" distB="0" distL="0" distR="0" wp14:anchorId="5B90C0C9" wp14:editId="62C46B88">
            <wp:extent cx="4990659" cy="3514381"/>
            <wp:effectExtent l="0" t="0" r="635" b="3810"/>
            <wp:docPr id="1215399134" name="Picture 1215399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399134" name="Picture 1215399134"/>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01759" cy="3522198"/>
                    </a:xfrm>
                    <a:prstGeom prst="rect">
                      <a:avLst/>
                    </a:prstGeom>
                  </pic:spPr>
                </pic:pic>
              </a:graphicData>
            </a:graphic>
          </wp:inline>
        </w:drawing>
      </w:r>
    </w:p>
    <w:p w14:paraId="3592B605" w14:textId="1EA1E58F" w:rsidR="00CE0765" w:rsidRDefault="00CE0765" w:rsidP="00CE0765">
      <w:pPr>
        <w:pStyle w:val="Caption"/>
      </w:pPr>
      <w:r>
        <w:t xml:space="preserve">Figure </w:t>
      </w:r>
      <w:r w:rsidR="002345A0">
        <w:t>23</w:t>
      </w:r>
      <w:r>
        <w:t xml:space="preserve"> (b) </w:t>
      </w:r>
      <w:r w:rsidRPr="00B850E5">
        <w:t xml:space="preserve">Percentage difference in km per order, </w:t>
      </w:r>
      <w:r w:rsidR="00497D37">
        <w:t>West</w:t>
      </w:r>
      <w:r w:rsidRPr="00B850E5">
        <w:t xml:space="preserve"> disabled scenario</w:t>
      </w:r>
      <w:r>
        <w:rPr>
          <w:rStyle w:val="FootnoteReference"/>
        </w:rPr>
        <w:footnoteReference w:id="30"/>
      </w:r>
    </w:p>
    <w:p w14:paraId="1F27F3AF" w14:textId="77777777" w:rsidR="00CE0765" w:rsidRPr="00CE0765" w:rsidRDefault="00CE0765" w:rsidP="00CE0765">
      <w:pPr>
        <w:keepNext/>
      </w:pPr>
    </w:p>
    <w:p w14:paraId="48937D6D" w14:textId="77777777" w:rsidR="00497D37" w:rsidRDefault="00497D37" w:rsidP="003F4354"/>
    <w:p w14:paraId="6988EC39" w14:textId="77777777" w:rsidR="00497D37" w:rsidRDefault="00497D37" w:rsidP="003F4354"/>
    <w:p w14:paraId="582A8CEE" w14:textId="3262EFF3" w:rsidR="003F4354" w:rsidRDefault="003F4354" w:rsidP="003F4354">
      <w:r w:rsidRPr="00837FC8">
        <w:t>In</w:t>
      </w:r>
      <w:r>
        <w:t xml:space="preserve"> the</w:t>
      </w:r>
      <w:r w:rsidRPr="00837FC8">
        <w:t xml:space="preserve"> East and West sand supply reduction scenarios, transportation distances increase </w:t>
      </w:r>
      <w:r w:rsidRPr="006F42F1">
        <w:t>(</w:t>
      </w:r>
      <w:r w:rsidR="009C1E39">
        <w:fldChar w:fldCharType="begin"/>
      </w:r>
      <w:r w:rsidR="009C1E39">
        <w:instrText xml:space="preserve"> REF _Ref129968403 \h </w:instrText>
      </w:r>
      <w:r w:rsidR="009C1E39">
        <w:fldChar w:fldCharType="separate"/>
      </w:r>
      <w:r w:rsidR="000154C7" w:rsidRPr="00160107">
        <w:rPr>
          <w:bCs/>
        </w:rPr>
        <w:t xml:space="preserve">Table </w:t>
      </w:r>
      <w:r w:rsidR="000154C7">
        <w:rPr>
          <w:bCs/>
          <w:noProof/>
        </w:rPr>
        <w:t>12</w:t>
      </w:r>
      <w:r w:rsidR="009C1E39">
        <w:fldChar w:fldCharType="end"/>
      </w:r>
      <w:r w:rsidRPr="006F42F1">
        <w:t>).</w:t>
      </w:r>
    </w:p>
    <w:p w14:paraId="46EEB1D1" w14:textId="77777777" w:rsidR="003F4354" w:rsidRDefault="003F4354" w:rsidP="003F4354">
      <w:r w:rsidRPr="00837FC8">
        <w:t>The approximate transport costs in each scenario can be estimated, assuming a flat rate of $0.20 per km per tonne of sand (Table 12). The eastern region significantly reducing their</w:t>
      </w:r>
      <w:r>
        <w:t xml:space="preserve"> </w:t>
      </w:r>
      <w:r w:rsidRPr="00837FC8">
        <w:t>sand supply is slightly more expensive.</w:t>
      </w:r>
    </w:p>
    <w:p w14:paraId="26B17358" w14:textId="674257D5" w:rsidR="003F4354" w:rsidRPr="00837FC8" w:rsidRDefault="003F4354" w:rsidP="00FF6070">
      <w:pPr>
        <w:pStyle w:val="Caption"/>
      </w:pPr>
      <w:bookmarkStart w:id="128" w:name="_Ref129968403"/>
      <w:r w:rsidRPr="00160107">
        <w:rPr>
          <w:bCs/>
        </w:rPr>
        <w:t xml:space="preserve">Table </w:t>
      </w:r>
      <w:r w:rsidRPr="00160107">
        <w:rPr>
          <w:bCs/>
        </w:rPr>
        <w:fldChar w:fldCharType="begin"/>
      </w:r>
      <w:r w:rsidRPr="00160107">
        <w:rPr>
          <w:bCs/>
        </w:rPr>
        <w:instrText xml:space="preserve"> SEQ Table \* ARABIC </w:instrText>
      </w:r>
      <w:r w:rsidRPr="00160107">
        <w:rPr>
          <w:bCs/>
        </w:rPr>
        <w:fldChar w:fldCharType="separate"/>
      </w:r>
      <w:r w:rsidR="000154C7">
        <w:rPr>
          <w:bCs/>
          <w:noProof/>
        </w:rPr>
        <w:t>12</w:t>
      </w:r>
      <w:r w:rsidRPr="00160107">
        <w:rPr>
          <w:bCs/>
          <w:noProof/>
        </w:rPr>
        <w:fldChar w:fldCharType="end"/>
      </w:r>
      <w:bookmarkEnd w:id="128"/>
      <w:r w:rsidRPr="00837FC8">
        <w:t xml:space="preserve"> Results of modelling for Victorian sand supply scenarios</w:t>
      </w:r>
    </w:p>
    <w:tbl>
      <w:tblPr>
        <w:tblStyle w:val="TableGrid"/>
        <w:tblW w:w="0" w:type="auto"/>
        <w:tblLook w:val="04A0" w:firstRow="1" w:lastRow="0" w:firstColumn="1" w:lastColumn="0" w:noHBand="0" w:noVBand="1"/>
      </w:tblPr>
      <w:tblGrid>
        <w:gridCol w:w="4295"/>
        <w:gridCol w:w="1134"/>
        <w:gridCol w:w="1134"/>
        <w:gridCol w:w="1134"/>
      </w:tblGrid>
      <w:tr w:rsidR="003F4354" w:rsidRPr="00837FC8" w14:paraId="5D567B00" w14:textId="77777777" w:rsidTr="00FF607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0A2D036" w14:textId="77777777" w:rsidR="003F4354" w:rsidRPr="00837FC8" w:rsidRDefault="003F4354">
            <w:pPr>
              <w:rPr>
                <w:rFonts w:cstheme="minorHAnsi"/>
                <w:b/>
                <w:color w:val="000000"/>
              </w:rPr>
            </w:pPr>
          </w:p>
        </w:tc>
        <w:tc>
          <w:tcPr>
            <w:tcW w:w="1134" w:type="dxa"/>
            <w:noWrap/>
            <w:hideMark/>
          </w:tcPr>
          <w:p w14:paraId="011A67E9"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Base</w:t>
            </w:r>
          </w:p>
        </w:tc>
        <w:tc>
          <w:tcPr>
            <w:tcW w:w="1134" w:type="dxa"/>
            <w:noWrap/>
            <w:hideMark/>
          </w:tcPr>
          <w:p w14:paraId="6D110346"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East</w:t>
            </w:r>
          </w:p>
        </w:tc>
        <w:tc>
          <w:tcPr>
            <w:tcW w:w="1134" w:type="dxa"/>
            <w:noWrap/>
            <w:hideMark/>
          </w:tcPr>
          <w:p w14:paraId="40B79185" w14:textId="77777777" w:rsidR="003F4354" w:rsidRPr="00837FC8" w:rsidRDefault="003F4354" w:rsidP="00FF6070">
            <w:pPr>
              <w:pStyle w:val="TableHeadingCentre"/>
              <w:cnfStyle w:val="100000000000" w:firstRow="1" w:lastRow="0" w:firstColumn="0" w:lastColumn="0" w:oddVBand="0" w:evenVBand="0" w:oddHBand="0" w:evenHBand="0" w:firstRowFirstColumn="0" w:firstRowLastColumn="0" w:lastRowFirstColumn="0" w:lastRowLastColumn="0"/>
            </w:pPr>
            <w:r w:rsidRPr="00837FC8">
              <w:t>West</w:t>
            </w:r>
          </w:p>
        </w:tc>
      </w:tr>
      <w:tr w:rsidR="003F4354" w:rsidRPr="00837FC8" w14:paraId="1CC82DBE" w14:textId="77777777" w:rsidTr="00FF607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9B9871D" w14:textId="77777777" w:rsidR="003F4354" w:rsidRPr="00837FC8" w:rsidRDefault="003F4354" w:rsidP="00FF6070">
            <w:pPr>
              <w:pStyle w:val="TableTextLeft"/>
            </w:pPr>
            <w:r w:rsidRPr="00837FC8">
              <w:t>Victorian production (Mt)</w:t>
            </w:r>
          </w:p>
        </w:tc>
        <w:tc>
          <w:tcPr>
            <w:tcW w:w="1134" w:type="dxa"/>
            <w:noWrap/>
            <w:hideMark/>
          </w:tcPr>
          <w:p w14:paraId="3D8154C1"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14.5</w:t>
            </w:r>
          </w:p>
        </w:tc>
        <w:tc>
          <w:tcPr>
            <w:tcW w:w="1134" w:type="dxa"/>
            <w:noWrap/>
            <w:hideMark/>
          </w:tcPr>
          <w:p w14:paraId="259D3533"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13.6</w:t>
            </w:r>
          </w:p>
        </w:tc>
        <w:tc>
          <w:tcPr>
            <w:tcW w:w="1134" w:type="dxa"/>
            <w:noWrap/>
            <w:hideMark/>
          </w:tcPr>
          <w:p w14:paraId="1B0EAB23"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13.9</w:t>
            </w:r>
          </w:p>
        </w:tc>
      </w:tr>
      <w:tr w:rsidR="003F4354" w:rsidRPr="00837FC8" w14:paraId="4FB36EB9" w14:textId="77777777" w:rsidTr="00FF607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68F8533" w14:textId="77777777" w:rsidR="003F4354" w:rsidRPr="00837FC8" w:rsidRDefault="003F4354" w:rsidP="00FF6070">
            <w:pPr>
              <w:pStyle w:val="TableTextLeft"/>
            </w:pPr>
            <w:r w:rsidRPr="00837FC8">
              <w:t>Km travelled per sand order delivered</w:t>
            </w:r>
          </w:p>
        </w:tc>
        <w:tc>
          <w:tcPr>
            <w:tcW w:w="1134" w:type="dxa"/>
            <w:noWrap/>
            <w:hideMark/>
          </w:tcPr>
          <w:p w14:paraId="0AF5D1B1"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90</w:t>
            </w:r>
          </w:p>
        </w:tc>
        <w:tc>
          <w:tcPr>
            <w:tcW w:w="1134" w:type="dxa"/>
            <w:noWrap/>
            <w:hideMark/>
          </w:tcPr>
          <w:p w14:paraId="137A36D0"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127</w:t>
            </w:r>
          </w:p>
        </w:tc>
        <w:tc>
          <w:tcPr>
            <w:tcW w:w="1134" w:type="dxa"/>
            <w:noWrap/>
            <w:hideMark/>
          </w:tcPr>
          <w:p w14:paraId="5295964A"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121</w:t>
            </w:r>
          </w:p>
        </w:tc>
      </w:tr>
      <w:tr w:rsidR="003F4354" w:rsidRPr="00837FC8" w14:paraId="26875247" w14:textId="77777777" w:rsidTr="00FF607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1AB80E1" w14:textId="77777777" w:rsidR="003F4354" w:rsidRPr="00837FC8" w:rsidRDefault="003F4354" w:rsidP="00FF6070">
            <w:pPr>
              <w:pStyle w:val="TableTextLeft"/>
            </w:pPr>
            <w:r w:rsidRPr="00837FC8">
              <w:t xml:space="preserve">Km travelled per sand </w:t>
            </w:r>
            <w:r>
              <w:t xml:space="preserve">tonne </w:t>
            </w:r>
            <w:r w:rsidRPr="00837FC8">
              <w:t>delivered</w:t>
            </w:r>
          </w:p>
        </w:tc>
        <w:tc>
          <w:tcPr>
            <w:tcW w:w="1134" w:type="dxa"/>
            <w:noWrap/>
            <w:hideMark/>
          </w:tcPr>
          <w:p w14:paraId="1B7C1121"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2.26</w:t>
            </w:r>
          </w:p>
        </w:tc>
        <w:tc>
          <w:tcPr>
            <w:tcW w:w="1134" w:type="dxa"/>
            <w:noWrap/>
            <w:hideMark/>
          </w:tcPr>
          <w:p w14:paraId="01A9ED38"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3.17</w:t>
            </w:r>
          </w:p>
        </w:tc>
        <w:tc>
          <w:tcPr>
            <w:tcW w:w="1134" w:type="dxa"/>
            <w:noWrap/>
            <w:hideMark/>
          </w:tcPr>
          <w:p w14:paraId="6EFE22BB"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3.03</w:t>
            </w:r>
          </w:p>
        </w:tc>
      </w:tr>
      <w:tr w:rsidR="003F4354" w:rsidRPr="00837FC8" w14:paraId="58EEDE8A" w14:textId="77777777" w:rsidTr="00FF6070">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06C33DA" w14:textId="77777777" w:rsidR="003F4354" w:rsidRPr="00837FC8" w:rsidRDefault="003F4354" w:rsidP="00FF6070">
            <w:pPr>
              <w:pStyle w:val="TableTextLeft"/>
            </w:pPr>
            <w:r w:rsidRPr="00837FC8">
              <w:t>Total distance travelled (‘000 km)</w:t>
            </w:r>
          </w:p>
        </w:tc>
        <w:tc>
          <w:tcPr>
            <w:tcW w:w="1134" w:type="dxa"/>
            <w:noWrap/>
            <w:hideMark/>
          </w:tcPr>
          <w:p w14:paraId="420E05AA"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32,000</w:t>
            </w:r>
          </w:p>
        </w:tc>
        <w:tc>
          <w:tcPr>
            <w:tcW w:w="1134" w:type="dxa"/>
            <w:noWrap/>
            <w:hideMark/>
          </w:tcPr>
          <w:p w14:paraId="2EFC31EF"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44,000</w:t>
            </w:r>
          </w:p>
        </w:tc>
        <w:tc>
          <w:tcPr>
            <w:tcW w:w="1134" w:type="dxa"/>
            <w:noWrap/>
            <w:hideMark/>
          </w:tcPr>
          <w:p w14:paraId="1C147C3D"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42,000</w:t>
            </w:r>
          </w:p>
        </w:tc>
      </w:tr>
      <w:tr w:rsidR="003F4354" w:rsidRPr="00837FC8" w14:paraId="0250A146" w14:textId="77777777" w:rsidTr="00FF6070">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5EDC3EAE" w14:textId="77777777" w:rsidR="003F4354" w:rsidRPr="00837FC8" w:rsidRDefault="003F4354" w:rsidP="00FF6070">
            <w:pPr>
              <w:pStyle w:val="TableTextLeft"/>
            </w:pPr>
            <w:r w:rsidRPr="00837FC8">
              <w:t>Transport costs ($ million)</w:t>
            </w:r>
          </w:p>
        </w:tc>
        <w:tc>
          <w:tcPr>
            <w:tcW w:w="1134" w:type="dxa"/>
            <w:noWrap/>
          </w:tcPr>
          <w:p w14:paraId="425D7E4A"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12.6</w:t>
            </w:r>
          </w:p>
        </w:tc>
        <w:tc>
          <w:tcPr>
            <w:tcW w:w="1134" w:type="dxa"/>
            <w:noWrap/>
          </w:tcPr>
          <w:p w14:paraId="17C2B800"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18.2</w:t>
            </w:r>
          </w:p>
        </w:tc>
        <w:tc>
          <w:tcPr>
            <w:tcW w:w="1134" w:type="dxa"/>
            <w:noWrap/>
          </w:tcPr>
          <w:p w14:paraId="241986AF"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17.2</w:t>
            </w:r>
          </w:p>
        </w:tc>
      </w:tr>
      <w:tr w:rsidR="003F4354" w:rsidRPr="00837FC8" w14:paraId="1B47B9B6" w14:textId="77777777" w:rsidTr="00FF6070">
        <w:trPr>
          <w:trHeight w:val="300"/>
        </w:trPr>
        <w:tc>
          <w:tcPr>
            <w:cnfStyle w:val="001000000000" w:firstRow="0" w:lastRow="0" w:firstColumn="1" w:lastColumn="0" w:oddVBand="0" w:evenVBand="0" w:oddHBand="0" w:evenHBand="0" w:firstRowFirstColumn="0" w:firstRowLastColumn="0" w:lastRowFirstColumn="0" w:lastRowLastColumn="0"/>
            <w:tcW w:w="0" w:type="auto"/>
            <w:noWrap/>
          </w:tcPr>
          <w:p w14:paraId="6A47A8A8" w14:textId="77777777" w:rsidR="003F4354" w:rsidRPr="00837FC8" w:rsidRDefault="003F4354" w:rsidP="00FF6070">
            <w:pPr>
              <w:pStyle w:val="TableTextLeft"/>
            </w:pPr>
            <w:r w:rsidRPr="00837FC8">
              <w:t>Increase in transport costs relative to baseline</w:t>
            </w:r>
          </w:p>
        </w:tc>
        <w:tc>
          <w:tcPr>
            <w:tcW w:w="1134" w:type="dxa"/>
            <w:noWrap/>
          </w:tcPr>
          <w:p w14:paraId="5A1E3802"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w:t>
            </w:r>
          </w:p>
        </w:tc>
        <w:tc>
          <w:tcPr>
            <w:tcW w:w="1134" w:type="dxa"/>
            <w:noWrap/>
          </w:tcPr>
          <w:p w14:paraId="545782B0"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44%</w:t>
            </w:r>
          </w:p>
        </w:tc>
        <w:tc>
          <w:tcPr>
            <w:tcW w:w="1134" w:type="dxa"/>
            <w:noWrap/>
          </w:tcPr>
          <w:p w14:paraId="3C3D6B3C" w14:textId="77777777" w:rsidR="003F4354" w:rsidRPr="00837FC8" w:rsidRDefault="003F4354" w:rsidP="00FF6070">
            <w:pPr>
              <w:pStyle w:val="TableTextCentre"/>
              <w:cnfStyle w:val="000000000000" w:firstRow="0" w:lastRow="0" w:firstColumn="0" w:lastColumn="0" w:oddVBand="0" w:evenVBand="0" w:oddHBand="0" w:evenHBand="0" w:firstRowFirstColumn="0" w:firstRowLastColumn="0" w:lastRowFirstColumn="0" w:lastRowLastColumn="0"/>
            </w:pPr>
            <w:r w:rsidRPr="00837FC8">
              <w:t>37%</w:t>
            </w:r>
          </w:p>
        </w:tc>
      </w:tr>
    </w:tbl>
    <w:p w14:paraId="3DB02618" w14:textId="77777777" w:rsidR="001A7EF2" w:rsidRDefault="001A7EF2">
      <w:bookmarkStart w:id="129" w:name="_Toc130274697"/>
      <w:r>
        <w:br w:type="page"/>
      </w:r>
    </w:p>
    <w:p w14:paraId="62FB97ED" w14:textId="513BE8EC" w:rsidR="003F4354" w:rsidRDefault="003F4354" w:rsidP="003F4354">
      <w:pPr>
        <w:pStyle w:val="Heading2"/>
      </w:pPr>
      <w:bookmarkStart w:id="130" w:name="_Toc137567817"/>
      <w:r>
        <w:lastRenderedPageBreak/>
        <w:t xml:space="preserve">5.4. </w:t>
      </w:r>
      <w:r w:rsidRPr="00160107">
        <w:t xml:space="preserve">Conclusions </w:t>
      </w:r>
      <w:r>
        <w:t>relating to the SMT scenarios</w:t>
      </w:r>
      <w:bookmarkEnd w:id="129"/>
      <w:bookmarkEnd w:id="130"/>
    </w:p>
    <w:p w14:paraId="4BF939CD" w14:textId="77777777" w:rsidR="003F4354" w:rsidRDefault="003F4354" w:rsidP="003F4354">
      <w:r w:rsidRPr="00837FC8">
        <w:t>The SMT investigated how Victorian construction projects would be affected if sand supply (and therefore sand-based materials such as concrete) had to be sourced from different locations. A reduction in sand supply in either the main western or eastern sand belts caused flow-on effects to projects across the state. The model suggests that in these cases sand would need to be sourced from further away from Greater Melbourne, possibly even interstate, to meet demand. The cost of extractive resources would increase.</w:t>
      </w:r>
    </w:p>
    <w:p w14:paraId="21807586" w14:textId="77777777" w:rsidR="003F4354" w:rsidRDefault="003F4354" w:rsidP="003F4354">
      <w:pPr>
        <w:rPr>
          <w:rFonts w:cstheme="minorHAnsi"/>
        </w:rPr>
      </w:pPr>
      <w:r w:rsidRPr="00837FC8">
        <w:t>Modelling to show possible future scenarios is critical to ensure that planning considers, and adequately prepares for, various options.</w:t>
      </w:r>
      <w:r>
        <w:t xml:space="preserve"> </w:t>
      </w:r>
      <w:r w:rsidRPr="00837FC8">
        <w:rPr>
          <w:rFonts w:cstheme="minorHAnsi"/>
        </w:rPr>
        <w:t>The analysis will help determine future extractive resource locations and support faster approvals processes to maintain future supplies.</w:t>
      </w:r>
    </w:p>
    <w:p w14:paraId="15415FB4" w14:textId="363C3CA6" w:rsidR="00407CC6" w:rsidRDefault="003F4354" w:rsidP="003F4354">
      <w:r w:rsidRPr="009C3F64">
        <w:t>The SMT serves as independent, robust and accessible evidence to support efficient, effective and equitable, government decision making. The tool will assist in identifying current and potential future bottlenecks.</w:t>
      </w:r>
    </w:p>
    <w:p w14:paraId="67A327BA" w14:textId="77777777" w:rsidR="003F4354" w:rsidRDefault="003F4354" w:rsidP="003F4354">
      <w:pPr>
        <w:pStyle w:val="Heading1"/>
      </w:pPr>
      <w:bookmarkStart w:id="131" w:name="_Toc130274698"/>
      <w:bookmarkStart w:id="132" w:name="_Toc137567818"/>
      <w:r w:rsidRPr="009C3F64">
        <w:lastRenderedPageBreak/>
        <w:t>6. Opportunities for future analysis</w:t>
      </w:r>
      <w:bookmarkEnd w:id="131"/>
      <w:bookmarkEnd w:id="132"/>
    </w:p>
    <w:p w14:paraId="0D532739" w14:textId="77777777" w:rsidR="003F4354" w:rsidRDefault="003F4354" w:rsidP="003F4354">
      <w:pPr>
        <w:pStyle w:val="Heading2"/>
      </w:pPr>
      <w:bookmarkStart w:id="133" w:name="_Toc130274699"/>
      <w:bookmarkStart w:id="134" w:name="_Toc137567819"/>
      <w:r w:rsidRPr="009C3F64">
        <w:t>6.1 Revised supply demand forecasts</w:t>
      </w:r>
      <w:bookmarkEnd w:id="133"/>
      <w:bookmarkEnd w:id="134"/>
    </w:p>
    <w:p w14:paraId="0C9DFB8B" w14:textId="77777777" w:rsidR="003F4354" w:rsidRDefault="003F4354" w:rsidP="003F4354">
      <w:r w:rsidRPr="009C3F64">
        <w:t xml:space="preserve">Compiling the Study was a significant and resource-intensive effort on behalf of both Government and the work authority holders involved in industry surveys. </w:t>
      </w:r>
    </w:p>
    <w:p w14:paraId="3ECC0B40" w14:textId="77777777" w:rsidR="003F4354" w:rsidRDefault="003F4354" w:rsidP="003F4354">
      <w:r w:rsidRPr="009C3F64">
        <w:t xml:space="preserve">The data in the Study was compiled in 2021-22. While the Study includes the most robust extractive resources supply and demand dataset to date, the data should be revised periodically to maintain currency. Broader industry surveys would increase the total coverage of the industry as a proportion of the supply data, improving accuracy. The Study would benefit from a closer examination of </w:t>
      </w:r>
      <w:r w:rsidRPr="009C3F64">
        <w:rPr>
          <w:rFonts w:cstheme="minorHAnsi"/>
        </w:rPr>
        <w:t>supply by LGAs although data confidentiality issues would need to be overcome. Further in-depth analysis of the regions where extractive resources are most depleted could also be conducted to identify which regions should be prioritised for extractive resources development within planning frameworks and a multiple land-use context.</w:t>
      </w:r>
    </w:p>
    <w:p w14:paraId="6F9E6506" w14:textId="77777777" w:rsidR="003F4354" w:rsidRDefault="003F4354" w:rsidP="003F4354">
      <w:r w:rsidRPr="009C3F64">
        <w:t xml:space="preserve">While the Study has a short-term focus of eight years, the previous PwC 2016 report considered a 35-year time horizon. A further longer-term study would have merit. However, determining quantifiable supply and demand estimates over the 8-year timeframe of the Study was challenging. As observed during the Study, both the supply and demand outlooks for extractive materials are dynamic and can alter over just a few years, due to influences such as Government infrastructure spending, floods and the economic impacts of the COVID pandemic. A study such as the current one is likely to support Government decision making for about five years. </w:t>
      </w:r>
    </w:p>
    <w:p w14:paraId="6B82BBA5" w14:textId="77777777" w:rsidR="003F4354" w:rsidRDefault="003F4354" w:rsidP="003F4354">
      <w:r w:rsidRPr="009C3F64">
        <w:t>As also observed, the development of the analysis relies heavily on work authority and other stakeholder engagement and can generate significant fatigue. This should be considered in the design of any study revisions. There may be opportunities for acquiring accurate reserves data with less effort and with improvements to internal data sharing, which was a significant impost in the Study.</w:t>
      </w:r>
    </w:p>
    <w:p w14:paraId="7F4B5955" w14:textId="77777777" w:rsidR="003F4354" w:rsidRDefault="003F4354" w:rsidP="003F4354">
      <w:r w:rsidRPr="00D13E01">
        <w:rPr>
          <w:color w:val="232222" w:themeColor="text1"/>
        </w:rPr>
        <w:t xml:space="preserve">It may be optimal to conduct revised quantity-based supply and demand assessments (including product level analysis) over </w:t>
      </w:r>
      <w:r w:rsidRPr="009C3F64">
        <w:t xml:space="preserve">a 10-year forecast period and at regular intervals of about five years. This would balance data reliability with effort and stakeholder fatigue. The period between assessments could be used to improve model design and reporting methodology. Longer-term studies with horizons of more than ten years would likely be better suited as qualitative assessments and to be more strategic, focused on addressing emerging and longer-term supply challenges. </w:t>
      </w:r>
    </w:p>
    <w:p w14:paraId="00200C8D" w14:textId="77777777" w:rsidR="003F4354" w:rsidRDefault="003F4354" w:rsidP="003F4354">
      <w:pPr>
        <w:pStyle w:val="Heading2"/>
      </w:pPr>
      <w:bookmarkStart w:id="135" w:name="_Toc130274700"/>
      <w:bookmarkStart w:id="136" w:name="_Toc137567820"/>
      <w:r w:rsidRPr="009C3F64">
        <w:t>6.2 Development of a replenishment Index</w:t>
      </w:r>
      <w:bookmarkEnd w:id="135"/>
      <w:bookmarkEnd w:id="136"/>
    </w:p>
    <w:p w14:paraId="2F936FDC" w14:textId="77777777" w:rsidR="003F4354" w:rsidRDefault="003F4354" w:rsidP="003F4354">
      <w:pPr>
        <w:rPr>
          <w:rFonts w:cstheme="minorHAnsi"/>
        </w:rPr>
      </w:pPr>
      <w:r w:rsidRPr="009C3F64">
        <w:rPr>
          <w:rFonts w:cstheme="minorHAnsi"/>
        </w:rPr>
        <w:t>Future supply demand analysis would benefit from a supply replenishment index and industry groups have made repeated requests for such an index to be developed.</w:t>
      </w:r>
    </w:p>
    <w:p w14:paraId="4C1723AF" w14:textId="77777777" w:rsidR="003F4354" w:rsidRDefault="003F4354" w:rsidP="003F4354">
      <w:r w:rsidRPr="009C3F64">
        <w:rPr>
          <w:rFonts w:cstheme="minorHAnsi"/>
        </w:rPr>
        <w:t xml:space="preserve">A </w:t>
      </w:r>
      <w:r w:rsidRPr="009C3F64">
        <w:t>replenishment index measures the rate at which rock types are consumed and replaced. An index of 1 would indicate that extractive materials are being used at the rate they can be sourced. An index lower than 1 indicates extractive resources are being used faster than they can be developed. Separate indices could be calculated across the state and for strategic regional areas.</w:t>
      </w:r>
    </w:p>
    <w:p w14:paraId="36C5C34D" w14:textId="77777777" w:rsidR="003F4354" w:rsidRDefault="003F4354" w:rsidP="003F4354">
      <w:r w:rsidRPr="009C3F64">
        <w:t xml:space="preserve">The Study lacked a replenishment index. Instead, it attempted to estimate replenishment as a forecast by understanding from industry surveys any plans to bring new supply online via applications for new work authorities, work plans or work plan variations and then making assumptions about approval likelihood. A robust replenishment index would require increased sophistication in industry data reporting and Government analysis and reporting.  </w:t>
      </w:r>
    </w:p>
    <w:p w14:paraId="464C8EA9" w14:textId="77777777" w:rsidR="003F4354" w:rsidRDefault="003F4354" w:rsidP="003F4354">
      <w:pPr>
        <w:pStyle w:val="Heading2"/>
      </w:pPr>
      <w:bookmarkStart w:id="137" w:name="_Toc130274701"/>
      <w:bookmarkStart w:id="138" w:name="_Toc137567821"/>
      <w:r w:rsidRPr="009C3F64">
        <w:t>6.3 Consideration of recycled materials in supply demand analysis</w:t>
      </w:r>
      <w:bookmarkEnd w:id="137"/>
      <w:bookmarkEnd w:id="138"/>
      <w:r w:rsidRPr="00160107">
        <w:t xml:space="preserve"> </w:t>
      </w:r>
    </w:p>
    <w:p w14:paraId="4A1557AB" w14:textId="77777777" w:rsidR="003F4354" w:rsidRDefault="003F4354" w:rsidP="003F4354">
      <w:r w:rsidRPr="00837FC8">
        <w:t xml:space="preserve">In 2020, the Victorian Government released </w:t>
      </w:r>
      <w:r w:rsidRPr="00837FC8">
        <w:rPr>
          <w:i/>
          <w:iCs/>
        </w:rPr>
        <w:t>Recycling Victoria: A new economy</w:t>
      </w:r>
      <w:r w:rsidRPr="00837FC8">
        <w:t>, a plan that lists actions to promote a more circular economy.</w:t>
      </w:r>
      <w:r w:rsidRPr="00837FC8">
        <w:rPr>
          <w:rStyle w:val="FootnoteReference"/>
        </w:rPr>
        <w:footnoteReference w:id="31"/>
      </w:r>
      <w:r w:rsidRPr="00837FC8">
        <w:t xml:space="preserve"> The </w:t>
      </w:r>
      <w:r w:rsidRPr="00837FC8">
        <w:rPr>
          <w:i/>
          <w:iCs/>
        </w:rPr>
        <w:t>Recycled First Policy</w:t>
      </w:r>
      <w:r w:rsidRPr="00837FC8">
        <w:t xml:space="preserve"> was introduced as part of this circular economy strategy. This policy requires companies that bid for major transport infrastructure projects to prioritise recycled and reused Victorian materials while </w:t>
      </w:r>
      <w:r w:rsidRPr="009C3F64">
        <w:t>maintaining compliance and quality standards.</w:t>
      </w:r>
    </w:p>
    <w:p w14:paraId="04B357D0" w14:textId="77777777" w:rsidR="003F4354" w:rsidRDefault="003F4354" w:rsidP="003F4354">
      <w:r w:rsidRPr="009C3F64">
        <w:lastRenderedPageBreak/>
        <w:t xml:space="preserve">Given that the Study has identified that supply is likely to have difficulties meeting future demand, recycled materials are likely to play an increasingly significant role. </w:t>
      </w:r>
      <w:r w:rsidRPr="009C3F64">
        <w:rPr>
          <w:rFonts w:cstheme="minorHAnsi"/>
        </w:rPr>
        <w:t xml:space="preserve">There would be benefit in incorporating </w:t>
      </w:r>
      <w:r>
        <w:rPr>
          <w:rFonts w:cstheme="minorHAnsi"/>
        </w:rPr>
        <w:t>supply and d</w:t>
      </w:r>
      <w:r w:rsidRPr="009C3F64">
        <w:rPr>
          <w:rFonts w:cstheme="minorHAnsi"/>
        </w:rPr>
        <w:t xml:space="preserve">emand for recycled materials in any future revisions to the Study.  </w:t>
      </w:r>
    </w:p>
    <w:p w14:paraId="7BDDFD6D" w14:textId="77777777" w:rsidR="003F4354" w:rsidRDefault="003F4354" w:rsidP="003F4354">
      <w:r w:rsidRPr="009C3F64">
        <w:t>For example, the following should be considered:</w:t>
      </w:r>
    </w:p>
    <w:p w14:paraId="098BF896" w14:textId="77777777" w:rsidR="00FF6070" w:rsidRDefault="003F4354" w:rsidP="00FF6070">
      <w:pPr>
        <w:pStyle w:val="Heading4"/>
      </w:pPr>
      <w:bookmarkStart w:id="139" w:name="_Toc137567822"/>
      <w:r w:rsidRPr="00837FC8">
        <w:t>Asphalt</w:t>
      </w:r>
      <w:bookmarkEnd w:id="139"/>
      <w:r w:rsidRPr="00837FC8">
        <w:t xml:space="preserve"> </w:t>
      </w:r>
    </w:p>
    <w:p w14:paraId="35BA24EA" w14:textId="0550D870" w:rsidR="003F4354" w:rsidRDefault="003F4354" w:rsidP="003F4354">
      <w:r w:rsidRPr="00837FC8">
        <w:t>New asphalt can contain up to 40 per cent of reclaimed asphalt pavement. The Peninsula Link, for example, incorporates 22 per cent reclaimed asphalt pavement.</w:t>
      </w:r>
    </w:p>
    <w:p w14:paraId="6C0206D1" w14:textId="0E5032D1" w:rsidR="003F4354" w:rsidRPr="00837FC8" w:rsidRDefault="003F4354" w:rsidP="00FF6070">
      <w:pPr>
        <w:pStyle w:val="Heading4"/>
      </w:pPr>
      <w:bookmarkStart w:id="140" w:name="_Toc137567823"/>
      <w:r w:rsidRPr="00837FC8">
        <w:t>Crushed concrete</w:t>
      </w:r>
      <w:bookmarkEnd w:id="140"/>
    </w:p>
    <w:p w14:paraId="0C59E70E" w14:textId="77777777" w:rsidR="003F4354" w:rsidRDefault="003F4354" w:rsidP="003F4354">
      <w:r w:rsidRPr="00837FC8">
        <w:t>Crushed concrete (100 per cent purity) may be used as road subbase</w:t>
      </w:r>
      <w:r>
        <w:t>.</w:t>
      </w:r>
      <w:r w:rsidRPr="00837FC8">
        <w:t xml:space="preserve"> Several of Melbourne’s major roads, including Eastlink, have used up to 200,000 tonnes of crushed concrete.</w:t>
      </w:r>
    </w:p>
    <w:p w14:paraId="658D616B" w14:textId="4126E632" w:rsidR="003F4354" w:rsidRPr="00837FC8" w:rsidRDefault="003F4354" w:rsidP="00FF6070">
      <w:pPr>
        <w:pStyle w:val="Heading4"/>
      </w:pPr>
      <w:bookmarkStart w:id="141" w:name="_Toc137567824"/>
      <w:r w:rsidRPr="00837FC8">
        <w:t>Recycled crushed glass in concrete</w:t>
      </w:r>
      <w:bookmarkEnd w:id="141"/>
    </w:p>
    <w:p w14:paraId="0ED1AB22" w14:textId="77777777" w:rsidR="003F4354" w:rsidRDefault="003F4354" w:rsidP="003F4354">
      <w:r w:rsidRPr="00837FC8">
        <w:t>Wyndham City Council is trialling recycled crushed glass as an aggregate in footpaths. Up to 30 per cent fine glass aggregate may be used as a replacement aggregate in concrete mixes.</w:t>
      </w:r>
    </w:p>
    <w:p w14:paraId="123DD0D1" w14:textId="7001C439" w:rsidR="003F4354" w:rsidRPr="00837FC8" w:rsidRDefault="003F4354" w:rsidP="00FF6070">
      <w:pPr>
        <w:pStyle w:val="Heading4"/>
      </w:pPr>
      <w:bookmarkStart w:id="142" w:name="_Toc137567825"/>
      <w:r w:rsidRPr="00837FC8">
        <w:t>Recycled crushed glass</w:t>
      </w:r>
      <w:bookmarkEnd w:id="142"/>
    </w:p>
    <w:p w14:paraId="16B2238E" w14:textId="77777777" w:rsidR="003F4354" w:rsidRDefault="003F4354" w:rsidP="00FF6070">
      <w:r w:rsidRPr="00837FC8">
        <w:t>Recycled crushed glass can directly replace raw sand in products such as asphalt, road base, pipe bedding and granular filter material. Parts of the Koroit Creek Road level crossing removal project</w:t>
      </w:r>
      <w:r w:rsidRPr="00837FC8" w:rsidDel="00E02B0A">
        <w:t xml:space="preserve"> </w:t>
      </w:r>
      <w:r w:rsidRPr="00837FC8">
        <w:t>incorporate recycled crushed glass as bedding material.</w:t>
      </w:r>
    </w:p>
    <w:p w14:paraId="1481DD46" w14:textId="77777777" w:rsidR="003F4354" w:rsidRDefault="003F4354" w:rsidP="003F4354">
      <w:pPr>
        <w:pStyle w:val="Heading2"/>
      </w:pPr>
      <w:bookmarkStart w:id="143" w:name="_Toc130274702"/>
      <w:bookmarkStart w:id="144" w:name="_Toc137567826"/>
      <w:r w:rsidRPr="00837FC8">
        <w:t>6.</w:t>
      </w:r>
      <w:r>
        <w:t>4</w:t>
      </w:r>
      <w:r w:rsidRPr="00837FC8">
        <w:t xml:space="preserve"> </w:t>
      </w:r>
      <w:r>
        <w:t>Integration analysis and s</w:t>
      </w:r>
      <w:r w:rsidRPr="00837FC8">
        <w:t>imulation modelling tool advances</w:t>
      </w:r>
      <w:bookmarkEnd w:id="143"/>
      <w:bookmarkEnd w:id="144"/>
    </w:p>
    <w:p w14:paraId="43CCA912" w14:textId="77777777" w:rsidR="003F4354" w:rsidRDefault="003F4354" w:rsidP="003F4354">
      <w:pPr>
        <w:rPr>
          <w:rFonts w:cstheme="minorHAnsi"/>
        </w:rPr>
      </w:pPr>
      <w:r>
        <w:rPr>
          <w:rFonts w:cstheme="minorHAnsi"/>
        </w:rPr>
        <w:t xml:space="preserve">The Study made use of an integration model developed within the Department and a simulation modelling tool that was developed by Digital Twin Analytics utilising data provided by the Department. </w:t>
      </w:r>
      <w:r w:rsidRPr="00837FC8">
        <w:rPr>
          <w:rFonts w:cstheme="minorHAnsi"/>
        </w:rPr>
        <w:t xml:space="preserve">The Department </w:t>
      </w:r>
      <w:r>
        <w:rPr>
          <w:rFonts w:cstheme="minorHAnsi"/>
        </w:rPr>
        <w:t xml:space="preserve">should </w:t>
      </w:r>
      <w:r w:rsidRPr="00837FC8">
        <w:rPr>
          <w:rFonts w:cstheme="minorHAnsi"/>
        </w:rPr>
        <w:t xml:space="preserve">review </w:t>
      </w:r>
      <w:r>
        <w:rPr>
          <w:rFonts w:cstheme="minorHAnsi"/>
        </w:rPr>
        <w:t xml:space="preserve">and refine both of these models and undertake assumption testing to increase the robustness of predictions. This could be a continual improvement process in between further supply demand study revisions. </w:t>
      </w:r>
    </w:p>
    <w:p w14:paraId="23B3F32E" w14:textId="77777777" w:rsidR="003F4354" w:rsidRDefault="003F4354" w:rsidP="003F4354">
      <w:pPr>
        <w:pStyle w:val="Heading2"/>
      </w:pPr>
      <w:bookmarkStart w:id="145" w:name="_Toc130274703"/>
      <w:bookmarkStart w:id="146" w:name="_Toc137567827"/>
      <w:r>
        <w:t xml:space="preserve">6.5. </w:t>
      </w:r>
      <w:r w:rsidRPr="00837FC8">
        <w:t>Sydney case study</w:t>
      </w:r>
      <w:bookmarkEnd w:id="145"/>
      <w:bookmarkEnd w:id="146"/>
    </w:p>
    <w:p w14:paraId="09D1E1D8" w14:textId="77777777" w:rsidR="003F4354" w:rsidRDefault="003F4354" w:rsidP="003F4354">
      <w:pPr>
        <w:rPr>
          <w:rFonts w:cstheme="minorHAnsi"/>
        </w:rPr>
      </w:pPr>
      <w:r w:rsidRPr="009C3F64">
        <w:rPr>
          <w:rFonts w:cstheme="minorHAnsi"/>
        </w:rPr>
        <w:t>Sydney sits on a sandstone base with isolated patches of bluestone. During the city’s development, Prospect Hill and Penrith in the west were a ready source of extractive resources for construction, respectively, hard rock, and sand and gravel. These resources have been consumed, so there are no high-quality sources of extractive resource aggregate within approximately 100 km of the city.</w:t>
      </w:r>
    </w:p>
    <w:p w14:paraId="35896E3B" w14:textId="77777777" w:rsidR="003F4354" w:rsidRDefault="003F4354" w:rsidP="003F4354">
      <w:pPr>
        <w:rPr>
          <w:rFonts w:cstheme="minorHAnsi"/>
        </w:rPr>
      </w:pPr>
      <w:r w:rsidRPr="009C3F64">
        <w:rPr>
          <w:rFonts w:cstheme="minorHAnsi"/>
        </w:rPr>
        <w:t xml:space="preserve">Marulan, about 180 km south-west of Sydney, represents a new extractive area with high quality deposits. As a large greenfield area, the location is ideal. The extractive zone has sufficient environmental land buffers that do not infringe on residential regions and no heritage or environmental restrictions. Rail reduces transport costs. </w:t>
      </w:r>
    </w:p>
    <w:p w14:paraId="3914745B" w14:textId="77777777" w:rsidR="003F4354" w:rsidRDefault="003F4354" w:rsidP="003F4354">
      <w:pPr>
        <w:rPr>
          <w:rFonts w:cstheme="minorHAnsi"/>
        </w:rPr>
      </w:pPr>
      <w:r w:rsidRPr="009C3F64">
        <w:rPr>
          <w:rFonts w:cstheme="minorHAnsi"/>
        </w:rPr>
        <w:t xml:space="preserve">Unlike Sydney, Melbourne still benefits from quarries being located close to market. However, as the work authorities close to Melbourne are depleted, and if replenishment is not successful (a trend indicated in the Study), Victoria may need new strategies. The main issue for Victoria is that, unlike New South Wales, there are no large, open resource areas within 200 km. Victoria may need to consider multiple smaller work authorities dispersed amid towns and farms. The Victorian industry will need to prepare for this by protecting what little greenfield areas there are for the explicit use of extractive resources. </w:t>
      </w:r>
      <w:r w:rsidRPr="009C3F64">
        <w:rPr>
          <w:rStyle w:val="FootnoteReference"/>
          <w:rFonts w:cstheme="minorHAnsi"/>
        </w:rPr>
        <w:footnoteReference w:id="32"/>
      </w:r>
    </w:p>
    <w:p w14:paraId="1BD78655" w14:textId="77777777" w:rsidR="003F4354" w:rsidRDefault="003F4354" w:rsidP="003F4354">
      <w:pPr>
        <w:pStyle w:val="Heading1"/>
      </w:pPr>
      <w:bookmarkStart w:id="147" w:name="_Toc130274704"/>
      <w:bookmarkStart w:id="148" w:name="_Toc137567828"/>
      <w:r>
        <w:lastRenderedPageBreak/>
        <w:t>7</w:t>
      </w:r>
      <w:r w:rsidRPr="00837FC8">
        <w:t xml:space="preserve"> </w:t>
      </w:r>
      <w:r>
        <w:t>Study</w:t>
      </w:r>
      <w:r w:rsidRPr="00837FC8">
        <w:t xml:space="preserve"> conclusions</w:t>
      </w:r>
      <w:bookmarkEnd w:id="147"/>
      <w:bookmarkEnd w:id="148"/>
    </w:p>
    <w:p w14:paraId="314BD622" w14:textId="77777777" w:rsidR="003F4354" w:rsidRDefault="003F4354" w:rsidP="003F4354">
      <w:r>
        <w:t>The</w:t>
      </w:r>
      <w:r w:rsidRPr="00837FC8">
        <w:t xml:space="preserve"> Study provides the most up-to-date </w:t>
      </w:r>
      <w:r>
        <w:t>supply</w:t>
      </w:r>
      <w:r w:rsidRPr="00837FC8">
        <w:t xml:space="preserve"> and </w:t>
      </w:r>
      <w:r>
        <w:t>demand</w:t>
      </w:r>
      <w:r w:rsidRPr="00837FC8">
        <w:t xml:space="preserve"> </w:t>
      </w:r>
      <w:r>
        <w:t xml:space="preserve">forecasts and models </w:t>
      </w:r>
      <w:r w:rsidRPr="00837FC8">
        <w:t>of the Victorian extractive industry</w:t>
      </w:r>
      <w:r>
        <w:t xml:space="preserve">. The modelling indicates that </w:t>
      </w:r>
      <w:r w:rsidRPr="00837FC8">
        <w:t xml:space="preserve">Greater Melbourne consumes most of Victoria’s </w:t>
      </w:r>
      <w:r>
        <w:t>extractive resources</w:t>
      </w:r>
      <w:r w:rsidRPr="00837FC8">
        <w:t>. Demand is concentrated in and around the metropolitan area, but is spreading with the infrastructure needs of an increasing population.</w:t>
      </w:r>
    </w:p>
    <w:p w14:paraId="73AF94C2" w14:textId="30843E9E" w:rsidR="003F4354" w:rsidRDefault="003F4354" w:rsidP="003F4354">
      <w:r w:rsidRPr="00837FC8">
        <w:t xml:space="preserve">Victoria continues to have supplies of hard rock, sand and gravel, clay and limestone. However, supplies may need to come from further afield if current work authorities </w:t>
      </w:r>
      <w:r>
        <w:t>cannot</w:t>
      </w:r>
      <w:r w:rsidRPr="00837FC8">
        <w:t xml:space="preserve"> meet demand and have their resources depleted. Sourcing </w:t>
      </w:r>
      <w:r>
        <w:t>extractive resources</w:t>
      </w:r>
      <w:r w:rsidRPr="00837FC8">
        <w:t xml:space="preserve"> further away from the demand centres will add significant transport costs to </w:t>
      </w:r>
      <w:r>
        <w:t>extractive resources</w:t>
      </w:r>
      <w:r w:rsidRPr="00837FC8">
        <w:t xml:space="preserve"> products. </w:t>
      </w:r>
    </w:p>
    <w:p w14:paraId="46DD0243" w14:textId="77777777" w:rsidR="003F4354" w:rsidRDefault="003F4354" w:rsidP="003F4354">
      <w:pPr>
        <w:pStyle w:val="Heading1"/>
      </w:pPr>
      <w:bookmarkStart w:id="149" w:name="_Toc130274705"/>
      <w:bookmarkStart w:id="150" w:name="_Toc137567829"/>
      <w:r>
        <w:lastRenderedPageBreak/>
        <w:t>8</w:t>
      </w:r>
      <w:r w:rsidRPr="00837FC8">
        <w:t>. Appendices</w:t>
      </w:r>
      <w:bookmarkEnd w:id="149"/>
      <w:bookmarkEnd w:id="150"/>
    </w:p>
    <w:p w14:paraId="24D85567" w14:textId="77777777" w:rsidR="003F4354" w:rsidRDefault="003F4354" w:rsidP="003F4354">
      <w:pPr>
        <w:pStyle w:val="Heading2"/>
      </w:pPr>
      <w:bookmarkStart w:id="151" w:name="_Toc130274706"/>
      <w:bookmarkStart w:id="152" w:name="_Toc137567830"/>
      <w:r>
        <w:t>8</w:t>
      </w:r>
      <w:r w:rsidRPr="00837FC8">
        <w:t>.</w:t>
      </w:r>
      <w:r>
        <w:t>1</w:t>
      </w:r>
      <w:r w:rsidRPr="00837FC8">
        <w:t xml:space="preserve"> Supply-side engagement – Survey questions</w:t>
      </w:r>
      <w:bookmarkEnd w:id="151"/>
      <w:bookmarkEnd w:id="152"/>
    </w:p>
    <w:p w14:paraId="1346CC07" w14:textId="77777777" w:rsidR="003F4354" w:rsidRPr="00837FC8" w:rsidRDefault="003F4354" w:rsidP="003F4354">
      <w:pPr>
        <w:rPr>
          <w:b/>
          <w:bCs/>
        </w:rPr>
      </w:pPr>
      <w:r w:rsidRPr="00837FC8">
        <w:rPr>
          <w:b/>
          <w:bCs/>
        </w:rPr>
        <w:t>Preliminary questions:</w:t>
      </w:r>
    </w:p>
    <w:p w14:paraId="1E0DE6A9" w14:textId="77777777" w:rsidR="003F4354" w:rsidRPr="00837FC8" w:rsidRDefault="003F4354" w:rsidP="003F4354">
      <w:r w:rsidRPr="00837FC8">
        <w:t>Unique codes for quarry site?</w:t>
      </w:r>
    </w:p>
    <w:p w14:paraId="1656AB20" w14:textId="77777777" w:rsidR="003F4354" w:rsidRPr="00837FC8" w:rsidRDefault="003F4354" w:rsidP="003F4354">
      <w:r w:rsidRPr="00837FC8">
        <w:t>Name of Respondent?</w:t>
      </w:r>
    </w:p>
    <w:p w14:paraId="32232D73" w14:textId="77777777" w:rsidR="003F4354" w:rsidRDefault="003F4354" w:rsidP="003F4354">
      <w:r w:rsidRPr="00837FC8">
        <w:t>Role of Respondent?</w:t>
      </w:r>
    </w:p>
    <w:p w14:paraId="6582682D" w14:textId="1A510B17" w:rsidR="003F4354" w:rsidRPr="00837FC8" w:rsidRDefault="003F4354" w:rsidP="003F4354">
      <w:pPr>
        <w:rPr>
          <w:b/>
          <w:bCs/>
        </w:rPr>
      </w:pPr>
      <w:r w:rsidRPr="00837FC8">
        <w:rPr>
          <w:b/>
          <w:bCs/>
        </w:rPr>
        <w:t>Current quarry operations</w:t>
      </w:r>
    </w:p>
    <w:p w14:paraId="532A4A8A" w14:textId="77777777" w:rsidR="003F4354" w:rsidRDefault="003F4354" w:rsidP="003F4354">
      <w:r w:rsidRPr="00837FC8">
        <w:t>1. What is the name and locality of your quarry site?</w:t>
      </w:r>
    </w:p>
    <w:p w14:paraId="0A2AAFE6" w14:textId="0A93622F" w:rsidR="003F4354" w:rsidRPr="00837FC8" w:rsidRDefault="003F4354" w:rsidP="003F4354">
      <w:r w:rsidRPr="00837FC8">
        <w:t>2. What local government area is the quarry site located in?</w:t>
      </w:r>
    </w:p>
    <w:p w14:paraId="2A37D307" w14:textId="77777777" w:rsidR="003F4354" w:rsidRDefault="003F4354" w:rsidP="003F4354">
      <w:r w:rsidRPr="00837FC8">
        <w:t>2(b) If other, which LGA?</w:t>
      </w:r>
    </w:p>
    <w:p w14:paraId="292B7A8B" w14:textId="187A6315" w:rsidR="003F4354" w:rsidRPr="00837FC8" w:rsidRDefault="003F4354" w:rsidP="003F4354">
      <w:r w:rsidRPr="00837FC8">
        <w:t>3. What are the top three rock types extracted from the quarry site? List in order of prominence. [1st prominent]</w:t>
      </w:r>
    </w:p>
    <w:p w14:paraId="0408EA89" w14:textId="77777777" w:rsidR="003F4354" w:rsidRPr="00837FC8" w:rsidRDefault="003F4354" w:rsidP="003F4354">
      <w:r w:rsidRPr="00837FC8">
        <w:t>3. What are the top three rock types extracted from the quarry site? List in order of prominence. [2nd prominent]</w:t>
      </w:r>
    </w:p>
    <w:p w14:paraId="482A02CF" w14:textId="77777777" w:rsidR="003F4354" w:rsidRDefault="003F4354" w:rsidP="003F4354">
      <w:r w:rsidRPr="00837FC8">
        <w:t>3. What are the top three rock types extracted from the quarry site? List in order of prominence. [3rd prominent]</w:t>
      </w:r>
    </w:p>
    <w:p w14:paraId="2800E122" w14:textId="77777777" w:rsidR="003F4354" w:rsidRDefault="003F4354" w:rsidP="003F4354">
      <w:pPr>
        <w:rPr>
          <w:b/>
          <w:bCs/>
        </w:rPr>
      </w:pPr>
      <w:r w:rsidRPr="00837FC8">
        <w:rPr>
          <w:b/>
          <w:bCs/>
        </w:rPr>
        <w:t>Resource estimate</w:t>
      </w:r>
    </w:p>
    <w:p w14:paraId="7A265ED9" w14:textId="0EBA9C0A" w:rsidR="003F4354" w:rsidRPr="00837FC8" w:rsidRDefault="003F4354" w:rsidP="003F4354">
      <w:r w:rsidRPr="00837FC8">
        <w:t>1(a). What is the current total resource estimate at your quarry site (within the work authority/authorities), in metric tonnes?</w:t>
      </w:r>
    </w:p>
    <w:p w14:paraId="068C90E9" w14:textId="77777777" w:rsidR="003F4354" w:rsidRDefault="003F4354" w:rsidP="003F4354">
      <w:r w:rsidRPr="00837FC8">
        <w:t>1(b). Level of measurement for (1a) above?</w:t>
      </w:r>
    </w:p>
    <w:p w14:paraId="24BD2FA6" w14:textId="44C9A35A" w:rsidR="003F4354" w:rsidRPr="00837FC8" w:rsidRDefault="003F4354" w:rsidP="003F4354">
      <w:r w:rsidRPr="00837FC8">
        <w:t>2. What percentage (%) of the resource estimate does the top three rock types make up? Refer to Section B, Q3. [Rock type 1]</w:t>
      </w:r>
    </w:p>
    <w:p w14:paraId="08D9B878" w14:textId="77777777" w:rsidR="003F4354" w:rsidRPr="00837FC8" w:rsidRDefault="003F4354" w:rsidP="003F4354">
      <w:r w:rsidRPr="00837FC8">
        <w:t>2. What percentage (%) of the resource estimate does the top three rock types make up? Refer to Section B, Q3. [Rock type 2]</w:t>
      </w:r>
    </w:p>
    <w:p w14:paraId="67456F85" w14:textId="77777777" w:rsidR="003F4354" w:rsidRDefault="003F4354" w:rsidP="003F4354">
      <w:r w:rsidRPr="00837FC8">
        <w:t>2. What percentage (%) of the resource estimate does the top three rock types make up? Refer to Section B, Q3. [Rock type 3]</w:t>
      </w:r>
    </w:p>
    <w:p w14:paraId="6DEBAD5B" w14:textId="599FEC9F" w:rsidR="003F4354" w:rsidRPr="00837FC8" w:rsidRDefault="003F4354" w:rsidP="003F4354">
      <w:r w:rsidRPr="00837FC8">
        <w:t>3(a). What is the current reserve (e.g. technically feasible to extract and located within approved extraction limit) at your quarry site? Metric tonnes.</w:t>
      </w:r>
    </w:p>
    <w:p w14:paraId="7DEBD626" w14:textId="77777777" w:rsidR="003F4354" w:rsidRDefault="003F4354" w:rsidP="003F4354">
      <w:r w:rsidRPr="00837FC8">
        <w:t>3(b). Level of measurement for (1a) above?</w:t>
      </w:r>
    </w:p>
    <w:p w14:paraId="5DA2D619" w14:textId="6DD42066" w:rsidR="003F4354" w:rsidRPr="00837FC8" w:rsidRDefault="003F4354" w:rsidP="003F4354">
      <w:r w:rsidRPr="00837FC8">
        <w:t>4. What percentage (%) of the reserve does the top three rock types make up? Refer to Section B, Q3. [Rock type 1]</w:t>
      </w:r>
    </w:p>
    <w:p w14:paraId="4AFC678E" w14:textId="77777777" w:rsidR="003F4354" w:rsidRPr="00837FC8" w:rsidRDefault="003F4354" w:rsidP="003F4354">
      <w:r w:rsidRPr="00837FC8">
        <w:t>4. What percentage (%) of the reserve does the top three rock types make up? Refer to Section B, Q3. [Rock type 2]</w:t>
      </w:r>
    </w:p>
    <w:p w14:paraId="595EF1A6" w14:textId="77777777" w:rsidR="003F4354" w:rsidRDefault="003F4354" w:rsidP="003F4354">
      <w:r w:rsidRPr="00837FC8">
        <w:t>4. What percentage (%) of the reserve does the top three rock types make up? Refer to Section B, Q3. [Rock type 3]</w:t>
      </w:r>
    </w:p>
    <w:p w14:paraId="26172E61" w14:textId="77777777" w:rsidR="003F4354" w:rsidRDefault="003F4354" w:rsidP="003F4354">
      <w:r w:rsidRPr="00837FC8">
        <w:t>5. What is the maximum production rate of your site (in metric tonnes per annum) that is possible under current operational limitations?</w:t>
      </w:r>
    </w:p>
    <w:p w14:paraId="61E3C2B8" w14:textId="2A69560E" w:rsidR="003F4354" w:rsidRPr="00837FC8" w:rsidRDefault="003F4354" w:rsidP="003F4354">
      <w:r w:rsidRPr="00837FC8">
        <w:t>6. What are the main constraints to increasing your site's rate of production or throughput? Select one of the following</w:t>
      </w:r>
    </w:p>
    <w:p w14:paraId="59A1DFAC" w14:textId="77777777" w:rsidR="003F4354" w:rsidRDefault="003F4354" w:rsidP="003F4354">
      <w:r w:rsidRPr="00837FC8">
        <w:t>6(b) If other, please describe</w:t>
      </w:r>
    </w:p>
    <w:p w14:paraId="78B600A3" w14:textId="77777777" w:rsidR="003F4354" w:rsidRDefault="003F4354" w:rsidP="003F4354">
      <w:pPr>
        <w:rPr>
          <w:b/>
          <w:bCs/>
        </w:rPr>
      </w:pPr>
      <w:r w:rsidRPr="00837FC8">
        <w:rPr>
          <w:b/>
          <w:bCs/>
        </w:rPr>
        <w:t>Current quarry expansions - work plans and work authorities</w:t>
      </w:r>
    </w:p>
    <w:p w14:paraId="5474D52B" w14:textId="320EB156" w:rsidR="003F4354" w:rsidRPr="00837FC8" w:rsidRDefault="003F4354" w:rsidP="003F4354">
      <w:r w:rsidRPr="00837FC8">
        <w:t>1. Has a work plan variation, new work plan, or amendment/new work authority for the quarry site been submitted, or is planning to be submitted before 2030, in order to increase production at the quarry?</w:t>
      </w:r>
    </w:p>
    <w:p w14:paraId="2A36DA24" w14:textId="77777777" w:rsidR="003F4354" w:rsidRDefault="003F4354" w:rsidP="003F4354">
      <w:r w:rsidRPr="00837FC8">
        <w:lastRenderedPageBreak/>
        <w:t>1. If not already submitted, what is the estimated timing of submitting the work plan variation or work authority?</w:t>
      </w:r>
    </w:p>
    <w:p w14:paraId="6CF9DC38" w14:textId="77777777" w:rsidR="003F4354" w:rsidRDefault="003F4354" w:rsidP="003F4354">
      <w:r w:rsidRPr="00837FC8">
        <w:t>2. What is the estimated tonnage of additional resource that will be encompassed by the change of work plan or work authority?</w:t>
      </w:r>
    </w:p>
    <w:p w14:paraId="45C9D11D" w14:textId="77777777" w:rsidR="003F4354" w:rsidRDefault="003F4354" w:rsidP="003F4354">
      <w:r w:rsidRPr="00837FC8">
        <w:t>3. Level of measurement for (1c) above?</w:t>
      </w:r>
    </w:p>
    <w:p w14:paraId="364965E7" w14:textId="77777777" w:rsidR="003F4354" w:rsidRDefault="003F4354" w:rsidP="003F4354">
      <w:r w:rsidRPr="00837FC8">
        <w:t>4. What is the estimated additional tonnage of production per annum that will be enabled by the change of work plan or work authority? Metric tonnes.</w:t>
      </w:r>
    </w:p>
    <w:p w14:paraId="30C211F8" w14:textId="77777777" w:rsidR="003F4354" w:rsidRDefault="003F4354" w:rsidP="003F4354">
      <w:r w:rsidRPr="00837FC8">
        <w:t>5. What is the estimated timing for when the additional resources or production will come into effect?</w:t>
      </w:r>
    </w:p>
    <w:p w14:paraId="71991183" w14:textId="38D72563" w:rsidR="003F4354" w:rsidRPr="00837FC8" w:rsidRDefault="003F4354" w:rsidP="003F4354">
      <w:r w:rsidRPr="00837FC8">
        <w:t>6. Does the change of work plan or work authority involve a continuation of any of the top three rock types at the current site? Refer to Section B, Q3. [Rock type 1]</w:t>
      </w:r>
    </w:p>
    <w:p w14:paraId="1841D085" w14:textId="77777777" w:rsidR="003F4354" w:rsidRPr="00837FC8" w:rsidRDefault="003F4354" w:rsidP="003F4354">
      <w:r w:rsidRPr="00837FC8">
        <w:t>6. Does the change of work plan or work authority involve a continuation of any of the top three rock types at the current site? Refer to Section B, Q3. [Rock type 2]</w:t>
      </w:r>
    </w:p>
    <w:p w14:paraId="25B47E44" w14:textId="77777777" w:rsidR="003F4354" w:rsidRDefault="003F4354" w:rsidP="003F4354">
      <w:r w:rsidRPr="00837FC8">
        <w:t>6. Does the change of work plan or work authority involve a continuation of any of the top three rock types at the current site? Refer to Section B, Q3. [Rock type 3]</w:t>
      </w:r>
    </w:p>
    <w:p w14:paraId="3A5D65D1" w14:textId="77777777" w:rsidR="003F4354" w:rsidRDefault="003F4354" w:rsidP="003F4354">
      <w:pPr>
        <w:rPr>
          <w:b/>
          <w:bCs/>
        </w:rPr>
      </w:pPr>
      <w:r w:rsidRPr="00837FC8">
        <w:rPr>
          <w:b/>
          <w:bCs/>
        </w:rPr>
        <w:t>Work authorities</w:t>
      </w:r>
    </w:p>
    <w:p w14:paraId="2A68FDC8" w14:textId="77777777" w:rsidR="003F4354" w:rsidRDefault="003F4354" w:rsidP="003F4354">
      <w:r w:rsidRPr="00837FC8">
        <w:t>1. If not already submitted, what is the estimated timing for submitting the work authority application?</w:t>
      </w:r>
    </w:p>
    <w:p w14:paraId="65937A02" w14:textId="77777777" w:rsidR="003F4354" w:rsidRDefault="003F4354" w:rsidP="003F4354">
      <w:r w:rsidRPr="00837FC8">
        <w:t>2. What is the estimated tonnage of additional resource that will be encompassed by the new work authority?</w:t>
      </w:r>
    </w:p>
    <w:p w14:paraId="0BFF721E" w14:textId="77777777" w:rsidR="003F4354" w:rsidRDefault="003F4354" w:rsidP="003F4354">
      <w:r w:rsidRPr="00837FC8">
        <w:t>3. Level of measurement for (2c) above?</w:t>
      </w:r>
    </w:p>
    <w:p w14:paraId="0D980B07" w14:textId="77777777" w:rsidR="003F4354" w:rsidRDefault="003F4354" w:rsidP="003F4354">
      <w:r w:rsidRPr="00837FC8">
        <w:t>4. What is the estimated additional tonnage of production per annum that will be enabled by the new work authority? Metric tonnes.</w:t>
      </w:r>
    </w:p>
    <w:p w14:paraId="1942E90E" w14:textId="77777777" w:rsidR="003F4354" w:rsidRDefault="003F4354" w:rsidP="003F4354">
      <w:r w:rsidRPr="00837FC8">
        <w:t>5. What is the estimated timing for when the additional resources or production will come into effect?</w:t>
      </w:r>
    </w:p>
    <w:p w14:paraId="72C2BF80" w14:textId="1CEBB31C" w:rsidR="003F4354" w:rsidRPr="00837FC8" w:rsidRDefault="003F4354" w:rsidP="003F4354">
      <w:r w:rsidRPr="00837FC8">
        <w:t>6. Is the new work authority a continuation of any of the top three rock types at the current site? Refer to Section B, Q3. [Rock type 1]</w:t>
      </w:r>
    </w:p>
    <w:p w14:paraId="34398903" w14:textId="77777777" w:rsidR="003F4354" w:rsidRPr="00837FC8" w:rsidRDefault="003F4354" w:rsidP="003F4354">
      <w:r w:rsidRPr="00837FC8">
        <w:t>6. Is the new work authority a continuation of any of the top three rock types at the current site? Refer to Section B, Q3. [Rock type 2]</w:t>
      </w:r>
    </w:p>
    <w:p w14:paraId="1E4A0724" w14:textId="77777777" w:rsidR="003F4354" w:rsidRPr="00837FC8" w:rsidRDefault="003F4354" w:rsidP="003F4354">
      <w:r w:rsidRPr="00837FC8">
        <w:t>6. Is the new work authority a continuation of any of the top three rock types at the current site? Refer to Section B, Q3. [Rock type 3]</w:t>
      </w:r>
    </w:p>
    <w:p w14:paraId="34BD0E75" w14:textId="77777777" w:rsidR="003F4354" w:rsidRDefault="003F4354" w:rsidP="003F4354">
      <w:r w:rsidRPr="00837FC8">
        <w:t>How many new quarries (work authorities) does the operator currently have proposed (lodged) that are expected to be operational before 2030?</w:t>
      </w:r>
    </w:p>
    <w:p w14:paraId="66C5EA82" w14:textId="77777777" w:rsidR="003F4354" w:rsidRDefault="003F4354" w:rsidP="003F4354">
      <w:pPr>
        <w:rPr>
          <w:b/>
          <w:bCs/>
        </w:rPr>
      </w:pPr>
      <w:r w:rsidRPr="00837FC8">
        <w:rPr>
          <w:b/>
          <w:bCs/>
        </w:rPr>
        <w:t>Future quarry sites</w:t>
      </w:r>
      <w:r>
        <w:rPr>
          <w:b/>
          <w:bCs/>
        </w:rPr>
        <w:t xml:space="preserve"> (for each </w:t>
      </w:r>
      <w:r w:rsidRPr="00837FC8">
        <w:rPr>
          <w:b/>
          <w:bCs/>
        </w:rPr>
        <w:t>Additional Future Quarry</w:t>
      </w:r>
      <w:r>
        <w:rPr>
          <w:b/>
          <w:bCs/>
        </w:rPr>
        <w:t>)</w:t>
      </w:r>
    </w:p>
    <w:p w14:paraId="29FCFD0B" w14:textId="77777777" w:rsidR="003F4354" w:rsidRDefault="003F4354" w:rsidP="003F4354">
      <w:r w:rsidRPr="00837FC8">
        <w:t>1. Has a work authority number been issued by Earth Resource Regulator for the proposed quarry site? What is the work authority number?</w:t>
      </w:r>
    </w:p>
    <w:p w14:paraId="17189288" w14:textId="77777777" w:rsidR="003F4354" w:rsidRDefault="003F4354" w:rsidP="003F4354">
      <w:r w:rsidRPr="00837FC8">
        <w:t>2. If not yet lodged, when is the application likely to be lodged with the Earth Resource Regulator?</w:t>
      </w:r>
    </w:p>
    <w:p w14:paraId="12A73CA1" w14:textId="77777777" w:rsidR="003F4354" w:rsidRDefault="003F4354" w:rsidP="003F4354">
      <w:r w:rsidRPr="00837FC8">
        <w:t>3. In which local government area is the proposed quarry site located in?</w:t>
      </w:r>
    </w:p>
    <w:p w14:paraId="5369CB44" w14:textId="77777777" w:rsidR="003F4354" w:rsidRDefault="003F4354" w:rsidP="003F4354">
      <w:r w:rsidRPr="00837FC8">
        <w:t>4. What is the estimated tonnage of resource within the boundaries of the proposed quarry site? Metric tonnes.</w:t>
      </w:r>
    </w:p>
    <w:p w14:paraId="13CD04B5" w14:textId="34CDBA1D" w:rsidR="003F4354" w:rsidRPr="00837FC8" w:rsidRDefault="003F4354" w:rsidP="003F4354">
      <w:r w:rsidRPr="00837FC8">
        <w:t>5. What are the top three rock types extracted from the quarry site? List in order of prominence. [1st prominent]</w:t>
      </w:r>
    </w:p>
    <w:p w14:paraId="3B3A4907" w14:textId="77777777" w:rsidR="003F4354" w:rsidRPr="00837FC8" w:rsidRDefault="003F4354" w:rsidP="003F4354">
      <w:r w:rsidRPr="00837FC8">
        <w:t>5. What are the top three rock types extracted from the quarry site? List in order of prominence. [2nd prominent]</w:t>
      </w:r>
    </w:p>
    <w:p w14:paraId="6EC8AA30" w14:textId="77777777" w:rsidR="003F4354" w:rsidRDefault="003F4354" w:rsidP="003F4354">
      <w:r w:rsidRPr="00837FC8">
        <w:t>5. What are the top three rock types extracted from the quarry site? List in order of prominence. [3rd prominent]</w:t>
      </w:r>
    </w:p>
    <w:p w14:paraId="4EBF3C9E" w14:textId="1CA7DCA7" w:rsidR="003F4354" w:rsidRPr="00837FC8" w:rsidRDefault="003F4354" w:rsidP="003F4354">
      <w:r w:rsidRPr="00837FC8">
        <w:t>6. What percentage (%) of the estimated resource does the top three rock types make up? Refer to Section E, Q4. [Rock type 1]</w:t>
      </w:r>
    </w:p>
    <w:p w14:paraId="198563B9" w14:textId="77777777" w:rsidR="003F4354" w:rsidRPr="00837FC8" w:rsidRDefault="003F4354" w:rsidP="003F4354">
      <w:r w:rsidRPr="00837FC8">
        <w:t>6. What percentage (%) of the estimated resource does the top three rock types make up? Refer to Section E, Q4. [Rock type 2]</w:t>
      </w:r>
    </w:p>
    <w:p w14:paraId="657DA705" w14:textId="77777777" w:rsidR="003F4354" w:rsidRDefault="003F4354" w:rsidP="003F4354">
      <w:r w:rsidRPr="00837FC8">
        <w:lastRenderedPageBreak/>
        <w:t>6. What percentage (%) of the estimated resource does the top three rock types make up? Refer to Section E, Q4. [Rock type 3]</w:t>
      </w:r>
    </w:p>
    <w:p w14:paraId="020A43D6" w14:textId="77777777" w:rsidR="003F4354" w:rsidRDefault="003F4354" w:rsidP="003F4354">
      <w:r w:rsidRPr="00837FC8">
        <w:t>7. What is the estimated tonnage of resource that will be extracted per annum? Metric tonnes.</w:t>
      </w:r>
    </w:p>
    <w:p w14:paraId="4802DA34" w14:textId="77777777" w:rsidR="003F4354" w:rsidRDefault="003F4354" w:rsidP="003F4354">
      <w:r w:rsidRPr="00837FC8">
        <w:t>8. In what year is production expected to begin?</w:t>
      </w:r>
    </w:p>
    <w:p w14:paraId="4B526B13" w14:textId="77777777" w:rsidR="003F4354" w:rsidRDefault="003F4354" w:rsidP="003F4354">
      <w:r w:rsidRPr="00837FC8">
        <w:t>9. Does the operator have another proposed quarry?</w:t>
      </w:r>
    </w:p>
    <w:p w14:paraId="34E6EA21" w14:textId="3079CA4B" w:rsidR="003F4354" w:rsidRPr="00837FC8" w:rsidRDefault="003F4354" w:rsidP="003F4354">
      <w:pPr>
        <w:pStyle w:val="Heading1"/>
      </w:pPr>
      <w:bookmarkStart w:id="153" w:name="_Toc130274707"/>
      <w:bookmarkStart w:id="154" w:name="_Toc137567831"/>
      <w:r>
        <w:lastRenderedPageBreak/>
        <w:t>9. Glossary</w:t>
      </w:r>
      <w:bookmarkEnd w:id="153"/>
      <w:bookmarkEnd w:id="154"/>
    </w:p>
    <w:tbl>
      <w:tblPr>
        <w:tblStyle w:val="TableGrid"/>
        <w:tblW w:w="0" w:type="auto"/>
        <w:tblLook w:val="04A0" w:firstRow="1" w:lastRow="0" w:firstColumn="1" w:lastColumn="0" w:noHBand="0" w:noVBand="1"/>
      </w:tblPr>
      <w:tblGrid>
        <w:gridCol w:w="1671"/>
        <w:gridCol w:w="7345"/>
      </w:tblGrid>
      <w:tr w:rsidR="003F4354" w:rsidRPr="00837FC8" w14:paraId="73BF085A"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Pr>
          <w:p w14:paraId="2AD2DDDC" w14:textId="77777777" w:rsidR="003F4354" w:rsidRPr="00837FC8" w:rsidRDefault="003F4354" w:rsidP="00FF6070">
            <w:pPr>
              <w:pStyle w:val="TableHeadingLeft"/>
            </w:pPr>
            <w:r w:rsidRPr="00837FC8">
              <w:t xml:space="preserve">Term </w:t>
            </w:r>
          </w:p>
        </w:tc>
        <w:tc>
          <w:tcPr>
            <w:tcW w:w="7345" w:type="dxa"/>
          </w:tcPr>
          <w:p w14:paraId="7696015B" w14:textId="77777777" w:rsidR="003F4354" w:rsidRPr="00837FC8" w:rsidRDefault="003F4354" w:rsidP="00FF6070">
            <w:pPr>
              <w:pStyle w:val="TableHeadingLeft"/>
              <w:cnfStyle w:val="100000000000" w:firstRow="1" w:lastRow="0" w:firstColumn="0" w:lastColumn="0" w:oddVBand="0" w:evenVBand="0" w:oddHBand="0" w:evenHBand="0" w:firstRowFirstColumn="0" w:firstRowLastColumn="0" w:lastRowFirstColumn="0" w:lastRowLastColumn="0"/>
            </w:pPr>
            <w:r w:rsidRPr="00837FC8">
              <w:t xml:space="preserve">Definition </w:t>
            </w:r>
          </w:p>
        </w:tc>
      </w:tr>
      <w:tr w:rsidR="003F4354" w:rsidRPr="00837FC8" w14:paraId="7ED0B491" w14:textId="77777777">
        <w:tc>
          <w:tcPr>
            <w:cnfStyle w:val="001000000000" w:firstRow="0" w:lastRow="0" w:firstColumn="1" w:lastColumn="0" w:oddVBand="0" w:evenVBand="0" w:oddHBand="0" w:evenHBand="0" w:firstRowFirstColumn="0" w:firstRowLastColumn="0" w:lastRowFirstColumn="0" w:lastRowLastColumn="0"/>
            <w:tcW w:w="1671" w:type="dxa"/>
          </w:tcPr>
          <w:p w14:paraId="02B04E20" w14:textId="77777777" w:rsidR="003F4354" w:rsidRPr="002868A9" w:rsidRDefault="003F4354" w:rsidP="00FF6070">
            <w:pPr>
              <w:pStyle w:val="TableTextLeft"/>
              <w:rPr>
                <w:lang w:eastAsia="en-GB"/>
              </w:rPr>
            </w:pPr>
            <w:r w:rsidRPr="002868A9">
              <w:rPr>
                <w:lang w:eastAsia="en-GB"/>
              </w:rPr>
              <w:t>Biodiversity offsets </w:t>
            </w:r>
          </w:p>
        </w:tc>
        <w:tc>
          <w:tcPr>
            <w:tcW w:w="7345" w:type="dxa"/>
          </w:tcPr>
          <w:p w14:paraId="40B1C49E" w14:textId="77777777" w:rsidR="003F4354" w:rsidRDefault="003F4354" w:rsidP="00FF6070">
            <w:pPr>
              <w:pStyle w:val="TableTextLeft"/>
              <w:cnfStyle w:val="000000000000" w:firstRow="0" w:lastRow="0" w:firstColumn="0" w:lastColumn="0" w:oddVBand="0" w:evenVBand="0" w:oddHBand="0" w:evenHBand="0" w:firstRowFirstColumn="0" w:firstRowLastColumn="0" w:lastRowFirstColumn="0" w:lastRowLastColumn="0"/>
              <w:rPr>
                <w:lang w:eastAsia="en-GB"/>
              </w:rPr>
            </w:pPr>
            <w:r>
              <w:rPr>
                <w:lang w:eastAsia="en-GB"/>
              </w:rPr>
              <w:t>A</w:t>
            </w:r>
            <w:r w:rsidRPr="002868A9">
              <w:rPr>
                <w:lang w:eastAsia="en-GB"/>
              </w:rPr>
              <w:t xml:space="preserve">re a system where if one area of land is developed another must be conserved in its place to ensure enough parts of the state are kept untouched for ecological purposes. </w:t>
            </w:r>
          </w:p>
        </w:tc>
      </w:tr>
      <w:tr w:rsidR="003F4354" w:rsidRPr="00837FC8" w14:paraId="2AB8A62E" w14:textId="77777777">
        <w:tc>
          <w:tcPr>
            <w:cnfStyle w:val="001000000000" w:firstRow="0" w:lastRow="0" w:firstColumn="1" w:lastColumn="0" w:oddVBand="0" w:evenVBand="0" w:oddHBand="0" w:evenHBand="0" w:firstRowFirstColumn="0" w:firstRowLastColumn="0" w:lastRowFirstColumn="0" w:lastRowLastColumn="0"/>
            <w:tcW w:w="1671" w:type="dxa"/>
          </w:tcPr>
          <w:p w14:paraId="27AC2759" w14:textId="77777777" w:rsidR="003F4354" w:rsidRPr="00837FC8" w:rsidRDefault="003F4354" w:rsidP="00FF6070">
            <w:pPr>
              <w:pStyle w:val="TableTextLeft"/>
            </w:pPr>
            <w:r w:rsidRPr="002868A9">
              <w:rPr>
                <w:lang w:eastAsia="en-GB"/>
              </w:rPr>
              <w:t>Demand </w:t>
            </w:r>
          </w:p>
        </w:tc>
        <w:tc>
          <w:tcPr>
            <w:tcW w:w="7345" w:type="dxa"/>
          </w:tcPr>
          <w:p w14:paraId="126E40CD"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Pr>
                <w:lang w:eastAsia="en-GB"/>
              </w:rPr>
              <w:t xml:space="preserve">The </w:t>
            </w:r>
            <w:r w:rsidRPr="002868A9">
              <w:rPr>
                <w:lang w:eastAsia="en-GB"/>
              </w:rPr>
              <w:t>amount of raw materials needed by Victoria.</w:t>
            </w:r>
          </w:p>
        </w:tc>
      </w:tr>
      <w:tr w:rsidR="003F4354" w:rsidRPr="00837FC8" w14:paraId="11734FBD" w14:textId="77777777">
        <w:tc>
          <w:tcPr>
            <w:cnfStyle w:val="001000000000" w:firstRow="0" w:lastRow="0" w:firstColumn="1" w:lastColumn="0" w:oddVBand="0" w:evenVBand="0" w:oddHBand="0" w:evenHBand="0" w:firstRowFirstColumn="0" w:firstRowLastColumn="0" w:lastRowFirstColumn="0" w:lastRowLastColumn="0"/>
            <w:tcW w:w="1671" w:type="dxa"/>
          </w:tcPr>
          <w:p w14:paraId="08CC04E9" w14:textId="77777777" w:rsidR="003F4354" w:rsidRPr="00837FC8" w:rsidRDefault="003F4354" w:rsidP="00FF6070">
            <w:pPr>
              <w:pStyle w:val="TableTextLeft"/>
            </w:pPr>
            <w:r w:rsidRPr="00837FC8">
              <w:t xml:space="preserve">Earth Resources Regulation </w:t>
            </w:r>
          </w:p>
        </w:tc>
        <w:tc>
          <w:tcPr>
            <w:tcW w:w="7345" w:type="dxa"/>
          </w:tcPr>
          <w:p w14:paraId="15E51C17"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bookmarkStart w:id="155" w:name="_Hlk117608066"/>
            <w:r w:rsidRPr="00837FC8">
              <w:t>Victoria's Regulator of exploration, mining, quarrying, petroleum, recreational prospecting and other earth resource activitie</w:t>
            </w:r>
            <w:bookmarkEnd w:id="155"/>
            <w:r w:rsidRPr="00837FC8">
              <w:t>s.</w:t>
            </w:r>
          </w:p>
        </w:tc>
      </w:tr>
      <w:tr w:rsidR="003F4354" w:rsidRPr="00837FC8" w14:paraId="57927715" w14:textId="77777777">
        <w:tc>
          <w:tcPr>
            <w:cnfStyle w:val="001000000000" w:firstRow="0" w:lastRow="0" w:firstColumn="1" w:lastColumn="0" w:oddVBand="0" w:evenVBand="0" w:oddHBand="0" w:evenHBand="0" w:firstRowFirstColumn="0" w:firstRowLastColumn="0" w:lastRowFirstColumn="0" w:lastRowLastColumn="0"/>
            <w:tcW w:w="1671" w:type="dxa"/>
          </w:tcPr>
          <w:p w14:paraId="0FC6ADAD" w14:textId="77777777" w:rsidR="003F4354" w:rsidRPr="00837FC8" w:rsidRDefault="003F4354" w:rsidP="00FF6070">
            <w:pPr>
              <w:pStyle w:val="TableTextLeft"/>
            </w:pPr>
            <w:r>
              <w:t xml:space="preserve">Victorian extractive industry </w:t>
            </w:r>
          </w:p>
        </w:tc>
        <w:tc>
          <w:tcPr>
            <w:tcW w:w="7345" w:type="dxa"/>
          </w:tcPr>
          <w:p w14:paraId="5401792C"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The business involving the removal (or extraction)</w:t>
            </w:r>
            <w:r w:rsidRPr="00A256DB">
              <w:t xml:space="preserve"> </w:t>
            </w:r>
            <w:r>
              <w:t xml:space="preserve">of various rock types </w:t>
            </w:r>
            <w:r w:rsidRPr="00A256DB">
              <w:t>from land for sale or commercial use, or for use in construction, building,</w:t>
            </w:r>
            <w:r>
              <w:t xml:space="preserve"> </w:t>
            </w:r>
            <w:r w:rsidRPr="00A256DB">
              <w:t>road, or manufacturing works.</w:t>
            </w:r>
            <w:r>
              <w:t xml:space="preserve"> For further information on rock types and industry involvement see </w:t>
            </w:r>
            <w:hyperlink r:id="rId73" w:history="1">
              <w:r w:rsidRPr="00A256DB">
                <w:rPr>
                  <w:rStyle w:val="Hyperlink"/>
                  <w:rFonts w:eastAsiaTheme="majorEastAsia" w:cstheme="minorHAnsi"/>
                </w:rPr>
                <w:t>here</w:t>
              </w:r>
            </w:hyperlink>
            <w:r>
              <w:t>.</w:t>
            </w:r>
            <w:bookmarkStart w:id="156" w:name="_Ref129930055"/>
            <w:r>
              <w:rPr>
                <w:rStyle w:val="FootnoteReference"/>
                <w:rFonts w:cstheme="minorHAnsi"/>
              </w:rPr>
              <w:footnoteReference w:id="33"/>
            </w:r>
            <w:bookmarkEnd w:id="156"/>
            <w:r>
              <w:t xml:space="preserve"> </w:t>
            </w:r>
          </w:p>
        </w:tc>
      </w:tr>
      <w:tr w:rsidR="003F4354" w:rsidRPr="00837FC8" w14:paraId="5BF711B8" w14:textId="77777777">
        <w:tc>
          <w:tcPr>
            <w:cnfStyle w:val="001000000000" w:firstRow="0" w:lastRow="0" w:firstColumn="1" w:lastColumn="0" w:oddVBand="0" w:evenVBand="0" w:oddHBand="0" w:evenHBand="0" w:firstRowFirstColumn="0" w:firstRowLastColumn="0" w:lastRowFirstColumn="0" w:lastRowLastColumn="0"/>
            <w:tcW w:w="1671" w:type="dxa"/>
          </w:tcPr>
          <w:p w14:paraId="28EF4243" w14:textId="77777777" w:rsidR="003F4354" w:rsidRPr="00837FC8" w:rsidRDefault="003F4354" w:rsidP="00FF6070">
            <w:pPr>
              <w:pStyle w:val="TableTextLeft"/>
            </w:pPr>
            <w:r w:rsidRPr="00837FC8">
              <w:t>Extractive industry interest areas</w:t>
            </w:r>
          </w:p>
        </w:tc>
        <w:tc>
          <w:tcPr>
            <w:tcW w:w="7345" w:type="dxa"/>
          </w:tcPr>
          <w:p w14:paraId="7DCDD1D0" w14:textId="1E51E339"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 xml:space="preserve">Areas identified as possibly containing sufficient quality and quantity of extractive resources to run a viable work authority. </w:t>
            </w:r>
            <w:r>
              <w:t xml:space="preserve">For more info see </w:t>
            </w:r>
            <w:hyperlink r:id="rId74" w:history="1">
              <w:r w:rsidRPr="006509CF">
                <w:rPr>
                  <w:rStyle w:val="Hyperlink"/>
                  <w:rFonts w:eastAsiaTheme="majorEastAsia" w:cstheme="minorHAnsi"/>
                </w:rPr>
                <w:t>here</w:t>
              </w:r>
            </w:hyperlink>
            <w:r>
              <w:t>.</w:t>
            </w:r>
            <w:r>
              <w:fldChar w:fldCharType="begin"/>
            </w:r>
            <w:r>
              <w:instrText xml:space="preserve"> NOTEREF _Ref129930055 \f \h </w:instrText>
            </w:r>
            <w:r w:rsidR="00FF6070">
              <w:instrText xml:space="preserve"> \* MERGEFORMAT </w:instrText>
            </w:r>
            <w:r>
              <w:fldChar w:fldCharType="separate"/>
            </w:r>
            <w:r w:rsidR="000154C7" w:rsidRPr="000154C7">
              <w:rPr>
                <w:rStyle w:val="FootnoteReference"/>
              </w:rPr>
              <w:t>32</w:t>
            </w:r>
            <w:r>
              <w:fldChar w:fldCharType="end"/>
            </w:r>
            <w:r>
              <w:t xml:space="preserve"> </w:t>
            </w:r>
          </w:p>
        </w:tc>
      </w:tr>
      <w:tr w:rsidR="003F4354" w:rsidRPr="00837FC8" w14:paraId="7F26CE41" w14:textId="77777777">
        <w:tc>
          <w:tcPr>
            <w:cnfStyle w:val="001000000000" w:firstRow="0" w:lastRow="0" w:firstColumn="1" w:lastColumn="0" w:oddVBand="0" w:evenVBand="0" w:oddHBand="0" w:evenHBand="0" w:firstRowFirstColumn="0" w:firstRowLastColumn="0" w:lastRowFirstColumn="0" w:lastRowLastColumn="0"/>
            <w:tcW w:w="1671" w:type="dxa"/>
          </w:tcPr>
          <w:p w14:paraId="306FB51C" w14:textId="77777777" w:rsidR="003F4354" w:rsidRPr="00837FC8" w:rsidRDefault="003F4354" w:rsidP="00FF6070">
            <w:pPr>
              <w:pStyle w:val="TableTextLeft"/>
            </w:pPr>
            <w:r w:rsidRPr="00837FC8">
              <w:t xml:space="preserve">Extractive resources </w:t>
            </w:r>
          </w:p>
        </w:tc>
        <w:tc>
          <w:tcPr>
            <w:tcW w:w="7345" w:type="dxa"/>
          </w:tcPr>
          <w:p w14:paraId="4883B0EA" w14:textId="3C3FF6F3"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The various rock types that are quarried. This report focuses on hard rocks such as basalt, granite and hornfels, sand and gravel, limestone, clay and clay shale.</w:t>
            </w:r>
            <w:r>
              <w:t xml:space="preserve"> For more info see </w:t>
            </w:r>
            <w:hyperlink r:id="rId75" w:history="1">
              <w:r w:rsidRPr="00BD6C92">
                <w:rPr>
                  <w:rStyle w:val="Hyperlink"/>
                  <w:rFonts w:eastAsiaTheme="majorEastAsia" w:cstheme="minorHAnsi"/>
                </w:rPr>
                <w:t>here</w:t>
              </w:r>
            </w:hyperlink>
            <w:r>
              <w:t>.</w:t>
            </w:r>
            <w:r>
              <w:fldChar w:fldCharType="begin"/>
            </w:r>
            <w:r>
              <w:instrText xml:space="preserve"> NOTEREF _Ref129930055 \f \h </w:instrText>
            </w:r>
            <w:r w:rsidR="00FF6070">
              <w:instrText xml:space="preserve"> \* MERGEFORMAT </w:instrText>
            </w:r>
            <w:r>
              <w:fldChar w:fldCharType="separate"/>
            </w:r>
            <w:r w:rsidR="000154C7" w:rsidRPr="000154C7">
              <w:rPr>
                <w:rStyle w:val="FootnoteReference"/>
              </w:rPr>
              <w:t>32</w:t>
            </w:r>
            <w:r>
              <w:fldChar w:fldCharType="end"/>
            </w:r>
            <w:r>
              <w:t xml:space="preserve"> </w:t>
            </w:r>
          </w:p>
        </w:tc>
      </w:tr>
      <w:tr w:rsidR="003F4354" w:rsidRPr="00837FC8" w14:paraId="0FB52785" w14:textId="77777777">
        <w:tc>
          <w:tcPr>
            <w:cnfStyle w:val="001000000000" w:firstRow="0" w:lastRow="0" w:firstColumn="1" w:lastColumn="0" w:oddVBand="0" w:evenVBand="0" w:oddHBand="0" w:evenHBand="0" w:firstRowFirstColumn="0" w:firstRowLastColumn="0" w:lastRowFirstColumn="0" w:lastRowLastColumn="0"/>
            <w:tcW w:w="1671" w:type="dxa"/>
          </w:tcPr>
          <w:p w14:paraId="0EC39E3C" w14:textId="77777777" w:rsidR="003F4354" w:rsidRPr="00837FC8" w:rsidRDefault="003F4354" w:rsidP="00FF6070">
            <w:pPr>
              <w:pStyle w:val="TableTextLeft"/>
            </w:pPr>
            <w:r w:rsidRPr="00837FC8">
              <w:t>Greater Melbourne</w:t>
            </w:r>
          </w:p>
        </w:tc>
        <w:tc>
          <w:tcPr>
            <w:tcW w:w="7345" w:type="dxa"/>
          </w:tcPr>
          <w:p w14:paraId="019A18C6"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The 31 LGAs located within metropolitan Melbourne. Approximately 4.9 million people live in Greater Melbourne.</w:t>
            </w:r>
            <w:r>
              <w:rPr>
                <w:rStyle w:val="FootnoteReference"/>
                <w:rFonts w:cstheme="minorHAnsi"/>
              </w:rPr>
              <w:footnoteReference w:id="34"/>
            </w:r>
          </w:p>
        </w:tc>
      </w:tr>
      <w:tr w:rsidR="003F4354" w:rsidRPr="00837FC8" w14:paraId="10888861" w14:textId="77777777">
        <w:tc>
          <w:tcPr>
            <w:cnfStyle w:val="001000000000" w:firstRow="0" w:lastRow="0" w:firstColumn="1" w:lastColumn="0" w:oddVBand="0" w:evenVBand="0" w:oddHBand="0" w:evenHBand="0" w:firstRowFirstColumn="0" w:firstRowLastColumn="0" w:lastRowFirstColumn="0" w:lastRowLastColumn="0"/>
            <w:tcW w:w="1671" w:type="dxa"/>
          </w:tcPr>
          <w:p w14:paraId="33B9C6A6" w14:textId="77777777" w:rsidR="003F4354" w:rsidRPr="00837FC8" w:rsidRDefault="003F4354" w:rsidP="00FF6070">
            <w:pPr>
              <w:pStyle w:val="TableTextLeft"/>
            </w:pPr>
            <w:r w:rsidRPr="008925BF">
              <w:rPr>
                <w:lang w:eastAsia="en-GB"/>
              </w:rPr>
              <w:t xml:space="preserve">High supply scenario </w:t>
            </w:r>
          </w:p>
        </w:tc>
        <w:tc>
          <w:tcPr>
            <w:tcW w:w="7345" w:type="dxa"/>
          </w:tcPr>
          <w:p w14:paraId="7906AF85"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A</w:t>
            </w:r>
            <w:r w:rsidRPr="002868A9">
              <w:rPr>
                <w:lang w:eastAsia="en-GB"/>
              </w:rPr>
              <w:t xml:space="preserve"> scenario in which all applications for work plan variations and new work authorities across Victoria proceed, so the state is expected to have more raw material available.</w:t>
            </w:r>
          </w:p>
        </w:tc>
      </w:tr>
      <w:tr w:rsidR="003F4354" w:rsidRPr="00837FC8" w14:paraId="5DD6F496" w14:textId="77777777">
        <w:tc>
          <w:tcPr>
            <w:cnfStyle w:val="001000000000" w:firstRow="0" w:lastRow="0" w:firstColumn="1" w:lastColumn="0" w:oddVBand="0" w:evenVBand="0" w:oddHBand="0" w:evenHBand="0" w:firstRowFirstColumn="0" w:firstRowLastColumn="0" w:lastRowFirstColumn="0" w:lastRowLastColumn="0"/>
            <w:tcW w:w="1671" w:type="dxa"/>
          </w:tcPr>
          <w:p w14:paraId="60E4A144" w14:textId="77777777" w:rsidR="003F4354" w:rsidRPr="00837FC8" w:rsidRDefault="003F4354" w:rsidP="00FF6070">
            <w:pPr>
              <w:pStyle w:val="TableTextLeft"/>
            </w:pPr>
            <w:r w:rsidRPr="00837FC8">
              <w:t xml:space="preserve">Integration analysis </w:t>
            </w:r>
          </w:p>
        </w:tc>
        <w:tc>
          <w:tcPr>
            <w:tcW w:w="7345" w:type="dxa"/>
          </w:tcPr>
          <w:p w14:paraId="3E0B981A"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 xml:space="preserve">Spatial analysis using demand and supply forecasts to identify any potential future shortfalls and supply constraints. </w:t>
            </w:r>
          </w:p>
        </w:tc>
      </w:tr>
      <w:tr w:rsidR="003F4354" w:rsidRPr="00837FC8" w14:paraId="6300D0B9" w14:textId="77777777">
        <w:tc>
          <w:tcPr>
            <w:cnfStyle w:val="001000000000" w:firstRow="0" w:lastRow="0" w:firstColumn="1" w:lastColumn="0" w:oddVBand="0" w:evenVBand="0" w:oddHBand="0" w:evenHBand="0" w:firstRowFirstColumn="0" w:firstRowLastColumn="0" w:lastRowFirstColumn="0" w:lastRowLastColumn="0"/>
            <w:tcW w:w="1671" w:type="dxa"/>
          </w:tcPr>
          <w:p w14:paraId="1A7201DA" w14:textId="77777777" w:rsidR="003F4354" w:rsidRPr="002868A9" w:rsidRDefault="003F4354" w:rsidP="00FF6070">
            <w:pPr>
              <w:pStyle w:val="TableTextLeft"/>
              <w:rPr>
                <w:lang w:eastAsia="en-GB"/>
              </w:rPr>
            </w:pPr>
            <w:r w:rsidRPr="002868A9">
              <w:rPr>
                <w:lang w:eastAsia="en-GB"/>
              </w:rPr>
              <w:t>Low supply scenario </w:t>
            </w:r>
          </w:p>
        </w:tc>
        <w:tc>
          <w:tcPr>
            <w:tcW w:w="7345" w:type="dxa"/>
          </w:tcPr>
          <w:p w14:paraId="22BDB621" w14:textId="77777777" w:rsidR="003F4354"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A sce</w:t>
            </w:r>
            <w:r w:rsidRPr="002868A9">
              <w:rPr>
                <w:lang w:eastAsia="en-GB"/>
              </w:rPr>
              <w:t xml:space="preserve">nario in which applications for work plan variations and new work authorities only assessed as low-risk across Victoria proceed, so the state is expected to have less raw material available. </w:t>
            </w:r>
          </w:p>
        </w:tc>
      </w:tr>
      <w:tr w:rsidR="003F4354" w:rsidRPr="00837FC8" w14:paraId="54BE78D0" w14:textId="77777777">
        <w:tc>
          <w:tcPr>
            <w:cnfStyle w:val="001000000000" w:firstRow="0" w:lastRow="0" w:firstColumn="1" w:lastColumn="0" w:oddVBand="0" w:evenVBand="0" w:oddHBand="0" w:evenHBand="0" w:firstRowFirstColumn="0" w:firstRowLastColumn="0" w:lastRowFirstColumn="0" w:lastRowLastColumn="0"/>
            <w:tcW w:w="1671" w:type="dxa"/>
          </w:tcPr>
          <w:p w14:paraId="31544703" w14:textId="77777777" w:rsidR="003F4354" w:rsidRPr="002868A9" w:rsidRDefault="003F4354" w:rsidP="00FF6070">
            <w:pPr>
              <w:pStyle w:val="TableTextLeft"/>
              <w:rPr>
                <w:lang w:eastAsia="en-GB"/>
              </w:rPr>
            </w:pPr>
            <w:r w:rsidRPr="002868A9">
              <w:rPr>
                <w:lang w:eastAsia="en-GB"/>
              </w:rPr>
              <w:t>Medium supply scenario </w:t>
            </w:r>
          </w:p>
        </w:tc>
        <w:tc>
          <w:tcPr>
            <w:tcW w:w="7345" w:type="dxa"/>
          </w:tcPr>
          <w:p w14:paraId="093516F5" w14:textId="77777777" w:rsidR="003F4354"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A</w:t>
            </w:r>
            <w:r w:rsidRPr="002868A9">
              <w:rPr>
                <w:lang w:eastAsia="en-GB"/>
              </w:rPr>
              <w:t xml:space="preserve"> scenario in which applications for work plan variations and new work authorities assessed as low- and medium-risk across Victoria proceed, so the state is expected to have some raw material available.</w:t>
            </w:r>
          </w:p>
        </w:tc>
      </w:tr>
      <w:tr w:rsidR="003F4354" w:rsidRPr="00837FC8" w14:paraId="6FE2AA34" w14:textId="77777777">
        <w:tc>
          <w:tcPr>
            <w:cnfStyle w:val="001000000000" w:firstRow="0" w:lastRow="0" w:firstColumn="1" w:lastColumn="0" w:oddVBand="0" w:evenVBand="0" w:oddHBand="0" w:evenHBand="0" w:firstRowFirstColumn="0" w:firstRowLastColumn="0" w:lastRowFirstColumn="0" w:lastRowLastColumn="0"/>
            <w:tcW w:w="1671" w:type="dxa"/>
          </w:tcPr>
          <w:p w14:paraId="2A2DAC2A" w14:textId="77777777" w:rsidR="003F4354" w:rsidRPr="002868A9" w:rsidRDefault="003F4354" w:rsidP="00FF6070">
            <w:pPr>
              <w:pStyle w:val="TableTextLeft"/>
              <w:rPr>
                <w:lang w:eastAsia="en-GB"/>
              </w:rPr>
            </w:pPr>
            <w:r w:rsidRPr="002868A9">
              <w:rPr>
                <w:lang w:eastAsia="en-GB"/>
              </w:rPr>
              <w:t>Operator </w:t>
            </w:r>
          </w:p>
        </w:tc>
        <w:tc>
          <w:tcPr>
            <w:tcW w:w="7345" w:type="dxa"/>
          </w:tcPr>
          <w:p w14:paraId="3532909D" w14:textId="77777777" w:rsidR="003F4354"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A</w:t>
            </w:r>
            <w:r w:rsidRPr="002868A9">
              <w:rPr>
                <w:lang w:eastAsia="en-GB"/>
              </w:rPr>
              <w:t>n extractive industry professional or company who has been granted permission via a work authority to extract raw materials from a quarry.</w:t>
            </w:r>
          </w:p>
        </w:tc>
      </w:tr>
      <w:tr w:rsidR="003F4354" w:rsidRPr="00837FC8" w14:paraId="42E4ADCD" w14:textId="77777777">
        <w:tc>
          <w:tcPr>
            <w:cnfStyle w:val="001000000000" w:firstRow="0" w:lastRow="0" w:firstColumn="1" w:lastColumn="0" w:oddVBand="0" w:evenVBand="0" w:oddHBand="0" w:evenHBand="0" w:firstRowFirstColumn="0" w:firstRowLastColumn="0" w:lastRowFirstColumn="0" w:lastRowLastColumn="0"/>
            <w:tcW w:w="1671" w:type="dxa"/>
          </w:tcPr>
          <w:p w14:paraId="65A87E8E" w14:textId="77777777" w:rsidR="003F4354" w:rsidRPr="00837FC8" w:rsidRDefault="003F4354" w:rsidP="00FF6070">
            <w:pPr>
              <w:pStyle w:val="TableTextLeft"/>
            </w:pPr>
            <w:r w:rsidRPr="002868A9">
              <w:rPr>
                <w:lang w:eastAsia="en-GB"/>
              </w:rPr>
              <w:t>Priority Project List </w:t>
            </w:r>
          </w:p>
        </w:tc>
        <w:tc>
          <w:tcPr>
            <w:tcW w:w="7345" w:type="dxa"/>
          </w:tcPr>
          <w:p w14:paraId="0C0BFC8F"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Is</w:t>
            </w:r>
            <w:r w:rsidRPr="002868A9">
              <w:rPr>
                <w:lang w:eastAsia="en-GB"/>
              </w:rPr>
              <w:t xml:space="preserve"> a list that highlights Victorian quarry projects that will be given priority planning consideration.</w:t>
            </w:r>
          </w:p>
        </w:tc>
      </w:tr>
      <w:tr w:rsidR="003F4354" w:rsidRPr="00837FC8" w14:paraId="697657BE" w14:textId="77777777">
        <w:tc>
          <w:tcPr>
            <w:cnfStyle w:val="001000000000" w:firstRow="0" w:lastRow="0" w:firstColumn="1" w:lastColumn="0" w:oddVBand="0" w:evenVBand="0" w:oddHBand="0" w:evenHBand="0" w:firstRowFirstColumn="0" w:firstRowLastColumn="0" w:lastRowFirstColumn="0" w:lastRowLastColumn="0"/>
            <w:tcW w:w="1671" w:type="dxa"/>
          </w:tcPr>
          <w:p w14:paraId="59EC5F9F" w14:textId="77777777" w:rsidR="003F4354" w:rsidRPr="00837FC8" w:rsidRDefault="003F4354" w:rsidP="00FF6070">
            <w:pPr>
              <w:pStyle w:val="TableTextLeft"/>
            </w:pPr>
            <w:r w:rsidRPr="00837FC8">
              <w:t>Quarry gate (price)</w:t>
            </w:r>
          </w:p>
        </w:tc>
        <w:tc>
          <w:tcPr>
            <w:tcW w:w="7345" w:type="dxa"/>
          </w:tcPr>
          <w:p w14:paraId="5C1D41E8"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The price of extracting raw materials without factoring in transport.</w:t>
            </w:r>
          </w:p>
        </w:tc>
      </w:tr>
      <w:tr w:rsidR="003F4354" w:rsidRPr="00837FC8" w14:paraId="5E1948BC" w14:textId="77777777">
        <w:tc>
          <w:tcPr>
            <w:cnfStyle w:val="001000000000" w:firstRow="0" w:lastRow="0" w:firstColumn="1" w:lastColumn="0" w:oddVBand="0" w:evenVBand="0" w:oddHBand="0" w:evenHBand="0" w:firstRowFirstColumn="0" w:firstRowLastColumn="0" w:lastRowFirstColumn="0" w:lastRowLastColumn="0"/>
            <w:tcW w:w="1671" w:type="dxa"/>
          </w:tcPr>
          <w:p w14:paraId="7C10F487" w14:textId="77777777" w:rsidR="003F4354" w:rsidRPr="00837FC8" w:rsidRDefault="003F4354" w:rsidP="00FF6070">
            <w:pPr>
              <w:pStyle w:val="TableTextLeft"/>
            </w:pPr>
            <w:r w:rsidRPr="002868A9">
              <w:rPr>
                <w:lang w:eastAsia="en-GB"/>
              </w:rPr>
              <w:t>Quarry site </w:t>
            </w:r>
          </w:p>
        </w:tc>
        <w:tc>
          <w:tcPr>
            <w:tcW w:w="7345" w:type="dxa"/>
          </w:tcPr>
          <w:p w14:paraId="3181DD73"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A</w:t>
            </w:r>
            <w:r w:rsidRPr="002868A9">
              <w:rPr>
                <w:lang w:eastAsia="en-GB"/>
              </w:rPr>
              <w:t xml:space="preserve"> site where raw materials such as hard rock or sand are extracted. A quarry site can consist of more than one work authority.</w:t>
            </w:r>
          </w:p>
        </w:tc>
      </w:tr>
      <w:tr w:rsidR="003F4354" w:rsidRPr="00837FC8" w14:paraId="1FC6097B" w14:textId="77777777">
        <w:tc>
          <w:tcPr>
            <w:cnfStyle w:val="001000000000" w:firstRow="0" w:lastRow="0" w:firstColumn="1" w:lastColumn="0" w:oddVBand="0" w:evenVBand="0" w:oddHBand="0" w:evenHBand="0" w:firstRowFirstColumn="0" w:firstRowLastColumn="0" w:lastRowFirstColumn="0" w:lastRowLastColumn="0"/>
            <w:tcW w:w="1671" w:type="dxa"/>
          </w:tcPr>
          <w:p w14:paraId="0B084AD6" w14:textId="77777777" w:rsidR="003F4354" w:rsidRPr="00837FC8" w:rsidRDefault="003F4354" w:rsidP="00FF6070">
            <w:pPr>
              <w:pStyle w:val="TableTextLeft"/>
            </w:pPr>
            <w:r w:rsidRPr="00837FC8">
              <w:t xml:space="preserve">Raw </w:t>
            </w:r>
            <w:r>
              <w:t xml:space="preserve">extractive </w:t>
            </w:r>
            <w:r w:rsidRPr="00837FC8">
              <w:t>material</w:t>
            </w:r>
          </w:p>
        </w:tc>
        <w:tc>
          <w:tcPr>
            <w:tcW w:w="7345" w:type="dxa"/>
          </w:tcPr>
          <w:p w14:paraId="582BB4DB"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Extractive materials in their original form, without any processing. For example basalt or sand</w:t>
            </w:r>
            <w:r>
              <w:t xml:space="preserve"> as it comes from the ground. </w:t>
            </w:r>
          </w:p>
        </w:tc>
      </w:tr>
      <w:tr w:rsidR="003F4354" w:rsidRPr="00837FC8" w14:paraId="25987893" w14:textId="77777777">
        <w:tc>
          <w:tcPr>
            <w:cnfStyle w:val="001000000000" w:firstRow="0" w:lastRow="0" w:firstColumn="1" w:lastColumn="0" w:oddVBand="0" w:evenVBand="0" w:oddHBand="0" w:evenHBand="0" w:firstRowFirstColumn="0" w:firstRowLastColumn="0" w:lastRowFirstColumn="0" w:lastRowLastColumn="0"/>
            <w:tcW w:w="1671" w:type="dxa"/>
          </w:tcPr>
          <w:p w14:paraId="0B6677F2" w14:textId="77777777" w:rsidR="003F4354" w:rsidRPr="002868A9" w:rsidRDefault="003F4354" w:rsidP="00FF6070">
            <w:pPr>
              <w:pStyle w:val="TableTextLeft"/>
              <w:rPr>
                <w:lang w:eastAsia="en-GB"/>
              </w:rPr>
            </w:pPr>
            <w:r w:rsidRPr="002868A9">
              <w:rPr>
                <w:lang w:eastAsia="en-GB"/>
              </w:rPr>
              <w:lastRenderedPageBreak/>
              <w:t xml:space="preserve">Recycled </w:t>
            </w:r>
            <w:r>
              <w:rPr>
                <w:lang w:eastAsia="en-GB"/>
              </w:rPr>
              <w:t xml:space="preserve">extractive </w:t>
            </w:r>
            <w:r w:rsidRPr="002868A9">
              <w:rPr>
                <w:lang w:eastAsia="en-GB"/>
              </w:rPr>
              <w:t>materials </w:t>
            </w:r>
          </w:p>
        </w:tc>
        <w:tc>
          <w:tcPr>
            <w:tcW w:w="7345" w:type="dxa"/>
          </w:tcPr>
          <w:p w14:paraId="75144498" w14:textId="77777777" w:rsidR="003F4354"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2868A9">
              <w:rPr>
                <w:lang w:val="en-GB"/>
              </w:rPr>
              <w:t>Construction products that are repurposed and can be reused as a substitute to raw materials. For example, reclaimed asphalt pavement, crushed concrete, recycled glass, recycled crushed glass.</w:t>
            </w:r>
          </w:p>
        </w:tc>
      </w:tr>
      <w:tr w:rsidR="003F4354" w:rsidRPr="00837FC8" w14:paraId="6D8A86E5" w14:textId="77777777">
        <w:tc>
          <w:tcPr>
            <w:cnfStyle w:val="001000000000" w:firstRow="0" w:lastRow="0" w:firstColumn="1" w:lastColumn="0" w:oddVBand="0" w:evenVBand="0" w:oddHBand="0" w:evenHBand="0" w:firstRowFirstColumn="0" w:firstRowLastColumn="0" w:lastRowFirstColumn="0" w:lastRowLastColumn="0"/>
            <w:tcW w:w="1671" w:type="dxa"/>
          </w:tcPr>
          <w:p w14:paraId="655674E5" w14:textId="77777777" w:rsidR="003F4354" w:rsidRPr="00837FC8" w:rsidRDefault="003F4354" w:rsidP="00FF6070">
            <w:pPr>
              <w:pStyle w:val="TableTextLeft"/>
            </w:pPr>
            <w:r w:rsidRPr="002868A9">
              <w:rPr>
                <w:lang w:eastAsia="en-GB"/>
              </w:rPr>
              <w:t>Regional Development Victoria partnership </w:t>
            </w:r>
          </w:p>
        </w:tc>
        <w:tc>
          <w:tcPr>
            <w:tcW w:w="7345" w:type="dxa"/>
          </w:tcPr>
          <w:p w14:paraId="40CF58B2"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I</w:t>
            </w:r>
            <w:r w:rsidRPr="002868A9">
              <w:rPr>
                <w:lang w:eastAsia="en-GB"/>
              </w:rPr>
              <w:t>s a partnership between local communities within nine regions of Victoria and the state government to ensure that local needs are met.</w:t>
            </w:r>
          </w:p>
        </w:tc>
      </w:tr>
      <w:tr w:rsidR="003F4354" w:rsidRPr="00837FC8" w14:paraId="6E7252A5" w14:textId="77777777">
        <w:tc>
          <w:tcPr>
            <w:cnfStyle w:val="001000000000" w:firstRow="0" w:lastRow="0" w:firstColumn="1" w:lastColumn="0" w:oddVBand="0" w:evenVBand="0" w:oddHBand="0" w:evenHBand="0" w:firstRowFirstColumn="0" w:firstRowLastColumn="0" w:lastRowFirstColumn="0" w:lastRowLastColumn="0"/>
            <w:tcW w:w="1671" w:type="dxa"/>
          </w:tcPr>
          <w:p w14:paraId="7665DE0C" w14:textId="77777777" w:rsidR="003F4354" w:rsidRPr="00837FC8" w:rsidRDefault="003F4354" w:rsidP="00FF6070">
            <w:pPr>
              <w:pStyle w:val="TableTextLeft"/>
            </w:pPr>
            <w:r w:rsidRPr="00837FC8">
              <w:t>Reserves</w:t>
            </w:r>
          </w:p>
        </w:tc>
        <w:tc>
          <w:tcPr>
            <w:tcW w:w="7345" w:type="dxa"/>
          </w:tcPr>
          <w:p w14:paraId="3D047110"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 xml:space="preserve">Total quantity of material within permitted extraction limits of a specific work authority. For </w:t>
            </w:r>
            <w:r>
              <w:t>the</w:t>
            </w:r>
            <w:r w:rsidRPr="00837FC8">
              <w:t xml:space="preserve"> Study, it is assumed that all reserves </w:t>
            </w:r>
            <w:r>
              <w:t>can</w:t>
            </w:r>
            <w:r w:rsidRPr="00837FC8">
              <w:t xml:space="preserve"> be sold at market.</w:t>
            </w:r>
          </w:p>
        </w:tc>
      </w:tr>
      <w:tr w:rsidR="003F4354" w:rsidRPr="00837FC8" w14:paraId="53CF02D3" w14:textId="77777777">
        <w:tc>
          <w:tcPr>
            <w:cnfStyle w:val="001000000000" w:firstRow="0" w:lastRow="0" w:firstColumn="1" w:lastColumn="0" w:oddVBand="0" w:evenVBand="0" w:oddHBand="0" w:evenHBand="0" w:firstRowFirstColumn="0" w:firstRowLastColumn="0" w:lastRowFirstColumn="0" w:lastRowLastColumn="0"/>
            <w:tcW w:w="1671" w:type="dxa"/>
          </w:tcPr>
          <w:p w14:paraId="32D969FF" w14:textId="77777777" w:rsidR="003F4354" w:rsidRPr="00837FC8" w:rsidRDefault="003F4354" w:rsidP="00FF6070">
            <w:pPr>
              <w:pStyle w:val="TableTextLeft"/>
            </w:pPr>
            <w:r w:rsidRPr="00837FC8">
              <w:t>Resource</w:t>
            </w:r>
          </w:p>
        </w:tc>
        <w:tc>
          <w:tcPr>
            <w:tcW w:w="7345" w:type="dxa"/>
          </w:tcPr>
          <w:p w14:paraId="59C41E66"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Total quantity of raw extractive material within work authority boundaries. Not all of a resource will make it to market due to extraction limitations such as depth limits</w:t>
            </w:r>
            <w:r>
              <w:t>,</w:t>
            </w:r>
            <w:r w:rsidRPr="00837FC8">
              <w:t xml:space="preserve"> vegetation protection</w:t>
            </w:r>
            <w:r>
              <w:t>, or cultural heritage management plan.</w:t>
            </w:r>
            <w:r w:rsidRPr="00837FC8">
              <w:t xml:space="preserve"> </w:t>
            </w:r>
          </w:p>
        </w:tc>
      </w:tr>
      <w:tr w:rsidR="003F4354" w:rsidRPr="00837FC8" w14:paraId="3DC4EFA6" w14:textId="77777777">
        <w:tc>
          <w:tcPr>
            <w:cnfStyle w:val="001000000000" w:firstRow="0" w:lastRow="0" w:firstColumn="1" w:lastColumn="0" w:oddVBand="0" w:evenVBand="0" w:oddHBand="0" w:evenHBand="0" w:firstRowFirstColumn="0" w:firstRowLastColumn="0" w:lastRowFirstColumn="0" w:lastRowLastColumn="0"/>
            <w:tcW w:w="1671" w:type="dxa"/>
          </w:tcPr>
          <w:p w14:paraId="47AC3557" w14:textId="77777777" w:rsidR="003F4354" w:rsidRPr="00837FC8" w:rsidRDefault="003F4354" w:rsidP="00FF6070">
            <w:pPr>
              <w:pStyle w:val="TableTextLeft"/>
            </w:pPr>
            <w:r w:rsidRPr="00837FC8">
              <w:t>Simulation modelling tool</w:t>
            </w:r>
          </w:p>
        </w:tc>
        <w:tc>
          <w:tcPr>
            <w:tcW w:w="7345" w:type="dxa"/>
          </w:tcPr>
          <w:p w14:paraId="34871888"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Model that simulates the Victorian extractive industry supply chain by simulating interactions between work authorities, processing plants and construction projects.</w:t>
            </w:r>
          </w:p>
        </w:tc>
      </w:tr>
      <w:tr w:rsidR="003F4354" w:rsidRPr="00837FC8" w14:paraId="7D34DC6B" w14:textId="77777777">
        <w:tc>
          <w:tcPr>
            <w:cnfStyle w:val="001000000000" w:firstRow="0" w:lastRow="0" w:firstColumn="1" w:lastColumn="0" w:oddVBand="0" w:evenVBand="0" w:oddHBand="0" w:evenHBand="0" w:firstRowFirstColumn="0" w:firstRowLastColumn="0" w:lastRowFirstColumn="0" w:lastRowLastColumn="0"/>
            <w:tcW w:w="1671" w:type="dxa"/>
          </w:tcPr>
          <w:p w14:paraId="472A8FC4" w14:textId="77777777" w:rsidR="003F4354" w:rsidRPr="002868A9" w:rsidRDefault="003F4354" w:rsidP="00FF6070">
            <w:pPr>
              <w:pStyle w:val="TableTextLeft"/>
              <w:rPr>
                <w:lang w:eastAsia="en-GB"/>
              </w:rPr>
            </w:pPr>
            <w:r>
              <w:rPr>
                <w:lang w:eastAsia="en-GB"/>
              </w:rPr>
              <w:t>Sterile land</w:t>
            </w:r>
          </w:p>
        </w:tc>
        <w:tc>
          <w:tcPr>
            <w:tcW w:w="7345" w:type="dxa"/>
          </w:tcPr>
          <w:p w14:paraId="46DA3196" w14:textId="77777777" w:rsidR="003F4354" w:rsidRPr="00463D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 xml:space="preserve">Land that is unable to be used as a quarry because it has been selected for another incompatible use. </w:t>
            </w:r>
            <w:r w:rsidRPr="00463DC8">
              <w:t xml:space="preserve"> </w:t>
            </w:r>
          </w:p>
          <w:p w14:paraId="3BAD2A19" w14:textId="77777777" w:rsidR="003F4354"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p>
        </w:tc>
      </w:tr>
      <w:tr w:rsidR="003F4354" w:rsidRPr="00837FC8" w14:paraId="55BDE615" w14:textId="77777777">
        <w:tc>
          <w:tcPr>
            <w:cnfStyle w:val="001000000000" w:firstRow="0" w:lastRow="0" w:firstColumn="1" w:lastColumn="0" w:oddVBand="0" w:evenVBand="0" w:oddHBand="0" w:evenHBand="0" w:firstRowFirstColumn="0" w:firstRowLastColumn="0" w:lastRowFirstColumn="0" w:lastRowLastColumn="0"/>
            <w:tcW w:w="1671" w:type="dxa"/>
          </w:tcPr>
          <w:p w14:paraId="6FF8DED1" w14:textId="77777777" w:rsidR="003F4354" w:rsidRPr="00837FC8" w:rsidRDefault="003F4354" w:rsidP="00FF6070">
            <w:pPr>
              <w:pStyle w:val="TableTextLeft"/>
            </w:pPr>
            <w:r w:rsidRPr="002868A9">
              <w:rPr>
                <w:lang w:eastAsia="en-GB"/>
              </w:rPr>
              <w:t>Specifications </w:t>
            </w:r>
          </w:p>
        </w:tc>
        <w:tc>
          <w:tcPr>
            <w:tcW w:w="7345" w:type="dxa"/>
          </w:tcPr>
          <w:p w14:paraId="3988F222"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R</w:t>
            </w:r>
            <w:r w:rsidRPr="002868A9">
              <w:rPr>
                <w:lang w:eastAsia="en-GB"/>
              </w:rPr>
              <w:t>eferring to the characteristics and quality of a certain construction material.</w:t>
            </w:r>
          </w:p>
        </w:tc>
      </w:tr>
      <w:tr w:rsidR="003F4354" w:rsidRPr="00837FC8" w14:paraId="52A52B65" w14:textId="77777777">
        <w:tc>
          <w:tcPr>
            <w:cnfStyle w:val="001000000000" w:firstRow="0" w:lastRow="0" w:firstColumn="1" w:lastColumn="0" w:oddVBand="0" w:evenVBand="0" w:oddHBand="0" w:evenHBand="0" w:firstRowFirstColumn="0" w:firstRowLastColumn="0" w:lastRowFirstColumn="0" w:lastRowLastColumn="0"/>
            <w:tcW w:w="1671" w:type="dxa"/>
          </w:tcPr>
          <w:p w14:paraId="71308466" w14:textId="77777777" w:rsidR="003F4354" w:rsidRPr="00837FC8" w:rsidRDefault="003F4354" w:rsidP="00FF6070">
            <w:pPr>
              <w:pStyle w:val="TableTextLeft"/>
            </w:pPr>
            <w:r w:rsidRPr="00837FC8">
              <w:t>Strategic extractive resource area</w:t>
            </w:r>
          </w:p>
        </w:tc>
        <w:tc>
          <w:tcPr>
            <w:tcW w:w="7345" w:type="dxa"/>
          </w:tcPr>
          <w:p w14:paraId="6D5435E9" w14:textId="5B867A59"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 xml:space="preserve">Area likely to contain </w:t>
            </w:r>
            <w:r>
              <w:t>extractive</w:t>
            </w:r>
            <w:r w:rsidRPr="00837FC8">
              <w:t xml:space="preserve"> resources of sufficient quantity and quality to support commercial quarry operations. These resources are close to appropriate transport routes and located in areas where a potential quarry will have limited impact on the environment and surrounding land uses.</w:t>
            </w:r>
            <w:r>
              <w:t xml:space="preserve"> For more info see </w:t>
            </w:r>
            <w:hyperlink r:id="rId76" w:history="1">
              <w:r w:rsidRPr="006509CF">
                <w:rPr>
                  <w:rStyle w:val="Hyperlink"/>
                  <w:rFonts w:eastAsiaTheme="majorEastAsia" w:cstheme="minorHAnsi"/>
                </w:rPr>
                <w:t>here</w:t>
              </w:r>
            </w:hyperlink>
            <w:r>
              <w:t>.</w:t>
            </w:r>
            <w:r>
              <w:fldChar w:fldCharType="begin"/>
            </w:r>
            <w:r>
              <w:instrText xml:space="preserve"> NOTEREF _Ref129930055 \f \h </w:instrText>
            </w:r>
            <w:r w:rsidR="00FF6070">
              <w:instrText xml:space="preserve"> \* MERGEFORMAT </w:instrText>
            </w:r>
            <w:r>
              <w:fldChar w:fldCharType="separate"/>
            </w:r>
            <w:r w:rsidR="000154C7" w:rsidRPr="000154C7">
              <w:rPr>
                <w:rStyle w:val="FootnoteReference"/>
              </w:rPr>
              <w:t>32</w:t>
            </w:r>
            <w:r>
              <w:fldChar w:fldCharType="end"/>
            </w:r>
            <w:r>
              <w:t xml:space="preserve"> </w:t>
            </w:r>
          </w:p>
        </w:tc>
      </w:tr>
      <w:tr w:rsidR="003F4354" w:rsidRPr="00837FC8" w14:paraId="28002784" w14:textId="77777777">
        <w:tc>
          <w:tcPr>
            <w:cnfStyle w:val="001000000000" w:firstRow="0" w:lastRow="0" w:firstColumn="1" w:lastColumn="0" w:oddVBand="0" w:evenVBand="0" w:oddHBand="0" w:evenHBand="0" w:firstRowFirstColumn="0" w:firstRowLastColumn="0" w:lastRowFirstColumn="0" w:lastRowLastColumn="0"/>
            <w:tcW w:w="1671" w:type="dxa"/>
          </w:tcPr>
          <w:p w14:paraId="257EB65B" w14:textId="77777777" w:rsidR="003F4354" w:rsidRPr="00837FC8" w:rsidRDefault="003F4354" w:rsidP="00FF6070">
            <w:pPr>
              <w:pStyle w:val="TableTextLeft"/>
            </w:pPr>
            <w:r w:rsidRPr="00837FC8">
              <w:t>Strategic resource</w:t>
            </w:r>
          </w:p>
        </w:tc>
        <w:tc>
          <w:tcPr>
            <w:tcW w:w="7345" w:type="dxa"/>
          </w:tcPr>
          <w:p w14:paraId="092693C8"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Region with a high quantity material suitable for producing construction materials that is located relatively close to current and future demand.</w:t>
            </w:r>
          </w:p>
        </w:tc>
      </w:tr>
      <w:tr w:rsidR="003F4354" w:rsidRPr="00837FC8" w14:paraId="0B3B626C" w14:textId="77777777">
        <w:tc>
          <w:tcPr>
            <w:cnfStyle w:val="001000000000" w:firstRow="0" w:lastRow="0" w:firstColumn="1" w:lastColumn="0" w:oddVBand="0" w:evenVBand="0" w:oddHBand="0" w:evenHBand="0" w:firstRowFirstColumn="0" w:firstRowLastColumn="0" w:lastRowFirstColumn="0" w:lastRowLastColumn="0"/>
            <w:tcW w:w="1671" w:type="dxa"/>
          </w:tcPr>
          <w:p w14:paraId="28F8ADD9" w14:textId="77777777" w:rsidR="003F4354" w:rsidRPr="00837FC8" w:rsidRDefault="003F4354" w:rsidP="00FF6070">
            <w:pPr>
              <w:pStyle w:val="TableTextLeft"/>
            </w:pPr>
            <w:r>
              <w:t>Supply</w:t>
            </w:r>
          </w:p>
        </w:tc>
        <w:tc>
          <w:tcPr>
            <w:tcW w:w="7345" w:type="dxa"/>
          </w:tcPr>
          <w:p w14:paraId="67322ED4"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Pr>
                <w:lang w:eastAsia="en-GB"/>
              </w:rPr>
              <w:t>T</w:t>
            </w:r>
            <w:r w:rsidRPr="002868A9">
              <w:rPr>
                <w:lang w:eastAsia="en-GB"/>
              </w:rPr>
              <w:t>he amount of raw materials across Victorian quarry sites.</w:t>
            </w:r>
          </w:p>
        </w:tc>
      </w:tr>
      <w:tr w:rsidR="003F4354" w:rsidRPr="00837FC8" w14:paraId="7216B094" w14:textId="77777777">
        <w:tc>
          <w:tcPr>
            <w:cnfStyle w:val="001000000000" w:firstRow="0" w:lastRow="0" w:firstColumn="1" w:lastColumn="0" w:oddVBand="0" w:evenVBand="0" w:oddHBand="0" w:evenHBand="0" w:firstRowFirstColumn="0" w:firstRowLastColumn="0" w:lastRowFirstColumn="0" w:lastRowLastColumn="0"/>
            <w:tcW w:w="1671" w:type="dxa"/>
          </w:tcPr>
          <w:p w14:paraId="003B6FD4" w14:textId="77777777" w:rsidR="003F4354" w:rsidRDefault="003F4354" w:rsidP="00FF6070">
            <w:pPr>
              <w:pStyle w:val="TableTextLeft"/>
            </w:pPr>
            <w:r w:rsidRPr="002868A9">
              <w:rPr>
                <w:lang w:eastAsia="en-GB"/>
              </w:rPr>
              <w:t>Supply shortfall </w:t>
            </w:r>
          </w:p>
        </w:tc>
        <w:tc>
          <w:tcPr>
            <w:tcW w:w="7345" w:type="dxa"/>
          </w:tcPr>
          <w:p w14:paraId="033DBA0A" w14:textId="77777777" w:rsidR="003F4354" w:rsidRDefault="003F4354" w:rsidP="00FF6070">
            <w:pPr>
              <w:pStyle w:val="TableTextLeft"/>
              <w:cnfStyle w:val="000000000000" w:firstRow="0" w:lastRow="0" w:firstColumn="0" w:lastColumn="0" w:oddVBand="0" w:evenVBand="0" w:oddHBand="0" w:evenHBand="0" w:firstRowFirstColumn="0" w:firstRowLastColumn="0" w:lastRowFirstColumn="0" w:lastRowLastColumn="0"/>
              <w:rPr>
                <w:lang w:eastAsia="en-GB"/>
              </w:rPr>
            </w:pPr>
            <w:r>
              <w:rPr>
                <w:lang w:eastAsia="en-GB"/>
              </w:rPr>
              <w:t>Occurs w</w:t>
            </w:r>
            <w:r w:rsidRPr="002868A9">
              <w:rPr>
                <w:lang w:eastAsia="en-GB"/>
              </w:rPr>
              <w:t>hen the amount of raw materials that Victoria has does not meet the amount that the state requires.</w:t>
            </w:r>
          </w:p>
        </w:tc>
      </w:tr>
      <w:tr w:rsidR="003F4354" w:rsidRPr="00837FC8" w14:paraId="3C990F0F" w14:textId="77777777">
        <w:tc>
          <w:tcPr>
            <w:cnfStyle w:val="001000000000" w:firstRow="0" w:lastRow="0" w:firstColumn="1" w:lastColumn="0" w:oddVBand="0" w:evenVBand="0" w:oddHBand="0" w:evenHBand="0" w:firstRowFirstColumn="0" w:firstRowLastColumn="0" w:lastRowFirstColumn="0" w:lastRowLastColumn="0"/>
            <w:tcW w:w="1671" w:type="dxa"/>
          </w:tcPr>
          <w:p w14:paraId="6B8106A7" w14:textId="77777777" w:rsidR="003F4354" w:rsidRPr="002868A9" w:rsidRDefault="003F4354" w:rsidP="00FF6070">
            <w:pPr>
              <w:pStyle w:val="TableTextLeft"/>
              <w:rPr>
                <w:lang w:eastAsia="en-GB"/>
              </w:rPr>
            </w:pPr>
            <w:r>
              <w:rPr>
                <w:lang w:eastAsia="en-GB"/>
              </w:rPr>
              <w:t xml:space="preserve">The </w:t>
            </w:r>
            <w:r w:rsidRPr="00F52D9C">
              <w:rPr>
                <w:lang w:eastAsia="en-GB"/>
              </w:rPr>
              <w:t>Department of Energy, Environment and Climate Action</w:t>
            </w:r>
            <w:r>
              <w:rPr>
                <w:lang w:eastAsia="en-GB"/>
              </w:rPr>
              <w:t xml:space="preserve"> (DEECA)</w:t>
            </w:r>
          </w:p>
        </w:tc>
        <w:tc>
          <w:tcPr>
            <w:tcW w:w="7345" w:type="dxa"/>
          </w:tcPr>
          <w:p w14:paraId="4FE91A0C" w14:textId="77777777" w:rsidR="003F4354" w:rsidRPr="006F42F1"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Pr>
                <w:lang w:eastAsia="en-GB"/>
              </w:rPr>
              <w:t xml:space="preserve">This state government department manages Victoria’s </w:t>
            </w:r>
            <w:r w:rsidRPr="00F52D9C">
              <w:rPr>
                <w:lang w:eastAsia="en-GB"/>
              </w:rPr>
              <w:t>energy, environment, water, agriculture, forestry, resources, climate action, and emergency management functions</w:t>
            </w:r>
            <w:r>
              <w:rPr>
                <w:lang w:eastAsia="en-GB"/>
              </w:rPr>
              <w:t xml:space="preserve">. Extractive resources are part of our environment and are hence are managed by this department. </w:t>
            </w:r>
          </w:p>
        </w:tc>
      </w:tr>
      <w:tr w:rsidR="003F4354" w:rsidRPr="00837FC8" w14:paraId="63BD53DB" w14:textId="77777777">
        <w:tc>
          <w:tcPr>
            <w:cnfStyle w:val="001000000000" w:firstRow="0" w:lastRow="0" w:firstColumn="1" w:lastColumn="0" w:oddVBand="0" w:evenVBand="0" w:oddHBand="0" w:evenHBand="0" w:firstRowFirstColumn="0" w:firstRowLastColumn="0" w:lastRowFirstColumn="0" w:lastRowLastColumn="0"/>
            <w:tcW w:w="1671" w:type="dxa"/>
          </w:tcPr>
          <w:p w14:paraId="56E37DFA" w14:textId="77777777" w:rsidR="003F4354" w:rsidRPr="00837FC8" w:rsidRDefault="003F4354" w:rsidP="00FF6070">
            <w:pPr>
              <w:pStyle w:val="TableTextLeft"/>
            </w:pPr>
            <w:r w:rsidRPr="00750B28">
              <w:t xml:space="preserve">The Department of Environment, Land, Water and Planning (DELWP) </w:t>
            </w:r>
          </w:p>
        </w:tc>
        <w:tc>
          <w:tcPr>
            <w:tcW w:w="7345" w:type="dxa"/>
          </w:tcPr>
          <w:p w14:paraId="7064BD41"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750B28">
              <w:t>This state government department manages Victoria’s climate change, energy, environment, water, forests, planning and emergency sectors.</w:t>
            </w:r>
            <w:r>
              <w:t xml:space="preserve"> Now Department of Energy, Environment and Climate Action.</w:t>
            </w:r>
          </w:p>
        </w:tc>
      </w:tr>
      <w:tr w:rsidR="003F4354" w:rsidRPr="00837FC8" w14:paraId="65981650" w14:textId="77777777">
        <w:tc>
          <w:tcPr>
            <w:cnfStyle w:val="001000000000" w:firstRow="0" w:lastRow="0" w:firstColumn="1" w:lastColumn="0" w:oddVBand="0" w:evenVBand="0" w:oddHBand="0" w:evenHBand="0" w:firstRowFirstColumn="0" w:firstRowLastColumn="0" w:lastRowFirstColumn="0" w:lastRowLastColumn="0"/>
            <w:tcW w:w="1671" w:type="dxa"/>
          </w:tcPr>
          <w:p w14:paraId="7146F277" w14:textId="77777777" w:rsidR="003F4354" w:rsidRPr="00837FC8" w:rsidRDefault="003F4354" w:rsidP="00FF6070">
            <w:pPr>
              <w:pStyle w:val="TableTextLeft"/>
            </w:pPr>
            <w:r w:rsidRPr="00750B28">
              <w:t>Transport costs </w:t>
            </w:r>
          </w:p>
        </w:tc>
        <w:tc>
          <w:tcPr>
            <w:tcW w:w="7345" w:type="dxa"/>
          </w:tcPr>
          <w:p w14:paraId="49D0AD60"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Pr>
                <w:lang w:eastAsia="en-GB"/>
              </w:rPr>
              <w:t>T</w:t>
            </w:r>
            <w:r w:rsidRPr="002868A9">
              <w:rPr>
                <w:lang w:eastAsia="en-GB"/>
              </w:rPr>
              <w:t>he costs associated with transporting raw material from the quarry gate to processing plants and to projects.</w:t>
            </w:r>
          </w:p>
        </w:tc>
      </w:tr>
      <w:tr w:rsidR="003F4354" w:rsidRPr="00837FC8" w14:paraId="375421CC" w14:textId="77777777">
        <w:tc>
          <w:tcPr>
            <w:cnfStyle w:val="001000000000" w:firstRow="0" w:lastRow="0" w:firstColumn="1" w:lastColumn="0" w:oddVBand="0" w:evenVBand="0" w:oddHBand="0" w:evenHBand="0" w:firstRowFirstColumn="0" w:firstRowLastColumn="0" w:lastRowFirstColumn="0" w:lastRowLastColumn="0"/>
            <w:tcW w:w="1671" w:type="dxa"/>
          </w:tcPr>
          <w:p w14:paraId="169CDE1F" w14:textId="77777777" w:rsidR="003F4354" w:rsidRPr="00837FC8" w:rsidRDefault="003F4354" w:rsidP="00FF6070">
            <w:pPr>
              <w:pStyle w:val="TableTextLeft"/>
            </w:pPr>
            <w:r w:rsidRPr="00837FC8">
              <w:t>Transport Network Development Plan</w:t>
            </w:r>
          </w:p>
        </w:tc>
        <w:tc>
          <w:tcPr>
            <w:tcW w:w="7345" w:type="dxa"/>
          </w:tcPr>
          <w:p w14:paraId="1B0203AF"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Guide to the short</w:t>
            </w:r>
            <w:r>
              <w:t>-</w:t>
            </w:r>
            <w:r w:rsidRPr="00837FC8">
              <w:t>, medium</w:t>
            </w:r>
            <w:r>
              <w:t>-</w:t>
            </w:r>
            <w:r w:rsidRPr="00837FC8">
              <w:t xml:space="preserve"> and long-term priorities needed to modernise the public transport network.</w:t>
            </w:r>
          </w:p>
        </w:tc>
      </w:tr>
      <w:tr w:rsidR="003F4354" w:rsidRPr="00837FC8" w14:paraId="1E0AD85B" w14:textId="77777777">
        <w:tc>
          <w:tcPr>
            <w:cnfStyle w:val="001000000000" w:firstRow="0" w:lastRow="0" w:firstColumn="1" w:lastColumn="0" w:oddVBand="0" w:evenVBand="0" w:oddHBand="0" w:evenHBand="0" w:firstRowFirstColumn="0" w:firstRowLastColumn="0" w:lastRowFirstColumn="0" w:lastRowLastColumn="0"/>
            <w:tcW w:w="1671" w:type="dxa"/>
          </w:tcPr>
          <w:p w14:paraId="31A1650E" w14:textId="77777777" w:rsidR="003F4354" w:rsidRPr="00837FC8" w:rsidRDefault="003F4354" w:rsidP="00FF6070">
            <w:pPr>
              <w:pStyle w:val="TableTextLeft"/>
            </w:pPr>
            <w:r w:rsidRPr="002868A9">
              <w:rPr>
                <w:lang w:eastAsia="en-GB"/>
              </w:rPr>
              <w:t>Victoria’s Big Build </w:t>
            </w:r>
          </w:p>
        </w:tc>
        <w:tc>
          <w:tcPr>
            <w:tcW w:w="7345" w:type="dxa"/>
          </w:tcPr>
          <w:p w14:paraId="17AE8AAD"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Pr>
                <w:lang w:eastAsia="en-GB"/>
              </w:rPr>
              <w:t>T</w:t>
            </w:r>
            <w:r w:rsidRPr="002868A9">
              <w:rPr>
                <w:lang w:eastAsia="en-GB"/>
              </w:rPr>
              <w:t>he overarching program delivering $165 million in major road and rail projects across the state to improve the transport sector.</w:t>
            </w:r>
          </w:p>
        </w:tc>
      </w:tr>
      <w:tr w:rsidR="003F4354" w:rsidRPr="00837FC8" w14:paraId="2C40FAD6" w14:textId="77777777">
        <w:tc>
          <w:tcPr>
            <w:cnfStyle w:val="001000000000" w:firstRow="0" w:lastRow="0" w:firstColumn="1" w:lastColumn="0" w:oddVBand="0" w:evenVBand="0" w:oddHBand="0" w:evenHBand="0" w:firstRowFirstColumn="0" w:firstRowLastColumn="0" w:lastRowFirstColumn="0" w:lastRowLastColumn="0"/>
            <w:tcW w:w="1671" w:type="dxa"/>
          </w:tcPr>
          <w:p w14:paraId="211AD5CE" w14:textId="77777777" w:rsidR="003F4354" w:rsidRPr="002868A9" w:rsidRDefault="003F4354" w:rsidP="00FF6070">
            <w:pPr>
              <w:pStyle w:val="TableTextLeft"/>
              <w:rPr>
                <w:lang w:eastAsia="en-GB"/>
              </w:rPr>
            </w:pPr>
            <w:r>
              <w:rPr>
                <w:lang w:eastAsia="en-GB"/>
              </w:rPr>
              <w:lastRenderedPageBreak/>
              <w:t xml:space="preserve">Victoria’s Big Housing Build </w:t>
            </w:r>
          </w:p>
        </w:tc>
        <w:tc>
          <w:tcPr>
            <w:tcW w:w="7345" w:type="dxa"/>
          </w:tcPr>
          <w:p w14:paraId="1D8902E6" w14:textId="77777777" w:rsidR="003F4354" w:rsidRDefault="003F4354" w:rsidP="00FF6070">
            <w:pPr>
              <w:pStyle w:val="TableTextLeft"/>
              <w:cnfStyle w:val="000000000000" w:firstRow="0" w:lastRow="0" w:firstColumn="0" w:lastColumn="0" w:oddVBand="0" w:evenVBand="0" w:oddHBand="0" w:evenHBand="0" w:firstRowFirstColumn="0" w:firstRowLastColumn="0" w:lastRowFirstColumn="0" w:lastRowLastColumn="0"/>
              <w:rPr>
                <w:lang w:eastAsia="en-GB"/>
              </w:rPr>
            </w:pPr>
            <w:r>
              <w:rPr>
                <w:lang w:eastAsia="en-GB"/>
              </w:rPr>
              <w:t xml:space="preserve">A state government initiative to invest $5.3 billion into building </w:t>
            </w:r>
            <w:r w:rsidRPr="00FF7F69">
              <w:rPr>
                <w:lang w:eastAsia="en-GB"/>
              </w:rPr>
              <w:t>12,000 new homes throughout metro and regional Victoria</w:t>
            </w:r>
            <w:r>
              <w:rPr>
                <w:lang w:eastAsia="en-GB"/>
              </w:rPr>
              <w:t xml:space="preserve"> </w:t>
            </w:r>
            <w:r w:rsidRPr="00FF7F69">
              <w:rPr>
                <w:lang w:eastAsia="en-GB"/>
              </w:rPr>
              <w:t>over the next four years</w:t>
            </w:r>
            <w:r>
              <w:rPr>
                <w:lang w:eastAsia="en-GB"/>
              </w:rPr>
              <w:t xml:space="preserve">. To learn more see </w:t>
            </w:r>
            <w:hyperlink r:id="rId77" w:history="1">
              <w:r w:rsidRPr="000540AB">
                <w:rPr>
                  <w:rStyle w:val="Hyperlink"/>
                  <w:rFonts w:cstheme="minorHAnsi"/>
                  <w:lang w:eastAsia="en-GB"/>
                </w:rPr>
                <w:t>here</w:t>
              </w:r>
            </w:hyperlink>
            <w:r>
              <w:rPr>
                <w:lang w:eastAsia="en-GB"/>
              </w:rPr>
              <w:t>.</w:t>
            </w:r>
          </w:p>
        </w:tc>
      </w:tr>
      <w:tr w:rsidR="003F4354" w:rsidRPr="00837FC8" w14:paraId="4BB71FC3" w14:textId="77777777">
        <w:tc>
          <w:tcPr>
            <w:cnfStyle w:val="001000000000" w:firstRow="0" w:lastRow="0" w:firstColumn="1" w:lastColumn="0" w:oddVBand="0" w:evenVBand="0" w:oddHBand="0" w:evenHBand="0" w:firstRowFirstColumn="0" w:firstRowLastColumn="0" w:lastRowFirstColumn="0" w:lastRowLastColumn="0"/>
            <w:tcW w:w="1671" w:type="dxa"/>
          </w:tcPr>
          <w:p w14:paraId="53E3AFF2" w14:textId="77777777" w:rsidR="003F4354" w:rsidRPr="00837FC8" w:rsidRDefault="003F4354" w:rsidP="00FF6070">
            <w:pPr>
              <w:pStyle w:val="TableTextLeft"/>
            </w:pPr>
            <w:r w:rsidRPr="00837FC8">
              <w:t xml:space="preserve">Work authority </w:t>
            </w:r>
          </w:p>
        </w:tc>
        <w:tc>
          <w:tcPr>
            <w:tcW w:w="7345" w:type="dxa"/>
          </w:tcPr>
          <w:p w14:paraId="60E1A656"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sidRPr="00837FC8">
              <w:t>Legally designated areas for undertaking quarrying activities. Work authorities are required under State legislation unless exemptions apply.</w:t>
            </w:r>
          </w:p>
        </w:tc>
      </w:tr>
      <w:tr w:rsidR="003F4354" w:rsidRPr="00837FC8" w14:paraId="7DFE52F8" w14:textId="77777777">
        <w:tc>
          <w:tcPr>
            <w:cnfStyle w:val="001000000000" w:firstRow="0" w:lastRow="0" w:firstColumn="1" w:lastColumn="0" w:oddVBand="0" w:evenVBand="0" w:oddHBand="0" w:evenHBand="0" w:firstRowFirstColumn="0" w:firstRowLastColumn="0" w:lastRowFirstColumn="0" w:lastRowLastColumn="0"/>
            <w:tcW w:w="1671" w:type="dxa"/>
          </w:tcPr>
          <w:p w14:paraId="4B4A529B" w14:textId="77777777" w:rsidR="003F4354" w:rsidRPr="002868A9" w:rsidRDefault="003F4354" w:rsidP="00FF6070">
            <w:pPr>
              <w:pStyle w:val="TableTextLeft"/>
              <w:rPr>
                <w:lang w:eastAsia="en-GB"/>
              </w:rPr>
            </w:pPr>
            <w:r>
              <w:rPr>
                <w:lang w:eastAsia="en-GB"/>
              </w:rPr>
              <w:t>W</w:t>
            </w:r>
            <w:r w:rsidRPr="002868A9">
              <w:rPr>
                <w:lang w:eastAsia="en-GB"/>
              </w:rPr>
              <w:t>ork plan </w:t>
            </w:r>
            <w:r>
              <w:rPr>
                <w:lang w:eastAsia="en-GB"/>
              </w:rPr>
              <w:t>(new)</w:t>
            </w:r>
          </w:p>
        </w:tc>
        <w:tc>
          <w:tcPr>
            <w:tcW w:w="7345" w:type="dxa"/>
          </w:tcPr>
          <w:p w14:paraId="7D4FEB2F" w14:textId="77777777" w:rsidR="003F4354"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rPr>
                <w:lang w:eastAsia="en-GB"/>
              </w:rPr>
              <w:t>A</w:t>
            </w:r>
            <w:r w:rsidRPr="002868A9">
              <w:rPr>
                <w:lang w:eastAsia="en-GB"/>
              </w:rPr>
              <w:t>n application to ERR to develop a new work authority at a new or existing quarry site.</w:t>
            </w:r>
          </w:p>
        </w:tc>
      </w:tr>
      <w:tr w:rsidR="003F4354" w:rsidRPr="00837FC8" w14:paraId="79FF37CB" w14:textId="77777777">
        <w:tc>
          <w:tcPr>
            <w:cnfStyle w:val="001000000000" w:firstRow="0" w:lastRow="0" w:firstColumn="1" w:lastColumn="0" w:oddVBand="0" w:evenVBand="0" w:oddHBand="0" w:evenHBand="0" w:firstRowFirstColumn="0" w:firstRowLastColumn="0" w:lastRowFirstColumn="0" w:lastRowLastColumn="0"/>
            <w:tcW w:w="1671" w:type="dxa"/>
          </w:tcPr>
          <w:p w14:paraId="20C1FFB0" w14:textId="77777777" w:rsidR="003F4354" w:rsidRPr="00837FC8" w:rsidRDefault="003F4354" w:rsidP="00FF6070">
            <w:pPr>
              <w:pStyle w:val="TableTextLeft"/>
            </w:pPr>
            <w:r w:rsidRPr="002868A9">
              <w:rPr>
                <w:lang w:eastAsia="en-GB"/>
              </w:rPr>
              <w:t>Work plan variation </w:t>
            </w:r>
          </w:p>
        </w:tc>
        <w:tc>
          <w:tcPr>
            <w:tcW w:w="7345" w:type="dxa"/>
          </w:tcPr>
          <w:p w14:paraId="4D7AC5B3" w14:textId="77777777" w:rsidR="003F4354" w:rsidRPr="00837FC8" w:rsidRDefault="003F4354" w:rsidP="00FF6070">
            <w:pPr>
              <w:pStyle w:val="TableTextLeft"/>
              <w:cnfStyle w:val="000000000000" w:firstRow="0" w:lastRow="0" w:firstColumn="0" w:lastColumn="0" w:oddVBand="0" w:evenVBand="0" w:oddHBand="0" w:evenHBand="0" w:firstRowFirstColumn="0" w:firstRowLastColumn="0" w:lastRowFirstColumn="0" w:lastRowLastColumn="0"/>
            </w:pPr>
            <w:r>
              <w:t>A</w:t>
            </w:r>
            <w:r w:rsidRPr="002868A9">
              <w:rPr>
                <w:lang w:eastAsia="en-GB"/>
              </w:rPr>
              <w:t>n application submitted to ERR by a work authority to conduct extraction works outside of the originally agreed perimeters of their quarry.</w:t>
            </w:r>
          </w:p>
        </w:tc>
      </w:tr>
    </w:tbl>
    <w:p w14:paraId="702DA08D" w14:textId="77777777" w:rsidR="00342316" w:rsidRPr="00E97B47" w:rsidRDefault="00342316" w:rsidP="00640B28">
      <w:pPr>
        <w:pStyle w:val="Heading1"/>
      </w:pPr>
    </w:p>
    <w:sectPr w:rsidR="00342316" w:rsidRPr="00E97B47" w:rsidSect="00407F8B">
      <w:headerReference w:type="even" r:id="rId78"/>
      <w:headerReference w:type="default" r:id="rId79"/>
      <w:headerReference w:type="first" r:id="rId80"/>
      <w:footerReference w:type="first" r:id="rId8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96EC9" w14:textId="77777777" w:rsidR="00F6093A" w:rsidRDefault="00F6093A" w:rsidP="00CD157B">
      <w:pPr>
        <w:pStyle w:val="NoSpacing"/>
      </w:pPr>
    </w:p>
  </w:endnote>
  <w:endnote w:type="continuationSeparator" w:id="0">
    <w:p w14:paraId="0CE627A2" w14:textId="77777777" w:rsidR="00F6093A" w:rsidRDefault="00F6093A" w:rsidP="00CD157B">
      <w:pPr>
        <w:pStyle w:val="NoSpacing"/>
      </w:pPr>
    </w:p>
  </w:endnote>
  <w:endnote w:type="continuationNotice" w:id="1">
    <w:p w14:paraId="181E44F5" w14:textId="77777777" w:rsidR="00F6093A" w:rsidRDefault="00F6093A" w:rsidP="00CD157B">
      <w:pPr>
        <w:pStyle w:val="NoSpacing"/>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CD157B" w14:paraId="63BEBFCB" w14:textId="77777777">
      <w:trPr>
        <w:trHeight w:val="397"/>
      </w:trPr>
      <w:tc>
        <w:tcPr>
          <w:tcW w:w="340" w:type="dxa"/>
        </w:tcPr>
        <w:p w14:paraId="59206D47" w14:textId="7F884A44" w:rsidR="00CD157B" w:rsidRPr="00D55628" w:rsidRDefault="00313287" w:rsidP="00376EF3">
          <w:pPr>
            <w:pStyle w:val="FooterEvenPageNumber"/>
            <w:framePr w:wrap="auto" w:vAnchor="margin" w:hAnchor="text" w:yAlign="inline"/>
          </w:pPr>
          <w:r>
            <w:rPr>
              <w:noProof/>
            </w:rPr>
            <mc:AlternateContent>
              <mc:Choice Requires="wps">
                <w:drawing>
                  <wp:anchor distT="0" distB="0" distL="114300" distR="114300" simplePos="0" relativeHeight="251664233" behindDoc="0" locked="0" layoutInCell="0" allowOverlap="1" wp14:anchorId="2A961FB8" wp14:editId="156DA57A">
                    <wp:simplePos x="0" y="0"/>
                    <wp:positionH relativeFrom="page">
                      <wp:align>center</wp:align>
                    </wp:positionH>
                    <wp:positionV relativeFrom="page">
                      <wp:align>bottom</wp:align>
                    </wp:positionV>
                    <wp:extent cx="7772400" cy="442595"/>
                    <wp:effectExtent l="0" t="0" r="0" b="14605"/>
                    <wp:wrapNone/>
                    <wp:docPr id="21" name="MSIPCM567046f19144be52b3f4b4d9" descr="{&quot;HashCode&quot;:37626020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F4095" w14:textId="4D6CF549" w:rsidR="00313287" w:rsidRPr="00B323C8" w:rsidRDefault="00313287" w:rsidP="00B323C8">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A961FB8" id="_x0000_t202" coordsize="21600,21600" o:spt="202" path="m,l,21600r21600,l21600,xe">
                    <v:stroke joinstyle="miter"/>
                    <v:path gradientshapeok="t" o:connecttype="rect"/>
                  </v:shapetype>
                  <v:shape id="MSIPCM567046f19144be52b3f4b4d9" o:spid="_x0000_s1035" type="#_x0000_t202" alt="{&quot;HashCode&quot;:376260202,&quot;Height&quot;:9999999.0,&quot;Width&quot;:9999999.0,&quot;Placement&quot;:&quot;Footer&quot;,&quot;Index&quot;:&quot;OddAndEven&quot;,&quot;Section&quot;:1,&quot;Top&quot;:0.0,&quot;Left&quot;:0.0}" style="position:absolute;margin-left:0;margin-top:0;width:612pt;height:34.85pt;z-index:25166423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gY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nGL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I38CBgYAgAALQQAAA4AAAAAAAAAAAAAAAAALgIAAGRycy9lMm9Eb2MueG1sUEsBAi0AFAAGAAgA&#10;AAAhAFW3+zXbAAAABQEAAA8AAAAAAAAAAAAAAAAAcgQAAGRycy9kb3ducmV2LnhtbFBLBQYAAAAA&#10;BAAEAPMAAAB6BQAAAAA=&#10;" o:allowincell="f" filled="f" stroked="f" strokeweight=".5pt">
                    <v:textbox inset=",0,,0">
                      <w:txbxContent>
                        <w:p w14:paraId="6F9F4095" w14:textId="4D6CF549" w:rsidR="00313287" w:rsidRPr="00B323C8" w:rsidRDefault="00313287" w:rsidP="00B323C8">
                          <w:pPr>
                            <w:spacing w:before="0" w:after="0"/>
                            <w:jc w:val="center"/>
                            <w:rPr>
                              <w:rFonts w:ascii="Arial" w:hAnsi="Arial" w:cs="Arial"/>
                              <w:color w:val="000000"/>
                              <w:sz w:val="24"/>
                            </w:rPr>
                          </w:pPr>
                        </w:p>
                      </w:txbxContent>
                    </v:textbox>
                    <w10:wrap anchorx="page" anchory="page"/>
                  </v:shape>
                </w:pict>
              </mc:Fallback>
            </mc:AlternateContent>
          </w:r>
          <w:r w:rsidR="00CD157B" w:rsidRPr="00D55628">
            <w:fldChar w:fldCharType="begin"/>
          </w:r>
          <w:r w:rsidR="00CD157B" w:rsidRPr="00D55628">
            <w:instrText xml:space="preserve"> PAGE   \* MERGEFORMAT </w:instrText>
          </w:r>
          <w:r w:rsidR="00CD157B" w:rsidRPr="00D55628">
            <w:fldChar w:fldCharType="separate"/>
          </w:r>
          <w:r w:rsidR="00CD157B">
            <w:t>2</w:t>
          </w:r>
          <w:r w:rsidR="00CD157B" w:rsidRPr="00D55628">
            <w:fldChar w:fldCharType="end"/>
          </w:r>
        </w:p>
      </w:tc>
      <w:tc>
        <w:tcPr>
          <w:tcW w:w="9071" w:type="dxa"/>
        </w:tcPr>
        <w:p w14:paraId="287288D6" w14:textId="17974DA2" w:rsidR="00FF6070" w:rsidRDefault="00FA3DCA" w:rsidP="00FF6070">
          <w:pPr>
            <w:pStyle w:val="FooterOdd"/>
            <w:jc w:val="left"/>
          </w:pPr>
          <w:r>
            <w:rPr>
              <w:noProof/>
            </w:rPr>
            <mc:AlternateContent>
              <mc:Choice Requires="wps">
                <w:drawing>
                  <wp:anchor distT="0" distB="0" distL="114300" distR="114300" simplePos="0" relativeHeight="251658246" behindDoc="0" locked="0" layoutInCell="0" allowOverlap="1" wp14:anchorId="06AF366B" wp14:editId="24666183">
                    <wp:simplePos x="0" y="0"/>
                    <wp:positionH relativeFrom="page">
                      <wp:posOffset>-3765550</wp:posOffset>
                    </wp:positionH>
                    <wp:positionV relativeFrom="page">
                      <wp:posOffset>5715</wp:posOffset>
                    </wp:positionV>
                    <wp:extent cx="7772400" cy="442595"/>
                    <wp:effectExtent l="0" t="0" r="0" b="14605"/>
                    <wp:wrapNone/>
                    <wp:docPr id="38" name="Text Box 38" descr="{&quot;HashCode&quot;:376260202,&quot;Height&quot;:9999999.0,&quot;Width&quot;:9999999.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CB068D" w14:textId="6594062A" w:rsidR="001A023F" w:rsidRPr="004F4FDF" w:rsidRDefault="001A023F" w:rsidP="004F4FDF">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6AF366B" id="Text Box 38" o:spid="_x0000_s1036" type="#_x0000_t202" alt="{&quot;HashCode&quot;:376260202,&quot;Height&quot;:9999999.0,&quot;Width&quot;:9999999.0,&quot;Placement&quot;:&quot;Footer&quot;,&quot;Index&quot;:&quot;OddAndEven&quot;,&quot;Section&quot;:1,&quot;Top&quot;:0.0,&quot;Left&quot;:0.0}" style="position:absolute;margin-left:-296.5pt;margin-top:.45pt;width:612pt;height:34.85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7NxGAIAAC0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" o:allowincell="f" filled="f" stroked="f" strokeweight=".5pt">
                    <v:textbox inset=",0,,0">
                      <w:txbxContent>
                        <w:p w14:paraId="1BCB068D" w14:textId="6594062A" w:rsidR="001A023F" w:rsidRPr="004F4FDF" w:rsidRDefault="001A023F" w:rsidP="004F4FDF">
                          <w:pPr>
                            <w:spacing w:before="0" w:after="0"/>
                            <w:jc w:val="center"/>
                            <w:rPr>
                              <w:rFonts w:ascii="Arial" w:hAnsi="Arial" w:cs="Arial"/>
                              <w:color w:val="000000"/>
                              <w:sz w:val="24"/>
                            </w:rPr>
                          </w:pPr>
                        </w:p>
                      </w:txbxContent>
                    </v:textbox>
                    <w10:wrap anchorx="page" anchory="page"/>
                  </v:shape>
                </w:pict>
              </mc:Fallback>
            </mc:AlternateContent>
          </w:r>
          <w:r w:rsidR="00FF6070">
            <w:t>Supply and Demand Study 2022-30</w:t>
          </w:r>
        </w:p>
        <w:p w14:paraId="2FA839D0" w14:textId="43F05E30" w:rsidR="00CD157B" w:rsidRPr="00810C40" w:rsidRDefault="00CD157B" w:rsidP="00376EF3">
          <w:pPr>
            <w:pStyle w:val="FooterEven"/>
          </w:pPr>
        </w:p>
      </w:tc>
    </w:tr>
  </w:tbl>
  <w:p w14:paraId="0FD9BAE0" w14:textId="4E83210A" w:rsidR="00CD157B" w:rsidRDefault="00CD157B" w:rsidP="00407F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CD157B" w14:paraId="3303E365" w14:textId="77777777">
      <w:trPr>
        <w:trHeight w:val="397"/>
      </w:trPr>
      <w:tc>
        <w:tcPr>
          <w:tcW w:w="9071" w:type="dxa"/>
        </w:tcPr>
        <w:p w14:paraId="51A6805B" w14:textId="775A3CF6" w:rsidR="00CD157B" w:rsidRDefault="00313287" w:rsidP="00376EF3">
          <w:pPr>
            <w:pStyle w:val="FooterOdd"/>
          </w:pPr>
          <w:r>
            <w:rPr>
              <w:noProof/>
            </w:rPr>
            <mc:AlternateContent>
              <mc:Choice Requires="wps">
                <w:drawing>
                  <wp:anchor distT="0" distB="0" distL="114300" distR="114300" simplePos="0" relativeHeight="251664073" behindDoc="0" locked="0" layoutInCell="0" allowOverlap="1" wp14:anchorId="2F3A7CFC" wp14:editId="6C86F672">
                    <wp:simplePos x="0" y="0"/>
                    <wp:positionH relativeFrom="page">
                      <wp:align>center</wp:align>
                    </wp:positionH>
                    <wp:positionV relativeFrom="page">
                      <wp:align>bottom</wp:align>
                    </wp:positionV>
                    <wp:extent cx="7772400" cy="442595"/>
                    <wp:effectExtent l="0" t="0" r="0" b="14605"/>
                    <wp:wrapNone/>
                    <wp:docPr id="19" name="MSIPCMbe0644f187d489aec3f82dab"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3BDA770" w14:textId="3CE58D5D" w:rsidR="00313287" w:rsidRPr="00B323C8" w:rsidRDefault="00313287" w:rsidP="00B323C8">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3A7CFC" id="_x0000_t202" coordsize="21600,21600" o:spt="202" path="m,l,21600r21600,l21600,xe">
                    <v:stroke joinstyle="miter"/>
                    <v:path gradientshapeok="t" o:connecttype="rect"/>
                  </v:shapetype>
                  <v:shape id="MSIPCMbe0644f187d489aec3f82dab" o:spid="_x0000_s1037"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6407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3/L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GH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JcTf8sYAgAALQQAAA4AAAAAAAAAAAAAAAAALgIAAGRycy9lMm9Eb2MueG1sUEsBAi0AFAAGAAgA&#10;AAAhAFW3+zXbAAAABQEAAA8AAAAAAAAAAAAAAAAAcgQAAGRycy9kb3ducmV2LnhtbFBLBQYAAAAA&#10;BAAEAPMAAAB6BQAAAAA=&#10;" o:allowincell="f" filled="f" stroked="f" strokeweight=".5pt">
                    <v:textbox inset=",0,,0">
                      <w:txbxContent>
                        <w:p w14:paraId="43BDA770" w14:textId="3CE58D5D" w:rsidR="00313287" w:rsidRPr="00B323C8" w:rsidRDefault="00313287" w:rsidP="00B323C8">
                          <w:pPr>
                            <w:spacing w:before="0" w:after="0"/>
                            <w:jc w:val="center"/>
                            <w:rPr>
                              <w:rFonts w:ascii="Arial" w:hAnsi="Arial" w:cs="Arial"/>
                              <w:color w:val="000000"/>
                              <w:sz w:val="24"/>
                            </w:rPr>
                          </w:pPr>
                        </w:p>
                      </w:txbxContent>
                    </v:textbox>
                    <w10:wrap anchorx="page" anchory="page"/>
                  </v:shape>
                </w:pict>
              </mc:Fallback>
            </mc:AlternateContent>
          </w:r>
          <w:r w:rsidR="004129D2">
            <w:rPr>
              <w:noProof/>
            </w:rPr>
            <mc:AlternateContent>
              <mc:Choice Requires="wps">
                <w:drawing>
                  <wp:anchor distT="0" distB="0" distL="114300" distR="114300" simplePos="0" relativeHeight="251658240" behindDoc="0" locked="0" layoutInCell="0" allowOverlap="1" wp14:anchorId="0DD93177" wp14:editId="263129B7">
                    <wp:simplePos x="0" y="0"/>
                    <wp:positionH relativeFrom="page">
                      <wp:align>center</wp:align>
                    </wp:positionH>
                    <wp:positionV relativeFrom="page">
                      <wp:align>bottom</wp:align>
                    </wp:positionV>
                    <wp:extent cx="7772400" cy="442595"/>
                    <wp:effectExtent l="0" t="0" r="0" b="14605"/>
                    <wp:wrapNone/>
                    <wp:docPr id="22" name="Text Box 22" descr="{&quot;HashCode&quot;:376260202,&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FE4899" w14:textId="7ABD6ED1" w:rsidR="004129D2" w:rsidRPr="00DC1032" w:rsidRDefault="004129D2" w:rsidP="00DC1032">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DD93177" id="Text Box 22" o:spid="_x0000_s1038" type="#_x0000_t202" alt="{&quot;HashCode&quot;:376260202,&quot;Height&quot;:9999999.0,&quot;Width&quot;:9999999.0,&quot;Placement&quot;:&quot;Footer&quot;,&quot;Index&quot;:&quot;Primary&quot;,&quot;Section&quot;:1,&quot;Top&quot;:0.0,&quot;Left&quot;:0.0}" style="position:absolute;left:0;text-align:left;margin-left:0;margin-top:0;width:612pt;height:34.85pt;z-index:25165824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MSiGA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HGnYYwfVCddz0DPvLV83OMOG&#10;+fDMHFKNY6N8wxMeUgH2grNFSQ3u19/8MR8ZwCglLUqnpP7ngTlBifpukJvb8XQatZYuaLi33t3g&#10;NQd9D6jKMT4Qy5MZc4MaTOlAv6K6V7Ebhpjh2LOkPLjhch96KeP74GK1SmmoK8vCxmwtj8UjnhHb&#10;l+6VOXsmICB1jzDIixXveOhzeyZWhwCySSRFhHs8z8CjJhPN5/cTRf/2nrKur3z5G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BrkxKIYAgAALQQAAA4AAAAAAAAAAAAAAAAALgIAAGRycy9lMm9Eb2MueG1sUEsBAi0AFAAGAAgA&#10;AAAhAFW3+zXbAAAABQEAAA8AAAAAAAAAAAAAAAAAcgQAAGRycy9kb3ducmV2LnhtbFBLBQYAAAAA&#10;BAAEAPMAAAB6BQAAAAA=&#10;" o:allowincell="f" filled="f" stroked="f" strokeweight=".5pt">
                    <v:textbox inset=",0,,0">
                      <w:txbxContent>
                        <w:p w14:paraId="45FE4899" w14:textId="7ABD6ED1" w:rsidR="004129D2" w:rsidRPr="00DC1032" w:rsidRDefault="004129D2" w:rsidP="00DC1032">
                          <w:pPr>
                            <w:spacing w:before="0" w:after="0"/>
                            <w:jc w:val="center"/>
                            <w:rPr>
                              <w:rFonts w:ascii="Arial" w:hAnsi="Arial" w:cs="Arial"/>
                              <w:color w:val="000000"/>
                              <w:sz w:val="24"/>
                            </w:rPr>
                          </w:pPr>
                        </w:p>
                      </w:txbxContent>
                    </v:textbox>
                    <w10:wrap anchorx="page" anchory="page"/>
                  </v:shape>
                </w:pict>
              </mc:Fallback>
            </mc:AlternateContent>
          </w:r>
          <w:r w:rsidR="00543080">
            <w:t>Supply and Demand Study 2022-30</w:t>
          </w:r>
        </w:p>
        <w:p w14:paraId="7B96FB9F" w14:textId="7811DF3D" w:rsidR="00CD157B" w:rsidRPr="00CB1FB7" w:rsidRDefault="00CD157B" w:rsidP="00376EF3">
          <w:pPr>
            <w:pStyle w:val="FooterOdd"/>
            <w:rPr>
              <w:b/>
            </w:rPr>
          </w:pPr>
        </w:p>
      </w:tc>
      <w:tc>
        <w:tcPr>
          <w:tcW w:w="340" w:type="dxa"/>
        </w:tcPr>
        <w:p w14:paraId="6A3FF76C" w14:textId="77777777" w:rsidR="00CD157B" w:rsidRPr="00D55628" w:rsidRDefault="00CD157B" w:rsidP="00376EF3">
          <w:pPr>
            <w:pStyle w:val="FooterOddPageNumber"/>
          </w:pPr>
          <w:r w:rsidRPr="00D55628">
            <w:fldChar w:fldCharType="begin"/>
          </w:r>
          <w:r w:rsidRPr="00D55628">
            <w:instrText xml:space="preserve"> PAGE   \* MERGEFORMAT </w:instrText>
          </w:r>
          <w:r w:rsidRPr="00D55628">
            <w:fldChar w:fldCharType="separate"/>
          </w:r>
          <w:r>
            <w:t>1</w:t>
          </w:r>
          <w:r w:rsidRPr="00D55628">
            <w:fldChar w:fldCharType="end"/>
          </w:r>
        </w:p>
      </w:tc>
    </w:tr>
  </w:tbl>
  <w:p w14:paraId="37376884" w14:textId="77777777" w:rsidR="00CD157B" w:rsidRDefault="00CD157B" w:rsidP="00FF607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4608F" w14:textId="023E8FC3" w:rsidR="00385E20" w:rsidRDefault="00393B37">
    <w:pPr>
      <w:pStyle w:val="Footer"/>
    </w:pPr>
    <w:r>
      <w:rPr>
        <w:noProof/>
      </w:rPr>
      <mc:AlternateContent>
        <mc:Choice Requires="wps">
          <w:drawing>
            <wp:anchor distT="0" distB="0" distL="114300" distR="114300" simplePos="0" relativeHeight="251665929" behindDoc="0" locked="0" layoutInCell="0" allowOverlap="1" wp14:anchorId="351DD56D" wp14:editId="64E241AC">
              <wp:simplePos x="0" y="0"/>
              <wp:positionH relativeFrom="page">
                <wp:align>center</wp:align>
              </wp:positionH>
              <wp:positionV relativeFrom="page">
                <wp:align>bottom</wp:align>
              </wp:positionV>
              <wp:extent cx="7772400" cy="442595"/>
              <wp:effectExtent l="0" t="0" r="0" b="14605"/>
              <wp:wrapNone/>
              <wp:docPr id="25" name="MSIPCM7c734c7482b46a5214a913df"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E482DE8" w14:textId="680ADCD1" w:rsidR="00393B37" w:rsidRPr="00B323C8" w:rsidRDefault="00393B37" w:rsidP="00B323C8">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1DD56D" id="_x0000_t202" coordsize="21600,21600" o:spt="202" path="m,l,21600r21600,l21600,xe">
              <v:stroke joinstyle="miter"/>
              <v:path gradientshapeok="t" o:connecttype="rect"/>
            </v:shapetype>
            <v:shape id="MSIPCM7c734c7482b46a5214a913df" o:spid="_x0000_s1041" type="#_x0000_t202" alt="{&quot;HashCode&quot;:376260202,&quot;Height&quot;:9999999.0,&quot;Width&quot;:9999999.0,&quot;Placement&quot;:&quot;Footer&quot;,&quot;Index&quot;:&quot;FirstPage&quot;,&quot;Section&quot;:1,&quot;Top&quot;:0.0,&quot;Left&quot;:0.0}" style="position:absolute;margin-left:0;margin-top:0;width:612pt;height:34.85pt;z-index:25166592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xM3GA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" o:allowincell="f" filled="f" stroked="f" strokeweight=".5pt">
              <v:textbox inset=",0,,0">
                <w:txbxContent>
                  <w:p w14:paraId="6E482DE8" w14:textId="680ADCD1" w:rsidR="00393B37" w:rsidRPr="00B323C8" w:rsidRDefault="00393B37" w:rsidP="00B323C8">
                    <w:pPr>
                      <w:spacing w:before="0" w:after="0"/>
                      <w:jc w:val="center"/>
                      <w:rPr>
                        <w:rFonts w:ascii="Arial" w:hAnsi="Arial" w:cs="Arial"/>
                        <w:color w:val="000000"/>
                        <w:sz w:val="24"/>
                      </w:rPr>
                    </w:pPr>
                  </w:p>
                </w:txbxContent>
              </v:textbox>
              <w10:wrap anchorx="page" anchory="page"/>
            </v:shape>
          </w:pict>
        </mc:Fallback>
      </mc:AlternateContent>
    </w:r>
    <w:r w:rsidR="004129D2">
      <w:rPr>
        <w:noProof/>
      </w:rPr>
      <mc:AlternateContent>
        <mc:Choice Requires="wps">
          <w:drawing>
            <wp:anchor distT="0" distB="0" distL="114300" distR="114300" simplePos="0" relativeHeight="251658241" behindDoc="0" locked="0" layoutInCell="0" allowOverlap="1" wp14:anchorId="5BAFFA5E" wp14:editId="37D158E1">
              <wp:simplePos x="0" y="0"/>
              <wp:positionH relativeFrom="page">
                <wp:align>center</wp:align>
              </wp:positionH>
              <wp:positionV relativeFrom="page">
                <wp:align>bottom</wp:align>
              </wp:positionV>
              <wp:extent cx="7772400" cy="442595"/>
              <wp:effectExtent l="0" t="0" r="0" b="14605"/>
              <wp:wrapNone/>
              <wp:docPr id="26" name="Text Box 26" descr="{&quot;HashCode&quot;:376260202,&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607F7E" w14:textId="59404C0C" w:rsidR="004129D2" w:rsidRPr="00DC1032" w:rsidRDefault="004129D2" w:rsidP="00DC1032">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BAFFA5E" id="Text Box 26" o:spid="_x0000_s1042" type="#_x0000_t202" alt="{&quot;HashCode&quot;:376260202,&quot;Height&quot;:9999999.0,&quot;Width&quot;:9999999.0,&quot;Placement&quot;:&quot;Footer&quot;,&quot;Index&quot;:&quot;FirstPage&quot;,&quot;Section&quot;:1,&quot;Top&quot;:0.0,&quot;Left&quot;:0.0}" style="position:absolute;margin-left:0;margin-top:0;width:612pt;height:34.85pt;z-index:25165824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sZKheGQIAAC4EAAAOAAAAAAAAAAAAAAAAAC4CAABkcnMvZTJvRG9jLnhtbFBLAQItABQABgAI&#10;AAAAIQBVt/s12wAAAAUBAAAPAAAAAAAAAAAAAAAAAHMEAABkcnMvZG93bnJldi54bWxQSwUGAAAA&#10;AAQABADzAAAAewUAAAAA&#10;" o:allowincell="f" filled="f" stroked="f" strokeweight=".5pt">
              <v:textbox inset=",0,,0">
                <w:txbxContent>
                  <w:p w14:paraId="64607F7E" w14:textId="59404C0C" w:rsidR="004129D2" w:rsidRPr="00DC1032" w:rsidRDefault="004129D2" w:rsidP="00DC1032">
                    <w:pPr>
                      <w:spacing w:before="0" w:after="0"/>
                      <w:jc w:val="center"/>
                      <w:rPr>
                        <w:rFonts w:ascii="Arial" w:hAnsi="Arial" w:cs="Arial"/>
                        <w:color w:val="000000"/>
                        <w:sz w:val="24"/>
                      </w:rPr>
                    </w:pP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3E10A" w14:textId="77777777" w:rsidR="00A2172B" w:rsidRDefault="00A2172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11E0F" w14:textId="77777777" w:rsidR="00F6093A" w:rsidRPr="0056073C" w:rsidRDefault="00F6093A" w:rsidP="005D764F">
      <w:pPr>
        <w:pStyle w:val="FootnoteSeparator"/>
      </w:pPr>
    </w:p>
  </w:footnote>
  <w:footnote w:type="continuationSeparator" w:id="0">
    <w:p w14:paraId="3EEB6F73" w14:textId="77777777" w:rsidR="00F6093A" w:rsidRPr="00CA30B7" w:rsidRDefault="00F6093A" w:rsidP="006D5A90">
      <w:pPr>
        <w:rPr>
          <w:lang w:val="en-US"/>
        </w:rPr>
      </w:pPr>
      <w:r w:rsidRPr="00CA30B7">
        <w:rPr>
          <w:lang w:val="en-US"/>
        </w:rPr>
        <w:t>_______</w:t>
      </w:r>
    </w:p>
  </w:footnote>
  <w:footnote w:type="continuationNotice" w:id="1">
    <w:p w14:paraId="77338D97" w14:textId="77777777" w:rsidR="00F6093A" w:rsidRDefault="00F6093A" w:rsidP="006D5A90"/>
  </w:footnote>
  <w:footnote w:id="2">
    <w:p w14:paraId="6E479A14" w14:textId="28395B7A" w:rsidR="003F4354" w:rsidRPr="00ED5AB1" w:rsidRDefault="003F4354" w:rsidP="00543080">
      <w:pPr>
        <w:pStyle w:val="FootnoteText"/>
        <w:rPr>
          <w:lang w:val="en-US"/>
        </w:rPr>
      </w:pPr>
      <w:r w:rsidRPr="00543080">
        <w:rPr>
          <w:rStyle w:val="FootnoteReference"/>
        </w:rPr>
        <w:footnoteRef/>
      </w:r>
      <w:r>
        <w:t xml:space="preserve"> </w:t>
      </w:r>
      <w:r w:rsidR="00543080">
        <w:tab/>
      </w:r>
      <w:r w:rsidRPr="00ED5AB1">
        <w:rPr>
          <w:lang w:val="en-US"/>
        </w:rPr>
        <w:t xml:space="preserve">Average of 2020-22 (Earth Resources </w:t>
      </w:r>
      <w:r w:rsidRPr="00543080">
        <w:t>Regulation</w:t>
      </w:r>
      <w:r w:rsidRPr="00ED5AB1">
        <w:rPr>
          <w:lang w:val="en-US"/>
        </w:rPr>
        <w:t xml:space="preserve"> Annual Statistical Report</w:t>
      </w:r>
      <w:r>
        <w:rPr>
          <w:lang w:val="en-US"/>
        </w:rPr>
        <w:t>s</w:t>
      </w:r>
      <w:r w:rsidRPr="00ED5AB1">
        <w:rPr>
          <w:lang w:val="en-US"/>
        </w:rPr>
        <w:t>)</w:t>
      </w:r>
    </w:p>
  </w:footnote>
  <w:footnote w:id="3">
    <w:p w14:paraId="4BEEE913" w14:textId="3B771E94" w:rsidR="003F4354" w:rsidRPr="00ED5AB1" w:rsidRDefault="003F4354" w:rsidP="00543080">
      <w:pPr>
        <w:pStyle w:val="FootnoteText"/>
        <w:rPr>
          <w:lang w:val="en-US"/>
        </w:rPr>
      </w:pPr>
      <w:r w:rsidRPr="00543080">
        <w:rPr>
          <w:rStyle w:val="FootnoteReference"/>
        </w:rPr>
        <w:footnoteRef/>
      </w:r>
      <w:r w:rsidRPr="00543080">
        <w:rPr>
          <w:rStyle w:val="FootnoteReference"/>
        </w:rPr>
        <w:t xml:space="preserve"> </w:t>
      </w:r>
      <w:r w:rsidR="00543080">
        <w:tab/>
      </w:r>
      <w:r>
        <w:t>www.business.vic.gov.au/business-information/construction-industry-regulation#overview</w:t>
      </w:r>
    </w:p>
  </w:footnote>
  <w:footnote w:id="4">
    <w:p w14:paraId="277068D4" w14:textId="63DCE3A3" w:rsidR="003F4354" w:rsidRPr="002E4E5B" w:rsidRDefault="003F4354" w:rsidP="00543080">
      <w:pPr>
        <w:pStyle w:val="FootnoteText"/>
      </w:pPr>
      <w:r w:rsidRPr="00543080">
        <w:rPr>
          <w:rStyle w:val="FootnoteReference"/>
        </w:rPr>
        <w:footnoteRef/>
      </w:r>
      <w:r w:rsidRPr="00543080">
        <w:rPr>
          <w:rStyle w:val="FootnoteReference"/>
        </w:rPr>
        <w:t xml:space="preserve"> </w:t>
      </w:r>
      <w:r w:rsidR="00543080">
        <w:tab/>
      </w:r>
      <w:r w:rsidRPr="002E4E5B">
        <w:t>Based on annual report data of non-surveyed operations.</w:t>
      </w:r>
    </w:p>
  </w:footnote>
  <w:footnote w:id="5">
    <w:p w14:paraId="1E724836" w14:textId="229BC32B" w:rsidR="003F4354" w:rsidRPr="002E4E5B" w:rsidRDefault="003F4354" w:rsidP="00543080">
      <w:pPr>
        <w:pStyle w:val="FootnoteText"/>
      </w:pPr>
      <w:r w:rsidRPr="00543080">
        <w:rPr>
          <w:rStyle w:val="FootnoteReference"/>
        </w:rPr>
        <w:footnoteRef/>
      </w:r>
      <w:r w:rsidRPr="00543080">
        <w:rPr>
          <w:rStyle w:val="FootnoteReference"/>
        </w:rPr>
        <w:t xml:space="preserve"> </w:t>
      </w:r>
      <w:r w:rsidR="00543080">
        <w:tab/>
      </w:r>
      <w:r w:rsidRPr="002E4E5B">
        <w:t xml:space="preserve">Earth Resources Regulation Annual Statistical Report FY </w:t>
      </w:r>
      <w:r w:rsidRPr="00543080">
        <w:t>2020</w:t>
      </w:r>
      <w:r w:rsidRPr="002E4E5B">
        <w:t>-21, (Source ERR), based on annual returns submitted by 5/11/21 at time of integration analysis.  Subsequently revised by ERR up to 66.78 million tonnes.</w:t>
      </w:r>
    </w:p>
  </w:footnote>
  <w:footnote w:id="6">
    <w:p w14:paraId="21490620" w14:textId="4C9AFEF2" w:rsidR="003F4354" w:rsidRPr="00ED5AB1" w:rsidRDefault="003F4354" w:rsidP="00543080">
      <w:pPr>
        <w:pStyle w:val="FootnoteText"/>
        <w:rPr>
          <w:lang w:val="en-US"/>
        </w:rPr>
      </w:pPr>
      <w:r w:rsidRPr="00543080">
        <w:rPr>
          <w:rStyle w:val="FootnoteReference"/>
        </w:rPr>
        <w:footnoteRef/>
      </w:r>
      <w:r w:rsidRPr="002E4E5B">
        <w:t xml:space="preserve"> </w:t>
      </w:r>
      <w:r w:rsidR="00543080">
        <w:tab/>
      </w:r>
      <w:r w:rsidRPr="002E4E5B">
        <w:t xml:space="preserve">Annual </w:t>
      </w:r>
      <w:r w:rsidRPr="002E4E5B">
        <w:rPr>
          <w:lang w:val="en-US"/>
        </w:rPr>
        <w:t xml:space="preserve">growth 2001-2021 was 2.06% (Source </w:t>
      </w:r>
      <w:r w:rsidRPr="00543080">
        <w:t>ERR</w:t>
      </w:r>
      <w:r w:rsidRPr="002E4E5B">
        <w:rPr>
          <w:lang w:val="en-US"/>
        </w:rPr>
        <w:t xml:space="preserve">). </w:t>
      </w:r>
    </w:p>
  </w:footnote>
  <w:footnote w:id="7">
    <w:p w14:paraId="097CD08C" w14:textId="2CD6C156" w:rsidR="003F4354" w:rsidRDefault="003F4354" w:rsidP="00543080">
      <w:pPr>
        <w:pStyle w:val="FootnoteText"/>
      </w:pPr>
      <w:r>
        <w:rPr>
          <w:rStyle w:val="FootnoteReference"/>
        </w:rPr>
        <w:footnoteRef/>
      </w:r>
      <w:r>
        <w:t xml:space="preserve"> </w:t>
      </w:r>
      <w:r w:rsidR="00543080">
        <w:tab/>
      </w:r>
      <w:r>
        <w:t>If a quarry is close to a project site the transport baseline cost is 25-30 per cent of the total extraction cost, with trucking costs at 20 cents/tonne/</w:t>
      </w:r>
      <w:r w:rsidRPr="00543080">
        <w:t>kilometre</w:t>
      </w:r>
      <w:r>
        <w:t xml:space="preserve">. See </w:t>
      </w:r>
      <w:r w:rsidRPr="00C71AF9">
        <w:fldChar w:fldCharType="begin"/>
      </w:r>
      <w:r w:rsidRPr="00C71AF9">
        <w:instrText xml:space="preserve"> REF _Ref129968403 \h </w:instrText>
      </w:r>
      <w:r w:rsidRPr="006F42F1">
        <w:instrText xml:space="preserve"> \* MERGEFORMAT </w:instrText>
      </w:r>
      <w:r w:rsidRPr="00C71AF9">
        <w:fldChar w:fldCharType="separate"/>
      </w:r>
      <w:r w:rsidR="000154C7" w:rsidRPr="000154C7">
        <w:t xml:space="preserve">Table </w:t>
      </w:r>
      <w:r w:rsidR="000154C7" w:rsidRPr="000154C7">
        <w:rPr>
          <w:noProof/>
        </w:rPr>
        <w:t>12</w:t>
      </w:r>
      <w:r w:rsidRPr="00C71AF9">
        <w:fldChar w:fldCharType="end"/>
      </w:r>
      <w:r w:rsidRPr="00C71AF9">
        <w:t>.</w:t>
      </w:r>
    </w:p>
  </w:footnote>
  <w:footnote w:id="8">
    <w:p w14:paraId="145932F3" w14:textId="2D298685" w:rsidR="003F4354" w:rsidRDefault="003F4354" w:rsidP="003F4354">
      <w:pPr>
        <w:pStyle w:val="FootnoteText"/>
      </w:pPr>
      <w:r>
        <w:rPr>
          <w:rStyle w:val="FootnoteReference"/>
        </w:rPr>
        <w:footnoteRef/>
      </w:r>
      <w:r>
        <w:t xml:space="preserve"> </w:t>
      </w:r>
      <w:r w:rsidR="001A7EF2">
        <w:tab/>
      </w:r>
      <w:r>
        <w:t>Earth Resource Regulation State Statistical Reports 2017-21.</w:t>
      </w:r>
    </w:p>
  </w:footnote>
  <w:footnote w:id="9">
    <w:p w14:paraId="3D044E92" w14:textId="0BD564BE" w:rsidR="003F4354" w:rsidRDefault="003F4354" w:rsidP="003F4354">
      <w:pPr>
        <w:pStyle w:val="FootnoteText"/>
      </w:pPr>
      <w:r>
        <w:rPr>
          <w:rStyle w:val="FootnoteReference"/>
        </w:rPr>
        <w:footnoteRef/>
      </w:r>
      <w:r>
        <w:t xml:space="preserve"> </w:t>
      </w:r>
      <w:r w:rsidR="001A7EF2">
        <w:tab/>
      </w:r>
      <w:r>
        <w:t>Extractive Resources Strategy, 2018 (</w:t>
      </w:r>
      <w:r w:rsidRPr="00001487">
        <w:t>https://earthresources.vic.gov.au/projects/extractive-resources-strategy</w:t>
      </w:r>
      <w:r>
        <w:t>)</w:t>
      </w:r>
    </w:p>
  </w:footnote>
  <w:footnote w:id="10">
    <w:p w14:paraId="69471D04" w14:textId="148693E9" w:rsidR="003F4354" w:rsidRDefault="003F4354" w:rsidP="003F4354">
      <w:pPr>
        <w:pStyle w:val="FootnoteText"/>
      </w:pPr>
      <w:r>
        <w:rPr>
          <w:rStyle w:val="FootnoteReference"/>
        </w:rPr>
        <w:footnoteRef/>
      </w:r>
      <w:r>
        <w:t xml:space="preserve"> </w:t>
      </w:r>
      <w:r w:rsidR="001A7EF2">
        <w:tab/>
      </w:r>
      <w:r>
        <w:t>Pulse Check, DJPR, 2022</w:t>
      </w:r>
    </w:p>
  </w:footnote>
  <w:footnote w:id="11">
    <w:p w14:paraId="68310475" w14:textId="3B85B16B" w:rsidR="003F4354" w:rsidRPr="001A7EF2" w:rsidRDefault="003F4354" w:rsidP="001A7EF2">
      <w:pPr>
        <w:pStyle w:val="FootnoteText"/>
      </w:pPr>
      <w:r>
        <w:rPr>
          <w:rStyle w:val="FootnoteReference"/>
        </w:rPr>
        <w:footnoteRef/>
      </w:r>
      <w:r>
        <w:t xml:space="preserve"> </w:t>
      </w:r>
      <w:r w:rsidR="001A7EF2">
        <w:tab/>
      </w:r>
      <w:hyperlink r:id="rId1" w:history="1">
        <w:r w:rsidR="001A7EF2" w:rsidRPr="009B173E">
          <w:rPr>
            <w:rStyle w:val="Hyperlink"/>
            <w:rFonts w:eastAsia="Arial"/>
          </w:rPr>
          <w:t>https://www.sustainability.vic.gov.au/research-data-and-insights/waste-data/annual-waste-data-reports</w:t>
        </w:r>
      </w:hyperlink>
    </w:p>
  </w:footnote>
  <w:footnote w:id="12">
    <w:p w14:paraId="3B84ECD2" w14:textId="12F43781" w:rsidR="003F4354" w:rsidRDefault="003F4354" w:rsidP="003F4354">
      <w:pPr>
        <w:pStyle w:val="FootnoteText"/>
      </w:pPr>
      <w:r>
        <w:rPr>
          <w:rStyle w:val="FootnoteReference"/>
        </w:rPr>
        <w:footnoteRef/>
      </w:r>
      <w:r>
        <w:t xml:space="preserve"> </w:t>
      </w:r>
      <w:r w:rsidR="001A7EF2">
        <w:tab/>
      </w:r>
      <w:r>
        <w:t>Earth Resources Regulation 2019-20 Annual Statistical Report.</w:t>
      </w:r>
    </w:p>
  </w:footnote>
  <w:footnote w:id="13">
    <w:p w14:paraId="757E18D7" w14:textId="3E021D57" w:rsidR="003F4354" w:rsidRDefault="003F4354" w:rsidP="003F4354">
      <w:pPr>
        <w:pStyle w:val="FootnoteText"/>
      </w:pPr>
      <w:r>
        <w:rPr>
          <w:rStyle w:val="FootnoteReference"/>
        </w:rPr>
        <w:footnoteRef/>
      </w:r>
      <w:r>
        <w:t xml:space="preserve"> </w:t>
      </w:r>
      <w:r w:rsidR="001A7EF2">
        <w:tab/>
      </w:r>
      <w:r w:rsidRPr="00D5530B">
        <w:t>Earth Resources Regulation Annual Statistical Report FY 2020-21</w:t>
      </w:r>
      <w:r>
        <w:t>, (Source ERR), based on annual returns submitted by 5/11/21.</w:t>
      </w:r>
    </w:p>
  </w:footnote>
  <w:footnote w:id="14">
    <w:p w14:paraId="018BE72C" w14:textId="722C6566" w:rsidR="003F4354" w:rsidRDefault="003F4354" w:rsidP="003F4354">
      <w:pPr>
        <w:pStyle w:val="FootnoteText"/>
      </w:pPr>
      <w:r>
        <w:rPr>
          <w:rStyle w:val="FootnoteReference"/>
        </w:rPr>
        <w:footnoteRef/>
      </w:r>
      <w:r>
        <w:t xml:space="preserve"> </w:t>
      </w:r>
      <w:r w:rsidR="001A7EF2">
        <w:tab/>
      </w:r>
      <w:r>
        <w:t>DJPR internal modelling 2021 (independently reviewed)</w:t>
      </w:r>
    </w:p>
  </w:footnote>
  <w:footnote w:id="15">
    <w:p w14:paraId="6F302839" w14:textId="2C3AEF3E" w:rsidR="003F4354" w:rsidRPr="00C10C95" w:rsidRDefault="003F4354" w:rsidP="003F4354">
      <w:pPr>
        <w:pStyle w:val="FootnoteText"/>
        <w:rPr>
          <w:lang w:val="en-US"/>
        </w:rPr>
      </w:pPr>
      <w:r>
        <w:rPr>
          <w:rStyle w:val="FootnoteReference"/>
        </w:rPr>
        <w:footnoteRef/>
      </w:r>
      <w:r>
        <w:t xml:space="preserve"> </w:t>
      </w:r>
      <w:r w:rsidR="001A7EF2">
        <w:tab/>
      </w:r>
      <w:r>
        <w:t xml:space="preserve">Victorian </w:t>
      </w:r>
      <w:r>
        <w:rPr>
          <w:i/>
          <w:iCs/>
        </w:rPr>
        <w:t xml:space="preserve">2022-23 Budget, </w:t>
      </w:r>
      <w:r>
        <w:t>Chapter 4 – State Capital Program</w:t>
      </w:r>
    </w:p>
  </w:footnote>
  <w:footnote w:id="16">
    <w:p w14:paraId="2583F71D" w14:textId="6BF8FAA8" w:rsidR="003F4354" w:rsidRDefault="003F4354" w:rsidP="003F4354">
      <w:pPr>
        <w:pStyle w:val="FootnoteText"/>
      </w:pPr>
      <w:r>
        <w:rPr>
          <w:rStyle w:val="FootnoteReference"/>
        </w:rPr>
        <w:footnoteRef/>
      </w:r>
      <w:r>
        <w:t xml:space="preserve"> </w:t>
      </w:r>
      <w:r w:rsidR="001A7EF2">
        <w:tab/>
      </w:r>
      <w:r>
        <w:t xml:space="preserve">Victorian </w:t>
      </w:r>
      <w:r>
        <w:rPr>
          <w:i/>
          <w:iCs/>
        </w:rPr>
        <w:t xml:space="preserve">2022-23 Budget, </w:t>
      </w:r>
      <w:r>
        <w:t xml:space="preserve">Chapter 4 – State Capital Program </w:t>
      </w:r>
    </w:p>
  </w:footnote>
  <w:footnote w:id="17">
    <w:p w14:paraId="52ABE1D6" w14:textId="1DB46196" w:rsidR="003F4354" w:rsidRDefault="003F4354" w:rsidP="003F4354">
      <w:pPr>
        <w:pStyle w:val="FootnoteText"/>
      </w:pPr>
      <w:r>
        <w:rPr>
          <w:rStyle w:val="FootnoteReference"/>
        </w:rPr>
        <w:footnoteRef/>
      </w:r>
      <w:r>
        <w:t xml:space="preserve"> </w:t>
      </w:r>
      <w:r w:rsidR="001A7EF2">
        <w:tab/>
      </w:r>
      <w:r>
        <w:t xml:space="preserve">As of 11 February 2022, Victoria had the highest number of applications for HomeBuilder grants: </w:t>
      </w:r>
      <w:hyperlink r:id="rId2" w:history="1">
        <w:r w:rsidR="001A7EF2" w:rsidRPr="009B173E">
          <w:rPr>
            <w:rStyle w:val="Hyperlink"/>
          </w:rPr>
          <w:t>https://treasury.gov.au/coronavirus/homebuilder</w:t>
        </w:r>
      </w:hyperlink>
      <w:r w:rsidR="001A7EF2">
        <w:t xml:space="preserve"> </w:t>
      </w:r>
    </w:p>
  </w:footnote>
  <w:footnote w:id="18">
    <w:p w14:paraId="51561A16" w14:textId="6E524AA7" w:rsidR="003F4354" w:rsidRDefault="003F4354" w:rsidP="001A7EF2">
      <w:pPr>
        <w:pStyle w:val="FootnoteText"/>
      </w:pPr>
      <w:r>
        <w:rPr>
          <w:rStyle w:val="FootnoteReference"/>
        </w:rPr>
        <w:footnoteRef/>
      </w:r>
      <w:r>
        <w:t xml:space="preserve"> </w:t>
      </w:r>
      <w:r w:rsidR="001A7EF2">
        <w:tab/>
      </w:r>
      <w:r w:rsidRPr="007D749C">
        <w:t xml:space="preserve">Proser, C.C, 2016, “Geoconservation, Quarrying and Mining: Opportunities and Challenges Illustrated Through Working in Partnership with the Mineral Extraction Industry in England”, </w:t>
      </w:r>
      <w:r w:rsidRPr="007D749C">
        <w:rPr>
          <w:i/>
          <w:iCs/>
        </w:rPr>
        <w:t>Geoheritage</w:t>
      </w:r>
      <w:r w:rsidRPr="007D749C">
        <w:t xml:space="preserve"> (2018) 10:259-270.</w:t>
      </w:r>
    </w:p>
  </w:footnote>
  <w:footnote w:id="19">
    <w:p w14:paraId="6F339F3F" w14:textId="69FED01A" w:rsidR="003F4354" w:rsidRDefault="003F4354" w:rsidP="003F4354">
      <w:pPr>
        <w:pStyle w:val="FootnoteText"/>
      </w:pPr>
      <w:r>
        <w:rPr>
          <w:rStyle w:val="FootnoteReference"/>
        </w:rPr>
        <w:footnoteRef/>
      </w:r>
      <w:r>
        <w:t xml:space="preserve"> </w:t>
      </w:r>
      <w:r w:rsidR="001A7EF2">
        <w:tab/>
      </w:r>
      <w:hyperlink r:id="rId3" w:history="1">
        <w:r w:rsidR="001A7EF2" w:rsidRPr="009B173E">
          <w:rPr>
            <w:rStyle w:val="Hyperlink"/>
          </w:rPr>
          <w:t>https://earthresources.vic.gov.au/__data/assets/pdf_file/0014/821300/RRV-Strategic-Extractive-Resources-Roadmap.pdf</w:t>
        </w:r>
      </w:hyperlink>
      <w:r w:rsidR="001A7EF2">
        <w:t xml:space="preserve"> </w:t>
      </w:r>
    </w:p>
  </w:footnote>
  <w:footnote w:id="20">
    <w:p w14:paraId="2A712B40" w14:textId="30B93500" w:rsidR="003F4354" w:rsidRDefault="003F4354" w:rsidP="003F4354">
      <w:pPr>
        <w:pStyle w:val="FootnoteText"/>
      </w:pPr>
      <w:r>
        <w:rPr>
          <w:rStyle w:val="FootnoteReference"/>
        </w:rPr>
        <w:footnoteRef/>
      </w:r>
      <w:r>
        <w:t xml:space="preserve"> </w:t>
      </w:r>
      <w:r w:rsidR="001A7EF2">
        <w:tab/>
      </w:r>
      <w:r>
        <w:t xml:space="preserve">Extractive Resources Strategy </w:t>
      </w:r>
    </w:p>
  </w:footnote>
  <w:footnote w:id="21">
    <w:p w14:paraId="5294F75D" w14:textId="1A0E2D2A" w:rsidR="003F4354" w:rsidRDefault="003F4354" w:rsidP="003F4354">
      <w:pPr>
        <w:pStyle w:val="FootnoteText"/>
      </w:pPr>
      <w:r>
        <w:rPr>
          <w:rStyle w:val="FootnoteReference"/>
        </w:rPr>
        <w:footnoteRef/>
      </w:r>
      <w:r>
        <w:t xml:space="preserve"> </w:t>
      </w:r>
      <w:r w:rsidR="001A7EF2">
        <w:tab/>
      </w:r>
      <w:r>
        <w:t xml:space="preserve">Read more about the project priority list: </w:t>
      </w:r>
      <w:hyperlink r:id="rId4" w:history="1">
        <w:r w:rsidRPr="00D624DF">
          <w:rPr>
            <w:rStyle w:val="Hyperlink"/>
            <w:rFonts w:eastAsiaTheme="majorEastAsia"/>
          </w:rPr>
          <w:t>https://earthresources.vic.gov.au/projects/extractive-industry-priority-project-list</w:t>
        </w:r>
      </w:hyperlink>
      <w:r>
        <w:t xml:space="preserve"> </w:t>
      </w:r>
    </w:p>
  </w:footnote>
  <w:footnote w:id="22">
    <w:p w14:paraId="37E27EB5" w14:textId="37471D36" w:rsidR="003F4354" w:rsidRDefault="003F4354" w:rsidP="003F4354">
      <w:pPr>
        <w:pStyle w:val="FootnoteText"/>
      </w:pPr>
      <w:r>
        <w:rPr>
          <w:rStyle w:val="FootnoteReference"/>
        </w:rPr>
        <w:footnoteRef/>
      </w:r>
      <w:r>
        <w:t xml:space="preserve"> </w:t>
      </w:r>
      <w:r w:rsidR="001A7EF2">
        <w:tab/>
      </w:r>
      <w:hyperlink r:id="rId5" w:anchor=":~:text=Better%20Approvals%20for%20Regulators%20(BAR)%20is%20a%20state%2Dwide,expected%20of%20a%20modern%20regulator" w:history="1">
        <w:r w:rsidR="001A7EF2" w:rsidRPr="009B173E">
          <w:rPr>
            <w:rStyle w:val="Hyperlink"/>
            <w:rFonts w:eastAsiaTheme="majorEastAsia"/>
          </w:rPr>
          <w:t>https://earthresources.vic.gov.au/legislation-and-regulations/regulation-review-and-reform/better-approvals#:~:text=Better%20Approvals%20for%20Regulators%20(BAR)%20is%20a%20state%2Dwide,expected%20of%20a%20modern%20regulator</w:t>
        </w:r>
      </w:hyperlink>
      <w:r w:rsidRPr="00483F10">
        <w:t>.</w:t>
      </w:r>
      <w:r>
        <w:t xml:space="preserve"> </w:t>
      </w:r>
    </w:p>
  </w:footnote>
  <w:footnote w:id="23">
    <w:p w14:paraId="0723AA04" w14:textId="06FFACBE" w:rsidR="003F4354" w:rsidRDefault="003F4354" w:rsidP="003F4354">
      <w:pPr>
        <w:pStyle w:val="FootnoteText"/>
      </w:pPr>
      <w:r>
        <w:rPr>
          <w:rStyle w:val="FootnoteReference"/>
        </w:rPr>
        <w:footnoteRef/>
      </w:r>
      <w:r>
        <w:t xml:space="preserve"> </w:t>
      </w:r>
      <w:r w:rsidR="001A7EF2">
        <w:tab/>
      </w:r>
      <w:r>
        <w:t xml:space="preserve">Extractive Resources in Victoria: Demand and Supply Study 2015-2050 Final Report, May 2016 </w:t>
      </w:r>
    </w:p>
  </w:footnote>
  <w:footnote w:id="24">
    <w:p w14:paraId="7E3E2122" w14:textId="072DF7AC" w:rsidR="003F4354" w:rsidRDefault="003F4354" w:rsidP="003F4354">
      <w:pPr>
        <w:pStyle w:val="FootnoteText"/>
      </w:pPr>
      <w:r>
        <w:rPr>
          <w:rStyle w:val="FootnoteReference"/>
        </w:rPr>
        <w:footnoteRef/>
      </w:r>
      <w:r>
        <w:t xml:space="preserve"> </w:t>
      </w:r>
      <w:r w:rsidR="001A7EF2">
        <w:tab/>
      </w:r>
      <w:r w:rsidRPr="00D5530B">
        <w:t>Earth Resources Regulation Annual Statistical Report FY 2020-21</w:t>
      </w:r>
      <w:r>
        <w:t>, (Source ERR), based on annual returns submitted by 5/11/21.</w:t>
      </w:r>
    </w:p>
  </w:footnote>
  <w:footnote w:id="25">
    <w:p w14:paraId="308A12B5" w14:textId="0BC77991" w:rsidR="003F4354" w:rsidRDefault="003F4354" w:rsidP="003F4354">
      <w:pPr>
        <w:pStyle w:val="FootnoteText"/>
      </w:pPr>
      <w:r>
        <w:rPr>
          <w:rStyle w:val="FootnoteReference"/>
        </w:rPr>
        <w:footnoteRef/>
      </w:r>
      <w:r>
        <w:t xml:space="preserve"> </w:t>
      </w:r>
      <w:r w:rsidR="001A7EF2">
        <w:tab/>
      </w:r>
      <w:hyperlink r:id="rId6" w:history="1">
        <w:r w:rsidR="001A7EF2" w:rsidRPr="009B173E">
          <w:rPr>
            <w:rStyle w:val="Hyperlink"/>
            <w:rFonts w:eastAsiaTheme="majorEastAsia"/>
          </w:rPr>
          <w:t>https://www.rdv.vic.gov.au/regional-partnerships/partnerships</w:t>
        </w:r>
      </w:hyperlink>
      <w:r>
        <w:t xml:space="preserve"> </w:t>
      </w:r>
    </w:p>
  </w:footnote>
  <w:footnote w:id="26">
    <w:p w14:paraId="3BFC7F3F" w14:textId="7C2DBD22" w:rsidR="003F4354" w:rsidRDefault="003F4354" w:rsidP="003F4354">
      <w:pPr>
        <w:pStyle w:val="FootnoteText"/>
      </w:pPr>
      <w:r>
        <w:rPr>
          <w:rStyle w:val="FootnoteReference"/>
        </w:rPr>
        <w:footnoteRef/>
      </w:r>
      <w:r>
        <w:t xml:space="preserve"> </w:t>
      </w:r>
      <w:r w:rsidR="001A7EF2">
        <w:tab/>
      </w:r>
      <w:r>
        <w:t>DJPR Industry survey, 2022</w:t>
      </w:r>
    </w:p>
  </w:footnote>
  <w:footnote w:id="27">
    <w:p w14:paraId="19A8A2A7" w14:textId="1C6390A2" w:rsidR="00980ADB" w:rsidRDefault="00980ADB">
      <w:pPr>
        <w:pStyle w:val="FootnoteText"/>
      </w:pPr>
      <w:r>
        <w:rPr>
          <w:rStyle w:val="FootnoteReference"/>
        </w:rPr>
        <w:footnoteRef/>
      </w:r>
      <w:r>
        <w:t xml:space="preserve"> </w:t>
      </w:r>
      <w:r w:rsidRPr="00980ADB">
        <w:t>Results were capped to 160 per cent to properly render colour ranges</w:t>
      </w:r>
    </w:p>
  </w:footnote>
  <w:footnote w:id="28">
    <w:p w14:paraId="6FFB2B6D" w14:textId="7E288C7E" w:rsidR="00980ADB" w:rsidRDefault="00980ADB">
      <w:pPr>
        <w:pStyle w:val="FootnoteText"/>
      </w:pPr>
      <w:r>
        <w:rPr>
          <w:rStyle w:val="FootnoteReference"/>
        </w:rPr>
        <w:footnoteRef/>
      </w:r>
      <w:r>
        <w:t xml:space="preserve"> </w:t>
      </w:r>
      <w:r w:rsidRPr="00980ADB">
        <w:t>Results were capped to 160 per cent to properly render colour ranges</w:t>
      </w:r>
    </w:p>
  </w:footnote>
  <w:footnote w:id="29">
    <w:p w14:paraId="25583613" w14:textId="79F88C00" w:rsidR="00CE0765" w:rsidRDefault="00CE0765">
      <w:pPr>
        <w:pStyle w:val="FootnoteText"/>
      </w:pPr>
      <w:r>
        <w:rPr>
          <w:rStyle w:val="FootnoteReference"/>
        </w:rPr>
        <w:footnoteRef/>
      </w:r>
      <w:r>
        <w:t xml:space="preserve"> </w:t>
      </w:r>
      <w:r w:rsidRPr="00CE0765">
        <w:t>Results were capped to 160 per cent to properly render colour ranges</w:t>
      </w:r>
    </w:p>
  </w:footnote>
  <w:footnote w:id="30">
    <w:p w14:paraId="585DA991" w14:textId="77777777" w:rsidR="00CE0765" w:rsidRDefault="00CE0765" w:rsidP="00CE0765">
      <w:pPr>
        <w:pStyle w:val="FootnoteText"/>
      </w:pPr>
      <w:r>
        <w:rPr>
          <w:rStyle w:val="FootnoteReference"/>
        </w:rPr>
        <w:footnoteRef/>
      </w:r>
      <w:r>
        <w:t xml:space="preserve"> </w:t>
      </w:r>
      <w:r w:rsidRPr="00CE0765">
        <w:t>Results were capped to 160 per cent to properly render colour ranges</w:t>
      </w:r>
    </w:p>
  </w:footnote>
  <w:footnote w:id="31">
    <w:p w14:paraId="60AA7764" w14:textId="7CD57E78" w:rsidR="003F4354" w:rsidRDefault="003F4354" w:rsidP="003F4354">
      <w:pPr>
        <w:pStyle w:val="FootnoteText"/>
      </w:pPr>
      <w:r>
        <w:rPr>
          <w:rStyle w:val="FootnoteReference"/>
        </w:rPr>
        <w:footnoteRef/>
      </w:r>
      <w:r>
        <w:t xml:space="preserve"> </w:t>
      </w:r>
      <w:r w:rsidR="001A7EF2">
        <w:tab/>
      </w:r>
      <w:r>
        <w:t xml:space="preserve">Read more about recycling and Victoria’s plan for a circular economy: </w:t>
      </w:r>
      <w:hyperlink r:id="rId7" w:history="1">
        <w:r w:rsidRPr="00D624DF">
          <w:rPr>
            <w:rStyle w:val="Hyperlink"/>
            <w:rFonts w:eastAsiaTheme="majorEastAsia"/>
          </w:rPr>
          <w:t>https://www.vic.gov.au/victorias-plan-circular-economy</w:t>
        </w:r>
      </w:hyperlink>
      <w:r>
        <w:t xml:space="preserve"> </w:t>
      </w:r>
    </w:p>
  </w:footnote>
  <w:footnote w:id="32">
    <w:p w14:paraId="06B31990" w14:textId="2561AC98" w:rsidR="003F4354" w:rsidRDefault="003F4354" w:rsidP="003F4354">
      <w:pPr>
        <w:pStyle w:val="FootnoteText"/>
      </w:pPr>
      <w:r>
        <w:rPr>
          <w:rStyle w:val="FootnoteReference"/>
        </w:rPr>
        <w:footnoteRef/>
      </w:r>
      <w:r>
        <w:t xml:space="preserve"> </w:t>
      </w:r>
      <w:r w:rsidR="001A7EF2">
        <w:tab/>
      </w:r>
      <w:r>
        <w:t>G</w:t>
      </w:r>
      <w:r w:rsidRPr="00087742">
        <w:t>reater Sydney market - quarry product supply review</w:t>
      </w:r>
      <w:r>
        <w:t xml:space="preserve"> by Conmats consulting, John Malempre, March 2022</w:t>
      </w:r>
    </w:p>
  </w:footnote>
  <w:footnote w:id="33">
    <w:p w14:paraId="1FE861D0" w14:textId="77777777" w:rsidR="003F4354" w:rsidRDefault="003F4354" w:rsidP="003F4354">
      <w:pPr>
        <w:pStyle w:val="FootnoteText"/>
      </w:pPr>
      <w:r>
        <w:rPr>
          <w:rStyle w:val="FootnoteReference"/>
        </w:rPr>
        <w:footnoteRef/>
      </w:r>
      <w:r>
        <w:t xml:space="preserve"> </w:t>
      </w:r>
      <w:r w:rsidRPr="004278FA">
        <w:t>https://www.planning.vic.gov.au/__data/assets/pdf_file/0031/595273/PPN89-Extractive-Industry-and-Resources-September-2022.pdf</w:t>
      </w:r>
    </w:p>
  </w:footnote>
  <w:footnote w:id="34">
    <w:p w14:paraId="30FD1A64" w14:textId="77777777" w:rsidR="003F4354" w:rsidRDefault="003F4354" w:rsidP="003F4354">
      <w:pPr>
        <w:pStyle w:val="FootnoteText"/>
      </w:pPr>
      <w:r>
        <w:rPr>
          <w:rStyle w:val="FootnoteReference"/>
        </w:rPr>
        <w:footnoteRef/>
      </w:r>
      <w:r>
        <w:t xml:space="preserve"> </w:t>
      </w:r>
      <w:hyperlink r:id="rId8" w:history="1">
        <w:r w:rsidRPr="00D624DF">
          <w:rPr>
            <w:rStyle w:val="Hyperlink"/>
            <w:rFonts w:eastAsiaTheme="majorEastAsia"/>
          </w:rPr>
          <w:t>https://liveinmelbourne.vic.gov.au/discover/melbourne-victoria/metropolitan-melbourne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9DECA" w14:textId="058D2B68" w:rsidR="00385E20" w:rsidRDefault="00393B37">
    <w:pPr>
      <w:pStyle w:val="Header"/>
    </w:pPr>
    <w:r>
      <w:rPr>
        <w:noProof/>
      </w:rPr>
      <mc:AlternateContent>
        <mc:Choice Requires="wps">
          <w:drawing>
            <wp:anchor distT="0" distB="0" distL="114300" distR="114300" simplePos="0" relativeHeight="251666442" behindDoc="0" locked="0" layoutInCell="0" allowOverlap="1" wp14:anchorId="13C6D78D" wp14:editId="2307952A">
              <wp:simplePos x="0" y="0"/>
              <wp:positionH relativeFrom="page">
                <wp:align>center</wp:align>
              </wp:positionH>
              <wp:positionV relativeFrom="page">
                <wp:align>top</wp:align>
              </wp:positionV>
              <wp:extent cx="7772400" cy="442595"/>
              <wp:effectExtent l="0" t="0" r="0" b="14605"/>
              <wp:wrapNone/>
              <wp:docPr id="33" name="MSIPCM7d67436ea65d58104930e4b0" descr="{&quot;HashCode&quot;:352122633,&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56F77AC" w14:textId="7ED91D0F" w:rsidR="00393B37" w:rsidRPr="00393B37" w:rsidRDefault="00393B37" w:rsidP="00393B37">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3C6D78D" id="_x0000_t202" coordsize="21600,21600" o:spt="202" path="m,l,21600r21600,l21600,xe">
              <v:stroke joinstyle="miter"/>
              <v:path gradientshapeok="t" o:connecttype="rect"/>
            </v:shapetype>
            <v:shape id="MSIPCM7d67436ea65d58104930e4b0" o:spid="_x0000_s1031" type="#_x0000_t202" alt="{&quot;HashCode&quot;:352122633,&quot;Height&quot;:9999999.0,&quot;Width&quot;:9999999.0,&quot;Placement&quot;:&quot;Header&quot;,&quot;Index&quot;:&quot;OddAndEven&quot;,&quot;Section&quot;:1,&quot;Top&quot;:0.0,&quot;Left&quot;:0.0}" style="position:absolute;margin-left:0;margin-top:0;width:612pt;height:34.85pt;z-index:25166644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" o:allowincell="f" filled="f" stroked="f" strokeweight=".5pt">
              <v:textbox inset=",0,,0">
                <w:txbxContent>
                  <w:p w14:paraId="456F77AC" w14:textId="7ED91D0F" w:rsidR="00393B37" w:rsidRPr="00393B37" w:rsidRDefault="00393B37" w:rsidP="00393B37">
                    <w:pPr>
                      <w:spacing w:before="0" w:after="0"/>
                      <w:jc w:val="center"/>
                      <w:rPr>
                        <w:rFonts w:ascii="Arial" w:hAnsi="Arial" w:cs="Arial"/>
                        <w:color w:val="000000"/>
                        <w:sz w:val="24"/>
                      </w:rPr>
                    </w:pPr>
                  </w:p>
                </w:txbxContent>
              </v:textbox>
              <w10:wrap anchorx="page" anchory="page"/>
            </v:shape>
          </w:pict>
        </mc:Fallback>
      </mc:AlternateContent>
    </w:r>
    <w:r w:rsidR="001A023F">
      <w:rPr>
        <w:noProof/>
      </w:rPr>
      <mc:AlternateContent>
        <mc:Choice Requires="wps">
          <w:drawing>
            <wp:anchor distT="0" distB="0" distL="114300" distR="114300" simplePos="0" relativeHeight="251658247" behindDoc="0" locked="0" layoutInCell="0" allowOverlap="1" wp14:anchorId="6A14DDB6" wp14:editId="0DDAE213">
              <wp:simplePos x="0" y="0"/>
              <wp:positionH relativeFrom="page">
                <wp:align>center</wp:align>
              </wp:positionH>
              <wp:positionV relativeFrom="page">
                <wp:align>top</wp:align>
              </wp:positionV>
              <wp:extent cx="7772400" cy="442595"/>
              <wp:effectExtent l="0" t="0" r="0" b="14605"/>
              <wp:wrapNone/>
              <wp:docPr id="46" name="Text Box 46" descr="{&quot;HashCode&quot;:352122633,&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DD7A2D" w14:textId="50FDA774" w:rsidR="001A023F" w:rsidRPr="001A023F" w:rsidRDefault="001A023F" w:rsidP="001A023F">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6A14DDB6" id="Text Box 46" o:spid="_x0000_s1032" type="#_x0000_t202" alt="{&quot;HashCode&quot;:352122633,&quot;Height&quot;:9999999.0,&quot;Width&quot;:9999999.0,&quot;Placement&quot;:&quot;Header&quot;,&quot;Index&quot;:&quot;OddAndEven&quot;,&quot;Section&quot;:1,&quot;Top&quot;:0.0,&quot;Left&quot;:0.0}" style="position:absolute;margin-left:0;margin-top:0;width:612pt;height:34.85pt;z-index:251658247;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" o:allowincell="f" filled="f" stroked="f" strokeweight=".5pt">
              <v:textbox inset=",0,,0">
                <w:txbxContent>
                  <w:p w14:paraId="03DD7A2D" w14:textId="50FDA774" w:rsidR="001A023F" w:rsidRPr="001A023F" w:rsidRDefault="001A023F" w:rsidP="001A023F">
                    <w:pPr>
                      <w:spacing w:before="0" w:after="0"/>
                      <w:jc w:val="center"/>
                      <w:rPr>
                        <w:rFonts w:ascii="Arial" w:hAnsi="Arial" w:cs="Arial"/>
                        <w:color w:val="000000"/>
                        <w:sz w:val="24"/>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B5524" w14:textId="143B897D" w:rsidR="00385E20" w:rsidRDefault="00393B37">
    <w:pPr>
      <w:pStyle w:val="Header"/>
    </w:pPr>
    <w:r>
      <w:rPr>
        <w:noProof/>
      </w:rPr>
      <mc:AlternateContent>
        <mc:Choice Requires="wps">
          <w:drawing>
            <wp:anchor distT="0" distB="0" distL="114300" distR="114300" simplePos="0" relativeHeight="251664394" behindDoc="0" locked="0" layoutInCell="0" allowOverlap="1" wp14:anchorId="4B164232" wp14:editId="292D5A56">
              <wp:simplePos x="0" y="0"/>
              <wp:positionH relativeFrom="page">
                <wp:align>center</wp:align>
              </wp:positionH>
              <wp:positionV relativeFrom="page">
                <wp:align>top</wp:align>
              </wp:positionV>
              <wp:extent cx="7772400" cy="442595"/>
              <wp:effectExtent l="0" t="0" r="0" b="14605"/>
              <wp:wrapNone/>
              <wp:docPr id="30" name="MSIPCM54d24304a07d43a3731b3b4c"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A77E239" w14:textId="6A3CC175" w:rsidR="00393B37" w:rsidRPr="00393B37" w:rsidRDefault="00393B37" w:rsidP="00393B37">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B164232" id="_x0000_t202" coordsize="21600,21600" o:spt="202" path="m,l,21600r21600,l21600,xe">
              <v:stroke joinstyle="miter"/>
              <v:path gradientshapeok="t" o:connecttype="rect"/>
            </v:shapetype>
            <v:shape id="MSIPCM54d24304a07d43a3731b3b4c" o:spid="_x0000_s1033" type="#_x0000_t202" alt="{&quot;HashCode&quot;:352122633,&quot;Height&quot;:9999999.0,&quot;Width&quot;:9999999.0,&quot;Placement&quot;:&quot;Header&quot;,&quot;Index&quot;:&quot;Primary&quot;,&quot;Section&quot;:1,&quot;Top&quot;:0.0,&quot;Left&quot;:0.0}" style="position:absolute;margin-left:0;margin-top:0;width:612pt;height:34.85pt;z-index:25166439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2GQIAAC0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mqkk6GPXZQnXA9Bz3z3vJ1gzNs&#10;mA/PzCHVODbKNzzhIRVgLzhblNTgfv3NH/ORAYxS0qJ0Sup/HpgTlKjvBrm5HU+nUWvpgoZ7690N&#10;XnPQ94CqHOMDsTyZMTeowZQO9CuqexW7YYgZjj1LyoMbLvehlzK+Dy5Wq5SGurIsbMzW8lg84hmx&#10;felembNnAgJS9wiDvFjxjoc+t2didQggm0RSRLjH8ww8ajLRfH4/UfRv7ynr+sqXvwE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Diy+G2GQIAAC0EAAAOAAAAAAAAAAAAAAAAAC4CAABkcnMvZTJvRG9jLnhtbFBLAQItABQABgAI&#10;AAAAIQBVt/s12wAAAAUBAAAPAAAAAAAAAAAAAAAAAHMEAABkcnMvZG93bnJldi54bWxQSwUGAAAA&#10;AAQABADzAAAAewUAAAAA&#10;" o:allowincell="f" filled="f" stroked="f" strokeweight=".5pt">
              <v:textbox inset=",0,,0">
                <w:txbxContent>
                  <w:p w14:paraId="1A77E239" w14:textId="6A3CC175" w:rsidR="00393B37" w:rsidRPr="00393B37" w:rsidRDefault="00393B37" w:rsidP="00393B37">
                    <w:pPr>
                      <w:spacing w:before="0" w:after="0"/>
                      <w:jc w:val="center"/>
                      <w:rPr>
                        <w:rFonts w:ascii="Arial" w:hAnsi="Arial" w:cs="Arial"/>
                        <w:color w:val="000000"/>
                        <w:sz w:val="24"/>
                      </w:rPr>
                    </w:pPr>
                  </w:p>
                </w:txbxContent>
              </v:textbox>
              <w10:wrap anchorx="page" anchory="page"/>
            </v:shape>
          </w:pict>
        </mc:Fallback>
      </mc:AlternateContent>
    </w:r>
    <w:r w:rsidR="001A023F">
      <w:rPr>
        <w:noProof/>
      </w:rPr>
      <mc:AlternateContent>
        <mc:Choice Requires="wps">
          <w:drawing>
            <wp:anchor distT="0" distB="0" distL="114300" distR="114300" simplePos="0" relativeHeight="251658244" behindDoc="0" locked="0" layoutInCell="0" allowOverlap="1" wp14:anchorId="75CE93EB" wp14:editId="52F25A96">
              <wp:simplePos x="0" y="0"/>
              <wp:positionH relativeFrom="page">
                <wp:align>center</wp:align>
              </wp:positionH>
              <wp:positionV relativeFrom="page">
                <wp:align>top</wp:align>
              </wp:positionV>
              <wp:extent cx="7772400" cy="442595"/>
              <wp:effectExtent l="0" t="0" r="0" b="14605"/>
              <wp:wrapNone/>
              <wp:docPr id="40" name="Text Box 40" descr="{&quot;HashCode&quot;:352122633,&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38EE5B" w14:textId="2E0DE196" w:rsidR="001A023F" w:rsidRPr="001A023F" w:rsidRDefault="001A023F" w:rsidP="001A023F">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5CE93EB" id="Text Box 40" o:spid="_x0000_s1034" type="#_x0000_t202" alt="{&quot;HashCode&quot;:352122633,&quot;Height&quot;:9999999.0,&quot;Width&quot;:9999999.0,&quot;Placement&quot;:&quot;Header&quot;,&quot;Index&quot;:&quot;Primary&quot;,&quot;Section&quot;:1,&quot;Top&quot;:0.0,&quot;Left&quot;:0.0}" style="position:absolute;margin-left:0;margin-top:0;width:612pt;height:34.85pt;z-index:25165824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rfGQIAAC0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Sno17LGF6ojrOeiZ95avFM6w&#10;Zj68MIdU49go3/CMh9SAveBkUVKD+/U3f8xHBjBKSYvSKan/uWdOUKK/G+TmbjydRq2lCxruvXc7&#10;eM2+eQBU5RgfiOXJjLlBD6Z00LyhupexG4aY4dizpDy44fIQeinj++BiuUxpqCvLwtpsLI/FI54R&#10;29fujTl7IiAgdU8wyIsVH3joc3smlvsAUiW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BvPFrfGQIAAC0EAAAOAAAAAAAAAAAAAAAAAC4CAABkcnMvZTJvRG9jLnhtbFBLAQItABQABgAI&#10;AAAAIQBVt/s12wAAAAUBAAAPAAAAAAAAAAAAAAAAAHMEAABkcnMvZG93bnJldi54bWxQSwUGAAAA&#10;AAQABADzAAAAewUAAAAA&#10;" o:allowincell="f" filled="f" stroked="f" strokeweight=".5pt">
              <v:textbox inset=",0,,0">
                <w:txbxContent>
                  <w:p w14:paraId="5138EE5B" w14:textId="2E0DE196" w:rsidR="001A023F" w:rsidRPr="001A023F" w:rsidRDefault="001A023F" w:rsidP="001A023F">
                    <w:pPr>
                      <w:spacing w:before="0" w:after="0"/>
                      <w:jc w:val="center"/>
                      <w:rPr>
                        <w:rFonts w:ascii="Arial" w:hAnsi="Arial" w:cs="Arial"/>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5EDBA" w14:textId="37831879" w:rsidR="00385E20" w:rsidRDefault="00393B37">
    <w:pPr>
      <w:pStyle w:val="Header"/>
    </w:pPr>
    <w:r>
      <w:rPr>
        <w:noProof/>
      </w:rPr>
      <mc:AlternateContent>
        <mc:Choice Requires="wps">
          <w:drawing>
            <wp:anchor distT="0" distB="0" distL="114300" distR="114300" simplePos="0" relativeHeight="251665418" behindDoc="0" locked="0" layoutInCell="0" allowOverlap="1" wp14:anchorId="3B4E9A65" wp14:editId="50ABCE67">
              <wp:simplePos x="0" y="0"/>
              <wp:positionH relativeFrom="page">
                <wp:align>center</wp:align>
              </wp:positionH>
              <wp:positionV relativeFrom="page">
                <wp:align>top</wp:align>
              </wp:positionV>
              <wp:extent cx="7772400" cy="442595"/>
              <wp:effectExtent l="0" t="0" r="0" b="14605"/>
              <wp:wrapNone/>
              <wp:docPr id="31" name="MSIPCM12aa41648c59d75b43d54eb0"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531B1D" w14:textId="37D68CD5" w:rsidR="00393B37" w:rsidRPr="00393B37" w:rsidRDefault="00393B37" w:rsidP="00393B37">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4E9A65" id="_x0000_t202" coordsize="21600,21600" o:spt="202" path="m,l,21600r21600,l21600,xe">
              <v:stroke joinstyle="miter"/>
              <v:path gradientshapeok="t" o:connecttype="rect"/>
            </v:shapetype>
            <v:shape id="MSIPCM12aa41648c59d75b43d54eb0" o:spid="_x0000_s1039" type="#_x0000_t202" alt="{&quot;HashCode&quot;:352122633,&quot;Height&quot;:9999999.0,&quot;Width&quot;:9999999.0,&quot;Placement&quot;:&quot;Header&quot;,&quot;Index&quot;:&quot;FirstPage&quot;,&quot;Section&quot;:1,&quot;Top&quot;:0.0,&quot;Left&quot;:0.0}" style="position:absolute;margin-left:0;margin-top:0;width:612pt;height:34.85pt;z-index:25166541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Kue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el0MrudxTLZ5W/rfPguQJNolNQhLQkt&#10;dlj70KcOKbGZgVWjVKJGGdKW9OrrLE8/nCNYXBnscZk1WqHbdqSpSnoz7LGF6ojrOeiZ95avGpxh&#10;zXx4Zg6pxrFRvuEJD6kAe8HJoqQG9+tv/piPDGCUkhalU1L/c8+coET9MMjN7Xg6jVpLFzTce+92&#10;8Jq9vgdU5RgfiOXJjLlBDaZ0oN9Q3cvYDUPMcOxZUh7ccLkPvZTxfXCxXKY01JVlYW02lsfiEc+I&#10;7Uv3xpw9ERCQukcY5MWKDzz0uT0Ty30A2SSSIsI9nifgUZOJ5tP7iaJ/f09Zl1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SlKueGQIAAC0EAAAOAAAAAAAAAAAAAAAAAC4CAABkcnMvZTJvRG9jLnhtbFBLAQItABQABgAI&#10;AAAAIQBVt/s12wAAAAUBAAAPAAAAAAAAAAAAAAAAAHMEAABkcnMvZG93bnJldi54bWxQSwUGAAAA&#10;AAQABADzAAAAewUAAAAA&#10;" o:allowincell="f" filled="f" stroked="f" strokeweight=".5pt">
              <v:textbox inset=",0,,0">
                <w:txbxContent>
                  <w:p w14:paraId="1B531B1D" w14:textId="37D68CD5" w:rsidR="00393B37" w:rsidRPr="00393B37" w:rsidRDefault="00393B37" w:rsidP="00393B37">
                    <w:pPr>
                      <w:spacing w:before="0" w:after="0"/>
                      <w:jc w:val="center"/>
                      <w:rPr>
                        <w:rFonts w:ascii="Arial" w:hAnsi="Arial" w:cs="Arial"/>
                        <w:color w:val="000000"/>
                        <w:sz w:val="24"/>
                      </w:rPr>
                    </w:pPr>
                  </w:p>
                </w:txbxContent>
              </v:textbox>
              <w10:wrap anchorx="page" anchory="page"/>
            </v:shape>
          </w:pict>
        </mc:Fallback>
      </mc:AlternateContent>
    </w:r>
    <w:r w:rsidR="001A023F">
      <w:rPr>
        <w:noProof/>
      </w:rPr>
      <mc:AlternateContent>
        <mc:Choice Requires="wps">
          <w:drawing>
            <wp:anchor distT="0" distB="0" distL="114300" distR="114300" simplePos="0" relativeHeight="251658245" behindDoc="0" locked="0" layoutInCell="0" allowOverlap="1" wp14:anchorId="3482F408" wp14:editId="16829FAF">
              <wp:simplePos x="0" y="0"/>
              <wp:positionH relativeFrom="page">
                <wp:align>center</wp:align>
              </wp:positionH>
              <wp:positionV relativeFrom="page">
                <wp:align>top</wp:align>
              </wp:positionV>
              <wp:extent cx="7772400" cy="442595"/>
              <wp:effectExtent l="0" t="0" r="0" b="14605"/>
              <wp:wrapNone/>
              <wp:docPr id="41" name="Text Box 41" descr="{&quot;HashCode&quot;:352122633,&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6190E10" w14:textId="505147E7" w:rsidR="001A023F" w:rsidRPr="001A023F" w:rsidRDefault="001A023F" w:rsidP="001A023F">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3482F408" id="Text Box 41" o:spid="_x0000_s1040" type="#_x0000_t202" alt="{&quot;HashCode&quot;:352122633,&quot;Height&quot;:9999999.0,&quot;Width&quot;:9999999.0,&quot;Placement&quot;:&quot;Header&quot;,&quot;Index&quot;:&quot;FirstPage&quot;,&quot;Section&quot;:1,&quot;Top&quot;:0.0,&quot;Left&quot;:0.0}" style="position:absolute;margin-left:0;margin-top:0;width:612pt;height:34.85pt;z-index:251658245;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CfYxD3GQIAAC0EAAAOAAAAAAAAAAAAAAAAAC4CAABkcnMvZTJvRG9jLnhtbFBLAQItABQABgAI&#10;AAAAIQBVt/s12wAAAAUBAAAPAAAAAAAAAAAAAAAAAHMEAABkcnMvZG93bnJldi54bWxQSwUGAAAA&#10;AAQABADzAAAAewUAAAAA&#10;" o:allowincell="f" filled="f" stroked="f" strokeweight=".5pt">
              <v:textbox inset=",0,,0">
                <w:txbxContent>
                  <w:p w14:paraId="76190E10" w14:textId="505147E7" w:rsidR="001A023F" w:rsidRPr="001A023F" w:rsidRDefault="001A023F" w:rsidP="001A023F">
                    <w:pPr>
                      <w:spacing w:before="0" w:after="0"/>
                      <w:jc w:val="center"/>
                      <w:rPr>
                        <w:rFonts w:ascii="Arial" w:hAnsi="Arial" w:cs="Arial"/>
                        <w:color w:val="000000"/>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C3BFC" w14:textId="1820BDA9" w:rsidR="00A2172B" w:rsidRDefault="001A023F">
    <w:pPr>
      <w:pStyle w:val="Header"/>
    </w:pPr>
    <w:r>
      <w:rPr>
        <w:noProof/>
      </w:rPr>
      <mc:AlternateContent>
        <mc:Choice Requires="wps">
          <w:drawing>
            <wp:anchor distT="0" distB="0" distL="114300" distR="114300" simplePos="0" relativeHeight="251658250" behindDoc="0" locked="0" layoutInCell="0" allowOverlap="1" wp14:anchorId="3B18C85F" wp14:editId="3C2AC063">
              <wp:simplePos x="0" y="0"/>
              <wp:positionH relativeFrom="page">
                <wp:align>center</wp:align>
              </wp:positionH>
              <wp:positionV relativeFrom="page">
                <wp:align>top</wp:align>
              </wp:positionV>
              <wp:extent cx="7772400" cy="442595"/>
              <wp:effectExtent l="0" t="0" r="0" b="14605"/>
              <wp:wrapNone/>
              <wp:docPr id="49" name="Text Box 49" descr="{&quot;HashCode&quot;:352122633,&quot;Height&quot;:9999999.0,&quot;Width&quot;:9999999.0,&quot;Placement&quot;:&quot;Head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608835" w14:textId="12B24E1D" w:rsidR="001A023F" w:rsidRPr="001A023F" w:rsidRDefault="001A023F" w:rsidP="001A023F">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B18C85F" id="_x0000_t202" coordsize="21600,21600" o:spt="202" path="m,l,21600r21600,l21600,xe">
              <v:stroke joinstyle="miter"/>
              <v:path gradientshapeok="t" o:connecttype="rect"/>
            </v:shapetype>
            <v:shape id="Text Box 49" o:spid="_x0000_s1043" type="#_x0000_t202" alt="{&quot;HashCode&quot;:352122633,&quot;Height&quot;:9999999.0,&quot;Width&quot;:9999999.0,&quot;Placement&quot;:&quot;Header&quot;,&quot;Index&quot;:&quot;OddAndEven&quot;,&quot;Section&quot;:4,&quot;Top&quot;:0.0,&quot;Left&quot;:0.0}" style="position:absolute;margin-left:0;margin-top:0;width:612pt;height:34.85pt;z-index:25165825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" o:allowincell="f" filled="f" stroked="f" strokeweight=".5pt">
              <v:textbox inset=",0,,0">
                <w:txbxContent>
                  <w:p w14:paraId="64608835" w14:textId="12B24E1D" w:rsidR="001A023F" w:rsidRPr="001A023F" w:rsidRDefault="001A023F" w:rsidP="001A023F">
                    <w:pPr>
                      <w:spacing w:before="0" w:after="0"/>
                      <w:jc w:val="center"/>
                      <w:rPr>
                        <w:rFonts w:ascii="Arial" w:hAnsi="Arial" w:cs="Arial"/>
                        <w:color w:val="000000"/>
                        <w:sz w:val="24"/>
                      </w:rPr>
                    </w:pP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B2C0B" w14:textId="581613B3" w:rsidR="00A2172B" w:rsidRDefault="001A023F">
    <w:pPr>
      <w:pStyle w:val="Header"/>
    </w:pPr>
    <w:r>
      <w:rPr>
        <w:noProof/>
      </w:rPr>
      <mc:AlternateContent>
        <mc:Choice Requires="wps">
          <w:drawing>
            <wp:anchor distT="0" distB="0" distL="114300" distR="114300" simplePos="0" relativeHeight="251658248" behindDoc="0" locked="0" layoutInCell="0" allowOverlap="1" wp14:anchorId="61FEA21A" wp14:editId="0B8C799F">
              <wp:simplePos x="0" y="0"/>
              <wp:positionH relativeFrom="page">
                <wp:align>center</wp:align>
              </wp:positionH>
              <wp:positionV relativeFrom="page">
                <wp:align>top</wp:align>
              </wp:positionV>
              <wp:extent cx="7772400" cy="442595"/>
              <wp:effectExtent l="0" t="0" r="0" b="14605"/>
              <wp:wrapNone/>
              <wp:docPr id="47" name="Text Box 47" descr="{&quot;HashCode&quot;:352122633,&quot;Height&quot;:9999999.0,&quot;Width&quot;:9999999.0,&quot;Placement&quot;:&quot;Head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C62368" w14:textId="5D6B7BA3" w:rsidR="001A023F" w:rsidRPr="001A023F" w:rsidRDefault="001A023F" w:rsidP="001A023F">
                          <w:pPr>
                            <w:spacing w:before="0" w:after="0"/>
                            <w:jc w:val="center"/>
                            <w:rPr>
                              <w:rFonts w:ascii="Arial" w:hAnsi="Arial" w:cs="Arial"/>
                              <w:color w:val="000000"/>
                              <w:sz w:val="24"/>
                            </w:rPr>
                          </w:pP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1FEA21A" id="_x0000_t202" coordsize="21600,21600" o:spt="202" path="m,l,21600r21600,l21600,xe">
              <v:stroke joinstyle="miter"/>
              <v:path gradientshapeok="t" o:connecttype="rect"/>
            </v:shapetype>
            <v:shape id="Text Box 47" o:spid="_x0000_s1044" type="#_x0000_t202" alt="{&quot;HashCode&quot;:352122633,&quot;Height&quot;:9999999.0,&quot;Width&quot;:9999999.0,&quot;Placement&quot;:&quot;Header&quot;,&quot;Index&quot;:&quot;Primary&quot;,&quot;Section&quot;:4,&quot;Top&quot;:0.0,&quot;Left&quot;:0.0}" style="position:absolute;margin-left:0;margin-top:0;width:612pt;height:34.85pt;z-index:25165824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tovfjRoCAAAuBAAADgAAAAAAAAAAAAAAAAAuAgAAZHJzL2Uyb0RvYy54bWxQSwECLQAUAAYA&#10;CAAAACEAVbf7NdsAAAAFAQAADwAAAAAAAAAAAAAAAAB0BAAAZHJzL2Rvd25yZXYueG1sUEsFBgAA&#10;AAAEAAQA8wAAAHwFAAAAAA==&#10;" o:allowincell="f" filled="f" stroked="f" strokeweight=".5pt">
              <v:textbox inset=",0,,0">
                <w:txbxContent>
                  <w:p w14:paraId="3AC62368" w14:textId="5D6B7BA3" w:rsidR="001A023F" w:rsidRPr="001A023F" w:rsidRDefault="001A023F" w:rsidP="001A023F">
                    <w:pPr>
                      <w:spacing w:before="0" w:after="0"/>
                      <w:jc w:val="center"/>
                      <w:rPr>
                        <w:rFonts w:ascii="Arial" w:hAnsi="Arial" w:cs="Arial"/>
                        <w:color w:val="000000"/>
                        <w:sz w:val="24"/>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F3E1D" w14:textId="6FCE8FCC" w:rsidR="00A2172B" w:rsidRDefault="001A023F">
    <w:pPr>
      <w:pStyle w:val="Header"/>
    </w:pPr>
    <w:r>
      <w:rPr>
        <w:noProof/>
      </w:rPr>
      <mc:AlternateContent>
        <mc:Choice Requires="wps">
          <w:drawing>
            <wp:anchor distT="0" distB="0" distL="114300" distR="114300" simplePos="0" relativeHeight="251658249" behindDoc="0" locked="0" layoutInCell="0" allowOverlap="1" wp14:anchorId="626F7593" wp14:editId="6ABBC725">
              <wp:simplePos x="0" y="190500"/>
              <wp:positionH relativeFrom="page">
                <wp:align>center</wp:align>
              </wp:positionH>
              <wp:positionV relativeFrom="page">
                <wp:align>top</wp:align>
              </wp:positionV>
              <wp:extent cx="7772400" cy="442595"/>
              <wp:effectExtent l="0" t="0" r="0" b="14605"/>
              <wp:wrapNone/>
              <wp:docPr id="48" name="Text Box 48" descr="{&quot;HashCode&quot;:352122633,&quot;Height&quot;:9999999.0,&quot;Width&quot;:9999999.0,&quot;Placement&quot;:&quot;Head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772400" cy="4425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5C04B86" w14:textId="2A3916B4" w:rsidR="001A023F" w:rsidRPr="001A023F" w:rsidRDefault="001A023F" w:rsidP="001A023F">
                          <w:pPr>
                            <w:spacing w:before="0" w:after="0"/>
                            <w:jc w:val="center"/>
                            <w:rPr>
                              <w:rFonts w:ascii="Arial" w:hAnsi="Arial" w:cs="Arial"/>
                              <w:color w:val="000000"/>
                              <w:sz w:val="24"/>
                            </w:rPr>
                          </w:pPr>
                          <w:r w:rsidRPr="001A023F">
                            <w:rPr>
                              <w:rFonts w:ascii="Arial" w:hAnsi="Arial" w:cs="Arial"/>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26F7593" id="_x0000_t202" coordsize="21600,21600" o:spt="202" path="m,l,21600r21600,l21600,xe">
              <v:stroke joinstyle="miter"/>
              <v:path gradientshapeok="t" o:connecttype="rect"/>
            </v:shapetype>
            <v:shape id="Text Box 48" o:spid="_x0000_s1045" type="#_x0000_t202" alt="{&quot;HashCode&quot;:352122633,&quot;Height&quot;:9999999.0,&quot;Width&quot;:9999999.0,&quot;Placement&quot;:&quot;Header&quot;,&quot;Index&quot;:&quot;FirstPage&quot;,&quot;Section&quot;:4,&quot;Top&quot;:0.0,&quot;Left&quot;:0.0}" style="position:absolute;margin-left:0;margin-top:0;width:612pt;height:34.85pt;z-index:251658249;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" o:allowincell="f" filled="f" stroked="f" strokeweight=".5pt">
              <v:textbox inset=",0,,0">
                <w:txbxContent>
                  <w:p w14:paraId="05C04B86" w14:textId="2A3916B4" w:rsidR="001A023F" w:rsidRPr="001A023F" w:rsidRDefault="001A023F" w:rsidP="001A023F">
                    <w:pPr>
                      <w:spacing w:before="0" w:after="0"/>
                      <w:jc w:val="center"/>
                      <w:rPr>
                        <w:rFonts w:ascii="Arial" w:hAnsi="Arial" w:cs="Arial"/>
                        <w:color w:val="000000"/>
                        <w:sz w:val="24"/>
                      </w:rPr>
                    </w:pPr>
                    <w:r w:rsidRPr="001A023F">
                      <w:rPr>
                        <w:rFonts w:ascii="Arial" w:hAnsi="Arial" w:cs="Arial"/>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03B57116"/>
    <w:multiLevelType w:val="multilevel"/>
    <w:tmpl w:val="16B44AD4"/>
    <w:name w:val="TableNumbering2"/>
    <w:lvl w:ilvl="0">
      <w:start w:val="1"/>
      <w:numFmt w:val="none"/>
      <w:suff w:val="nothing"/>
      <w:lvlText w:val=""/>
      <w:lvlJc w:val="left"/>
      <w:pPr>
        <w:ind w:left="113" w:firstLine="0"/>
      </w:pPr>
      <w:rPr>
        <w:rFonts w:hint="default"/>
      </w:rPr>
    </w:lvl>
    <w:lvl w:ilvl="1">
      <w:start w:val="1"/>
      <w:numFmt w:val="decimal"/>
      <w:lvlText w:val="(%2)"/>
      <w:lvlJc w:val="left"/>
      <w:pPr>
        <w:tabs>
          <w:tab w:val="num" w:pos="284"/>
        </w:tabs>
        <w:ind w:left="284" w:hanging="284"/>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 w15:restartNumberingAfterBreak="0">
    <w:nsid w:val="0B990B44"/>
    <w:multiLevelType w:val="multilevel"/>
    <w:tmpl w:val="A7889DD4"/>
    <w:name w:val="Bullets32"/>
    <w:lvl w:ilvl="0">
      <w:start w:val="1"/>
      <w:numFmt w:val="bullet"/>
      <w:lvlText w:val=""/>
      <w:lvlJc w:val="left"/>
      <w:pPr>
        <w:ind w:left="340" w:hanging="340"/>
      </w:pPr>
      <w:rPr>
        <w:rFonts w:ascii="Webdings" w:hAnsi="Webdings" w:hint="default"/>
        <w:position w:val="2"/>
        <w:sz w:val="16"/>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3" w15:restartNumberingAfterBreak="0">
    <w:nsid w:val="0CBA6409"/>
    <w:multiLevelType w:val="multilevel"/>
    <w:tmpl w:val="C9881CB4"/>
    <w:name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4" w15:restartNumberingAfterBreak="0">
    <w:nsid w:val="0EB329D1"/>
    <w:multiLevelType w:val="multilevel"/>
    <w:tmpl w:val="C180E414"/>
    <w:name w:val="Bullets3"/>
    <w:lvl w:ilvl="0">
      <w:start w:val="1"/>
      <w:numFmt w:val="bullet"/>
      <w:lvlText w:val=""/>
      <w:lvlJc w:val="left"/>
      <w:pPr>
        <w:ind w:left="340" w:hanging="340"/>
      </w:pPr>
      <w:rPr>
        <w:rFonts w:ascii="Wingdings 2" w:hAnsi="Wingdings 2" w:hint="default"/>
        <w:b/>
        <w:i w:val="0"/>
        <w:sz w:val="20"/>
      </w:rPr>
    </w:lvl>
    <w:lvl w:ilvl="1">
      <w:start w:val="1"/>
      <w:numFmt w:val="bullet"/>
      <w:lvlText w:val="o"/>
      <w:lvlJc w:val="left"/>
      <w:pPr>
        <w:ind w:left="340" w:hanging="340"/>
      </w:pPr>
      <w:rPr>
        <w:rFonts w:ascii="Courier New" w:hAnsi="Courier New" w:cs="Courier New" w:hint="default"/>
      </w:rPr>
    </w:lvl>
    <w:lvl w:ilvl="2">
      <w:start w:val="1"/>
      <w:numFmt w:val="bullet"/>
      <w:lvlText w:val=""/>
      <w:lvlJc w:val="left"/>
      <w:pPr>
        <w:ind w:left="340" w:hanging="340"/>
      </w:pPr>
      <w:rPr>
        <w:rFonts w:ascii="Wingdings" w:hAnsi="Wingdings" w:hint="default"/>
      </w:rPr>
    </w:lvl>
    <w:lvl w:ilvl="3">
      <w:start w:val="1"/>
      <w:numFmt w:val="bullet"/>
      <w:lvlText w:val=""/>
      <w:lvlJc w:val="left"/>
      <w:pPr>
        <w:ind w:left="340" w:hanging="340"/>
      </w:pPr>
      <w:rPr>
        <w:rFonts w:ascii="Symbol" w:hAnsi="Symbol" w:hint="default"/>
      </w:rPr>
    </w:lvl>
    <w:lvl w:ilvl="4">
      <w:start w:val="1"/>
      <w:numFmt w:val="bullet"/>
      <w:lvlText w:val="o"/>
      <w:lvlJc w:val="left"/>
      <w:pPr>
        <w:ind w:left="340" w:hanging="340"/>
      </w:pPr>
      <w:rPr>
        <w:rFonts w:ascii="Courier New" w:hAnsi="Courier New" w:cs="Courier New" w:hint="default"/>
      </w:rPr>
    </w:lvl>
    <w:lvl w:ilvl="5">
      <w:start w:val="1"/>
      <w:numFmt w:val="bullet"/>
      <w:lvlText w:val=""/>
      <w:lvlJc w:val="left"/>
      <w:pPr>
        <w:ind w:left="340" w:hanging="340"/>
      </w:pPr>
      <w:rPr>
        <w:rFonts w:ascii="Wingdings" w:hAnsi="Wingdings" w:hint="default"/>
      </w:rPr>
    </w:lvl>
    <w:lvl w:ilvl="6">
      <w:start w:val="1"/>
      <w:numFmt w:val="bullet"/>
      <w:lvlText w:val=""/>
      <w:lvlJc w:val="left"/>
      <w:pPr>
        <w:ind w:left="340" w:hanging="340"/>
      </w:pPr>
      <w:rPr>
        <w:rFonts w:ascii="Symbol" w:hAnsi="Symbol" w:hint="default"/>
      </w:rPr>
    </w:lvl>
    <w:lvl w:ilvl="7">
      <w:start w:val="1"/>
      <w:numFmt w:val="bullet"/>
      <w:lvlText w:val="o"/>
      <w:lvlJc w:val="left"/>
      <w:pPr>
        <w:ind w:left="340" w:hanging="340"/>
      </w:pPr>
      <w:rPr>
        <w:rFonts w:ascii="Courier New" w:hAnsi="Courier New" w:cs="Courier New" w:hint="default"/>
      </w:rPr>
    </w:lvl>
    <w:lvl w:ilvl="8">
      <w:start w:val="1"/>
      <w:numFmt w:val="bullet"/>
      <w:lvlText w:val=""/>
      <w:lvlJc w:val="left"/>
      <w:pPr>
        <w:ind w:left="340" w:hanging="340"/>
      </w:pPr>
      <w:rPr>
        <w:rFonts w:ascii="Wingdings" w:hAnsi="Wingdings" w:hint="default"/>
      </w:rPr>
    </w:lvl>
  </w:abstractNum>
  <w:abstractNum w:abstractNumId="5" w15:restartNumberingAfterBreak="0">
    <w:nsid w:val="10350277"/>
    <w:multiLevelType w:val="multilevel"/>
    <w:tmpl w:val="3BC45456"/>
    <w:name w:val="HeadingsNumbered"/>
    <w:lvl w:ilvl="0">
      <w:start w:val="1"/>
      <w:numFmt w:val="none"/>
      <w:lvlRestart w:val="0"/>
      <w:suff w:val="nothing"/>
      <w:lvlText w:val=""/>
      <w:lvlJc w:val="left"/>
      <w:pPr>
        <w:ind w:left="0" w:firstLine="0"/>
      </w:pPr>
      <w:rPr>
        <w:rFonts w:hint="default"/>
        <w:spacing w:val="-6"/>
        <w:sz w:val="40"/>
        <w:szCs w:val="40"/>
      </w:rPr>
    </w:lvl>
    <w:lvl w:ilvl="1">
      <w:start w:val="1"/>
      <w:numFmt w:val="none"/>
      <w:suff w:val="nothing"/>
      <w:lvlText w:val=""/>
      <w:lvlJc w:val="left"/>
      <w:pPr>
        <w:ind w:left="0" w:firstLine="0"/>
      </w:pPr>
      <w:rPr>
        <w:rFonts w:hint="default"/>
        <w:spacing w:val="-6"/>
        <w:sz w:val="24"/>
      </w:rPr>
    </w:lvl>
    <w:lvl w:ilvl="2">
      <w:start w:val="1"/>
      <w:numFmt w:val="none"/>
      <w:suff w:val="nothing"/>
      <w:lvlText w:val=""/>
      <w:lvlJc w:val="left"/>
      <w:pPr>
        <w:ind w:left="0" w:firstLine="0"/>
      </w:pPr>
      <w:rPr>
        <w:rFonts w:hint="default"/>
        <w:spacing w:val="-6"/>
        <w:sz w:val="26"/>
      </w:rPr>
    </w:lvl>
    <w:lvl w:ilvl="3">
      <w:start w:val="1"/>
      <w:numFmt w:val="none"/>
      <w:suff w:val="nothing"/>
      <w:lvlText w:val=""/>
      <w:lvlJc w:val="left"/>
      <w:pPr>
        <w:tabs>
          <w:tab w:val="num" w:pos="0"/>
        </w:tabs>
        <w:ind w:left="0" w:firstLine="0"/>
      </w:pPr>
      <w:rPr>
        <w:rFonts w:hint="default"/>
        <w:spacing w:val="-6"/>
        <w:sz w:val="24"/>
      </w:rPr>
    </w:lvl>
    <w:lvl w:ilvl="4">
      <w:start w:val="1"/>
      <w:numFmt w:val="none"/>
      <w:suff w:val="nothing"/>
      <w:lvlText w:val=""/>
      <w:lvlJc w:val="left"/>
      <w:pPr>
        <w:ind w:left="0" w:firstLine="0"/>
      </w:pPr>
      <w:rPr>
        <w:rFonts w:hint="default"/>
        <w:spacing w:val="-6"/>
        <w:sz w:val="21"/>
      </w:rPr>
    </w:lvl>
    <w:lvl w:ilvl="5">
      <w:start w:val="1"/>
      <w:numFmt w:val="lowerRoman"/>
      <w:lvlText w:val="(%6)"/>
      <w:lvlJc w:val="left"/>
      <w:pPr>
        <w:ind w:left="1191" w:hanging="1191"/>
      </w:pPr>
      <w:rPr>
        <w:rFonts w:hint="default"/>
      </w:rPr>
    </w:lvl>
    <w:lvl w:ilvl="6">
      <w:start w:val="1"/>
      <w:numFmt w:val="decimal"/>
      <w:lvlText w:val="%7."/>
      <w:lvlJc w:val="left"/>
      <w:pPr>
        <w:ind w:left="1191" w:hanging="1191"/>
      </w:pPr>
      <w:rPr>
        <w:rFonts w:hint="default"/>
      </w:rPr>
    </w:lvl>
    <w:lvl w:ilvl="7">
      <w:start w:val="1"/>
      <w:numFmt w:val="lowerLetter"/>
      <w:lvlText w:val="%8."/>
      <w:lvlJc w:val="left"/>
      <w:pPr>
        <w:ind w:left="1191" w:hanging="1191"/>
      </w:pPr>
      <w:rPr>
        <w:rFonts w:hint="default"/>
      </w:rPr>
    </w:lvl>
    <w:lvl w:ilvl="8">
      <w:start w:val="1"/>
      <w:numFmt w:val="lowerRoman"/>
      <w:lvlText w:val="%9."/>
      <w:lvlJc w:val="left"/>
      <w:pPr>
        <w:ind w:left="1191" w:hanging="1191"/>
      </w:pPr>
      <w:rPr>
        <w:rFonts w:hint="default"/>
      </w:rPr>
    </w:lvl>
  </w:abstractNum>
  <w:abstractNum w:abstractNumId="6" w15:restartNumberingAfterBreak="0">
    <w:nsid w:val="1A2C3AC6"/>
    <w:multiLevelType w:val="multilevel"/>
    <w:tmpl w:val="CD9ECA9A"/>
    <w:name w:val="List Alpha"/>
    <w:lvl w:ilvl="0">
      <w:start w:val="1"/>
      <w:numFmt w:val="lowerLetter"/>
      <w:lvlText w:val="%1."/>
      <w:lvlJc w:val="left"/>
      <w:rPr>
        <w:rFonts w:ascii="Times New Roman" w:hAnsi="Times New Roman" w:cs="Times New Roman" w:hint="default"/>
        <w:b w:val="0"/>
        <w:bCs w:val="0"/>
        <w:i w:val="0"/>
        <w:iCs w:val="0"/>
        <w:caps w:val="0"/>
        <w:smallCaps w:val="0"/>
        <w:strike w:val="0"/>
        <w:dstrike w:val="0"/>
        <w:noProof w:val="0"/>
        <w:snapToGrid w:val="0"/>
        <w:vanish w:val="0"/>
        <w:color w:val="201547" w:themeColor="text2"/>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5"/>
      <w:numFmt w:val="bullet"/>
      <w:lvlText w:val="–"/>
      <w:lvlJc w:val="left"/>
      <w:pPr>
        <w:tabs>
          <w:tab w:val="num" w:pos="680"/>
        </w:tabs>
        <w:ind w:left="680" w:hanging="340"/>
      </w:pPr>
      <w:rPr>
        <w:rFonts w:ascii="Arial" w:hAnsi="Arial"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1CD37006"/>
    <w:multiLevelType w:val="multilevel"/>
    <w:tmpl w:val="74008CE2"/>
    <w:styleLink w:val="Headings"/>
    <w:lvl w:ilvl="0">
      <w:start w:val="1"/>
      <w:numFmt w:val="decimal"/>
      <w:lvlText w:val="%1."/>
      <w:lvlJc w:val="left"/>
      <w:pPr>
        <w:ind w:left="709" w:hanging="709"/>
      </w:pPr>
      <w:rPr>
        <w:rFonts w:hint="default"/>
      </w:rPr>
    </w:lvl>
    <w:lvl w:ilvl="1">
      <w:start w:val="1"/>
      <w:numFmt w:val="decimal"/>
      <w:lvlText w:val="%1.%2"/>
      <w:lvlJc w:val="left"/>
      <w:pPr>
        <w:ind w:left="709" w:hanging="709"/>
      </w:pPr>
      <w:rPr>
        <w:rFonts w:hint="default"/>
      </w:rPr>
    </w:lvl>
    <w:lvl w:ilvl="2">
      <w:start w:val="1"/>
      <w:numFmt w:val="decimal"/>
      <w:lvlText w:val="%1.%2.%3"/>
      <w:lvlJc w:val="left"/>
      <w:pPr>
        <w:ind w:left="709" w:hanging="709"/>
      </w:pPr>
      <w:rPr>
        <w:rFonts w:hint="default"/>
      </w:rPr>
    </w:lvl>
    <w:lvl w:ilvl="3">
      <w:start w:val="1"/>
      <w:numFmt w:val="none"/>
      <w:lvlText w:val=""/>
      <w:lvlJc w:val="left"/>
      <w:pPr>
        <w:ind w:left="709" w:hanging="709"/>
      </w:pPr>
      <w:rPr>
        <w:rFonts w:hint="default"/>
      </w:rPr>
    </w:lvl>
    <w:lvl w:ilvl="4">
      <w:start w:val="1"/>
      <w:numFmt w:val="none"/>
      <w:lvlText w:val=""/>
      <w:lvlJc w:val="left"/>
      <w:pPr>
        <w:ind w:left="709" w:hanging="709"/>
      </w:pPr>
      <w:rPr>
        <w:rFonts w:hint="default"/>
      </w:rPr>
    </w:lvl>
    <w:lvl w:ilvl="5">
      <w:start w:val="1"/>
      <w:numFmt w:val="none"/>
      <w:lvlText w:val=""/>
      <w:lvlJc w:val="left"/>
      <w:pPr>
        <w:ind w:left="709" w:hanging="709"/>
      </w:pPr>
      <w:rPr>
        <w:rFonts w:hint="default"/>
      </w:rPr>
    </w:lvl>
    <w:lvl w:ilvl="6">
      <w:start w:val="1"/>
      <w:numFmt w:val="decimal"/>
      <w:lvlRestart w:val="0"/>
      <w:suff w:val="space"/>
      <w:lvlText w:val="Appendix %7"/>
      <w:lvlJc w:val="left"/>
      <w:pPr>
        <w:ind w:left="0" w:firstLine="0"/>
      </w:pPr>
      <w:rPr>
        <w:rFonts w:hint="default"/>
      </w:rPr>
    </w:lvl>
    <w:lvl w:ilvl="7">
      <w:start w:val="1"/>
      <w:numFmt w:val="none"/>
      <w:lvlText w:val=""/>
      <w:lvlJc w:val="left"/>
      <w:pPr>
        <w:ind w:left="709" w:hanging="709"/>
      </w:pPr>
      <w:rPr>
        <w:rFonts w:hint="default"/>
      </w:rPr>
    </w:lvl>
    <w:lvl w:ilvl="8">
      <w:start w:val="1"/>
      <w:numFmt w:val="none"/>
      <w:lvlText w:val=""/>
      <w:lvlJc w:val="left"/>
      <w:pPr>
        <w:ind w:left="709" w:hanging="709"/>
      </w:pPr>
      <w:rPr>
        <w:rFonts w:hint="default"/>
      </w:rPr>
    </w:lvl>
  </w:abstractNum>
  <w:abstractNum w:abstractNumId="8"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9" w15:restartNumberingAfterBreak="0">
    <w:nsid w:val="29A018EB"/>
    <w:multiLevelType w:val="multilevel"/>
    <w:tmpl w:val="CCFC5502"/>
    <w:lvl w:ilvl="0">
      <w:start w:val="1"/>
      <w:numFmt w:val="lowerLetter"/>
      <w:pStyle w:val="ListAlpha"/>
      <w:lvlText w:val="%1."/>
      <w:lvlJc w:val="left"/>
      <w:pPr>
        <w:ind w:left="340" w:hanging="340"/>
      </w:pPr>
      <w:rPr>
        <w:rFonts w:asciiTheme="minorHAnsi" w:hAnsiTheme="minorHAnsi" w:hint="default"/>
        <w:color w:val="auto"/>
        <w:position w:val="0"/>
        <w:sz w:val="20"/>
      </w:rPr>
    </w:lvl>
    <w:lvl w:ilvl="1">
      <w:start w:val="1"/>
      <w:numFmt w:val="lowerRoman"/>
      <w:pStyle w:val="ListAlpha2"/>
      <w:lvlText w:val="%2."/>
      <w:lvlJc w:val="left"/>
      <w:pPr>
        <w:ind w:left="680" w:hanging="340"/>
      </w:pPr>
      <w:rPr>
        <w:rFonts w:hint="default"/>
        <w:b w:val="0"/>
        <w:i w:val="0"/>
        <w:color w:val="auto"/>
        <w:position w:val="2"/>
        <w:sz w:val="20"/>
      </w:rPr>
    </w:lvl>
    <w:lvl w:ilvl="2">
      <w:start w:val="1"/>
      <w:numFmt w:val="bullet"/>
      <w:pStyle w:val="ListAlpha3"/>
      <w:lvlText w:val="–"/>
      <w:lvlJc w:val="left"/>
      <w:pPr>
        <w:ind w:left="1020" w:hanging="340"/>
      </w:pPr>
      <w:rPr>
        <w:rFonts w:ascii="Arial" w:hAnsi="Arial" w:hint="default"/>
        <w:color w:val="auto"/>
        <w:position w:val="3"/>
        <w:sz w:val="20"/>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
      <w:lvlJc w:val="left"/>
      <w:pPr>
        <w:ind w:left="2380" w:hanging="340"/>
      </w:pPr>
      <w:rPr>
        <w:rFonts w:hint="default"/>
      </w:rPr>
    </w:lvl>
    <w:lvl w:ilvl="7">
      <w:start w:val="1"/>
      <w:numFmt w:val="none"/>
      <w:lvlText w:val=""/>
      <w:lvlJc w:val="left"/>
      <w:pPr>
        <w:ind w:left="2720" w:hanging="340"/>
      </w:pPr>
      <w:rPr>
        <w:rFonts w:hint="default"/>
      </w:rPr>
    </w:lvl>
    <w:lvl w:ilvl="8">
      <w:start w:val="1"/>
      <w:numFmt w:val="none"/>
      <w:lvlText w:val=""/>
      <w:lvlJc w:val="left"/>
      <w:pPr>
        <w:ind w:left="3060" w:hanging="340"/>
      </w:pPr>
      <w:rPr>
        <w:rFonts w:hint="default"/>
      </w:rPr>
    </w:lvl>
  </w:abstractNum>
  <w:abstractNum w:abstractNumId="10" w15:restartNumberingAfterBreak="0">
    <w:nsid w:val="315672CA"/>
    <w:multiLevelType w:val="multilevel"/>
    <w:tmpl w:val="E4A2E138"/>
    <w:name w:val="Table Numbering"/>
    <w:lvl w:ilvl="0">
      <w:start w:val="1"/>
      <w:numFmt w:val="decimal"/>
      <w:lvlText w:val="%1."/>
      <w:lvlJc w:val="left"/>
      <w:pPr>
        <w:tabs>
          <w:tab w:val="num" w:pos="340"/>
        </w:tabs>
        <w:ind w:left="340" w:hanging="283"/>
      </w:pPr>
      <w:rPr>
        <w:rFonts w:hint="default"/>
        <w:color w:val="252420"/>
      </w:rPr>
    </w:lvl>
    <w:lvl w:ilvl="1">
      <w:start w:val="1"/>
      <w:numFmt w:val="lowerLetter"/>
      <w:lvlText w:val="%2."/>
      <w:lvlJc w:val="left"/>
      <w:pPr>
        <w:tabs>
          <w:tab w:val="num" w:pos="624"/>
        </w:tabs>
        <w:ind w:left="624" w:hanging="284"/>
      </w:pPr>
      <w:rPr>
        <w:rFonts w:hint="default"/>
        <w:color w:val="252420"/>
      </w:rPr>
    </w:lvl>
    <w:lvl w:ilvl="2">
      <w:start w:val="1"/>
      <w:numFmt w:val="lowerRoman"/>
      <w:suff w:val="space"/>
      <w:lvlText w:val="%3."/>
      <w:lvlJc w:val="left"/>
      <w:pPr>
        <w:ind w:left="794" w:hanging="170"/>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1" w15:restartNumberingAfterBreak="0">
    <w:nsid w:val="33963998"/>
    <w:multiLevelType w:val="multilevel"/>
    <w:tmpl w:val="0C090023"/>
    <w:name w:val="NumberedHeadings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34D8130C"/>
    <w:multiLevelType w:val="multilevel"/>
    <w:tmpl w:val="B9104634"/>
    <w:lvl w:ilvl="0">
      <w:start w:val="1"/>
      <w:numFmt w:val="decimal"/>
      <w:pStyle w:val="TableTextNumbered1"/>
      <w:lvlText w:val="%1."/>
      <w:lvlJc w:val="left"/>
      <w:pPr>
        <w:ind w:left="284" w:hanging="284"/>
      </w:pPr>
      <w:rPr>
        <w:rFonts w:hint="default"/>
      </w:rPr>
    </w:lvl>
    <w:lvl w:ilvl="1">
      <w:start w:val="1"/>
      <w:numFmt w:val="lowerLetter"/>
      <w:pStyle w:val="TableTextNumbered2"/>
      <w:lvlText w:val="%2."/>
      <w:lvlJc w:val="left"/>
      <w:pPr>
        <w:ind w:left="568" w:hanging="284"/>
      </w:pPr>
      <w:rPr>
        <w:rFonts w:hint="default"/>
      </w:rPr>
    </w:lvl>
    <w:lvl w:ilvl="2">
      <w:start w:val="1"/>
      <w:numFmt w:val="lowerRoman"/>
      <w:pStyle w:val="TableTextNumbered3"/>
      <w:lvlText w:val="%3."/>
      <w:lvlJc w:val="righ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13" w15:restartNumberingAfterBreak="0">
    <w:nsid w:val="36855328"/>
    <w:multiLevelType w:val="multilevel"/>
    <w:tmpl w:val="AF26DFFE"/>
    <w:name w:val="Numbered Headings"/>
    <w:lvl w:ilvl="0">
      <w:start w:val="1"/>
      <w:numFmt w:val="decimal"/>
      <w:lvlText w:val="%1."/>
      <w:lvlJc w:val="left"/>
      <w:pPr>
        <w:ind w:left="567" w:hanging="567"/>
      </w:pPr>
      <w:rPr>
        <w:rFonts w:hint="default"/>
      </w:rPr>
    </w:lvl>
    <w:lvl w:ilvl="1">
      <w:start w:val="1"/>
      <w:numFmt w:val="decimal"/>
      <w:lvlText w:val="%1.%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4."/>
      <w:lvlJc w:val="left"/>
      <w:pPr>
        <w:tabs>
          <w:tab w:val="num" w:pos="340"/>
        </w:tabs>
        <w:ind w:left="567" w:hanging="567"/>
      </w:pPr>
      <w:rPr>
        <w:rFonts w:hint="default"/>
      </w:rPr>
    </w:lvl>
    <w:lvl w:ilvl="4">
      <w:start w:val="1"/>
      <w:numFmt w:val="lowerLetter"/>
      <w:lvlText w:val="%5."/>
      <w:lvlJc w:val="left"/>
      <w:pPr>
        <w:tabs>
          <w:tab w:val="num" w:pos="340"/>
        </w:tabs>
        <w:ind w:left="567" w:hanging="567"/>
      </w:pPr>
      <w:rPr>
        <w:rFonts w:hint="default"/>
      </w:rPr>
    </w:lvl>
    <w:lvl w:ilvl="5">
      <w:start w:val="1"/>
      <w:numFmt w:val="lowerRoman"/>
      <w:lvlText w:val="%6."/>
      <w:lvlJc w:val="right"/>
      <w:pPr>
        <w:tabs>
          <w:tab w:val="num" w:pos="340"/>
        </w:tabs>
        <w:ind w:left="567" w:hanging="567"/>
      </w:pPr>
      <w:rPr>
        <w:rFonts w:hint="default"/>
      </w:rPr>
    </w:lvl>
    <w:lvl w:ilvl="6">
      <w:start w:val="1"/>
      <w:numFmt w:val="decimal"/>
      <w:lvlText w:val="%7."/>
      <w:lvlJc w:val="left"/>
      <w:pPr>
        <w:tabs>
          <w:tab w:val="num" w:pos="340"/>
        </w:tabs>
        <w:ind w:left="567" w:hanging="567"/>
      </w:pPr>
      <w:rPr>
        <w:rFonts w:hint="default"/>
      </w:rPr>
    </w:lvl>
    <w:lvl w:ilvl="7">
      <w:start w:val="1"/>
      <w:numFmt w:val="lowerLetter"/>
      <w:lvlText w:val="%8."/>
      <w:lvlJc w:val="left"/>
      <w:pPr>
        <w:tabs>
          <w:tab w:val="num" w:pos="340"/>
        </w:tabs>
        <w:ind w:left="567" w:hanging="567"/>
      </w:pPr>
      <w:rPr>
        <w:rFonts w:hint="default"/>
      </w:rPr>
    </w:lvl>
    <w:lvl w:ilvl="8">
      <w:start w:val="1"/>
      <w:numFmt w:val="lowerRoman"/>
      <w:lvlText w:val="%9."/>
      <w:lvlJc w:val="right"/>
      <w:pPr>
        <w:tabs>
          <w:tab w:val="num" w:pos="340"/>
        </w:tabs>
        <w:ind w:left="567" w:hanging="567"/>
      </w:pPr>
      <w:rPr>
        <w:rFonts w:hint="default"/>
      </w:rPr>
    </w:lvl>
  </w:abstractNum>
  <w:abstractNum w:abstractNumId="14" w15:restartNumberingAfterBreak="0">
    <w:nsid w:val="383D390B"/>
    <w:multiLevelType w:val="multilevel"/>
    <w:tmpl w:val="8CE81736"/>
    <w:name w:val="ListNumbering22"/>
    <w:lvl w:ilvl="0">
      <w:start w:val="1"/>
      <w:numFmt w:val="upperLetter"/>
      <w:lvlText w:val="Appendix %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8723AD4"/>
    <w:multiLevelType w:val="multilevel"/>
    <w:tmpl w:val="5762A29A"/>
    <w:name w:val="JemenaPullOutList"/>
    <w:lvl w:ilvl="0">
      <w:start w:val="1"/>
      <w:numFmt w:val="bullet"/>
      <w:lvlText w:val=""/>
      <w:lvlJc w:val="left"/>
      <w:pPr>
        <w:tabs>
          <w:tab w:val="num" w:pos="624"/>
        </w:tabs>
        <w:ind w:left="624" w:hanging="340"/>
      </w:pPr>
      <w:rPr>
        <w:rFonts w:ascii="Wingdings" w:hAnsi="Wingdings" w:hint="default"/>
        <w:color w:val="auto"/>
        <w:sz w:val="18"/>
      </w:rPr>
    </w:lvl>
    <w:lvl w:ilvl="1">
      <w:start w:val="1"/>
      <w:numFmt w:val="bullet"/>
      <w:lvlText w:val="–"/>
      <w:lvlJc w:val="left"/>
      <w:pPr>
        <w:tabs>
          <w:tab w:val="num" w:pos="964"/>
        </w:tabs>
        <w:ind w:left="964" w:hanging="340"/>
      </w:pPr>
      <w:rPr>
        <w:rFonts w:ascii="Arial" w:hAnsi="Arial" w:hint="default"/>
        <w:color w:val="auto"/>
      </w:rPr>
    </w:lvl>
    <w:lvl w:ilvl="2">
      <w:start w:val="1"/>
      <w:numFmt w:val="bullet"/>
      <w:lvlText w:val=""/>
      <w:lvlJc w:val="left"/>
      <w:pPr>
        <w:tabs>
          <w:tab w:val="num" w:pos="1304"/>
        </w:tabs>
        <w:ind w:left="1304" w:hanging="340"/>
      </w:pPr>
      <w:rPr>
        <w:rFonts w:ascii="Symbol" w:hAnsi="Symbol"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15:restartNumberingAfterBreak="0">
    <w:nsid w:val="39C747CD"/>
    <w:multiLevelType w:val="multilevel"/>
    <w:tmpl w:val="FBD4A2EC"/>
    <w:name w:val="MyNumbering"/>
    <w:lvl w:ilvl="0">
      <w:start w:val="1"/>
      <w:numFmt w:val="none"/>
      <w:suff w:val="nothing"/>
      <w:lvlText w:val=""/>
      <w:lvlJc w:val="left"/>
      <w:pPr>
        <w:ind w:left="0" w:firstLine="0"/>
      </w:pPr>
      <w:rPr>
        <w:rFonts w:hint="default"/>
        <w:b w:val="0"/>
        <w:i w:val="0"/>
        <w:color w:val="201547" w:themeColor="text2"/>
        <w:sz w:val="36"/>
      </w:rPr>
    </w:lvl>
    <w:lvl w:ilvl="1">
      <w:start w:val="1"/>
      <w:numFmt w:val="decimal"/>
      <w:lvlText w:val="%2."/>
      <w:lvlJc w:val="left"/>
      <w:pPr>
        <w:tabs>
          <w:tab w:val="num" w:pos="992"/>
        </w:tabs>
        <w:ind w:left="992" w:hanging="992"/>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7" w15:restartNumberingAfterBreak="0">
    <w:nsid w:val="39D8429F"/>
    <w:multiLevelType w:val="multilevel"/>
    <w:tmpl w:val="AC9A2892"/>
    <w:name w:val="MyNumbering"/>
    <w:lvl w:ilvl="0">
      <w:start w:val="1"/>
      <w:numFmt w:val="none"/>
      <w:suff w:val="nothing"/>
      <w:lvlText w:val="%1."/>
      <w:lvlJc w:val="left"/>
      <w:pPr>
        <w:ind w:left="0" w:firstLine="0"/>
      </w:pPr>
      <w:rPr>
        <w:rFonts w:hint="default"/>
        <w:b w:val="0"/>
        <w:i w:val="0"/>
        <w:color w:val="201547" w:themeColor="text2"/>
        <w:sz w:val="36"/>
      </w:rPr>
    </w:lvl>
    <w:lvl w:ilvl="1">
      <w:start w:val="1"/>
      <w:numFmt w:val="decimal"/>
      <w:lvlText w:val="%2."/>
      <w:lvlJc w:val="left"/>
      <w:pPr>
        <w:tabs>
          <w:tab w:val="num" w:pos="567"/>
        </w:tabs>
        <w:ind w:left="567" w:hanging="567"/>
      </w:pPr>
      <w:rPr>
        <w:rFonts w:hint="default"/>
        <w:b/>
        <w:i w:val="0"/>
        <w:color w:val="034A97"/>
        <w:sz w:val="32"/>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8" w15:restartNumberingAfterBreak="0">
    <w:nsid w:val="41E40E75"/>
    <w:multiLevelType w:val="multilevel"/>
    <w:tmpl w:val="A0E2A1BC"/>
    <w:name w:val="MyNumbering2"/>
    <w:lvl w:ilvl="0">
      <w:start w:val="1"/>
      <w:numFmt w:val="decimal"/>
      <w:lvlText w:val="%1."/>
      <w:lvlJc w:val="left"/>
      <w:pPr>
        <w:tabs>
          <w:tab w:val="num" w:pos="0"/>
        </w:tabs>
        <w:ind w:left="0" w:hanging="680"/>
      </w:pPr>
      <w:rPr>
        <w:rFonts w:hint="default"/>
        <w:b w:val="0"/>
        <w:i w:val="0"/>
        <w:color w:val="201547" w:themeColor="text2"/>
        <w:sz w:val="36"/>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19" w15:restartNumberingAfterBreak="0">
    <w:nsid w:val="43014766"/>
    <w:multiLevelType w:val="multilevel"/>
    <w:tmpl w:val="3642D7F2"/>
    <w:styleLink w:val="MyHeadings"/>
    <w:lvl w:ilvl="0">
      <w:start w:val="1"/>
      <w:numFmt w:val="decimal"/>
      <w:suff w:val="space"/>
      <w:lvlText w:val="Schedule %1"/>
      <w:lvlJc w:val="left"/>
      <w:pPr>
        <w:ind w:left="0" w:firstLine="0"/>
      </w:pPr>
      <w:rPr>
        <w:rFonts w:hint="default"/>
      </w:rPr>
    </w:lvl>
    <w:lvl w:ilvl="1">
      <w:start w:val="1"/>
      <w:numFmt w:val="decimal"/>
      <w:lvlText w:val="%2."/>
      <w:lvlJc w:val="left"/>
      <w:pPr>
        <w:ind w:left="992" w:hanging="992"/>
      </w:pPr>
      <w:rPr>
        <w:rFonts w:hint="default"/>
      </w:rPr>
    </w:lvl>
    <w:lvl w:ilvl="2">
      <w:start w:val="1"/>
      <w:numFmt w:val="decimal"/>
      <w:lvlText w:val="%2.%3"/>
      <w:lvlJc w:val="left"/>
      <w:pPr>
        <w:ind w:left="992" w:hanging="992"/>
      </w:pPr>
      <w:rPr>
        <w:rFonts w:hint="default"/>
      </w:rPr>
    </w:lvl>
    <w:lvl w:ilvl="3">
      <w:start w:val="1"/>
      <w:numFmt w:val="decimal"/>
      <w:lvlText w:val="%2.%3.%4"/>
      <w:lvlJc w:val="left"/>
      <w:pPr>
        <w:ind w:left="992" w:hanging="992"/>
      </w:pPr>
      <w:rPr>
        <w:rFonts w:hint="default"/>
      </w:rPr>
    </w:lvl>
    <w:lvl w:ilvl="4">
      <w:start w:val="1"/>
      <w:numFmt w:val="decimal"/>
      <w:lvlText w:val="%2.%3.%4.%5"/>
      <w:lvlJc w:val="left"/>
      <w:pPr>
        <w:ind w:left="992" w:hanging="992"/>
      </w:pPr>
      <w:rPr>
        <w:rFonts w:hint="default"/>
      </w:rPr>
    </w:lvl>
    <w:lvl w:ilvl="5">
      <w:start w:val="1"/>
      <w:numFmt w:val="none"/>
      <w:lvlText w:val=""/>
      <w:lvlJc w:val="lef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left"/>
      <w:pPr>
        <w:ind w:left="992" w:hanging="992"/>
      </w:pPr>
      <w:rPr>
        <w:rFonts w:hint="default"/>
      </w:rPr>
    </w:lvl>
  </w:abstractNum>
  <w:abstractNum w:abstractNumId="20" w15:restartNumberingAfterBreak="0">
    <w:nsid w:val="4A310643"/>
    <w:multiLevelType w:val="multilevel"/>
    <w:tmpl w:val="0E96087C"/>
    <w:lvl w:ilvl="0">
      <w:start w:val="1"/>
      <w:numFmt w:val="none"/>
      <w:pStyle w:val="Source"/>
      <w:lvlText w:val="Source:"/>
      <w:lvlJc w:val="left"/>
      <w:pPr>
        <w:ind w:left="680" w:hanging="68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4AA27F2E"/>
    <w:multiLevelType w:val="multilevel"/>
    <w:tmpl w:val="E79AB64C"/>
    <w:name w:val="Bullets"/>
    <w:lvl w:ilvl="0">
      <w:start w:val="1"/>
      <w:numFmt w:val="bullet"/>
      <w:pStyle w:val="ListBullet"/>
      <w:lvlText w:val=""/>
      <w:lvlJc w:val="left"/>
      <w:pPr>
        <w:ind w:left="340" w:hanging="227"/>
      </w:pPr>
      <w:rPr>
        <w:rFonts w:ascii="Wingdings" w:hAnsi="Wingdings" w:hint="default"/>
        <w:color w:val="auto"/>
      </w:rPr>
    </w:lvl>
    <w:lvl w:ilvl="1">
      <w:start w:val="1"/>
      <w:numFmt w:val="bullet"/>
      <w:pStyle w:val="ListBullet2"/>
      <w:lvlText w:val="–"/>
      <w:lvlJc w:val="left"/>
      <w:pPr>
        <w:ind w:left="567" w:hanging="227"/>
      </w:pPr>
      <w:rPr>
        <w:rFonts w:ascii="Arial" w:hAnsi="Arial" w:hint="default"/>
        <w:color w:val="auto"/>
      </w:rPr>
    </w:lvl>
    <w:lvl w:ilvl="2">
      <w:start w:val="1"/>
      <w:numFmt w:val="bullet"/>
      <w:pStyle w:val="ListBullet3"/>
      <w:lvlText w:val=""/>
      <w:lvlJc w:val="left"/>
      <w:pPr>
        <w:ind w:left="794" w:hanging="227"/>
      </w:pPr>
      <w:rPr>
        <w:rFonts w:ascii="Symbol" w:hAnsi="Symbol" w:hint="default"/>
        <w:color w:val="auto"/>
        <w:position w:val="0"/>
      </w:rPr>
    </w:lvl>
    <w:lvl w:ilvl="3">
      <w:start w:val="1"/>
      <w:numFmt w:val="none"/>
      <w:lvlText w:val=""/>
      <w:lvlJc w:val="left"/>
      <w:pPr>
        <w:ind w:left="1021" w:hanging="227"/>
      </w:pPr>
      <w:rPr>
        <w:rFonts w:hint="default"/>
        <w:b/>
        <w:i w:val="0"/>
        <w:sz w:val="20"/>
      </w:rPr>
    </w:lvl>
    <w:lvl w:ilvl="4">
      <w:start w:val="1"/>
      <w:numFmt w:val="none"/>
      <w:lvlText w:val=""/>
      <w:lvlJc w:val="left"/>
      <w:pPr>
        <w:ind w:left="1248" w:hanging="227"/>
      </w:pPr>
      <w:rPr>
        <w:rFonts w:hint="default"/>
        <w:position w:val="2"/>
        <w:sz w:val="16"/>
      </w:rPr>
    </w:lvl>
    <w:lvl w:ilvl="5">
      <w:start w:val="1"/>
      <w:numFmt w:val="bullet"/>
      <w:lvlText w:val=""/>
      <w:lvlJc w:val="left"/>
      <w:pPr>
        <w:tabs>
          <w:tab w:val="num" w:pos="1927"/>
        </w:tabs>
        <w:ind w:left="1475" w:hanging="227"/>
      </w:pPr>
      <w:rPr>
        <w:rFonts w:ascii="Wingdings" w:hAnsi="Wingdings" w:hint="default"/>
      </w:rPr>
    </w:lvl>
    <w:lvl w:ilvl="6">
      <w:start w:val="1"/>
      <w:numFmt w:val="bullet"/>
      <w:lvlText w:val=""/>
      <w:lvlJc w:val="left"/>
      <w:pPr>
        <w:tabs>
          <w:tab w:val="num" w:pos="2267"/>
        </w:tabs>
        <w:ind w:left="1702" w:hanging="227"/>
      </w:pPr>
      <w:rPr>
        <w:rFonts w:ascii="Symbol" w:hAnsi="Symbol" w:hint="default"/>
      </w:rPr>
    </w:lvl>
    <w:lvl w:ilvl="7">
      <w:start w:val="1"/>
      <w:numFmt w:val="bullet"/>
      <w:lvlText w:val="o"/>
      <w:lvlJc w:val="left"/>
      <w:pPr>
        <w:tabs>
          <w:tab w:val="num" w:pos="2607"/>
        </w:tabs>
        <w:ind w:left="1929" w:hanging="227"/>
      </w:pPr>
      <w:rPr>
        <w:rFonts w:ascii="Courier New" w:hAnsi="Courier New" w:cs="Courier New" w:hint="default"/>
      </w:rPr>
    </w:lvl>
    <w:lvl w:ilvl="8">
      <w:start w:val="1"/>
      <w:numFmt w:val="bullet"/>
      <w:lvlText w:val=""/>
      <w:lvlJc w:val="left"/>
      <w:pPr>
        <w:tabs>
          <w:tab w:val="num" w:pos="2947"/>
        </w:tabs>
        <w:ind w:left="2156" w:hanging="227"/>
      </w:pPr>
      <w:rPr>
        <w:rFonts w:ascii="Wingdings" w:hAnsi="Wingdings" w:hint="default"/>
      </w:rPr>
    </w:lvl>
  </w:abstractNum>
  <w:abstractNum w:abstractNumId="22" w15:restartNumberingAfterBreak="0">
    <w:nsid w:val="4CA75856"/>
    <w:multiLevelType w:val="multilevel"/>
    <w:tmpl w:val="5A6C4500"/>
    <w:name w:val="Table Bullets List"/>
    <w:lvl w:ilvl="0">
      <w:start w:val="1"/>
      <w:numFmt w:val="bullet"/>
      <w:pStyle w:val="TableTextBullet"/>
      <w:lvlText w:val="•"/>
      <w:lvlJc w:val="left"/>
      <w:pPr>
        <w:ind w:left="198" w:hanging="198"/>
      </w:pPr>
      <w:rPr>
        <w:rFonts w:ascii="Calibri" w:hAnsi="Calibri" w:hint="default"/>
      </w:rPr>
    </w:lvl>
    <w:lvl w:ilvl="1">
      <w:start w:val="1"/>
      <w:numFmt w:val="bullet"/>
      <w:pStyle w:val="TableTextBullet2"/>
      <w:lvlText w:val="–"/>
      <w:lvlJc w:val="left"/>
      <w:pPr>
        <w:ind w:left="396" w:hanging="198"/>
      </w:pPr>
      <w:rPr>
        <w:rFonts w:ascii="Calibri" w:hAnsi="Calibri" w:hint="default"/>
      </w:rPr>
    </w:lvl>
    <w:lvl w:ilvl="2">
      <w:start w:val="1"/>
      <w:numFmt w:val="bullet"/>
      <w:pStyle w:val="TableTextBullet3"/>
      <w:lvlText w:val=""/>
      <w:lvlJc w:val="left"/>
      <w:pPr>
        <w:ind w:left="594" w:hanging="198"/>
      </w:pPr>
      <w:rPr>
        <w:rFonts w:ascii="Symbol" w:hAnsi="Symbol" w:hint="default"/>
        <w:position w:val="-3"/>
      </w:rPr>
    </w:lvl>
    <w:lvl w:ilvl="3">
      <w:start w:val="1"/>
      <w:numFmt w:val="bullet"/>
      <w:lvlText w:val=""/>
      <w:lvlJc w:val="left"/>
      <w:pPr>
        <w:ind w:left="792" w:hanging="198"/>
      </w:pPr>
      <w:rPr>
        <w:rFonts w:ascii="Symbol" w:hAnsi="Symbol" w:hint="default"/>
      </w:rPr>
    </w:lvl>
    <w:lvl w:ilvl="4">
      <w:start w:val="1"/>
      <w:numFmt w:val="bullet"/>
      <w:lvlText w:val="o"/>
      <w:lvlJc w:val="left"/>
      <w:pPr>
        <w:ind w:left="990" w:hanging="198"/>
      </w:pPr>
      <w:rPr>
        <w:rFonts w:ascii="Courier New" w:hAnsi="Courier New" w:cs="Courier New" w:hint="default"/>
      </w:rPr>
    </w:lvl>
    <w:lvl w:ilvl="5">
      <w:start w:val="1"/>
      <w:numFmt w:val="bullet"/>
      <w:lvlText w:val=""/>
      <w:lvlJc w:val="left"/>
      <w:pPr>
        <w:ind w:left="1188" w:hanging="198"/>
      </w:pPr>
      <w:rPr>
        <w:rFonts w:ascii="Wingdings" w:hAnsi="Wingdings" w:hint="default"/>
      </w:rPr>
    </w:lvl>
    <w:lvl w:ilvl="6">
      <w:start w:val="1"/>
      <w:numFmt w:val="bullet"/>
      <w:lvlText w:val=""/>
      <w:lvlJc w:val="left"/>
      <w:pPr>
        <w:ind w:left="1386" w:hanging="198"/>
      </w:pPr>
      <w:rPr>
        <w:rFonts w:ascii="Symbol" w:hAnsi="Symbol" w:hint="default"/>
      </w:rPr>
    </w:lvl>
    <w:lvl w:ilvl="7">
      <w:start w:val="1"/>
      <w:numFmt w:val="bullet"/>
      <w:lvlText w:val="o"/>
      <w:lvlJc w:val="left"/>
      <w:pPr>
        <w:ind w:left="1584" w:hanging="198"/>
      </w:pPr>
      <w:rPr>
        <w:rFonts w:ascii="Courier New" w:hAnsi="Courier New" w:cs="Courier New" w:hint="default"/>
      </w:rPr>
    </w:lvl>
    <w:lvl w:ilvl="8">
      <w:start w:val="1"/>
      <w:numFmt w:val="bullet"/>
      <w:lvlText w:val=""/>
      <w:lvlJc w:val="left"/>
      <w:pPr>
        <w:ind w:left="1782" w:hanging="198"/>
      </w:pPr>
      <w:rPr>
        <w:rFonts w:ascii="Wingdings" w:hAnsi="Wingdings" w:hint="default"/>
      </w:rPr>
    </w:lvl>
  </w:abstractNum>
  <w:abstractNum w:abstractNumId="23" w15:restartNumberingAfterBreak="0">
    <w:nsid w:val="4EF01645"/>
    <w:multiLevelType w:val="multilevel"/>
    <w:tmpl w:val="7D36F18C"/>
    <w:name w:val="Bullets2"/>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upperLetter"/>
      <w:pStyle w:val="ListNumber4"/>
      <w:lvlText w:val="%4."/>
      <w:lvlJc w:val="left"/>
      <w:pPr>
        <w:ind w:left="1360" w:hanging="340"/>
      </w:pPr>
      <w:rPr>
        <w:rFonts w:hint="default"/>
      </w:rPr>
    </w:lvl>
    <w:lvl w:ilvl="4">
      <w:start w:val="1"/>
      <w:numFmt w:val="upperRoman"/>
      <w:pStyle w:val="ListNumber5"/>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4" w15:restartNumberingAfterBreak="0">
    <w:nsid w:val="52456C28"/>
    <w:multiLevelType w:val="multilevel"/>
    <w:tmpl w:val="472A8ED0"/>
    <w:name w:val="U1_Legal Numbering"/>
    <w:lvl w:ilvl="0">
      <w:start w:val="1"/>
      <w:numFmt w:val="decimal"/>
      <w:lvlText w:val="%1."/>
      <w:lvlJc w:val="left"/>
      <w:pPr>
        <w:ind w:left="567" w:hanging="567"/>
      </w:pPr>
      <w:rPr>
        <w:rFonts w:hint="default"/>
      </w:rPr>
    </w:lvl>
    <w:lvl w:ilvl="1">
      <w:start w:val="1"/>
      <w:numFmt w:val="decimal"/>
      <w:lvlText w:val="%1.%2"/>
      <w:lvlJc w:val="left"/>
      <w:pPr>
        <w:ind w:left="1134" w:hanging="567"/>
      </w:pPr>
      <w:rPr>
        <w:rFonts w:hint="default"/>
      </w:rPr>
    </w:lvl>
    <w:lvl w:ilvl="2">
      <w:start w:val="1"/>
      <w:numFmt w:val="decimal"/>
      <w:lvlText w:val="%1.%2.%3"/>
      <w:lvlJc w:val="left"/>
      <w:pPr>
        <w:tabs>
          <w:tab w:val="num" w:pos="1134"/>
        </w:tabs>
        <w:ind w:left="1814" w:hanging="680"/>
      </w:pPr>
      <w:rPr>
        <w:rFonts w:hint="default"/>
      </w:rPr>
    </w:lvl>
    <w:lvl w:ilvl="3">
      <w:start w:val="1"/>
      <w:numFmt w:val="decimal"/>
      <w:suff w:val="space"/>
      <w:lvlText w:val="%1.%2.%3.%4  "/>
      <w:lvlJc w:val="left"/>
      <w:pPr>
        <w:ind w:left="2268" w:hanging="454"/>
      </w:pPr>
      <w:rPr>
        <w:rFonts w:hint="default"/>
      </w:rPr>
    </w:lvl>
    <w:lvl w:ilvl="4">
      <w:start w:val="1"/>
      <w:numFmt w:val="none"/>
      <w:suff w:val="space"/>
      <w:lvlText w:val=""/>
      <w:lvlJc w:val="left"/>
      <w:pPr>
        <w:ind w:left="2835" w:hanging="567"/>
      </w:pPr>
      <w:rPr>
        <w:rFonts w:hint="default"/>
      </w:rPr>
    </w:lvl>
    <w:lvl w:ilvl="5">
      <w:start w:val="1"/>
      <w:numFmt w:val="none"/>
      <w:suff w:val="space"/>
      <w:lvlText w:val=""/>
      <w:lvlJc w:val="left"/>
      <w:pPr>
        <w:ind w:left="3402" w:hanging="567"/>
      </w:pPr>
      <w:rPr>
        <w:rFonts w:hint="default"/>
      </w:rPr>
    </w:lvl>
    <w:lvl w:ilvl="6">
      <w:start w:val="1"/>
      <w:numFmt w:val="none"/>
      <w:suff w:val="space"/>
      <w:lvlText w:val=""/>
      <w:lvlJc w:val="left"/>
      <w:pPr>
        <w:ind w:left="3969" w:hanging="567"/>
      </w:pPr>
      <w:rPr>
        <w:rFonts w:hint="default"/>
      </w:rPr>
    </w:lvl>
    <w:lvl w:ilvl="7">
      <w:start w:val="1"/>
      <w:numFmt w:val="none"/>
      <w:suff w:val="space"/>
      <w:lvlText w:val=""/>
      <w:lvlJc w:val="left"/>
      <w:pPr>
        <w:ind w:left="4536" w:hanging="567"/>
      </w:pPr>
      <w:rPr>
        <w:rFonts w:hint="default"/>
      </w:rPr>
    </w:lvl>
    <w:lvl w:ilvl="8">
      <w:start w:val="1"/>
      <w:numFmt w:val="none"/>
      <w:suff w:val="space"/>
      <w:lvlText w:val=""/>
      <w:lvlJc w:val="left"/>
      <w:pPr>
        <w:ind w:left="5103" w:hanging="567"/>
      </w:pPr>
      <w:rPr>
        <w:rFonts w:hint="default"/>
      </w:rPr>
    </w:lvl>
  </w:abstractNum>
  <w:abstractNum w:abstractNumId="25" w15:restartNumberingAfterBreak="0">
    <w:nsid w:val="533157A3"/>
    <w:multiLevelType w:val="multilevel"/>
    <w:tmpl w:val="F056CAF2"/>
    <w:name w:val="NumberedHeadings"/>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6" w15:restartNumberingAfterBreak="0">
    <w:nsid w:val="593A436F"/>
    <w:multiLevelType w:val="multilevel"/>
    <w:tmpl w:val="10107B4A"/>
    <w:name w:val="TableNumbering"/>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27" w15:restartNumberingAfterBreak="0">
    <w:nsid w:val="599D3754"/>
    <w:multiLevelType w:val="multilevel"/>
    <w:tmpl w:val="4B14CC02"/>
    <w:name w:val="AppendixTableListNumber"/>
    <w:lvl w:ilvl="0">
      <w:start w:val="1"/>
      <w:numFmt w:val="decimal"/>
      <w:suff w:val="space"/>
      <w:lvlText w:val="%1."/>
      <w:lvlJc w:val="left"/>
      <w:pPr>
        <w:ind w:left="284" w:hanging="227"/>
      </w:pPr>
      <w:rPr>
        <w:rFonts w:hint="default"/>
        <w:sz w:val="1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28" w15:restartNumberingAfterBreak="0">
    <w:nsid w:val="5AE6625A"/>
    <w:multiLevelType w:val="multilevel"/>
    <w:tmpl w:val="5FDABB82"/>
    <w:name w:val="MyHeadings"/>
    <w:lvl w:ilvl="0">
      <w:start w:val="1"/>
      <w:numFmt w:val="decimal"/>
      <w:lvlText w:val="%1 "/>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suff w:val="space"/>
      <w:lvlText w:val="%1.%2.%3.%4  "/>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9" w15:restartNumberingAfterBreak="0">
    <w:nsid w:val="5B26040B"/>
    <w:multiLevelType w:val="multilevel"/>
    <w:tmpl w:val="0F3E3D4E"/>
    <w:name w:val="Lst_Notes"/>
    <w:lvl w:ilvl="0">
      <w:start w:val="1"/>
      <w:numFmt w:val="lowerLetter"/>
      <w:pStyle w:val="NoteNumbered"/>
      <w:lvlText w:val="%1."/>
      <w:lvlJc w:val="left"/>
      <w:pPr>
        <w:ind w:left="284" w:hanging="284"/>
      </w:pPr>
      <w:rPr>
        <w:rFonts w:hint="default"/>
      </w:rPr>
    </w:lvl>
    <w:lvl w:ilvl="1">
      <w:start w:val="1"/>
      <w:numFmt w:val="lowerRoman"/>
      <w:pStyle w:val="NoteNumbered2"/>
      <w:lvlText w:val="%2."/>
      <w:lvlJc w:val="left"/>
      <w:pPr>
        <w:ind w:left="568" w:hanging="284"/>
      </w:pPr>
      <w:rPr>
        <w:rFonts w:hint="default"/>
      </w:rPr>
    </w:lvl>
    <w:lvl w:ilvl="2">
      <w:start w:val="1"/>
      <w:numFmt w:val="upperLetter"/>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30" w15:restartNumberingAfterBreak="0">
    <w:nsid w:val="5B2C71EC"/>
    <w:multiLevelType w:val="hybridMultilevel"/>
    <w:tmpl w:val="79B200BA"/>
    <w:name w:val="Bullets4"/>
    <w:lvl w:ilvl="0" w:tplc="D8AAA350">
      <w:start w:val="1"/>
      <w:numFmt w:val="bullet"/>
      <w:lvlText w:val=""/>
      <w:lvlJc w:val="left"/>
      <w:pPr>
        <w:ind w:left="947" w:hanging="360"/>
      </w:pPr>
      <w:rPr>
        <w:rFonts w:ascii="Wingdings" w:hAnsi="Wingdings"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1" w15:restartNumberingAfterBreak="0">
    <w:nsid w:val="5D0540A9"/>
    <w:multiLevelType w:val="multilevel"/>
    <w:tmpl w:val="A0824D3A"/>
    <w:lvl w:ilvl="0">
      <w:start w:val="1"/>
      <w:numFmt w:val="upperLetter"/>
      <w:pStyle w:val="Heading8"/>
      <w:suff w:val="nothing"/>
      <w:lvlText w:val="Attachment %1"/>
      <w:lvlJc w:val="left"/>
      <w:pPr>
        <w:ind w:left="0" w:firstLine="0"/>
      </w:pPr>
      <w:rPr>
        <w:rFonts w:asciiTheme="majorHAnsi" w:hAnsiTheme="majorHAnsi" w:hint="default"/>
        <w:b w:val="0"/>
        <w:i w:val="0"/>
        <w:sz w:val="36"/>
      </w:rPr>
    </w:lvl>
    <w:lvl w:ilvl="1">
      <w:start w:val="1"/>
      <w:numFmt w:val="decimal"/>
      <w:suff w:val="space"/>
      <w:lvlText w:val="%1%2. "/>
      <w:lvlJc w:val="left"/>
      <w:pPr>
        <w:ind w:left="0" w:firstLine="0"/>
      </w:pPr>
      <w:rPr>
        <w:rFonts w:hint="default"/>
        <w:sz w:val="24"/>
      </w:rPr>
    </w:lvl>
    <w:lvl w:ilvl="2">
      <w:start w:val="1"/>
      <w:numFmt w:val="decimal"/>
      <w:suff w:val="space"/>
      <w:lvlText w:val="%1%2.%3 "/>
      <w:lvlJc w:val="left"/>
      <w:pPr>
        <w:ind w:left="0" w:firstLine="0"/>
      </w:pPr>
      <w:rPr>
        <w:rFonts w:hint="default"/>
      </w:rPr>
    </w:lvl>
    <w:lvl w:ilvl="3">
      <w:start w:val="1"/>
      <w:numFmt w:val="decimal"/>
      <w:suff w:val="space"/>
      <w:lvlText w:val="%1%2.%3.%4 "/>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2" w15:restartNumberingAfterBreak="0">
    <w:nsid w:val="635C0D07"/>
    <w:multiLevelType w:val="multilevel"/>
    <w:tmpl w:val="019052F2"/>
    <w:name w:val="Table Bullets"/>
    <w:lvl w:ilvl="0">
      <w:start w:val="1"/>
      <w:numFmt w:val="bullet"/>
      <w:lvlText w:val="·"/>
      <w:lvlJc w:val="left"/>
      <w:pPr>
        <w:ind w:left="312" w:hanging="227"/>
      </w:pPr>
      <w:rPr>
        <w:rFonts w:ascii="Symbol" w:hAnsi="Symbol" w:hint="default"/>
        <w:color w:val="201547" w:themeColor="text2"/>
      </w:rPr>
    </w:lvl>
    <w:lvl w:ilvl="1">
      <w:start w:val="1"/>
      <w:numFmt w:val="bullet"/>
      <w:lvlText w:val="–"/>
      <w:lvlJc w:val="left"/>
      <w:pPr>
        <w:ind w:left="539" w:hanging="227"/>
      </w:pPr>
      <w:rPr>
        <w:rFonts w:ascii="Arial" w:hAnsi="Arial" w:hint="default"/>
        <w:color w:val="201547" w:themeColor="text2"/>
      </w:rPr>
    </w:lvl>
    <w:lvl w:ilvl="2">
      <w:start w:val="1"/>
      <w:numFmt w:val="bullet"/>
      <w:lvlText w:val=""/>
      <w:lvlJc w:val="left"/>
      <w:pPr>
        <w:ind w:left="766" w:hanging="227"/>
      </w:pPr>
      <w:rPr>
        <w:rFonts w:ascii="Wingdings" w:hAnsi="Wingdings" w:hint="default"/>
      </w:rPr>
    </w:lvl>
    <w:lvl w:ilvl="3">
      <w:start w:val="1"/>
      <w:numFmt w:val="bullet"/>
      <w:lvlText w:val=""/>
      <w:lvlJc w:val="left"/>
      <w:pPr>
        <w:ind w:left="993" w:hanging="227"/>
      </w:pPr>
      <w:rPr>
        <w:rFonts w:ascii="Symbol" w:hAnsi="Symbol" w:hint="default"/>
      </w:rPr>
    </w:lvl>
    <w:lvl w:ilvl="4">
      <w:start w:val="1"/>
      <w:numFmt w:val="bullet"/>
      <w:lvlText w:val="o"/>
      <w:lvlJc w:val="left"/>
      <w:pPr>
        <w:ind w:left="1220" w:hanging="227"/>
      </w:pPr>
      <w:rPr>
        <w:rFonts w:ascii="Courier New" w:hAnsi="Courier New" w:cs="Courier New" w:hint="default"/>
      </w:rPr>
    </w:lvl>
    <w:lvl w:ilvl="5">
      <w:start w:val="1"/>
      <w:numFmt w:val="bullet"/>
      <w:lvlText w:val=""/>
      <w:lvlJc w:val="left"/>
      <w:pPr>
        <w:ind w:left="1447" w:hanging="227"/>
      </w:pPr>
      <w:rPr>
        <w:rFonts w:ascii="Wingdings" w:hAnsi="Wingdings" w:hint="default"/>
      </w:rPr>
    </w:lvl>
    <w:lvl w:ilvl="6">
      <w:start w:val="1"/>
      <w:numFmt w:val="bullet"/>
      <w:lvlText w:val=""/>
      <w:lvlJc w:val="left"/>
      <w:pPr>
        <w:ind w:left="1674" w:hanging="227"/>
      </w:pPr>
      <w:rPr>
        <w:rFonts w:ascii="Symbol" w:hAnsi="Symbol" w:hint="default"/>
      </w:rPr>
    </w:lvl>
    <w:lvl w:ilvl="7">
      <w:start w:val="1"/>
      <w:numFmt w:val="bullet"/>
      <w:lvlText w:val="o"/>
      <w:lvlJc w:val="left"/>
      <w:pPr>
        <w:ind w:left="1901" w:hanging="227"/>
      </w:pPr>
      <w:rPr>
        <w:rFonts w:ascii="Courier New" w:hAnsi="Courier New" w:cs="Courier New" w:hint="default"/>
      </w:rPr>
    </w:lvl>
    <w:lvl w:ilvl="8">
      <w:start w:val="1"/>
      <w:numFmt w:val="bullet"/>
      <w:lvlText w:val=""/>
      <w:lvlJc w:val="left"/>
      <w:pPr>
        <w:ind w:left="2128" w:hanging="227"/>
      </w:pPr>
      <w:rPr>
        <w:rFonts w:ascii="Wingdings" w:hAnsi="Wingdings" w:hint="default"/>
      </w:rPr>
    </w:lvl>
  </w:abstractNum>
  <w:abstractNum w:abstractNumId="33" w15:restartNumberingAfterBreak="0">
    <w:nsid w:val="64D21F10"/>
    <w:multiLevelType w:val="multilevel"/>
    <w:tmpl w:val="18ACFB38"/>
    <w:name w:val="HeadingsNumbered"/>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34" w15:restartNumberingAfterBreak="0">
    <w:nsid w:val="65570CA3"/>
    <w:multiLevelType w:val="multilevel"/>
    <w:tmpl w:val="12E8C1A0"/>
    <w:name w:val="Headings"/>
    <w:lvl w:ilvl="0">
      <w:start w:val="1"/>
      <w:numFmt w:val="decimal"/>
      <w:lvlText w:val="Schedule %1."/>
      <w:lvlJc w:val="left"/>
      <w:pPr>
        <w:tabs>
          <w:tab w:val="num" w:pos="992"/>
        </w:tabs>
        <w:ind w:left="992" w:hanging="992"/>
      </w:pPr>
      <w:rPr>
        <w:rFonts w:hint="default"/>
        <w:b/>
        <w:i w:val="0"/>
        <w:color w:val="201547" w:themeColor="text2"/>
        <w:sz w:val="32"/>
      </w:rPr>
    </w:lvl>
    <w:lvl w:ilvl="1">
      <w:start w:val="1"/>
      <w:numFmt w:val="decimal"/>
      <w:lvlText w:val="%2."/>
      <w:lvlJc w:val="left"/>
      <w:pPr>
        <w:tabs>
          <w:tab w:val="num" w:pos="992"/>
        </w:tabs>
        <w:ind w:left="992" w:hanging="992"/>
      </w:pPr>
      <w:rPr>
        <w:rFonts w:hint="default"/>
        <w:b w:val="0"/>
        <w:i w:val="0"/>
        <w:color w:val="201547" w:themeColor="text2"/>
        <w:sz w:val="24"/>
      </w:rPr>
    </w:lvl>
    <w:lvl w:ilvl="2">
      <w:start w:val="1"/>
      <w:numFmt w:val="decimal"/>
      <w:lvlText w:val="%2.%3"/>
      <w:lvlJc w:val="left"/>
      <w:pPr>
        <w:tabs>
          <w:tab w:val="num" w:pos="992"/>
        </w:tabs>
        <w:ind w:left="992" w:hanging="992"/>
      </w:pPr>
      <w:rPr>
        <w:rFonts w:hint="default"/>
        <w:b/>
        <w:i w:val="0"/>
        <w:color w:val="232222" w:themeColor="text1"/>
        <w:sz w:val="24"/>
      </w:rPr>
    </w:lvl>
    <w:lvl w:ilvl="3">
      <w:start w:val="1"/>
      <w:numFmt w:val="decimal"/>
      <w:lvlText w:val="%2.%3.%4"/>
      <w:lvlJc w:val="left"/>
      <w:pPr>
        <w:tabs>
          <w:tab w:val="num" w:pos="992"/>
        </w:tabs>
        <w:ind w:left="992" w:hanging="992"/>
      </w:pPr>
      <w:rPr>
        <w:rFonts w:hint="default"/>
        <w:b w:val="0"/>
        <w:i w:val="0"/>
        <w:color w:val="232222" w:themeColor="text1"/>
        <w:sz w:val="24"/>
      </w:rPr>
    </w:lvl>
    <w:lvl w:ilvl="4">
      <w:start w:val="1"/>
      <w:numFmt w:val="decimal"/>
      <w:lvlText w:val="%2.%3.%4.%5"/>
      <w:lvlJc w:val="left"/>
      <w:pPr>
        <w:tabs>
          <w:tab w:val="num" w:pos="992"/>
        </w:tabs>
        <w:ind w:left="992" w:hanging="992"/>
      </w:pPr>
      <w:rPr>
        <w:rFonts w:hint="default"/>
        <w:color w:val="232222" w:themeColor="text1"/>
        <w:sz w:val="24"/>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abstractNum w:abstractNumId="35" w15:restartNumberingAfterBreak="0">
    <w:nsid w:val="6A854805"/>
    <w:multiLevelType w:val="multilevel"/>
    <w:tmpl w:val="77A21F78"/>
    <w:lvl w:ilvl="0">
      <w:start w:val="1"/>
      <w:numFmt w:val="decimal"/>
      <w:lvlText w:val="%1."/>
      <w:lvlJc w:val="left"/>
      <w:pPr>
        <w:ind w:left="720" w:hanging="360"/>
      </w:pPr>
      <w:rPr>
        <w:rFonts w:hint="default"/>
      </w:rPr>
    </w:lvl>
    <w:lvl w:ilvl="1">
      <w:start w:val="3"/>
      <w:numFmt w:val="decimal"/>
      <w:isLgl/>
      <w:lvlText w:val="%1.%2"/>
      <w:lvlJc w:val="left"/>
      <w:pPr>
        <w:ind w:left="740" w:hanging="380"/>
      </w:pPr>
      <w:rPr>
        <w:rFonts w:asciiTheme="minorHAnsi" w:eastAsiaTheme="minorHAnsi" w:hAnsiTheme="minorHAnsi" w:cstheme="minorBidi" w:hint="default"/>
        <w:i/>
        <w:color w:val="201547" w:themeColor="text2"/>
        <w:sz w:val="18"/>
      </w:rPr>
    </w:lvl>
    <w:lvl w:ilvl="2">
      <w:start w:val="1"/>
      <w:numFmt w:val="decimal"/>
      <w:isLgl/>
      <w:lvlText w:val="%1.%2.%3"/>
      <w:lvlJc w:val="left"/>
      <w:pPr>
        <w:ind w:left="1080" w:hanging="720"/>
      </w:pPr>
      <w:rPr>
        <w:rFonts w:asciiTheme="minorHAnsi" w:eastAsiaTheme="minorHAnsi" w:hAnsiTheme="minorHAnsi" w:cstheme="minorBidi" w:hint="default"/>
        <w:i/>
        <w:color w:val="201547" w:themeColor="text2"/>
        <w:sz w:val="18"/>
      </w:rPr>
    </w:lvl>
    <w:lvl w:ilvl="3">
      <w:start w:val="1"/>
      <w:numFmt w:val="decimal"/>
      <w:isLgl/>
      <w:lvlText w:val="%1.%2.%3.%4"/>
      <w:lvlJc w:val="left"/>
      <w:pPr>
        <w:ind w:left="1080" w:hanging="720"/>
      </w:pPr>
      <w:rPr>
        <w:rFonts w:asciiTheme="minorHAnsi" w:eastAsiaTheme="minorHAnsi" w:hAnsiTheme="minorHAnsi" w:cstheme="minorBidi" w:hint="default"/>
        <w:i/>
        <w:color w:val="201547" w:themeColor="text2"/>
        <w:sz w:val="18"/>
      </w:rPr>
    </w:lvl>
    <w:lvl w:ilvl="4">
      <w:start w:val="1"/>
      <w:numFmt w:val="decimal"/>
      <w:isLgl/>
      <w:lvlText w:val="%1.%2.%3.%4.%5"/>
      <w:lvlJc w:val="left"/>
      <w:pPr>
        <w:ind w:left="1440" w:hanging="1080"/>
      </w:pPr>
      <w:rPr>
        <w:rFonts w:asciiTheme="minorHAnsi" w:eastAsiaTheme="minorHAnsi" w:hAnsiTheme="minorHAnsi" w:cstheme="minorBidi" w:hint="default"/>
        <w:i/>
        <w:color w:val="201547" w:themeColor="text2"/>
        <w:sz w:val="18"/>
      </w:rPr>
    </w:lvl>
    <w:lvl w:ilvl="5">
      <w:start w:val="1"/>
      <w:numFmt w:val="decimal"/>
      <w:isLgl/>
      <w:lvlText w:val="%1.%2.%3.%4.%5.%6"/>
      <w:lvlJc w:val="left"/>
      <w:pPr>
        <w:ind w:left="1440" w:hanging="1080"/>
      </w:pPr>
      <w:rPr>
        <w:rFonts w:asciiTheme="minorHAnsi" w:eastAsiaTheme="minorHAnsi" w:hAnsiTheme="minorHAnsi" w:cstheme="minorBidi" w:hint="default"/>
        <w:i/>
        <w:color w:val="201547" w:themeColor="text2"/>
        <w:sz w:val="18"/>
      </w:rPr>
    </w:lvl>
    <w:lvl w:ilvl="6">
      <w:start w:val="1"/>
      <w:numFmt w:val="decimal"/>
      <w:isLgl/>
      <w:lvlText w:val="%1.%2.%3.%4.%5.%6.%7"/>
      <w:lvlJc w:val="left"/>
      <w:pPr>
        <w:ind w:left="1800" w:hanging="1440"/>
      </w:pPr>
      <w:rPr>
        <w:rFonts w:asciiTheme="minorHAnsi" w:eastAsiaTheme="minorHAnsi" w:hAnsiTheme="minorHAnsi" w:cstheme="minorBidi" w:hint="default"/>
        <w:i/>
        <w:color w:val="201547" w:themeColor="text2"/>
        <w:sz w:val="18"/>
      </w:rPr>
    </w:lvl>
    <w:lvl w:ilvl="7">
      <w:start w:val="1"/>
      <w:numFmt w:val="decimal"/>
      <w:isLgl/>
      <w:lvlText w:val="%1.%2.%3.%4.%5.%6.%7.%8"/>
      <w:lvlJc w:val="left"/>
      <w:pPr>
        <w:ind w:left="1800" w:hanging="1440"/>
      </w:pPr>
      <w:rPr>
        <w:rFonts w:asciiTheme="minorHAnsi" w:eastAsiaTheme="minorHAnsi" w:hAnsiTheme="minorHAnsi" w:cstheme="minorBidi" w:hint="default"/>
        <w:i/>
        <w:color w:val="201547" w:themeColor="text2"/>
        <w:sz w:val="18"/>
      </w:rPr>
    </w:lvl>
    <w:lvl w:ilvl="8">
      <w:start w:val="1"/>
      <w:numFmt w:val="decimal"/>
      <w:isLgl/>
      <w:lvlText w:val="%1.%2.%3.%4.%5.%6.%7.%8.%9"/>
      <w:lvlJc w:val="left"/>
      <w:pPr>
        <w:ind w:left="2160" w:hanging="1800"/>
      </w:pPr>
      <w:rPr>
        <w:rFonts w:asciiTheme="minorHAnsi" w:eastAsiaTheme="minorHAnsi" w:hAnsiTheme="minorHAnsi" w:cstheme="minorBidi" w:hint="default"/>
        <w:i/>
        <w:color w:val="201547" w:themeColor="text2"/>
        <w:sz w:val="18"/>
      </w:rPr>
    </w:lvl>
  </w:abstractNum>
  <w:abstractNum w:abstractNumId="36" w15:restartNumberingAfterBreak="0">
    <w:nsid w:val="6EA165C1"/>
    <w:multiLevelType w:val="hybridMultilevel"/>
    <w:tmpl w:val="E45EAFF6"/>
    <w:lvl w:ilvl="0" w:tplc="ED28D11A">
      <w:start w:val="1"/>
      <w:numFmt w:val="bullet"/>
      <w:lvlText w:val="•"/>
      <w:lvlJc w:val="left"/>
      <w:pPr>
        <w:tabs>
          <w:tab w:val="num" w:pos="720"/>
        </w:tabs>
        <w:ind w:left="720" w:hanging="360"/>
      </w:pPr>
      <w:rPr>
        <w:rFonts w:ascii="Arial" w:hAnsi="Arial" w:hint="default"/>
      </w:rPr>
    </w:lvl>
    <w:lvl w:ilvl="1" w:tplc="70169A6E" w:tentative="1">
      <w:start w:val="1"/>
      <w:numFmt w:val="bullet"/>
      <w:lvlText w:val="•"/>
      <w:lvlJc w:val="left"/>
      <w:pPr>
        <w:tabs>
          <w:tab w:val="num" w:pos="1440"/>
        </w:tabs>
        <w:ind w:left="1440" w:hanging="360"/>
      </w:pPr>
      <w:rPr>
        <w:rFonts w:ascii="Arial" w:hAnsi="Arial" w:hint="default"/>
      </w:rPr>
    </w:lvl>
    <w:lvl w:ilvl="2" w:tplc="D5E8CA8C" w:tentative="1">
      <w:start w:val="1"/>
      <w:numFmt w:val="bullet"/>
      <w:lvlText w:val="•"/>
      <w:lvlJc w:val="left"/>
      <w:pPr>
        <w:tabs>
          <w:tab w:val="num" w:pos="2160"/>
        </w:tabs>
        <w:ind w:left="2160" w:hanging="360"/>
      </w:pPr>
      <w:rPr>
        <w:rFonts w:ascii="Arial" w:hAnsi="Arial" w:hint="default"/>
      </w:rPr>
    </w:lvl>
    <w:lvl w:ilvl="3" w:tplc="E098AE2E" w:tentative="1">
      <w:start w:val="1"/>
      <w:numFmt w:val="bullet"/>
      <w:lvlText w:val="•"/>
      <w:lvlJc w:val="left"/>
      <w:pPr>
        <w:tabs>
          <w:tab w:val="num" w:pos="2880"/>
        </w:tabs>
        <w:ind w:left="2880" w:hanging="360"/>
      </w:pPr>
      <w:rPr>
        <w:rFonts w:ascii="Arial" w:hAnsi="Arial" w:hint="default"/>
      </w:rPr>
    </w:lvl>
    <w:lvl w:ilvl="4" w:tplc="A38A5A98" w:tentative="1">
      <w:start w:val="1"/>
      <w:numFmt w:val="bullet"/>
      <w:lvlText w:val="•"/>
      <w:lvlJc w:val="left"/>
      <w:pPr>
        <w:tabs>
          <w:tab w:val="num" w:pos="3600"/>
        </w:tabs>
        <w:ind w:left="3600" w:hanging="360"/>
      </w:pPr>
      <w:rPr>
        <w:rFonts w:ascii="Arial" w:hAnsi="Arial" w:hint="default"/>
      </w:rPr>
    </w:lvl>
    <w:lvl w:ilvl="5" w:tplc="DF1E1ED8" w:tentative="1">
      <w:start w:val="1"/>
      <w:numFmt w:val="bullet"/>
      <w:lvlText w:val="•"/>
      <w:lvlJc w:val="left"/>
      <w:pPr>
        <w:tabs>
          <w:tab w:val="num" w:pos="4320"/>
        </w:tabs>
        <w:ind w:left="4320" w:hanging="360"/>
      </w:pPr>
      <w:rPr>
        <w:rFonts w:ascii="Arial" w:hAnsi="Arial" w:hint="default"/>
      </w:rPr>
    </w:lvl>
    <w:lvl w:ilvl="6" w:tplc="9A04239A" w:tentative="1">
      <w:start w:val="1"/>
      <w:numFmt w:val="bullet"/>
      <w:lvlText w:val="•"/>
      <w:lvlJc w:val="left"/>
      <w:pPr>
        <w:tabs>
          <w:tab w:val="num" w:pos="5040"/>
        </w:tabs>
        <w:ind w:left="5040" w:hanging="360"/>
      </w:pPr>
      <w:rPr>
        <w:rFonts w:ascii="Arial" w:hAnsi="Arial" w:hint="default"/>
      </w:rPr>
    </w:lvl>
    <w:lvl w:ilvl="7" w:tplc="3C9488A8" w:tentative="1">
      <w:start w:val="1"/>
      <w:numFmt w:val="bullet"/>
      <w:lvlText w:val="•"/>
      <w:lvlJc w:val="left"/>
      <w:pPr>
        <w:tabs>
          <w:tab w:val="num" w:pos="5760"/>
        </w:tabs>
        <w:ind w:left="5760" w:hanging="360"/>
      </w:pPr>
      <w:rPr>
        <w:rFonts w:ascii="Arial" w:hAnsi="Arial" w:hint="default"/>
      </w:rPr>
    </w:lvl>
    <w:lvl w:ilvl="8" w:tplc="0710367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232222"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8" w15:restartNumberingAfterBreak="0">
    <w:nsid w:val="74B87AA0"/>
    <w:multiLevelType w:val="multilevel"/>
    <w:tmpl w:val="DAE644F6"/>
    <w:name w:val="PullOutBoxBullets"/>
    <w:lvl w:ilvl="0">
      <w:start w:val="1"/>
      <w:numFmt w:val="bullet"/>
      <w:lvlText w:val="•"/>
      <w:lvlJc w:val="left"/>
      <w:pPr>
        <w:ind w:left="567" w:hanging="340"/>
      </w:pPr>
      <w:rPr>
        <w:rFonts w:ascii="Arial" w:hAnsi="Arial" w:hint="default"/>
        <w:color w:val="232222" w:themeColor="text1"/>
        <w:sz w:val="28"/>
      </w:rPr>
    </w:lvl>
    <w:lvl w:ilvl="1">
      <w:start w:val="1"/>
      <w:numFmt w:val="decimal"/>
      <w:lvlText w:val="%1.%2"/>
      <w:lvlJc w:val="left"/>
      <w:pPr>
        <w:ind w:left="794" w:hanging="794"/>
      </w:pPr>
      <w:rPr>
        <w:rFonts w:hint="default"/>
      </w:rPr>
    </w:lvl>
    <w:lvl w:ilvl="2">
      <w:start w:val="1"/>
      <w:numFmt w:val="none"/>
      <w:suff w:val="nothing"/>
      <w:lvlText w:val=""/>
      <w:lvlJc w:val="left"/>
      <w:pPr>
        <w:ind w:left="0" w:firstLine="0"/>
      </w:pPr>
      <w:rPr>
        <w:rFonts w:hint="default"/>
      </w:rPr>
    </w:lvl>
    <w:lvl w:ilvl="3">
      <w:start w:val="1"/>
      <w:numFmt w:val="upperLetter"/>
      <w:lvlText w:val="%4)"/>
      <w:lvlJc w:val="left"/>
      <w:pPr>
        <w:ind w:left="794" w:hanging="454"/>
      </w:pPr>
      <w:rPr>
        <w:rFonts w:hint="default"/>
      </w:rPr>
    </w:lvl>
    <w:lvl w:ilvl="4">
      <w:start w:val="1"/>
      <w:numFmt w:val="none"/>
      <w:lvlText w:val=""/>
      <w:lvlJc w:val="left"/>
      <w:pPr>
        <w:ind w:left="992" w:hanging="992"/>
      </w:pPr>
      <w:rPr>
        <w:rFonts w:hint="default"/>
      </w:rPr>
    </w:lvl>
    <w:lvl w:ilvl="5">
      <w:start w:val="1"/>
      <w:numFmt w:val="none"/>
      <w:lvlText w:val=""/>
      <w:lvlJc w:val="right"/>
      <w:pPr>
        <w:ind w:left="992" w:hanging="992"/>
      </w:pPr>
      <w:rPr>
        <w:rFonts w:hint="default"/>
      </w:rPr>
    </w:lvl>
    <w:lvl w:ilvl="6">
      <w:start w:val="1"/>
      <w:numFmt w:val="none"/>
      <w:lvlText w:val=""/>
      <w:lvlJc w:val="left"/>
      <w:pPr>
        <w:ind w:left="992" w:hanging="992"/>
      </w:pPr>
      <w:rPr>
        <w:rFonts w:hint="default"/>
      </w:rPr>
    </w:lvl>
    <w:lvl w:ilvl="7">
      <w:start w:val="1"/>
      <w:numFmt w:val="none"/>
      <w:lvlText w:val=""/>
      <w:lvlJc w:val="left"/>
      <w:pPr>
        <w:ind w:left="992" w:hanging="992"/>
      </w:pPr>
      <w:rPr>
        <w:rFonts w:hint="default"/>
      </w:rPr>
    </w:lvl>
    <w:lvl w:ilvl="8">
      <w:start w:val="1"/>
      <w:numFmt w:val="none"/>
      <w:lvlText w:val=""/>
      <w:lvlJc w:val="right"/>
      <w:pPr>
        <w:ind w:left="992" w:hanging="992"/>
      </w:pPr>
      <w:rPr>
        <w:rFonts w:hint="default"/>
      </w:rPr>
    </w:lvl>
  </w:abstractNum>
  <w:abstractNum w:abstractNumId="39" w15:restartNumberingAfterBreak="0">
    <w:nsid w:val="75B62B5E"/>
    <w:multiLevelType w:val="multilevel"/>
    <w:tmpl w:val="F2E8571A"/>
    <w:name w:val="List Alpha2"/>
    <w:lvl w:ilvl="0">
      <w:start w:val="1"/>
      <w:numFmt w:val="lowerLetter"/>
      <w:lvlText w:val="%1."/>
      <w:lvlJc w:val="left"/>
      <w:rPr>
        <w:rFonts w:ascii="Times New Roman" w:hAnsi="Times New Roman" w:cs="Times New Roman" w:hint="default"/>
        <w:b w:val="0"/>
        <w:bCs w:val="0"/>
        <w:i w:val="0"/>
        <w:iCs w:val="0"/>
        <w:caps w:val="0"/>
        <w:smallCaps w:val="0"/>
        <w:strike w:val="0"/>
        <w:dstrike w:val="0"/>
        <w:snapToGrid w:val="0"/>
        <w:vanish w:val="0"/>
        <w:color w:val="201547" w:themeColor="text2"/>
        <w:spacing w:val="0"/>
        <w:w w:val="0"/>
        <w:kern w:val="0"/>
        <w:position w:val="0"/>
        <w:sz w:val="0"/>
        <w:szCs w:val="0"/>
        <w:u w:val="none" w:color="0000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tabs>
          <w:tab w:val="num" w:pos="680"/>
        </w:tabs>
        <w:ind w:left="680" w:hanging="340"/>
      </w:pPr>
      <w:rPr>
        <w:rFonts w:hint="default"/>
        <w:b w:val="0"/>
        <w:i w:val="0"/>
        <w:color w:val="201547" w:themeColor="text2"/>
        <w:position w:val="2"/>
        <w:sz w:val="20"/>
      </w:rPr>
    </w:lvl>
    <w:lvl w:ilvl="2">
      <w:start w:val="1"/>
      <w:numFmt w:val="bullet"/>
      <w:lvlText w:val="–"/>
      <w:lvlJc w:val="left"/>
      <w:pPr>
        <w:tabs>
          <w:tab w:val="num" w:pos="1361"/>
        </w:tabs>
        <w:ind w:left="1361" w:hanging="340"/>
      </w:pPr>
      <w:rPr>
        <w:rFonts w:ascii="Arial" w:hAnsi="Arial" w:hint="default"/>
        <w:color w:val="201547" w:themeColor="text2"/>
        <w:position w:val="3"/>
        <w:sz w:val="20"/>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40" w15:restartNumberingAfterBreak="0">
    <w:nsid w:val="7D284207"/>
    <w:multiLevelType w:val="multilevel"/>
    <w:tmpl w:val="EEF48C1E"/>
    <w:name w:val="Lst_HighlightBullets"/>
    <w:lvl w:ilvl="0">
      <w:start w:val="1"/>
      <w:numFmt w:val="bullet"/>
      <w:lvlRestart w:val="0"/>
      <w:pStyle w:val="HighlightBoxBullet"/>
      <w:lvlText w:val=""/>
      <w:lvlJc w:val="left"/>
      <w:pPr>
        <w:ind w:left="454" w:hanging="227"/>
      </w:pPr>
      <w:rPr>
        <w:rFonts w:ascii="Wingdings" w:hAnsi="Wingdings" w:hint="default"/>
        <w:color w:val="201547" w:themeColor="text2"/>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41" w15:restartNumberingAfterBreak="0">
    <w:nsid w:val="7E030DAE"/>
    <w:multiLevelType w:val="multilevel"/>
    <w:tmpl w:val="30C0C6AC"/>
    <w:name w:val="MyNumbering"/>
    <w:lvl w:ilvl="0">
      <w:start w:val="1"/>
      <w:numFmt w:val="lowerRoman"/>
      <w:lvlText w:val="%1."/>
      <w:lvlJc w:val="left"/>
      <w:pPr>
        <w:ind w:left="794" w:hanging="397"/>
      </w:pPr>
      <w:rPr>
        <w:rFonts w:hint="default"/>
        <w:b w:val="0"/>
        <w:i w:val="0"/>
        <w:color w:val="201547" w:themeColor="text2"/>
        <w:sz w:val="22"/>
      </w:rPr>
    </w:lvl>
    <w:lvl w:ilvl="1">
      <w:start w:val="1"/>
      <w:numFmt w:val="lowerLetter"/>
      <w:lvlText w:val="%2."/>
      <w:lvlJc w:val="left"/>
      <w:pPr>
        <w:tabs>
          <w:tab w:val="num" w:pos="737"/>
        </w:tabs>
        <w:ind w:left="737" w:hanging="368"/>
      </w:pPr>
      <w:rPr>
        <w:rFonts w:hint="default"/>
        <w:color w:val="auto"/>
        <w:sz w:val="20"/>
      </w:rPr>
    </w:lvl>
    <w:lvl w:ilvl="2">
      <w:start w:val="1"/>
      <w:numFmt w:val="lowerRoman"/>
      <w:lvlText w:val="%3."/>
      <w:lvlJc w:val="left"/>
      <w:pPr>
        <w:tabs>
          <w:tab w:val="num" w:pos="1106"/>
        </w:tabs>
        <w:ind w:left="1106" w:hanging="369"/>
      </w:pPr>
      <w:rPr>
        <w:rFonts w:hint="default"/>
        <w:color w:val="auto"/>
        <w:sz w:val="20"/>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righ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right"/>
      <w:pPr>
        <w:tabs>
          <w:tab w:val="num" w:pos="720"/>
        </w:tabs>
        <w:ind w:left="720" w:firstLine="0"/>
      </w:pPr>
      <w:rPr>
        <w:rFonts w:hint="default"/>
      </w:rPr>
    </w:lvl>
  </w:abstractNum>
  <w:num w:numId="1" w16cid:durableId="1128745877">
    <w:abstractNumId w:val="8"/>
  </w:num>
  <w:num w:numId="2" w16cid:durableId="170411264">
    <w:abstractNumId w:val="31"/>
  </w:num>
  <w:num w:numId="3" w16cid:durableId="985085104">
    <w:abstractNumId w:val="7"/>
  </w:num>
  <w:num w:numId="4" w16cid:durableId="1872112631">
    <w:abstractNumId w:val="9"/>
  </w:num>
  <w:num w:numId="5" w16cid:durableId="336812815">
    <w:abstractNumId w:val="19"/>
  </w:num>
  <w:num w:numId="6" w16cid:durableId="155153463">
    <w:abstractNumId w:val="0"/>
  </w:num>
  <w:num w:numId="7" w16cid:durableId="1428236886">
    <w:abstractNumId w:val="21"/>
  </w:num>
  <w:num w:numId="8" w16cid:durableId="103154041">
    <w:abstractNumId w:val="23"/>
  </w:num>
  <w:num w:numId="9" w16cid:durableId="1308436166">
    <w:abstractNumId w:val="20"/>
  </w:num>
  <w:num w:numId="10" w16cid:durableId="1335643199">
    <w:abstractNumId w:val="29"/>
  </w:num>
  <w:num w:numId="11" w16cid:durableId="1160577431">
    <w:abstractNumId w:val="22"/>
  </w:num>
  <w:num w:numId="12" w16cid:durableId="1673139647">
    <w:abstractNumId w:val="12"/>
  </w:num>
  <w:num w:numId="13" w16cid:durableId="1742215375">
    <w:abstractNumId w:val="40"/>
  </w:num>
  <w:num w:numId="14" w16cid:durableId="664823544">
    <w:abstractNumId w:val="37"/>
  </w:num>
  <w:num w:numId="15" w16cid:durableId="496114260">
    <w:abstractNumId w:val="35"/>
  </w:num>
  <w:num w:numId="16" w16cid:durableId="2003388819">
    <w:abstractNumId w:val="36"/>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8"/>
  <w:displayBackgroundShape/>
  <w:embedSystemFonts/>
  <w:attachedTemplate r:id="rId1"/>
  <w:stylePaneFormatFilter w:val="B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bbreviations" w:val="False"/>
    <w:docVar w:name="Audience" w:val="External"/>
    <w:docVar w:name="CoBrandNumber" w:val="0"/>
    <w:docVar w:name="ColourTheme" w:val="Colourful"/>
    <w:docVar w:name="ContentiousSubject" w:val="False"/>
    <w:docVar w:name="CoverCoBranded" w:val="False"/>
    <w:docVar w:name="CoverLayout" w:val="One"/>
    <w:docVar w:name="CoverProjectBar" w:val="False"/>
    <w:docVar w:name="CoverWebAddress" w:val="False"/>
    <w:docVar w:name="DCP" w:val="False"/>
    <w:docVar w:name="Endnote" w:val="False"/>
    <w:docVar w:name="Endnotes" w:val="True"/>
    <w:docVar w:name="Engevity-CustomTemplates" w:val="True"/>
    <w:docVar w:name="ESCaption" w:val="ES"/>
    <w:docVar w:name="FooterTextAuto" w:val="True"/>
    <w:docVar w:name="Glossary" w:val="False"/>
    <w:docVar w:name="Heading1Numbered" w:val="False"/>
    <w:docVar w:name="Heading2Numbered" w:val="False"/>
    <w:docVar w:name="Heading3Numbered" w:val="False"/>
    <w:docVar w:name="Heading4Numbered" w:val="False"/>
    <w:docVar w:name="Heading5Numbered" w:val="False"/>
    <w:docVar w:name="MasterDoc" w:val="True"/>
    <w:docVar w:name="NumberedCaptions" w:val="False"/>
    <w:docVar w:name="Overview" w:val="False"/>
    <w:docVar w:name="PageSetup" w:val="Single"/>
    <w:docVar w:name="Para" w:val="_x000d_"/>
    <w:docVar w:name="Theme Color" w:val="Resources"/>
    <w:docVar w:name="TOC" w:val="True"/>
    <w:docVar w:name="TOCNew" w:val="True"/>
    <w:docVar w:name="TOCType" w:val="Normal"/>
    <w:docVar w:name="UpdateTheme" w:val="False"/>
    <w:docVar w:name="Watermark" w:val=" "/>
    <w:docVar w:name="xAppendixName" w:val="Appendix"/>
    <w:docVar w:name="xHeadingsNumbered" w:val="False"/>
    <w:docVar w:name="xTOCApp" w:val="S"/>
    <w:docVar w:name="xTOCFigure" w:val="H"/>
    <w:docVar w:name="xTOCH2" w:val="Y"/>
    <w:docVar w:name="xTOCH3" w:val="Y"/>
    <w:docVar w:name="xTOCH4" w:val="Y"/>
    <w:docVar w:name="xTOCTable" w:val="H"/>
  </w:docVars>
  <w:rsids>
    <w:rsidRoot w:val="006E5D5E"/>
    <w:rsid w:val="00000194"/>
    <w:rsid w:val="00000812"/>
    <w:rsid w:val="00000901"/>
    <w:rsid w:val="00000EAD"/>
    <w:rsid w:val="00001D81"/>
    <w:rsid w:val="00002691"/>
    <w:rsid w:val="00003260"/>
    <w:rsid w:val="000035F6"/>
    <w:rsid w:val="00004327"/>
    <w:rsid w:val="00004810"/>
    <w:rsid w:val="00004A68"/>
    <w:rsid w:val="00004EEE"/>
    <w:rsid w:val="000058A9"/>
    <w:rsid w:val="00005CCD"/>
    <w:rsid w:val="00006884"/>
    <w:rsid w:val="000068CA"/>
    <w:rsid w:val="0000736B"/>
    <w:rsid w:val="00007A11"/>
    <w:rsid w:val="0001014C"/>
    <w:rsid w:val="000105A9"/>
    <w:rsid w:val="000112BF"/>
    <w:rsid w:val="00011C29"/>
    <w:rsid w:val="00011F46"/>
    <w:rsid w:val="0001216C"/>
    <w:rsid w:val="000125A5"/>
    <w:rsid w:val="000128AB"/>
    <w:rsid w:val="0001294B"/>
    <w:rsid w:val="00012BCD"/>
    <w:rsid w:val="00012D6E"/>
    <w:rsid w:val="00012FAF"/>
    <w:rsid w:val="0001307F"/>
    <w:rsid w:val="00013173"/>
    <w:rsid w:val="000133B3"/>
    <w:rsid w:val="000139F9"/>
    <w:rsid w:val="00013C91"/>
    <w:rsid w:val="000147D8"/>
    <w:rsid w:val="00014AD2"/>
    <w:rsid w:val="000152AC"/>
    <w:rsid w:val="000154C7"/>
    <w:rsid w:val="00015655"/>
    <w:rsid w:val="000160DB"/>
    <w:rsid w:val="0001645A"/>
    <w:rsid w:val="00016927"/>
    <w:rsid w:val="00016F11"/>
    <w:rsid w:val="00017A37"/>
    <w:rsid w:val="00017E78"/>
    <w:rsid w:val="000200A9"/>
    <w:rsid w:val="00020166"/>
    <w:rsid w:val="00020425"/>
    <w:rsid w:val="0002048A"/>
    <w:rsid w:val="00020A83"/>
    <w:rsid w:val="00020D21"/>
    <w:rsid w:val="00022FC9"/>
    <w:rsid w:val="0002313E"/>
    <w:rsid w:val="00023619"/>
    <w:rsid w:val="00024DE5"/>
    <w:rsid w:val="00024F9A"/>
    <w:rsid w:val="0002586C"/>
    <w:rsid w:val="000265EA"/>
    <w:rsid w:val="00026DA1"/>
    <w:rsid w:val="00026DC2"/>
    <w:rsid w:val="00026F6C"/>
    <w:rsid w:val="000273C5"/>
    <w:rsid w:val="00030105"/>
    <w:rsid w:val="00030A38"/>
    <w:rsid w:val="0003160B"/>
    <w:rsid w:val="0003300C"/>
    <w:rsid w:val="000332EC"/>
    <w:rsid w:val="000337A3"/>
    <w:rsid w:val="00033B66"/>
    <w:rsid w:val="000343D3"/>
    <w:rsid w:val="000346D1"/>
    <w:rsid w:val="00034E7A"/>
    <w:rsid w:val="0003565D"/>
    <w:rsid w:val="00036064"/>
    <w:rsid w:val="000360F2"/>
    <w:rsid w:val="00036D45"/>
    <w:rsid w:val="00037321"/>
    <w:rsid w:val="000374E9"/>
    <w:rsid w:val="00037830"/>
    <w:rsid w:val="00037F96"/>
    <w:rsid w:val="000408B7"/>
    <w:rsid w:val="00040E63"/>
    <w:rsid w:val="00040EB4"/>
    <w:rsid w:val="000411A2"/>
    <w:rsid w:val="00041613"/>
    <w:rsid w:val="00041B06"/>
    <w:rsid w:val="00042903"/>
    <w:rsid w:val="00043F27"/>
    <w:rsid w:val="00043FEB"/>
    <w:rsid w:val="00044607"/>
    <w:rsid w:val="00044A5B"/>
    <w:rsid w:val="0004603D"/>
    <w:rsid w:val="0004605B"/>
    <w:rsid w:val="0004675A"/>
    <w:rsid w:val="00046F44"/>
    <w:rsid w:val="000473F4"/>
    <w:rsid w:val="00050713"/>
    <w:rsid w:val="00050F0B"/>
    <w:rsid w:val="00051AB1"/>
    <w:rsid w:val="00051BFC"/>
    <w:rsid w:val="00051D5C"/>
    <w:rsid w:val="0005237A"/>
    <w:rsid w:val="00052454"/>
    <w:rsid w:val="0005252A"/>
    <w:rsid w:val="000528CB"/>
    <w:rsid w:val="000531C8"/>
    <w:rsid w:val="00053C58"/>
    <w:rsid w:val="00053CC3"/>
    <w:rsid w:val="00054A64"/>
    <w:rsid w:val="0005578D"/>
    <w:rsid w:val="00055A62"/>
    <w:rsid w:val="00056024"/>
    <w:rsid w:val="000574CC"/>
    <w:rsid w:val="000574DD"/>
    <w:rsid w:val="00057EB4"/>
    <w:rsid w:val="00060B9F"/>
    <w:rsid w:val="000610DD"/>
    <w:rsid w:val="0006141F"/>
    <w:rsid w:val="000634B5"/>
    <w:rsid w:val="000636FD"/>
    <w:rsid w:val="00063A7B"/>
    <w:rsid w:val="00064148"/>
    <w:rsid w:val="000645D3"/>
    <w:rsid w:val="00064813"/>
    <w:rsid w:val="0006651D"/>
    <w:rsid w:val="00066A4B"/>
    <w:rsid w:val="00066BD0"/>
    <w:rsid w:val="00066D49"/>
    <w:rsid w:val="0006707D"/>
    <w:rsid w:val="000672C6"/>
    <w:rsid w:val="00067A55"/>
    <w:rsid w:val="00067B0C"/>
    <w:rsid w:val="00067EEC"/>
    <w:rsid w:val="00070773"/>
    <w:rsid w:val="0007095A"/>
    <w:rsid w:val="00070B05"/>
    <w:rsid w:val="0007166A"/>
    <w:rsid w:val="00071FC0"/>
    <w:rsid w:val="00072080"/>
    <w:rsid w:val="0007232D"/>
    <w:rsid w:val="0007247D"/>
    <w:rsid w:val="00072E7B"/>
    <w:rsid w:val="00073EF4"/>
    <w:rsid w:val="00073FC4"/>
    <w:rsid w:val="00074537"/>
    <w:rsid w:val="00074EF6"/>
    <w:rsid w:val="000751D5"/>
    <w:rsid w:val="00075748"/>
    <w:rsid w:val="000759A7"/>
    <w:rsid w:val="00075B1E"/>
    <w:rsid w:val="00075E0B"/>
    <w:rsid w:val="000764DD"/>
    <w:rsid w:val="00076662"/>
    <w:rsid w:val="00076B5B"/>
    <w:rsid w:val="00076CEC"/>
    <w:rsid w:val="000770EF"/>
    <w:rsid w:val="00077BDB"/>
    <w:rsid w:val="00077D57"/>
    <w:rsid w:val="00080082"/>
    <w:rsid w:val="000809F5"/>
    <w:rsid w:val="00080B70"/>
    <w:rsid w:val="000823F2"/>
    <w:rsid w:val="0008257E"/>
    <w:rsid w:val="00082701"/>
    <w:rsid w:val="00082CAC"/>
    <w:rsid w:val="00082EEC"/>
    <w:rsid w:val="00082F2B"/>
    <w:rsid w:val="00083038"/>
    <w:rsid w:val="000830E7"/>
    <w:rsid w:val="00083241"/>
    <w:rsid w:val="000838F2"/>
    <w:rsid w:val="00084244"/>
    <w:rsid w:val="0008438B"/>
    <w:rsid w:val="000843B4"/>
    <w:rsid w:val="00084998"/>
    <w:rsid w:val="00084E5E"/>
    <w:rsid w:val="00085767"/>
    <w:rsid w:val="00085B6D"/>
    <w:rsid w:val="00086400"/>
    <w:rsid w:val="0008678B"/>
    <w:rsid w:val="00086C5B"/>
    <w:rsid w:val="00087019"/>
    <w:rsid w:val="00087157"/>
    <w:rsid w:val="0008765C"/>
    <w:rsid w:val="00087A2E"/>
    <w:rsid w:val="00087AA2"/>
    <w:rsid w:val="00087CE5"/>
    <w:rsid w:val="00087DBC"/>
    <w:rsid w:val="0009026C"/>
    <w:rsid w:val="00090C31"/>
    <w:rsid w:val="00090CB5"/>
    <w:rsid w:val="00090D68"/>
    <w:rsid w:val="0009129D"/>
    <w:rsid w:val="000913B9"/>
    <w:rsid w:val="00091C6D"/>
    <w:rsid w:val="00091E67"/>
    <w:rsid w:val="000922A4"/>
    <w:rsid w:val="00092C13"/>
    <w:rsid w:val="00093AB0"/>
    <w:rsid w:val="00093DB2"/>
    <w:rsid w:val="00094652"/>
    <w:rsid w:val="00094887"/>
    <w:rsid w:val="00094C04"/>
    <w:rsid w:val="00095774"/>
    <w:rsid w:val="000957C3"/>
    <w:rsid w:val="00095B03"/>
    <w:rsid w:val="00095BF8"/>
    <w:rsid w:val="00095E93"/>
    <w:rsid w:val="0009618E"/>
    <w:rsid w:val="0009636C"/>
    <w:rsid w:val="00097178"/>
    <w:rsid w:val="000971A5"/>
    <w:rsid w:val="000A0157"/>
    <w:rsid w:val="000A01E2"/>
    <w:rsid w:val="000A043A"/>
    <w:rsid w:val="000A06F1"/>
    <w:rsid w:val="000A0740"/>
    <w:rsid w:val="000A0772"/>
    <w:rsid w:val="000A07D4"/>
    <w:rsid w:val="000A0853"/>
    <w:rsid w:val="000A0D39"/>
    <w:rsid w:val="000A0ECF"/>
    <w:rsid w:val="000A10AE"/>
    <w:rsid w:val="000A13C1"/>
    <w:rsid w:val="000A1A10"/>
    <w:rsid w:val="000A25A3"/>
    <w:rsid w:val="000A2A5F"/>
    <w:rsid w:val="000A3203"/>
    <w:rsid w:val="000A3E5B"/>
    <w:rsid w:val="000A43C4"/>
    <w:rsid w:val="000A4DD8"/>
    <w:rsid w:val="000A513C"/>
    <w:rsid w:val="000A5285"/>
    <w:rsid w:val="000A55E9"/>
    <w:rsid w:val="000A56AA"/>
    <w:rsid w:val="000A6056"/>
    <w:rsid w:val="000A64D2"/>
    <w:rsid w:val="000A64DF"/>
    <w:rsid w:val="000A65C4"/>
    <w:rsid w:val="000A6AD7"/>
    <w:rsid w:val="000B010B"/>
    <w:rsid w:val="000B02C8"/>
    <w:rsid w:val="000B07C0"/>
    <w:rsid w:val="000B1783"/>
    <w:rsid w:val="000B2770"/>
    <w:rsid w:val="000B2FA7"/>
    <w:rsid w:val="000B36D8"/>
    <w:rsid w:val="000B3B07"/>
    <w:rsid w:val="000B497E"/>
    <w:rsid w:val="000B51BB"/>
    <w:rsid w:val="000B5385"/>
    <w:rsid w:val="000B59CB"/>
    <w:rsid w:val="000B5AC1"/>
    <w:rsid w:val="000B5B6D"/>
    <w:rsid w:val="000B6301"/>
    <w:rsid w:val="000B65EE"/>
    <w:rsid w:val="000B6910"/>
    <w:rsid w:val="000B6A5F"/>
    <w:rsid w:val="000B6E1A"/>
    <w:rsid w:val="000B74D9"/>
    <w:rsid w:val="000C02EC"/>
    <w:rsid w:val="000C036C"/>
    <w:rsid w:val="000C043D"/>
    <w:rsid w:val="000C254D"/>
    <w:rsid w:val="000C269E"/>
    <w:rsid w:val="000C2D7C"/>
    <w:rsid w:val="000C3365"/>
    <w:rsid w:val="000C3390"/>
    <w:rsid w:val="000C3827"/>
    <w:rsid w:val="000C3BCA"/>
    <w:rsid w:val="000C4032"/>
    <w:rsid w:val="000C4237"/>
    <w:rsid w:val="000C440C"/>
    <w:rsid w:val="000C4598"/>
    <w:rsid w:val="000C46FD"/>
    <w:rsid w:val="000C4A68"/>
    <w:rsid w:val="000C4AFB"/>
    <w:rsid w:val="000C5C01"/>
    <w:rsid w:val="000C620E"/>
    <w:rsid w:val="000C782D"/>
    <w:rsid w:val="000C7BB4"/>
    <w:rsid w:val="000D01DB"/>
    <w:rsid w:val="000D02C6"/>
    <w:rsid w:val="000D038D"/>
    <w:rsid w:val="000D0471"/>
    <w:rsid w:val="000D04B1"/>
    <w:rsid w:val="000D04F8"/>
    <w:rsid w:val="000D057E"/>
    <w:rsid w:val="000D0DDA"/>
    <w:rsid w:val="000D0FA2"/>
    <w:rsid w:val="000D1C49"/>
    <w:rsid w:val="000D1CCC"/>
    <w:rsid w:val="000D1DA0"/>
    <w:rsid w:val="000D2B3D"/>
    <w:rsid w:val="000D319F"/>
    <w:rsid w:val="000D36F9"/>
    <w:rsid w:val="000D3881"/>
    <w:rsid w:val="000D3CAE"/>
    <w:rsid w:val="000D487A"/>
    <w:rsid w:val="000D4AC1"/>
    <w:rsid w:val="000D5000"/>
    <w:rsid w:val="000D5967"/>
    <w:rsid w:val="000D5CE1"/>
    <w:rsid w:val="000D6270"/>
    <w:rsid w:val="000D6417"/>
    <w:rsid w:val="000D6482"/>
    <w:rsid w:val="000D66AF"/>
    <w:rsid w:val="000D7227"/>
    <w:rsid w:val="000D73BF"/>
    <w:rsid w:val="000D73C9"/>
    <w:rsid w:val="000D7514"/>
    <w:rsid w:val="000D752F"/>
    <w:rsid w:val="000D7994"/>
    <w:rsid w:val="000D7AF3"/>
    <w:rsid w:val="000D7F5B"/>
    <w:rsid w:val="000E0068"/>
    <w:rsid w:val="000E1777"/>
    <w:rsid w:val="000E2BFA"/>
    <w:rsid w:val="000E2E35"/>
    <w:rsid w:val="000E2F22"/>
    <w:rsid w:val="000E2F7C"/>
    <w:rsid w:val="000E3433"/>
    <w:rsid w:val="000E35EE"/>
    <w:rsid w:val="000E38AA"/>
    <w:rsid w:val="000E3C36"/>
    <w:rsid w:val="000E4946"/>
    <w:rsid w:val="000E4D36"/>
    <w:rsid w:val="000E5431"/>
    <w:rsid w:val="000E57A7"/>
    <w:rsid w:val="000E5CB2"/>
    <w:rsid w:val="000E60F1"/>
    <w:rsid w:val="000E6D73"/>
    <w:rsid w:val="000E7420"/>
    <w:rsid w:val="000E79F7"/>
    <w:rsid w:val="000E7E4A"/>
    <w:rsid w:val="000E7F29"/>
    <w:rsid w:val="000F040F"/>
    <w:rsid w:val="000F0977"/>
    <w:rsid w:val="000F0AB0"/>
    <w:rsid w:val="000F1017"/>
    <w:rsid w:val="000F1954"/>
    <w:rsid w:val="000F1B2C"/>
    <w:rsid w:val="000F1E52"/>
    <w:rsid w:val="000F26D5"/>
    <w:rsid w:val="000F2AE7"/>
    <w:rsid w:val="000F2BEC"/>
    <w:rsid w:val="000F2FCE"/>
    <w:rsid w:val="000F3362"/>
    <w:rsid w:val="000F39C2"/>
    <w:rsid w:val="000F436A"/>
    <w:rsid w:val="000F47F5"/>
    <w:rsid w:val="000F4BAE"/>
    <w:rsid w:val="000F4D26"/>
    <w:rsid w:val="000F515F"/>
    <w:rsid w:val="000F59FB"/>
    <w:rsid w:val="000F5E55"/>
    <w:rsid w:val="000F5FFD"/>
    <w:rsid w:val="000F6093"/>
    <w:rsid w:val="000F661E"/>
    <w:rsid w:val="000F66F3"/>
    <w:rsid w:val="000F696C"/>
    <w:rsid w:val="000F72AB"/>
    <w:rsid w:val="000F7466"/>
    <w:rsid w:val="000F7BB5"/>
    <w:rsid w:val="000F7C2D"/>
    <w:rsid w:val="0010018C"/>
    <w:rsid w:val="00101154"/>
    <w:rsid w:val="00101215"/>
    <w:rsid w:val="00101A91"/>
    <w:rsid w:val="00101FF8"/>
    <w:rsid w:val="001023F4"/>
    <w:rsid w:val="00102D94"/>
    <w:rsid w:val="00103C12"/>
    <w:rsid w:val="001042E1"/>
    <w:rsid w:val="0010455D"/>
    <w:rsid w:val="00104C22"/>
    <w:rsid w:val="0010532E"/>
    <w:rsid w:val="00105C15"/>
    <w:rsid w:val="00105FBE"/>
    <w:rsid w:val="00106BF0"/>
    <w:rsid w:val="00106EBD"/>
    <w:rsid w:val="00107C8F"/>
    <w:rsid w:val="0011038E"/>
    <w:rsid w:val="0011045B"/>
    <w:rsid w:val="00110623"/>
    <w:rsid w:val="00110760"/>
    <w:rsid w:val="0011087C"/>
    <w:rsid w:val="0011132C"/>
    <w:rsid w:val="001114CB"/>
    <w:rsid w:val="0011235E"/>
    <w:rsid w:val="001129F9"/>
    <w:rsid w:val="00112A56"/>
    <w:rsid w:val="00112EDB"/>
    <w:rsid w:val="00112FC9"/>
    <w:rsid w:val="00113496"/>
    <w:rsid w:val="0011371C"/>
    <w:rsid w:val="00113A48"/>
    <w:rsid w:val="00113D4F"/>
    <w:rsid w:val="00113EE7"/>
    <w:rsid w:val="0011429D"/>
    <w:rsid w:val="00114377"/>
    <w:rsid w:val="0011480F"/>
    <w:rsid w:val="0011501B"/>
    <w:rsid w:val="001153CE"/>
    <w:rsid w:val="001156B1"/>
    <w:rsid w:val="0011585A"/>
    <w:rsid w:val="00116264"/>
    <w:rsid w:val="00116413"/>
    <w:rsid w:val="001167C6"/>
    <w:rsid w:val="001169AD"/>
    <w:rsid w:val="001176AC"/>
    <w:rsid w:val="001177D2"/>
    <w:rsid w:val="00117809"/>
    <w:rsid w:val="00120092"/>
    <w:rsid w:val="0012041B"/>
    <w:rsid w:val="00120D59"/>
    <w:rsid w:val="001218C4"/>
    <w:rsid w:val="0012190E"/>
    <w:rsid w:val="0012246B"/>
    <w:rsid w:val="001228AC"/>
    <w:rsid w:val="001230A0"/>
    <w:rsid w:val="00123111"/>
    <w:rsid w:val="00123633"/>
    <w:rsid w:val="001242E9"/>
    <w:rsid w:val="001244D8"/>
    <w:rsid w:val="00124782"/>
    <w:rsid w:val="0012486F"/>
    <w:rsid w:val="00124BC5"/>
    <w:rsid w:val="0012511D"/>
    <w:rsid w:val="001252B3"/>
    <w:rsid w:val="00125676"/>
    <w:rsid w:val="0012652C"/>
    <w:rsid w:val="001267C9"/>
    <w:rsid w:val="001268C6"/>
    <w:rsid w:val="00126943"/>
    <w:rsid w:val="00127337"/>
    <w:rsid w:val="001274AA"/>
    <w:rsid w:val="001278BC"/>
    <w:rsid w:val="001302AB"/>
    <w:rsid w:val="0013044E"/>
    <w:rsid w:val="00130471"/>
    <w:rsid w:val="00130735"/>
    <w:rsid w:val="00130B14"/>
    <w:rsid w:val="0013134A"/>
    <w:rsid w:val="001320DB"/>
    <w:rsid w:val="00132534"/>
    <w:rsid w:val="00132ECF"/>
    <w:rsid w:val="00133CEB"/>
    <w:rsid w:val="00133DA1"/>
    <w:rsid w:val="00133EF1"/>
    <w:rsid w:val="00133FBF"/>
    <w:rsid w:val="00134222"/>
    <w:rsid w:val="00134985"/>
    <w:rsid w:val="001359FC"/>
    <w:rsid w:val="00135A21"/>
    <w:rsid w:val="0013609B"/>
    <w:rsid w:val="00136391"/>
    <w:rsid w:val="001369F7"/>
    <w:rsid w:val="00136DBE"/>
    <w:rsid w:val="001378AA"/>
    <w:rsid w:val="00137A24"/>
    <w:rsid w:val="00137E68"/>
    <w:rsid w:val="001406CA"/>
    <w:rsid w:val="001417FF"/>
    <w:rsid w:val="00141FDF"/>
    <w:rsid w:val="00142793"/>
    <w:rsid w:val="00142974"/>
    <w:rsid w:val="00143126"/>
    <w:rsid w:val="0014423E"/>
    <w:rsid w:val="00144787"/>
    <w:rsid w:val="00145F74"/>
    <w:rsid w:val="0014604E"/>
    <w:rsid w:val="00146947"/>
    <w:rsid w:val="00147141"/>
    <w:rsid w:val="0014722D"/>
    <w:rsid w:val="00147B60"/>
    <w:rsid w:val="00150746"/>
    <w:rsid w:val="00151331"/>
    <w:rsid w:val="00151BF0"/>
    <w:rsid w:val="00152DC6"/>
    <w:rsid w:val="00152E41"/>
    <w:rsid w:val="001536B2"/>
    <w:rsid w:val="001538EE"/>
    <w:rsid w:val="0015405B"/>
    <w:rsid w:val="00155192"/>
    <w:rsid w:val="00155B41"/>
    <w:rsid w:val="00155B79"/>
    <w:rsid w:val="00156344"/>
    <w:rsid w:val="00156406"/>
    <w:rsid w:val="001565D2"/>
    <w:rsid w:val="0015669A"/>
    <w:rsid w:val="00156BC1"/>
    <w:rsid w:val="001571C1"/>
    <w:rsid w:val="001573C7"/>
    <w:rsid w:val="001574B6"/>
    <w:rsid w:val="00157F04"/>
    <w:rsid w:val="00160C09"/>
    <w:rsid w:val="00160EA5"/>
    <w:rsid w:val="00161183"/>
    <w:rsid w:val="00161450"/>
    <w:rsid w:val="00161A18"/>
    <w:rsid w:val="00161DFE"/>
    <w:rsid w:val="00162508"/>
    <w:rsid w:val="0016271B"/>
    <w:rsid w:val="00162EBC"/>
    <w:rsid w:val="0016336A"/>
    <w:rsid w:val="00163A5B"/>
    <w:rsid w:val="00163A88"/>
    <w:rsid w:val="00164012"/>
    <w:rsid w:val="001640D2"/>
    <w:rsid w:val="001644C7"/>
    <w:rsid w:val="00164716"/>
    <w:rsid w:val="00164A05"/>
    <w:rsid w:val="001651B6"/>
    <w:rsid w:val="00165E60"/>
    <w:rsid w:val="00166097"/>
    <w:rsid w:val="0016613C"/>
    <w:rsid w:val="00166DAD"/>
    <w:rsid w:val="00166E6D"/>
    <w:rsid w:val="00166FB5"/>
    <w:rsid w:val="00167022"/>
    <w:rsid w:val="0016718E"/>
    <w:rsid w:val="0017060B"/>
    <w:rsid w:val="00170701"/>
    <w:rsid w:val="00171B71"/>
    <w:rsid w:val="00171C7C"/>
    <w:rsid w:val="00172637"/>
    <w:rsid w:val="001726D4"/>
    <w:rsid w:val="001728B5"/>
    <w:rsid w:val="0017336D"/>
    <w:rsid w:val="001733E5"/>
    <w:rsid w:val="00173F1A"/>
    <w:rsid w:val="00174052"/>
    <w:rsid w:val="001745CE"/>
    <w:rsid w:val="00174E84"/>
    <w:rsid w:val="001750A0"/>
    <w:rsid w:val="00175DCC"/>
    <w:rsid w:val="001762F3"/>
    <w:rsid w:val="001766D2"/>
    <w:rsid w:val="001768FA"/>
    <w:rsid w:val="001769A8"/>
    <w:rsid w:val="00177179"/>
    <w:rsid w:val="0017749D"/>
    <w:rsid w:val="001778A7"/>
    <w:rsid w:val="00177F02"/>
    <w:rsid w:val="001806B5"/>
    <w:rsid w:val="00180E8D"/>
    <w:rsid w:val="00180FF8"/>
    <w:rsid w:val="001813B0"/>
    <w:rsid w:val="001818D8"/>
    <w:rsid w:val="0018239D"/>
    <w:rsid w:val="001827CC"/>
    <w:rsid w:val="00183096"/>
    <w:rsid w:val="001835D2"/>
    <w:rsid w:val="00184045"/>
    <w:rsid w:val="0018426D"/>
    <w:rsid w:val="00184490"/>
    <w:rsid w:val="001844C6"/>
    <w:rsid w:val="001845EF"/>
    <w:rsid w:val="00184B03"/>
    <w:rsid w:val="00185BF1"/>
    <w:rsid w:val="00185F7F"/>
    <w:rsid w:val="00186186"/>
    <w:rsid w:val="0018625D"/>
    <w:rsid w:val="00186A77"/>
    <w:rsid w:val="001874D7"/>
    <w:rsid w:val="00187B9E"/>
    <w:rsid w:val="001900C7"/>
    <w:rsid w:val="001903F5"/>
    <w:rsid w:val="001910A2"/>
    <w:rsid w:val="00191188"/>
    <w:rsid w:val="001911BB"/>
    <w:rsid w:val="00191308"/>
    <w:rsid w:val="00191D42"/>
    <w:rsid w:val="00192DC6"/>
    <w:rsid w:val="00192F5C"/>
    <w:rsid w:val="00193C8F"/>
    <w:rsid w:val="00194013"/>
    <w:rsid w:val="001942E7"/>
    <w:rsid w:val="001945C8"/>
    <w:rsid w:val="00194A76"/>
    <w:rsid w:val="00194AAE"/>
    <w:rsid w:val="00194B60"/>
    <w:rsid w:val="00195D19"/>
    <w:rsid w:val="00195DF5"/>
    <w:rsid w:val="00195F0C"/>
    <w:rsid w:val="00196A24"/>
    <w:rsid w:val="00196E13"/>
    <w:rsid w:val="0019756C"/>
    <w:rsid w:val="00197D54"/>
    <w:rsid w:val="001A023F"/>
    <w:rsid w:val="001A0FC3"/>
    <w:rsid w:val="001A1B29"/>
    <w:rsid w:val="001A1E8A"/>
    <w:rsid w:val="001A26B9"/>
    <w:rsid w:val="001A3352"/>
    <w:rsid w:val="001A3695"/>
    <w:rsid w:val="001A4052"/>
    <w:rsid w:val="001A44AA"/>
    <w:rsid w:val="001A4A74"/>
    <w:rsid w:val="001A59BB"/>
    <w:rsid w:val="001A5A0F"/>
    <w:rsid w:val="001A5B24"/>
    <w:rsid w:val="001A5B3F"/>
    <w:rsid w:val="001A5C62"/>
    <w:rsid w:val="001A63B0"/>
    <w:rsid w:val="001A6B09"/>
    <w:rsid w:val="001A7EF2"/>
    <w:rsid w:val="001B017B"/>
    <w:rsid w:val="001B08FF"/>
    <w:rsid w:val="001B17EB"/>
    <w:rsid w:val="001B1992"/>
    <w:rsid w:val="001B1B2B"/>
    <w:rsid w:val="001B1CD9"/>
    <w:rsid w:val="001B204A"/>
    <w:rsid w:val="001B2370"/>
    <w:rsid w:val="001B2AD7"/>
    <w:rsid w:val="001B2D49"/>
    <w:rsid w:val="001B2ED0"/>
    <w:rsid w:val="001B32D1"/>
    <w:rsid w:val="001B330C"/>
    <w:rsid w:val="001B332D"/>
    <w:rsid w:val="001B387D"/>
    <w:rsid w:val="001B45A7"/>
    <w:rsid w:val="001B57E8"/>
    <w:rsid w:val="001B6D41"/>
    <w:rsid w:val="001B6E7E"/>
    <w:rsid w:val="001B6EE6"/>
    <w:rsid w:val="001B7C04"/>
    <w:rsid w:val="001B7E65"/>
    <w:rsid w:val="001C045F"/>
    <w:rsid w:val="001C047F"/>
    <w:rsid w:val="001C145F"/>
    <w:rsid w:val="001C158E"/>
    <w:rsid w:val="001C2103"/>
    <w:rsid w:val="001C2198"/>
    <w:rsid w:val="001C2489"/>
    <w:rsid w:val="001C2510"/>
    <w:rsid w:val="001C2788"/>
    <w:rsid w:val="001C2CCA"/>
    <w:rsid w:val="001C31C0"/>
    <w:rsid w:val="001C35C1"/>
    <w:rsid w:val="001C3788"/>
    <w:rsid w:val="001C40E3"/>
    <w:rsid w:val="001C4657"/>
    <w:rsid w:val="001C5162"/>
    <w:rsid w:val="001C5290"/>
    <w:rsid w:val="001C5E6E"/>
    <w:rsid w:val="001C71FB"/>
    <w:rsid w:val="001C72A9"/>
    <w:rsid w:val="001C73A0"/>
    <w:rsid w:val="001C78A3"/>
    <w:rsid w:val="001D064C"/>
    <w:rsid w:val="001D0889"/>
    <w:rsid w:val="001D11E7"/>
    <w:rsid w:val="001D134B"/>
    <w:rsid w:val="001D15F7"/>
    <w:rsid w:val="001D223D"/>
    <w:rsid w:val="001D2D53"/>
    <w:rsid w:val="001D34EA"/>
    <w:rsid w:val="001D39F8"/>
    <w:rsid w:val="001D3B02"/>
    <w:rsid w:val="001D46AE"/>
    <w:rsid w:val="001D47F4"/>
    <w:rsid w:val="001D4DB3"/>
    <w:rsid w:val="001D5D1A"/>
    <w:rsid w:val="001D5FC7"/>
    <w:rsid w:val="001D6139"/>
    <w:rsid w:val="001D6167"/>
    <w:rsid w:val="001D63D0"/>
    <w:rsid w:val="001D6714"/>
    <w:rsid w:val="001D74A8"/>
    <w:rsid w:val="001D766C"/>
    <w:rsid w:val="001D76AB"/>
    <w:rsid w:val="001D78C3"/>
    <w:rsid w:val="001E04BC"/>
    <w:rsid w:val="001E04F9"/>
    <w:rsid w:val="001E0766"/>
    <w:rsid w:val="001E093C"/>
    <w:rsid w:val="001E174B"/>
    <w:rsid w:val="001E1D0E"/>
    <w:rsid w:val="001E1DB7"/>
    <w:rsid w:val="001E1E00"/>
    <w:rsid w:val="001E2412"/>
    <w:rsid w:val="001E261C"/>
    <w:rsid w:val="001E28B4"/>
    <w:rsid w:val="001E3601"/>
    <w:rsid w:val="001E3629"/>
    <w:rsid w:val="001E3BB5"/>
    <w:rsid w:val="001E3E6C"/>
    <w:rsid w:val="001E43CC"/>
    <w:rsid w:val="001E48EA"/>
    <w:rsid w:val="001E51A2"/>
    <w:rsid w:val="001E57CA"/>
    <w:rsid w:val="001E59A1"/>
    <w:rsid w:val="001E5AE2"/>
    <w:rsid w:val="001E5CD5"/>
    <w:rsid w:val="001E6421"/>
    <w:rsid w:val="001E6674"/>
    <w:rsid w:val="001E67C2"/>
    <w:rsid w:val="001E6F78"/>
    <w:rsid w:val="001E70EA"/>
    <w:rsid w:val="001E7FE0"/>
    <w:rsid w:val="001F0748"/>
    <w:rsid w:val="001F0A72"/>
    <w:rsid w:val="001F2252"/>
    <w:rsid w:val="001F2C32"/>
    <w:rsid w:val="001F302E"/>
    <w:rsid w:val="001F3545"/>
    <w:rsid w:val="001F35A0"/>
    <w:rsid w:val="001F44D3"/>
    <w:rsid w:val="001F4765"/>
    <w:rsid w:val="001F4EF4"/>
    <w:rsid w:val="001F5040"/>
    <w:rsid w:val="001F51DA"/>
    <w:rsid w:val="001F5BF9"/>
    <w:rsid w:val="001F618A"/>
    <w:rsid w:val="001F61BB"/>
    <w:rsid w:val="001F6460"/>
    <w:rsid w:val="001F6826"/>
    <w:rsid w:val="001F68A4"/>
    <w:rsid w:val="001F6E03"/>
    <w:rsid w:val="001F7585"/>
    <w:rsid w:val="001F75D2"/>
    <w:rsid w:val="001F75DA"/>
    <w:rsid w:val="001F797E"/>
    <w:rsid w:val="001F79DC"/>
    <w:rsid w:val="001F7BC3"/>
    <w:rsid w:val="00201CDB"/>
    <w:rsid w:val="0020269C"/>
    <w:rsid w:val="0020272B"/>
    <w:rsid w:val="00202D57"/>
    <w:rsid w:val="00202F7A"/>
    <w:rsid w:val="0020352B"/>
    <w:rsid w:val="002042D5"/>
    <w:rsid w:val="002047FF"/>
    <w:rsid w:val="002048EC"/>
    <w:rsid w:val="0020496E"/>
    <w:rsid w:val="00204B9C"/>
    <w:rsid w:val="00204C72"/>
    <w:rsid w:val="00204E23"/>
    <w:rsid w:val="00205B11"/>
    <w:rsid w:val="00205BFA"/>
    <w:rsid w:val="002062AB"/>
    <w:rsid w:val="002067B9"/>
    <w:rsid w:val="00206D77"/>
    <w:rsid w:val="00206E8D"/>
    <w:rsid w:val="002071C2"/>
    <w:rsid w:val="00207596"/>
    <w:rsid w:val="00207E74"/>
    <w:rsid w:val="00210137"/>
    <w:rsid w:val="00210B5C"/>
    <w:rsid w:val="00210C96"/>
    <w:rsid w:val="00210D2E"/>
    <w:rsid w:val="00211075"/>
    <w:rsid w:val="00211747"/>
    <w:rsid w:val="002117DD"/>
    <w:rsid w:val="00211AC7"/>
    <w:rsid w:val="00212101"/>
    <w:rsid w:val="00213177"/>
    <w:rsid w:val="00213867"/>
    <w:rsid w:val="00213B2D"/>
    <w:rsid w:val="00214138"/>
    <w:rsid w:val="002146AD"/>
    <w:rsid w:val="002146FB"/>
    <w:rsid w:val="00214B49"/>
    <w:rsid w:val="00214B83"/>
    <w:rsid w:val="002152A5"/>
    <w:rsid w:val="00215A33"/>
    <w:rsid w:val="00215E28"/>
    <w:rsid w:val="00215E95"/>
    <w:rsid w:val="002167E2"/>
    <w:rsid w:val="00216940"/>
    <w:rsid w:val="00216F32"/>
    <w:rsid w:val="002174E7"/>
    <w:rsid w:val="00217836"/>
    <w:rsid w:val="002204F3"/>
    <w:rsid w:val="00221061"/>
    <w:rsid w:val="00221E74"/>
    <w:rsid w:val="00222825"/>
    <w:rsid w:val="00222EBF"/>
    <w:rsid w:val="00222F2D"/>
    <w:rsid w:val="0022327F"/>
    <w:rsid w:val="0022339A"/>
    <w:rsid w:val="002239F4"/>
    <w:rsid w:val="00224694"/>
    <w:rsid w:val="002247B9"/>
    <w:rsid w:val="0022483C"/>
    <w:rsid w:val="002255AF"/>
    <w:rsid w:val="00226225"/>
    <w:rsid w:val="0022661F"/>
    <w:rsid w:val="00226A73"/>
    <w:rsid w:val="00226BF6"/>
    <w:rsid w:val="00227018"/>
    <w:rsid w:val="00230259"/>
    <w:rsid w:val="002310A3"/>
    <w:rsid w:val="00231477"/>
    <w:rsid w:val="002319D8"/>
    <w:rsid w:val="00231B63"/>
    <w:rsid w:val="002323B0"/>
    <w:rsid w:val="0023294F"/>
    <w:rsid w:val="00232D3E"/>
    <w:rsid w:val="002335AF"/>
    <w:rsid w:val="002339EF"/>
    <w:rsid w:val="00233B50"/>
    <w:rsid w:val="00233D6B"/>
    <w:rsid w:val="002345A0"/>
    <w:rsid w:val="0023491A"/>
    <w:rsid w:val="00235122"/>
    <w:rsid w:val="002353F9"/>
    <w:rsid w:val="00235711"/>
    <w:rsid w:val="00235C2B"/>
    <w:rsid w:val="002361E7"/>
    <w:rsid w:val="0023624D"/>
    <w:rsid w:val="00236F82"/>
    <w:rsid w:val="002373DE"/>
    <w:rsid w:val="00240884"/>
    <w:rsid w:val="002408CA"/>
    <w:rsid w:val="0024178C"/>
    <w:rsid w:val="002421DA"/>
    <w:rsid w:val="00242490"/>
    <w:rsid w:val="00242651"/>
    <w:rsid w:val="00242821"/>
    <w:rsid w:val="002429C2"/>
    <w:rsid w:val="00242BBE"/>
    <w:rsid w:val="00242DCD"/>
    <w:rsid w:val="00243090"/>
    <w:rsid w:val="00243399"/>
    <w:rsid w:val="00243A45"/>
    <w:rsid w:val="002443A2"/>
    <w:rsid w:val="002445E5"/>
    <w:rsid w:val="002448CB"/>
    <w:rsid w:val="0024522B"/>
    <w:rsid w:val="00245460"/>
    <w:rsid w:val="00245EE0"/>
    <w:rsid w:val="002469E9"/>
    <w:rsid w:val="00246B20"/>
    <w:rsid w:val="00246FF0"/>
    <w:rsid w:val="00247A71"/>
    <w:rsid w:val="00247B03"/>
    <w:rsid w:val="00247DAF"/>
    <w:rsid w:val="00247FFA"/>
    <w:rsid w:val="002505EC"/>
    <w:rsid w:val="002507F1"/>
    <w:rsid w:val="002508AB"/>
    <w:rsid w:val="00251326"/>
    <w:rsid w:val="00251AD4"/>
    <w:rsid w:val="00252DEC"/>
    <w:rsid w:val="002533C2"/>
    <w:rsid w:val="002536AC"/>
    <w:rsid w:val="0025376B"/>
    <w:rsid w:val="00253C6D"/>
    <w:rsid w:val="0025402C"/>
    <w:rsid w:val="00254F12"/>
    <w:rsid w:val="0025562D"/>
    <w:rsid w:val="00255632"/>
    <w:rsid w:val="0025626D"/>
    <w:rsid w:val="00256560"/>
    <w:rsid w:val="00256624"/>
    <w:rsid w:val="00257F30"/>
    <w:rsid w:val="00257FED"/>
    <w:rsid w:val="002600A1"/>
    <w:rsid w:val="0026099A"/>
    <w:rsid w:val="00260C13"/>
    <w:rsid w:val="00260CB3"/>
    <w:rsid w:val="0026181D"/>
    <w:rsid w:val="00261B1F"/>
    <w:rsid w:val="00261BCC"/>
    <w:rsid w:val="00261BE8"/>
    <w:rsid w:val="00261C7F"/>
    <w:rsid w:val="00262168"/>
    <w:rsid w:val="002621A4"/>
    <w:rsid w:val="002622B0"/>
    <w:rsid w:val="0026258F"/>
    <w:rsid w:val="002629DD"/>
    <w:rsid w:val="00262ACE"/>
    <w:rsid w:val="00262B31"/>
    <w:rsid w:val="002633AF"/>
    <w:rsid w:val="002635FC"/>
    <w:rsid w:val="00263A79"/>
    <w:rsid w:val="00264C6B"/>
    <w:rsid w:val="00264C82"/>
    <w:rsid w:val="00264FD6"/>
    <w:rsid w:val="0026557C"/>
    <w:rsid w:val="00265C0D"/>
    <w:rsid w:val="00265DE2"/>
    <w:rsid w:val="0026655E"/>
    <w:rsid w:val="002671CE"/>
    <w:rsid w:val="0026756C"/>
    <w:rsid w:val="002676DE"/>
    <w:rsid w:val="0027011C"/>
    <w:rsid w:val="00270243"/>
    <w:rsid w:val="00270817"/>
    <w:rsid w:val="00270869"/>
    <w:rsid w:val="0027086E"/>
    <w:rsid w:val="002715E9"/>
    <w:rsid w:val="0027194F"/>
    <w:rsid w:val="0027240B"/>
    <w:rsid w:val="00272580"/>
    <w:rsid w:val="002725C1"/>
    <w:rsid w:val="002726AA"/>
    <w:rsid w:val="00272792"/>
    <w:rsid w:val="00272A50"/>
    <w:rsid w:val="00272B62"/>
    <w:rsid w:val="0027305A"/>
    <w:rsid w:val="002737F3"/>
    <w:rsid w:val="0027394E"/>
    <w:rsid w:val="00273AC0"/>
    <w:rsid w:val="00273C00"/>
    <w:rsid w:val="002743CC"/>
    <w:rsid w:val="00274C38"/>
    <w:rsid w:val="00274DED"/>
    <w:rsid w:val="002753CD"/>
    <w:rsid w:val="00275582"/>
    <w:rsid w:val="002755F3"/>
    <w:rsid w:val="00276A9F"/>
    <w:rsid w:val="0027709F"/>
    <w:rsid w:val="0027759D"/>
    <w:rsid w:val="00277CC4"/>
    <w:rsid w:val="002800EC"/>
    <w:rsid w:val="002810E7"/>
    <w:rsid w:val="00281C53"/>
    <w:rsid w:val="0028253E"/>
    <w:rsid w:val="002826B7"/>
    <w:rsid w:val="002829A0"/>
    <w:rsid w:val="002829B5"/>
    <w:rsid w:val="00282B59"/>
    <w:rsid w:val="00283AC7"/>
    <w:rsid w:val="00283C02"/>
    <w:rsid w:val="00283EA9"/>
    <w:rsid w:val="00283F74"/>
    <w:rsid w:val="00284456"/>
    <w:rsid w:val="00284B9E"/>
    <w:rsid w:val="002857D1"/>
    <w:rsid w:val="00285AE7"/>
    <w:rsid w:val="00286CD4"/>
    <w:rsid w:val="00287757"/>
    <w:rsid w:val="00287881"/>
    <w:rsid w:val="00287E0B"/>
    <w:rsid w:val="002901CD"/>
    <w:rsid w:val="002902D6"/>
    <w:rsid w:val="002908BA"/>
    <w:rsid w:val="00290A59"/>
    <w:rsid w:val="00290C29"/>
    <w:rsid w:val="00290CBC"/>
    <w:rsid w:val="00291105"/>
    <w:rsid w:val="002915B9"/>
    <w:rsid w:val="00291AB8"/>
    <w:rsid w:val="00291CB7"/>
    <w:rsid w:val="00292442"/>
    <w:rsid w:val="00292951"/>
    <w:rsid w:val="002932B2"/>
    <w:rsid w:val="00294B76"/>
    <w:rsid w:val="00294BD5"/>
    <w:rsid w:val="0029507F"/>
    <w:rsid w:val="002953E2"/>
    <w:rsid w:val="002956B8"/>
    <w:rsid w:val="0029579B"/>
    <w:rsid w:val="00295CE4"/>
    <w:rsid w:val="00295F38"/>
    <w:rsid w:val="00295FA2"/>
    <w:rsid w:val="00296ABF"/>
    <w:rsid w:val="00296C8A"/>
    <w:rsid w:val="002975D7"/>
    <w:rsid w:val="002977C9"/>
    <w:rsid w:val="00297960"/>
    <w:rsid w:val="00297C2D"/>
    <w:rsid w:val="002A0097"/>
    <w:rsid w:val="002A012A"/>
    <w:rsid w:val="002A0A44"/>
    <w:rsid w:val="002A1002"/>
    <w:rsid w:val="002A11B8"/>
    <w:rsid w:val="002A120A"/>
    <w:rsid w:val="002A16B3"/>
    <w:rsid w:val="002A175E"/>
    <w:rsid w:val="002A1929"/>
    <w:rsid w:val="002A1ACC"/>
    <w:rsid w:val="002A26A8"/>
    <w:rsid w:val="002A26AB"/>
    <w:rsid w:val="002A344D"/>
    <w:rsid w:val="002A38CE"/>
    <w:rsid w:val="002A3D3F"/>
    <w:rsid w:val="002A46F0"/>
    <w:rsid w:val="002A4E2C"/>
    <w:rsid w:val="002A4F2A"/>
    <w:rsid w:val="002A5F7A"/>
    <w:rsid w:val="002A73A1"/>
    <w:rsid w:val="002A7A2D"/>
    <w:rsid w:val="002A7ACA"/>
    <w:rsid w:val="002A7D81"/>
    <w:rsid w:val="002B0874"/>
    <w:rsid w:val="002B0881"/>
    <w:rsid w:val="002B0D60"/>
    <w:rsid w:val="002B118F"/>
    <w:rsid w:val="002B1D36"/>
    <w:rsid w:val="002B23F8"/>
    <w:rsid w:val="002B270E"/>
    <w:rsid w:val="002B3F94"/>
    <w:rsid w:val="002B4A7C"/>
    <w:rsid w:val="002B5C9D"/>
    <w:rsid w:val="002B60CC"/>
    <w:rsid w:val="002B63C6"/>
    <w:rsid w:val="002B6B22"/>
    <w:rsid w:val="002B7185"/>
    <w:rsid w:val="002B742D"/>
    <w:rsid w:val="002B78A9"/>
    <w:rsid w:val="002B78E8"/>
    <w:rsid w:val="002B790E"/>
    <w:rsid w:val="002B79D7"/>
    <w:rsid w:val="002B7B5A"/>
    <w:rsid w:val="002B7D64"/>
    <w:rsid w:val="002C02B3"/>
    <w:rsid w:val="002C03AB"/>
    <w:rsid w:val="002C0569"/>
    <w:rsid w:val="002C1035"/>
    <w:rsid w:val="002C13AE"/>
    <w:rsid w:val="002C13E8"/>
    <w:rsid w:val="002C19FC"/>
    <w:rsid w:val="002C1A34"/>
    <w:rsid w:val="002C1FE4"/>
    <w:rsid w:val="002C273C"/>
    <w:rsid w:val="002C2A75"/>
    <w:rsid w:val="002C35FF"/>
    <w:rsid w:val="002C37A5"/>
    <w:rsid w:val="002C446F"/>
    <w:rsid w:val="002C55A7"/>
    <w:rsid w:val="002C5D9A"/>
    <w:rsid w:val="002C67BA"/>
    <w:rsid w:val="002C6858"/>
    <w:rsid w:val="002C687F"/>
    <w:rsid w:val="002C6BBF"/>
    <w:rsid w:val="002C7140"/>
    <w:rsid w:val="002C76FE"/>
    <w:rsid w:val="002D078E"/>
    <w:rsid w:val="002D09DA"/>
    <w:rsid w:val="002D10C1"/>
    <w:rsid w:val="002D11F9"/>
    <w:rsid w:val="002D1BB5"/>
    <w:rsid w:val="002D21C9"/>
    <w:rsid w:val="002D2577"/>
    <w:rsid w:val="002D2A80"/>
    <w:rsid w:val="002D2AB4"/>
    <w:rsid w:val="002D2D1D"/>
    <w:rsid w:val="002D48D3"/>
    <w:rsid w:val="002D4B23"/>
    <w:rsid w:val="002D4BA9"/>
    <w:rsid w:val="002D7AA5"/>
    <w:rsid w:val="002E03B0"/>
    <w:rsid w:val="002E0ED2"/>
    <w:rsid w:val="002E1116"/>
    <w:rsid w:val="002E1F33"/>
    <w:rsid w:val="002E22BE"/>
    <w:rsid w:val="002E2436"/>
    <w:rsid w:val="002E3000"/>
    <w:rsid w:val="002E34C5"/>
    <w:rsid w:val="002E3829"/>
    <w:rsid w:val="002E3B71"/>
    <w:rsid w:val="002E4E4D"/>
    <w:rsid w:val="002E5553"/>
    <w:rsid w:val="002E585E"/>
    <w:rsid w:val="002E5D2F"/>
    <w:rsid w:val="002E5D33"/>
    <w:rsid w:val="002E5E0C"/>
    <w:rsid w:val="002E6414"/>
    <w:rsid w:val="002E6528"/>
    <w:rsid w:val="002E681F"/>
    <w:rsid w:val="002E7557"/>
    <w:rsid w:val="002E7BB7"/>
    <w:rsid w:val="002F0183"/>
    <w:rsid w:val="002F07A6"/>
    <w:rsid w:val="002F0FDE"/>
    <w:rsid w:val="002F13C5"/>
    <w:rsid w:val="002F15F9"/>
    <w:rsid w:val="002F198D"/>
    <w:rsid w:val="002F1E3D"/>
    <w:rsid w:val="002F2402"/>
    <w:rsid w:val="002F2A86"/>
    <w:rsid w:val="002F2DC3"/>
    <w:rsid w:val="002F3731"/>
    <w:rsid w:val="002F41ED"/>
    <w:rsid w:val="002F4C0A"/>
    <w:rsid w:val="002F5105"/>
    <w:rsid w:val="002F5718"/>
    <w:rsid w:val="002F647B"/>
    <w:rsid w:val="002F6486"/>
    <w:rsid w:val="002F7E61"/>
    <w:rsid w:val="00300A07"/>
    <w:rsid w:val="00300DB5"/>
    <w:rsid w:val="0030113D"/>
    <w:rsid w:val="00301647"/>
    <w:rsid w:val="0030192B"/>
    <w:rsid w:val="0030259D"/>
    <w:rsid w:val="00302822"/>
    <w:rsid w:val="00302A0C"/>
    <w:rsid w:val="00302ACE"/>
    <w:rsid w:val="00302B66"/>
    <w:rsid w:val="00303508"/>
    <w:rsid w:val="0030427C"/>
    <w:rsid w:val="00304AC1"/>
    <w:rsid w:val="003055C4"/>
    <w:rsid w:val="00305B2B"/>
    <w:rsid w:val="003060A8"/>
    <w:rsid w:val="00306252"/>
    <w:rsid w:val="00306727"/>
    <w:rsid w:val="00307DFA"/>
    <w:rsid w:val="0031041C"/>
    <w:rsid w:val="0031053E"/>
    <w:rsid w:val="003119B0"/>
    <w:rsid w:val="0031211F"/>
    <w:rsid w:val="0031266F"/>
    <w:rsid w:val="00312A7C"/>
    <w:rsid w:val="00313287"/>
    <w:rsid w:val="003134AD"/>
    <w:rsid w:val="00313761"/>
    <w:rsid w:val="00313F3C"/>
    <w:rsid w:val="00314B3B"/>
    <w:rsid w:val="00315198"/>
    <w:rsid w:val="003153A1"/>
    <w:rsid w:val="00315B21"/>
    <w:rsid w:val="00315DC5"/>
    <w:rsid w:val="00316561"/>
    <w:rsid w:val="00316DFD"/>
    <w:rsid w:val="00316E1E"/>
    <w:rsid w:val="00316EE4"/>
    <w:rsid w:val="003172A7"/>
    <w:rsid w:val="003178C3"/>
    <w:rsid w:val="00317D2D"/>
    <w:rsid w:val="00317F17"/>
    <w:rsid w:val="00320BBE"/>
    <w:rsid w:val="00321095"/>
    <w:rsid w:val="003214C0"/>
    <w:rsid w:val="00321517"/>
    <w:rsid w:val="00321A79"/>
    <w:rsid w:val="0032348F"/>
    <w:rsid w:val="00324524"/>
    <w:rsid w:val="003246ED"/>
    <w:rsid w:val="0032487E"/>
    <w:rsid w:val="00325018"/>
    <w:rsid w:val="00325069"/>
    <w:rsid w:val="00325A9E"/>
    <w:rsid w:val="00325BB2"/>
    <w:rsid w:val="00325E0A"/>
    <w:rsid w:val="0032622C"/>
    <w:rsid w:val="00326A25"/>
    <w:rsid w:val="00326E64"/>
    <w:rsid w:val="003278BA"/>
    <w:rsid w:val="00327AC2"/>
    <w:rsid w:val="0033035D"/>
    <w:rsid w:val="003306A2"/>
    <w:rsid w:val="00330D46"/>
    <w:rsid w:val="00331625"/>
    <w:rsid w:val="00331931"/>
    <w:rsid w:val="00331C3A"/>
    <w:rsid w:val="00332556"/>
    <w:rsid w:val="00332F2C"/>
    <w:rsid w:val="00333033"/>
    <w:rsid w:val="0033314C"/>
    <w:rsid w:val="00333179"/>
    <w:rsid w:val="003337C6"/>
    <w:rsid w:val="00333D25"/>
    <w:rsid w:val="003340B8"/>
    <w:rsid w:val="0033440F"/>
    <w:rsid w:val="003347F7"/>
    <w:rsid w:val="00334875"/>
    <w:rsid w:val="0033628F"/>
    <w:rsid w:val="0033686F"/>
    <w:rsid w:val="0033688B"/>
    <w:rsid w:val="00337111"/>
    <w:rsid w:val="00337408"/>
    <w:rsid w:val="0033754E"/>
    <w:rsid w:val="00337868"/>
    <w:rsid w:val="0033797E"/>
    <w:rsid w:val="003408F0"/>
    <w:rsid w:val="00340F88"/>
    <w:rsid w:val="0034114D"/>
    <w:rsid w:val="003411FE"/>
    <w:rsid w:val="00341D4C"/>
    <w:rsid w:val="00341E69"/>
    <w:rsid w:val="00341F59"/>
    <w:rsid w:val="0034207F"/>
    <w:rsid w:val="00342297"/>
    <w:rsid w:val="00342316"/>
    <w:rsid w:val="0034248C"/>
    <w:rsid w:val="003425C3"/>
    <w:rsid w:val="003425DD"/>
    <w:rsid w:val="00343100"/>
    <w:rsid w:val="0034312E"/>
    <w:rsid w:val="00343AA5"/>
    <w:rsid w:val="00343DDD"/>
    <w:rsid w:val="00343F93"/>
    <w:rsid w:val="00344669"/>
    <w:rsid w:val="0034494D"/>
    <w:rsid w:val="00344AB7"/>
    <w:rsid w:val="00344D6E"/>
    <w:rsid w:val="003456FF"/>
    <w:rsid w:val="003457F1"/>
    <w:rsid w:val="00345FCD"/>
    <w:rsid w:val="003466F7"/>
    <w:rsid w:val="00346A77"/>
    <w:rsid w:val="00346ADF"/>
    <w:rsid w:val="00347812"/>
    <w:rsid w:val="00347C3F"/>
    <w:rsid w:val="0035068B"/>
    <w:rsid w:val="00351996"/>
    <w:rsid w:val="00351B0C"/>
    <w:rsid w:val="00351C28"/>
    <w:rsid w:val="0035206E"/>
    <w:rsid w:val="003521D1"/>
    <w:rsid w:val="00352E5F"/>
    <w:rsid w:val="00353F59"/>
    <w:rsid w:val="003541B7"/>
    <w:rsid w:val="00354A7F"/>
    <w:rsid w:val="00355335"/>
    <w:rsid w:val="00355826"/>
    <w:rsid w:val="00355864"/>
    <w:rsid w:val="003558F6"/>
    <w:rsid w:val="00355FA7"/>
    <w:rsid w:val="00356026"/>
    <w:rsid w:val="003563B4"/>
    <w:rsid w:val="00356A79"/>
    <w:rsid w:val="003609C1"/>
    <w:rsid w:val="00360DE0"/>
    <w:rsid w:val="0036126C"/>
    <w:rsid w:val="00361ECA"/>
    <w:rsid w:val="0036200D"/>
    <w:rsid w:val="0036258B"/>
    <w:rsid w:val="00362602"/>
    <w:rsid w:val="00362729"/>
    <w:rsid w:val="00362A66"/>
    <w:rsid w:val="00362A68"/>
    <w:rsid w:val="003636D0"/>
    <w:rsid w:val="003636D4"/>
    <w:rsid w:val="00363F02"/>
    <w:rsid w:val="00364559"/>
    <w:rsid w:val="00365FE5"/>
    <w:rsid w:val="0036600D"/>
    <w:rsid w:val="00366B4B"/>
    <w:rsid w:val="00366E1B"/>
    <w:rsid w:val="0036739A"/>
    <w:rsid w:val="0036747C"/>
    <w:rsid w:val="0036747E"/>
    <w:rsid w:val="00370000"/>
    <w:rsid w:val="003704C1"/>
    <w:rsid w:val="00370C5B"/>
    <w:rsid w:val="003718C3"/>
    <w:rsid w:val="00371A0A"/>
    <w:rsid w:val="00371E29"/>
    <w:rsid w:val="003727CD"/>
    <w:rsid w:val="003731E8"/>
    <w:rsid w:val="00373597"/>
    <w:rsid w:val="003753F7"/>
    <w:rsid w:val="003756A1"/>
    <w:rsid w:val="00375A62"/>
    <w:rsid w:val="00375A74"/>
    <w:rsid w:val="00375DE3"/>
    <w:rsid w:val="003763C4"/>
    <w:rsid w:val="00376EF3"/>
    <w:rsid w:val="00376FAE"/>
    <w:rsid w:val="00376FEE"/>
    <w:rsid w:val="0037727C"/>
    <w:rsid w:val="00377652"/>
    <w:rsid w:val="00377A63"/>
    <w:rsid w:val="003803CA"/>
    <w:rsid w:val="00380438"/>
    <w:rsid w:val="0038051D"/>
    <w:rsid w:val="00380BE2"/>
    <w:rsid w:val="003817EC"/>
    <w:rsid w:val="003820EB"/>
    <w:rsid w:val="003824AA"/>
    <w:rsid w:val="00382AA9"/>
    <w:rsid w:val="003837A0"/>
    <w:rsid w:val="00383FF6"/>
    <w:rsid w:val="0038400F"/>
    <w:rsid w:val="00384122"/>
    <w:rsid w:val="00384ADF"/>
    <w:rsid w:val="00384E94"/>
    <w:rsid w:val="00384FF4"/>
    <w:rsid w:val="0038559E"/>
    <w:rsid w:val="00385E20"/>
    <w:rsid w:val="00386B09"/>
    <w:rsid w:val="00386D61"/>
    <w:rsid w:val="00387193"/>
    <w:rsid w:val="003911E0"/>
    <w:rsid w:val="003912A1"/>
    <w:rsid w:val="00392593"/>
    <w:rsid w:val="00392B47"/>
    <w:rsid w:val="00392F4B"/>
    <w:rsid w:val="00393B37"/>
    <w:rsid w:val="00393FAA"/>
    <w:rsid w:val="0039415F"/>
    <w:rsid w:val="00394307"/>
    <w:rsid w:val="0039477E"/>
    <w:rsid w:val="00394873"/>
    <w:rsid w:val="003948BD"/>
    <w:rsid w:val="00395144"/>
    <w:rsid w:val="003954A4"/>
    <w:rsid w:val="00396C39"/>
    <w:rsid w:val="00396D03"/>
    <w:rsid w:val="003970D2"/>
    <w:rsid w:val="003972D7"/>
    <w:rsid w:val="003972DF"/>
    <w:rsid w:val="003975FB"/>
    <w:rsid w:val="003978F8"/>
    <w:rsid w:val="003A0132"/>
    <w:rsid w:val="003A040B"/>
    <w:rsid w:val="003A1206"/>
    <w:rsid w:val="003A2BFF"/>
    <w:rsid w:val="003A2FE3"/>
    <w:rsid w:val="003A3301"/>
    <w:rsid w:val="003A373B"/>
    <w:rsid w:val="003A3ACA"/>
    <w:rsid w:val="003A3D15"/>
    <w:rsid w:val="003A3D8A"/>
    <w:rsid w:val="003A3E19"/>
    <w:rsid w:val="003A3E80"/>
    <w:rsid w:val="003A3F2F"/>
    <w:rsid w:val="003A414F"/>
    <w:rsid w:val="003A4666"/>
    <w:rsid w:val="003A4C25"/>
    <w:rsid w:val="003A4E80"/>
    <w:rsid w:val="003A52C2"/>
    <w:rsid w:val="003A538F"/>
    <w:rsid w:val="003A5792"/>
    <w:rsid w:val="003A5DC8"/>
    <w:rsid w:val="003A5E0B"/>
    <w:rsid w:val="003A607D"/>
    <w:rsid w:val="003A7302"/>
    <w:rsid w:val="003A73B6"/>
    <w:rsid w:val="003A75E6"/>
    <w:rsid w:val="003A7AFC"/>
    <w:rsid w:val="003A7D99"/>
    <w:rsid w:val="003A7E54"/>
    <w:rsid w:val="003A7E6D"/>
    <w:rsid w:val="003B0139"/>
    <w:rsid w:val="003B0AC8"/>
    <w:rsid w:val="003B0FCB"/>
    <w:rsid w:val="003B1499"/>
    <w:rsid w:val="003B1604"/>
    <w:rsid w:val="003B1A16"/>
    <w:rsid w:val="003B1D62"/>
    <w:rsid w:val="003B1F7B"/>
    <w:rsid w:val="003B21FD"/>
    <w:rsid w:val="003B2810"/>
    <w:rsid w:val="003B2C2B"/>
    <w:rsid w:val="003B2E0D"/>
    <w:rsid w:val="003B2F4B"/>
    <w:rsid w:val="003B3118"/>
    <w:rsid w:val="003B3A12"/>
    <w:rsid w:val="003B3D40"/>
    <w:rsid w:val="003B443D"/>
    <w:rsid w:val="003B4750"/>
    <w:rsid w:val="003B47C3"/>
    <w:rsid w:val="003B53BD"/>
    <w:rsid w:val="003B5600"/>
    <w:rsid w:val="003B57ED"/>
    <w:rsid w:val="003B5908"/>
    <w:rsid w:val="003B68B1"/>
    <w:rsid w:val="003B6C97"/>
    <w:rsid w:val="003B71A1"/>
    <w:rsid w:val="003B7362"/>
    <w:rsid w:val="003B74BE"/>
    <w:rsid w:val="003B75ED"/>
    <w:rsid w:val="003B7771"/>
    <w:rsid w:val="003B781C"/>
    <w:rsid w:val="003C0011"/>
    <w:rsid w:val="003C0A6C"/>
    <w:rsid w:val="003C1F69"/>
    <w:rsid w:val="003C25F9"/>
    <w:rsid w:val="003C2BDA"/>
    <w:rsid w:val="003C2C0D"/>
    <w:rsid w:val="003C2C66"/>
    <w:rsid w:val="003C300B"/>
    <w:rsid w:val="003C30EC"/>
    <w:rsid w:val="003C390B"/>
    <w:rsid w:val="003C3B57"/>
    <w:rsid w:val="003C5140"/>
    <w:rsid w:val="003C6914"/>
    <w:rsid w:val="003C6E4D"/>
    <w:rsid w:val="003C6ECF"/>
    <w:rsid w:val="003C75D1"/>
    <w:rsid w:val="003C7903"/>
    <w:rsid w:val="003C7D07"/>
    <w:rsid w:val="003D1B95"/>
    <w:rsid w:val="003D2616"/>
    <w:rsid w:val="003D2A34"/>
    <w:rsid w:val="003D2FC3"/>
    <w:rsid w:val="003D3028"/>
    <w:rsid w:val="003D3FBD"/>
    <w:rsid w:val="003D4029"/>
    <w:rsid w:val="003D432D"/>
    <w:rsid w:val="003D44EC"/>
    <w:rsid w:val="003D4E8A"/>
    <w:rsid w:val="003D4F8B"/>
    <w:rsid w:val="003D5307"/>
    <w:rsid w:val="003D6672"/>
    <w:rsid w:val="003D66C9"/>
    <w:rsid w:val="003D70B4"/>
    <w:rsid w:val="003D70C8"/>
    <w:rsid w:val="003D79CD"/>
    <w:rsid w:val="003E00FF"/>
    <w:rsid w:val="003E07D5"/>
    <w:rsid w:val="003E0F81"/>
    <w:rsid w:val="003E11F5"/>
    <w:rsid w:val="003E1457"/>
    <w:rsid w:val="003E1BAD"/>
    <w:rsid w:val="003E240E"/>
    <w:rsid w:val="003E26E7"/>
    <w:rsid w:val="003E2FEB"/>
    <w:rsid w:val="003E329B"/>
    <w:rsid w:val="003E3AD8"/>
    <w:rsid w:val="003E4645"/>
    <w:rsid w:val="003E47FB"/>
    <w:rsid w:val="003E4809"/>
    <w:rsid w:val="003E482A"/>
    <w:rsid w:val="003E48F1"/>
    <w:rsid w:val="003E5011"/>
    <w:rsid w:val="003E55A4"/>
    <w:rsid w:val="003E63BD"/>
    <w:rsid w:val="003E6915"/>
    <w:rsid w:val="003E7083"/>
    <w:rsid w:val="003E7163"/>
    <w:rsid w:val="003E7911"/>
    <w:rsid w:val="003E7DAE"/>
    <w:rsid w:val="003F009A"/>
    <w:rsid w:val="003F065A"/>
    <w:rsid w:val="003F0C2C"/>
    <w:rsid w:val="003F0C6C"/>
    <w:rsid w:val="003F1A32"/>
    <w:rsid w:val="003F1A90"/>
    <w:rsid w:val="003F1C36"/>
    <w:rsid w:val="003F1C5B"/>
    <w:rsid w:val="003F1DFD"/>
    <w:rsid w:val="003F1ED4"/>
    <w:rsid w:val="003F3164"/>
    <w:rsid w:val="003F3345"/>
    <w:rsid w:val="003F3506"/>
    <w:rsid w:val="003F38A2"/>
    <w:rsid w:val="003F3A15"/>
    <w:rsid w:val="003F3E86"/>
    <w:rsid w:val="003F3FCF"/>
    <w:rsid w:val="003F4354"/>
    <w:rsid w:val="003F43E9"/>
    <w:rsid w:val="003F449D"/>
    <w:rsid w:val="003F493C"/>
    <w:rsid w:val="003F5080"/>
    <w:rsid w:val="003F5238"/>
    <w:rsid w:val="003F596E"/>
    <w:rsid w:val="003F5A35"/>
    <w:rsid w:val="003F5B7D"/>
    <w:rsid w:val="003F5E44"/>
    <w:rsid w:val="003F6637"/>
    <w:rsid w:val="003F6BDD"/>
    <w:rsid w:val="003F71AF"/>
    <w:rsid w:val="003F774D"/>
    <w:rsid w:val="003F782D"/>
    <w:rsid w:val="003F7C1A"/>
    <w:rsid w:val="003F7EFB"/>
    <w:rsid w:val="00400258"/>
    <w:rsid w:val="00400F59"/>
    <w:rsid w:val="004012A4"/>
    <w:rsid w:val="00401BF0"/>
    <w:rsid w:val="0040216D"/>
    <w:rsid w:val="004024A9"/>
    <w:rsid w:val="00402867"/>
    <w:rsid w:val="004028A1"/>
    <w:rsid w:val="004028D1"/>
    <w:rsid w:val="0040292D"/>
    <w:rsid w:val="00402A47"/>
    <w:rsid w:val="00402CE5"/>
    <w:rsid w:val="004030D9"/>
    <w:rsid w:val="0040337A"/>
    <w:rsid w:val="00403413"/>
    <w:rsid w:val="004034E3"/>
    <w:rsid w:val="00403B16"/>
    <w:rsid w:val="00403B47"/>
    <w:rsid w:val="00403C26"/>
    <w:rsid w:val="00403D9C"/>
    <w:rsid w:val="00404524"/>
    <w:rsid w:val="00404DEE"/>
    <w:rsid w:val="00405A58"/>
    <w:rsid w:val="0040698A"/>
    <w:rsid w:val="0040743E"/>
    <w:rsid w:val="004075D4"/>
    <w:rsid w:val="0040777B"/>
    <w:rsid w:val="00407885"/>
    <w:rsid w:val="00407CC6"/>
    <w:rsid w:val="00407F8B"/>
    <w:rsid w:val="004100F3"/>
    <w:rsid w:val="00410659"/>
    <w:rsid w:val="00411642"/>
    <w:rsid w:val="004129D2"/>
    <w:rsid w:val="00412A85"/>
    <w:rsid w:val="00413AAE"/>
    <w:rsid w:val="00414160"/>
    <w:rsid w:val="0041436F"/>
    <w:rsid w:val="00414C7D"/>
    <w:rsid w:val="00414F4F"/>
    <w:rsid w:val="00415B2D"/>
    <w:rsid w:val="00415D09"/>
    <w:rsid w:val="00416026"/>
    <w:rsid w:val="00416180"/>
    <w:rsid w:val="00416661"/>
    <w:rsid w:val="00416B32"/>
    <w:rsid w:val="00416FC0"/>
    <w:rsid w:val="00417039"/>
    <w:rsid w:val="00417333"/>
    <w:rsid w:val="004178B0"/>
    <w:rsid w:val="00417BBD"/>
    <w:rsid w:val="00417EBE"/>
    <w:rsid w:val="00420588"/>
    <w:rsid w:val="00420898"/>
    <w:rsid w:val="004222DD"/>
    <w:rsid w:val="0042259A"/>
    <w:rsid w:val="00422C80"/>
    <w:rsid w:val="0042392C"/>
    <w:rsid w:val="00423BC4"/>
    <w:rsid w:val="00423F1F"/>
    <w:rsid w:val="0042404A"/>
    <w:rsid w:val="00424085"/>
    <w:rsid w:val="004247A7"/>
    <w:rsid w:val="004250D8"/>
    <w:rsid w:val="00425114"/>
    <w:rsid w:val="004253CE"/>
    <w:rsid w:val="004255B5"/>
    <w:rsid w:val="0042583F"/>
    <w:rsid w:val="004258F2"/>
    <w:rsid w:val="0042596B"/>
    <w:rsid w:val="00425A28"/>
    <w:rsid w:val="00425FE5"/>
    <w:rsid w:val="00426153"/>
    <w:rsid w:val="00426526"/>
    <w:rsid w:val="00426B93"/>
    <w:rsid w:val="00426C8A"/>
    <w:rsid w:val="00427279"/>
    <w:rsid w:val="00427555"/>
    <w:rsid w:val="0043000F"/>
    <w:rsid w:val="004302B1"/>
    <w:rsid w:val="00430302"/>
    <w:rsid w:val="0043079E"/>
    <w:rsid w:val="00430D33"/>
    <w:rsid w:val="0043117D"/>
    <w:rsid w:val="00431825"/>
    <w:rsid w:val="00431AF5"/>
    <w:rsid w:val="00431B86"/>
    <w:rsid w:val="00431EF3"/>
    <w:rsid w:val="0043270B"/>
    <w:rsid w:val="004328CE"/>
    <w:rsid w:val="0043293F"/>
    <w:rsid w:val="00432E2E"/>
    <w:rsid w:val="004335DB"/>
    <w:rsid w:val="00433BC1"/>
    <w:rsid w:val="00433BD5"/>
    <w:rsid w:val="00433F43"/>
    <w:rsid w:val="004342DF"/>
    <w:rsid w:val="004343B1"/>
    <w:rsid w:val="0043446C"/>
    <w:rsid w:val="00434A81"/>
    <w:rsid w:val="00435F95"/>
    <w:rsid w:val="00436175"/>
    <w:rsid w:val="00436860"/>
    <w:rsid w:val="004371A0"/>
    <w:rsid w:val="00437284"/>
    <w:rsid w:val="00437842"/>
    <w:rsid w:val="00437C9B"/>
    <w:rsid w:val="00437F3B"/>
    <w:rsid w:val="00440146"/>
    <w:rsid w:val="0044145F"/>
    <w:rsid w:val="0044148B"/>
    <w:rsid w:val="004415AD"/>
    <w:rsid w:val="00441D94"/>
    <w:rsid w:val="0044218D"/>
    <w:rsid w:val="00442B8D"/>
    <w:rsid w:val="004435BE"/>
    <w:rsid w:val="004439FC"/>
    <w:rsid w:val="00443F49"/>
    <w:rsid w:val="00444235"/>
    <w:rsid w:val="00444286"/>
    <w:rsid w:val="00444B64"/>
    <w:rsid w:val="00444D80"/>
    <w:rsid w:val="00445724"/>
    <w:rsid w:val="00445A23"/>
    <w:rsid w:val="00445B0B"/>
    <w:rsid w:val="0044611A"/>
    <w:rsid w:val="00446B9A"/>
    <w:rsid w:val="00447172"/>
    <w:rsid w:val="004502DD"/>
    <w:rsid w:val="00450439"/>
    <w:rsid w:val="0045185B"/>
    <w:rsid w:val="00451B81"/>
    <w:rsid w:val="00451D86"/>
    <w:rsid w:val="004521BF"/>
    <w:rsid w:val="00452294"/>
    <w:rsid w:val="00452568"/>
    <w:rsid w:val="00452C67"/>
    <w:rsid w:val="00453216"/>
    <w:rsid w:val="00453399"/>
    <w:rsid w:val="004536F4"/>
    <w:rsid w:val="0045376B"/>
    <w:rsid w:val="00453B3B"/>
    <w:rsid w:val="00453DED"/>
    <w:rsid w:val="00454104"/>
    <w:rsid w:val="004546C8"/>
    <w:rsid w:val="004547DD"/>
    <w:rsid w:val="00454D17"/>
    <w:rsid w:val="00454E6C"/>
    <w:rsid w:val="004551B7"/>
    <w:rsid w:val="00455994"/>
    <w:rsid w:val="00455FB7"/>
    <w:rsid w:val="004565E0"/>
    <w:rsid w:val="00456F3C"/>
    <w:rsid w:val="0045706A"/>
    <w:rsid w:val="00457877"/>
    <w:rsid w:val="00457963"/>
    <w:rsid w:val="0045796F"/>
    <w:rsid w:val="00460B70"/>
    <w:rsid w:val="00460EB8"/>
    <w:rsid w:val="00461991"/>
    <w:rsid w:val="004620C7"/>
    <w:rsid w:val="00462258"/>
    <w:rsid w:val="00462C55"/>
    <w:rsid w:val="00463436"/>
    <w:rsid w:val="00463E1E"/>
    <w:rsid w:val="0046413C"/>
    <w:rsid w:val="004646F8"/>
    <w:rsid w:val="00464A44"/>
    <w:rsid w:val="0046505F"/>
    <w:rsid w:val="00465844"/>
    <w:rsid w:val="004658A0"/>
    <w:rsid w:val="00465F13"/>
    <w:rsid w:val="00466199"/>
    <w:rsid w:val="004664F8"/>
    <w:rsid w:val="00467141"/>
    <w:rsid w:val="004673DE"/>
    <w:rsid w:val="00467742"/>
    <w:rsid w:val="00467BF7"/>
    <w:rsid w:val="00467E43"/>
    <w:rsid w:val="004704E2"/>
    <w:rsid w:val="00470869"/>
    <w:rsid w:val="00470E71"/>
    <w:rsid w:val="00471446"/>
    <w:rsid w:val="0047175B"/>
    <w:rsid w:val="0047196B"/>
    <w:rsid w:val="00471ED2"/>
    <w:rsid w:val="00472451"/>
    <w:rsid w:val="004727C4"/>
    <w:rsid w:val="00472EC8"/>
    <w:rsid w:val="00472F53"/>
    <w:rsid w:val="00473074"/>
    <w:rsid w:val="00473E66"/>
    <w:rsid w:val="00474212"/>
    <w:rsid w:val="004744DC"/>
    <w:rsid w:val="00475145"/>
    <w:rsid w:val="00475624"/>
    <w:rsid w:val="00475C60"/>
    <w:rsid w:val="00475CBB"/>
    <w:rsid w:val="00475F2F"/>
    <w:rsid w:val="00476141"/>
    <w:rsid w:val="00476168"/>
    <w:rsid w:val="00477040"/>
    <w:rsid w:val="004777FB"/>
    <w:rsid w:val="0048059B"/>
    <w:rsid w:val="00480DC6"/>
    <w:rsid w:val="00481674"/>
    <w:rsid w:val="00481819"/>
    <w:rsid w:val="00481A08"/>
    <w:rsid w:val="00481DB8"/>
    <w:rsid w:val="00481EB7"/>
    <w:rsid w:val="00482114"/>
    <w:rsid w:val="004822B8"/>
    <w:rsid w:val="0048263F"/>
    <w:rsid w:val="00482677"/>
    <w:rsid w:val="00482D14"/>
    <w:rsid w:val="00482E90"/>
    <w:rsid w:val="004831EE"/>
    <w:rsid w:val="0048370C"/>
    <w:rsid w:val="00483D8C"/>
    <w:rsid w:val="00484C50"/>
    <w:rsid w:val="00484D6B"/>
    <w:rsid w:val="00484F7A"/>
    <w:rsid w:val="00485885"/>
    <w:rsid w:val="00486301"/>
    <w:rsid w:val="0048667B"/>
    <w:rsid w:val="00486FC3"/>
    <w:rsid w:val="004874B9"/>
    <w:rsid w:val="00487817"/>
    <w:rsid w:val="00487A04"/>
    <w:rsid w:val="00487AC3"/>
    <w:rsid w:val="00487B4F"/>
    <w:rsid w:val="00487C2C"/>
    <w:rsid w:val="004902CA"/>
    <w:rsid w:val="00490510"/>
    <w:rsid w:val="00490907"/>
    <w:rsid w:val="00490C15"/>
    <w:rsid w:val="00490C8A"/>
    <w:rsid w:val="004918EE"/>
    <w:rsid w:val="00492DE1"/>
    <w:rsid w:val="00493124"/>
    <w:rsid w:val="0049351D"/>
    <w:rsid w:val="00493F24"/>
    <w:rsid w:val="00494252"/>
    <w:rsid w:val="004944B4"/>
    <w:rsid w:val="00494963"/>
    <w:rsid w:val="00494D37"/>
    <w:rsid w:val="00494F94"/>
    <w:rsid w:val="0049582F"/>
    <w:rsid w:val="00495C62"/>
    <w:rsid w:val="004968A0"/>
    <w:rsid w:val="00496AAB"/>
    <w:rsid w:val="004970E9"/>
    <w:rsid w:val="0049762C"/>
    <w:rsid w:val="00497A43"/>
    <w:rsid w:val="00497A91"/>
    <w:rsid w:val="00497D37"/>
    <w:rsid w:val="00497F76"/>
    <w:rsid w:val="004A0129"/>
    <w:rsid w:val="004A0190"/>
    <w:rsid w:val="004A0DF7"/>
    <w:rsid w:val="004A0EB5"/>
    <w:rsid w:val="004A0EBB"/>
    <w:rsid w:val="004A1389"/>
    <w:rsid w:val="004A167F"/>
    <w:rsid w:val="004A1C1F"/>
    <w:rsid w:val="004A226C"/>
    <w:rsid w:val="004A246B"/>
    <w:rsid w:val="004A2AD0"/>
    <w:rsid w:val="004A33A3"/>
    <w:rsid w:val="004A3B23"/>
    <w:rsid w:val="004A3EEE"/>
    <w:rsid w:val="004A4D43"/>
    <w:rsid w:val="004A54A4"/>
    <w:rsid w:val="004A5BD7"/>
    <w:rsid w:val="004A6286"/>
    <w:rsid w:val="004A641C"/>
    <w:rsid w:val="004A6F63"/>
    <w:rsid w:val="004A731E"/>
    <w:rsid w:val="004A7370"/>
    <w:rsid w:val="004B15D5"/>
    <w:rsid w:val="004B1B8B"/>
    <w:rsid w:val="004B1E98"/>
    <w:rsid w:val="004B244E"/>
    <w:rsid w:val="004B26FF"/>
    <w:rsid w:val="004B2721"/>
    <w:rsid w:val="004B2751"/>
    <w:rsid w:val="004B314F"/>
    <w:rsid w:val="004B40AB"/>
    <w:rsid w:val="004B444C"/>
    <w:rsid w:val="004B4954"/>
    <w:rsid w:val="004B4CE1"/>
    <w:rsid w:val="004B5154"/>
    <w:rsid w:val="004B575F"/>
    <w:rsid w:val="004B5875"/>
    <w:rsid w:val="004B5D68"/>
    <w:rsid w:val="004B66AE"/>
    <w:rsid w:val="004B72CE"/>
    <w:rsid w:val="004B7D09"/>
    <w:rsid w:val="004B7ED6"/>
    <w:rsid w:val="004C04E3"/>
    <w:rsid w:val="004C0BDF"/>
    <w:rsid w:val="004C1056"/>
    <w:rsid w:val="004C118A"/>
    <w:rsid w:val="004C1624"/>
    <w:rsid w:val="004C1729"/>
    <w:rsid w:val="004C1BAC"/>
    <w:rsid w:val="004C1F02"/>
    <w:rsid w:val="004C2263"/>
    <w:rsid w:val="004C2381"/>
    <w:rsid w:val="004C2DF8"/>
    <w:rsid w:val="004C2EC4"/>
    <w:rsid w:val="004C300E"/>
    <w:rsid w:val="004C4381"/>
    <w:rsid w:val="004C47E5"/>
    <w:rsid w:val="004C5059"/>
    <w:rsid w:val="004C5672"/>
    <w:rsid w:val="004C57AD"/>
    <w:rsid w:val="004C60F5"/>
    <w:rsid w:val="004C630B"/>
    <w:rsid w:val="004C6494"/>
    <w:rsid w:val="004C66CE"/>
    <w:rsid w:val="004C66EB"/>
    <w:rsid w:val="004C6BD5"/>
    <w:rsid w:val="004C6E0D"/>
    <w:rsid w:val="004C72DA"/>
    <w:rsid w:val="004C734B"/>
    <w:rsid w:val="004C77C7"/>
    <w:rsid w:val="004C79C1"/>
    <w:rsid w:val="004D085E"/>
    <w:rsid w:val="004D09C4"/>
    <w:rsid w:val="004D0D2A"/>
    <w:rsid w:val="004D0E09"/>
    <w:rsid w:val="004D17F8"/>
    <w:rsid w:val="004D266E"/>
    <w:rsid w:val="004D3AA5"/>
    <w:rsid w:val="004D3ACE"/>
    <w:rsid w:val="004D4288"/>
    <w:rsid w:val="004D4AE2"/>
    <w:rsid w:val="004D4E1A"/>
    <w:rsid w:val="004D4E40"/>
    <w:rsid w:val="004D4FBD"/>
    <w:rsid w:val="004D5882"/>
    <w:rsid w:val="004D6821"/>
    <w:rsid w:val="004D69E9"/>
    <w:rsid w:val="004D752C"/>
    <w:rsid w:val="004D7626"/>
    <w:rsid w:val="004D76BB"/>
    <w:rsid w:val="004D7A0D"/>
    <w:rsid w:val="004E0399"/>
    <w:rsid w:val="004E062C"/>
    <w:rsid w:val="004E08E2"/>
    <w:rsid w:val="004E0E3E"/>
    <w:rsid w:val="004E1CE0"/>
    <w:rsid w:val="004E22A8"/>
    <w:rsid w:val="004E236D"/>
    <w:rsid w:val="004E283A"/>
    <w:rsid w:val="004E2E7E"/>
    <w:rsid w:val="004E3F1F"/>
    <w:rsid w:val="004E5182"/>
    <w:rsid w:val="004E51DB"/>
    <w:rsid w:val="004E60F4"/>
    <w:rsid w:val="004E6C3A"/>
    <w:rsid w:val="004E6D2C"/>
    <w:rsid w:val="004E6DDB"/>
    <w:rsid w:val="004E6EDB"/>
    <w:rsid w:val="004E7000"/>
    <w:rsid w:val="004E78B5"/>
    <w:rsid w:val="004E7A32"/>
    <w:rsid w:val="004E7A6C"/>
    <w:rsid w:val="004E7FB0"/>
    <w:rsid w:val="004F03F3"/>
    <w:rsid w:val="004F0E0D"/>
    <w:rsid w:val="004F0FB3"/>
    <w:rsid w:val="004F12E7"/>
    <w:rsid w:val="004F1C43"/>
    <w:rsid w:val="004F22E4"/>
    <w:rsid w:val="004F28B3"/>
    <w:rsid w:val="004F2B70"/>
    <w:rsid w:val="004F44A9"/>
    <w:rsid w:val="004F4FDF"/>
    <w:rsid w:val="004F5359"/>
    <w:rsid w:val="004F5DB0"/>
    <w:rsid w:val="004F5FD5"/>
    <w:rsid w:val="004F6047"/>
    <w:rsid w:val="004F6959"/>
    <w:rsid w:val="004F698C"/>
    <w:rsid w:val="004F6B8D"/>
    <w:rsid w:val="004F7BAE"/>
    <w:rsid w:val="00500401"/>
    <w:rsid w:val="0050070A"/>
    <w:rsid w:val="00500C6B"/>
    <w:rsid w:val="00501177"/>
    <w:rsid w:val="0050117E"/>
    <w:rsid w:val="005014F2"/>
    <w:rsid w:val="00501901"/>
    <w:rsid w:val="0050214D"/>
    <w:rsid w:val="005021BD"/>
    <w:rsid w:val="00502F94"/>
    <w:rsid w:val="005038D0"/>
    <w:rsid w:val="00503CC8"/>
    <w:rsid w:val="00503F05"/>
    <w:rsid w:val="00504037"/>
    <w:rsid w:val="005040D3"/>
    <w:rsid w:val="005047D7"/>
    <w:rsid w:val="00505D82"/>
    <w:rsid w:val="00505E4F"/>
    <w:rsid w:val="00506B38"/>
    <w:rsid w:val="00507541"/>
    <w:rsid w:val="00507966"/>
    <w:rsid w:val="00507B7B"/>
    <w:rsid w:val="00507F8E"/>
    <w:rsid w:val="00510836"/>
    <w:rsid w:val="00510E09"/>
    <w:rsid w:val="00510EB4"/>
    <w:rsid w:val="0051166C"/>
    <w:rsid w:val="00511DD3"/>
    <w:rsid w:val="0051335C"/>
    <w:rsid w:val="00513D22"/>
    <w:rsid w:val="00514C53"/>
    <w:rsid w:val="00516437"/>
    <w:rsid w:val="00517156"/>
    <w:rsid w:val="00517176"/>
    <w:rsid w:val="005172CF"/>
    <w:rsid w:val="0051758F"/>
    <w:rsid w:val="00520DD8"/>
    <w:rsid w:val="00521461"/>
    <w:rsid w:val="005217FD"/>
    <w:rsid w:val="00521E80"/>
    <w:rsid w:val="00522745"/>
    <w:rsid w:val="00522CAE"/>
    <w:rsid w:val="00522D70"/>
    <w:rsid w:val="00522FB7"/>
    <w:rsid w:val="00523430"/>
    <w:rsid w:val="00523560"/>
    <w:rsid w:val="0052383B"/>
    <w:rsid w:val="005238DE"/>
    <w:rsid w:val="00524213"/>
    <w:rsid w:val="00524EFB"/>
    <w:rsid w:val="00525264"/>
    <w:rsid w:val="005254C7"/>
    <w:rsid w:val="00525739"/>
    <w:rsid w:val="005259F9"/>
    <w:rsid w:val="0052662E"/>
    <w:rsid w:val="00526635"/>
    <w:rsid w:val="005269A1"/>
    <w:rsid w:val="00526FB4"/>
    <w:rsid w:val="00527469"/>
    <w:rsid w:val="00527C7F"/>
    <w:rsid w:val="00531095"/>
    <w:rsid w:val="005310D1"/>
    <w:rsid w:val="0053113A"/>
    <w:rsid w:val="00531788"/>
    <w:rsid w:val="00531BE4"/>
    <w:rsid w:val="00531C6F"/>
    <w:rsid w:val="00532360"/>
    <w:rsid w:val="00532747"/>
    <w:rsid w:val="0053274D"/>
    <w:rsid w:val="005327B9"/>
    <w:rsid w:val="005339C4"/>
    <w:rsid w:val="00533F48"/>
    <w:rsid w:val="00533FF6"/>
    <w:rsid w:val="00534131"/>
    <w:rsid w:val="00534899"/>
    <w:rsid w:val="00534DA9"/>
    <w:rsid w:val="0053500E"/>
    <w:rsid w:val="0053503C"/>
    <w:rsid w:val="0053519F"/>
    <w:rsid w:val="00535382"/>
    <w:rsid w:val="005356D1"/>
    <w:rsid w:val="0053596A"/>
    <w:rsid w:val="00535CBF"/>
    <w:rsid w:val="0053703D"/>
    <w:rsid w:val="005370D3"/>
    <w:rsid w:val="00537114"/>
    <w:rsid w:val="00537C89"/>
    <w:rsid w:val="00537ED0"/>
    <w:rsid w:val="00541204"/>
    <w:rsid w:val="00541633"/>
    <w:rsid w:val="00541713"/>
    <w:rsid w:val="005418EF"/>
    <w:rsid w:val="00541BB2"/>
    <w:rsid w:val="00542301"/>
    <w:rsid w:val="00542303"/>
    <w:rsid w:val="005423F5"/>
    <w:rsid w:val="00542498"/>
    <w:rsid w:val="00542D41"/>
    <w:rsid w:val="00543080"/>
    <w:rsid w:val="00543087"/>
    <w:rsid w:val="00543155"/>
    <w:rsid w:val="005431F9"/>
    <w:rsid w:val="005438C9"/>
    <w:rsid w:val="00543A9F"/>
    <w:rsid w:val="00543DF9"/>
    <w:rsid w:val="00544D97"/>
    <w:rsid w:val="00544E32"/>
    <w:rsid w:val="00546234"/>
    <w:rsid w:val="00546313"/>
    <w:rsid w:val="005464A9"/>
    <w:rsid w:val="00546BB4"/>
    <w:rsid w:val="005471ED"/>
    <w:rsid w:val="00547D4F"/>
    <w:rsid w:val="00547D9B"/>
    <w:rsid w:val="0055029B"/>
    <w:rsid w:val="00550377"/>
    <w:rsid w:val="00550810"/>
    <w:rsid w:val="00551248"/>
    <w:rsid w:val="005516A4"/>
    <w:rsid w:val="005517F9"/>
    <w:rsid w:val="00551DF1"/>
    <w:rsid w:val="00552505"/>
    <w:rsid w:val="005542F9"/>
    <w:rsid w:val="00554A12"/>
    <w:rsid w:val="00554EA2"/>
    <w:rsid w:val="00555230"/>
    <w:rsid w:val="00555BDA"/>
    <w:rsid w:val="00556110"/>
    <w:rsid w:val="00556165"/>
    <w:rsid w:val="005567D1"/>
    <w:rsid w:val="00556938"/>
    <w:rsid w:val="00556BA9"/>
    <w:rsid w:val="00556EBA"/>
    <w:rsid w:val="00557176"/>
    <w:rsid w:val="00557CF6"/>
    <w:rsid w:val="005601B8"/>
    <w:rsid w:val="005602D3"/>
    <w:rsid w:val="0056073C"/>
    <w:rsid w:val="00560B95"/>
    <w:rsid w:val="00561AE9"/>
    <w:rsid w:val="00561B79"/>
    <w:rsid w:val="00562641"/>
    <w:rsid w:val="00562823"/>
    <w:rsid w:val="00562927"/>
    <w:rsid w:val="00562BEE"/>
    <w:rsid w:val="00562C57"/>
    <w:rsid w:val="00564630"/>
    <w:rsid w:val="00564637"/>
    <w:rsid w:val="0056463E"/>
    <w:rsid w:val="00564D74"/>
    <w:rsid w:val="00565168"/>
    <w:rsid w:val="005654D3"/>
    <w:rsid w:val="005656E0"/>
    <w:rsid w:val="00565B78"/>
    <w:rsid w:val="005664B7"/>
    <w:rsid w:val="00566D07"/>
    <w:rsid w:val="00566D20"/>
    <w:rsid w:val="00566E04"/>
    <w:rsid w:val="00567685"/>
    <w:rsid w:val="0057019D"/>
    <w:rsid w:val="0057036C"/>
    <w:rsid w:val="0057262E"/>
    <w:rsid w:val="00572853"/>
    <w:rsid w:val="00572D49"/>
    <w:rsid w:val="0057392D"/>
    <w:rsid w:val="00573E71"/>
    <w:rsid w:val="005743C2"/>
    <w:rsid w:val="00574B82"/>
    <w:rsid w:val="00574EF0"/>
    <w:rsid w:val="0057545A"/>
    <w:rsid w:val="0057571F"/>
    <w:rsid w:val="005758B4"/>
    <w:rsid w:val="00575DAA"/>
    <w:rsid w:val="00576373"/>
    <w:rsid w:val="0057639F"/>
    <w:rsid w:val="00576577"/>
    <w:rsid w:val="005775E8"/>
    <w:rsid w:val="0057774E"/>
    <w:rsid w:val="00577A46"/>
    <w:rsid w:val="00580092"/>
    <w:rsid w:val="005808C1"/>
    <w:rsid w:val="00580A0F"/>
    <w:rsid w:val="00580D1B"/>
    <w:rsid w:val="005819E4"/>
    <w:rsid w:val="005822D3"/>
    <w:rsid w:val="00582406"/>
    <w:rsid w:val="005824BF"/>
    <w:rsid w:val="00582ADA"/>
    <w:rsid w:val="00582B69"/>
    <w:rsid w:val="00582F97"/>
    <w:rsid w:val="005841FC"/>
    <w:rsid w:val="005843D3"/>
    <w:rsid w:val="005849AB"/>
    <w:rsid w:val="00584BB2"/>
    <w:rsid w:val="00584C06"/>
    <w:rsid w:val="0058538A"/>
    <w:rsid w:val="005860DD"/>
    <w:rsid w:val="005860EA"/>
    <w:rsid w:val="00586134"/>
    <w:rsid w:val="0058629F"/>
    <w:rsid w:val="005870E3"/>
    <w:rsid w:val="005872F9"/>
    <w:rsid w:val="00587406"/>
    <w:rsid w:val="00587DAA"/>
    <w:rsid w:val="00590AEE"/>
    <w:rsid w:val="00591195"/>
    <w:rsid w:val="005914CB"/>
    <w:rsid w:val="005916FB"/>
    <w:rsid w:val="00591BB6"/>
    <w:rsid w:val="00591BC1"/>
    <w:rsid w:val="00592C65"/>
    <w:rsid w:val="00593334"/>
    <w:rsid w:val="0059378B"/>
    <w:rsid w:val="00593EF8"/>
    <w:rsid w:val="00594B88"/>
    <w:rsid w:val="0059548C"/>
    <w:rsid w:val="005956F6"/>
    <w:rsid w:val="0059591D"/>
    <w:rsid w:val="00595A22"/>
    <w:rsid w:val="00595C78"/>
    <w:rsid w:val="00595D1D"/>
    <w:rsid w:val="00596A6E"/>
    <w:rsid w:val="00596B04"/>
    <w:rsid w:val="00596CF7"/>
    <w:rsid w:val="00596F6F"/>
    <w:rsid w:val="0059706F"/>
    <w:rsid w:val="00597959"/>
    <w:rsid w:val="00597C60"/>
    <w:rsid w:val="005A018A"/>
    <w:rsid w:val="005A09FD"/>
    <w:rsid w:val="005A0F77"/>
    <w:rsid w:val="005A135A"/>
    <w:rsid w:val="005A187B"/>
    <w:rsid w:val="005A2B11"/>
    <w:rsid w:val="005A2FCF"/>
    <w:rsid w:val="005A3440"/>
    <w:rsid w:val="005A38D8"/>
    <w:rsid w:val="005A46E2"/>
    <w:rsid w:val="005A4735"/>
    <w:rsid w:val="005A5C3A"/>
    <w:rsid w:val="005A62C9"/>
    <w:rsid w:val="005A65A1"/>
    <w:rsid w:val="005A67D7"/>
    <w:rsid w:val="005A6B62"/>
    <w:rsid w:val="005A6CE9"/>
    <w:rsid w:val="005A73B1"/>
    <w:rsid w:val="005A758E"/>
    <w:rsid w:val="005A7A95"/>
    <w:rsid w:val="005B0545"/>
    <w:rsid w:val="005B12FA"/>
    <w:rsid w:val="005B280F"/>
    <w:rsid w:val="005B3936"/>
    <w:rsid w:val="005B4923"/>
    <w:rsid w:val="005B4C31"/>
    <w:rsid w:val="005B587B"/>
    <w:rsid w:val="005B5DA0"/>
    <w:rsid w:val="005B6842"/>
    <w:rsid w:val="005B6B22"/>
    <w:rsid w:val="005B6DB4"/>
    <w:rsid w:val="005B7FE2"/>
    <w:rsid w:val="005C0341"/>
    <w:rsid w:val="005C04AB"/>
    <w:rsid w:val="005C07DF"/>
    <w:rsid w:val="005C0B2E"/>
    <w:rsid w:val="005C0D03"/>
    <w:rsid w:val="005C0D4B"/>
    <w:rsid w:val="005C0DAF"/>
    <w:rsid w:val="005C0ED0"/>
    <w:rsid w:val="005C0EE6"/>
    <w:rsid w:val="005C0FE4"/>
    <w:rsid w:val="005C1711"/>
    <w:rsid w:val="005C19D6"/>
    <w:rsid w:val="005C1E38"/>
    <w:rsid w:val="005C2245"/>
    <w:rsid w:val="005C2844"/>
    <w:rsid w:val="005C3285"/>
    <w:rsid w:val="005C370C"/>
    <w:rsid w:val="005C3AFE"/>
    <w:rsid w:val="005C3EF5"/>
    <w:rsid w:val="005C3EFB"/>
    <w:rsid w:val="005C414A"/>
    <w:rsid w:val="005C48BC"/>
    <w:rsid w:val="005C4A6F"/>
    <w:rsid w:val="005C4B1A"/>
    <w:rsid w:val="005C4B58"/>
    <w:rsid w:val="005C565E"/>
    <w:rsid w:val="005C5889"/>
    <w:rsid w:val="005C5950"/>
    <w:rsid w:val="005C5F79"/>
    <w:rsid w:val="005C62F6"/>
    <w:rsid w:val="005C7C99"/>
    <w:rsid w:val="005D010C"/>
    <w:rsid w:val="005D0130"/>
    <w:rsid w:val="005D0BE9"/>
    <w:rsid w:val="005D0C4E"/>
    <w:rsid w:val="005D1AC1"/>
    <w:rsid w:val="005D21B8"/>
    <w:rsid w:val="005D2752"/>
    <w:rsid w:val="005D2A6E"/>
    <w:rsid w:val="005D2F7E"/>
    <w:rsid w:val="005D304E"/>
    <w:rsid w:val="005D3344"/>
    <w:rsid w:val="005D3479"/>
    <w:rsid w:val="005D3BC3"/>
    <w:rsid w:val="005D3BD5"/>
    <w:rsid w:val="005D4710"/>
    <w:rsid w:val="005D5F39"/>
    <w:rsid w:val="005D65AD"/>
    <w:rsid w:val="005D6763"/>
    <w:rsid w:val="005D72DA"/>
    <w:rsid w:val="005D73FF"/>
    <w:rsid w:val="005D764F"/>
    <w:rsid w:val="005D7F05"/>
    <w:rsid w:val="005E00F4"/>
    <w:rsid w:val="005E0EAB"/>
    <w:rsid w:val="005E2165"/>
    <w:rsid w:val="005E21D7"/>
    <w:rsid w:val="005E22F3"/>
    <w:rsid w:val="005E380B"/>
    <w:rsid w:val="005E3C28"/>
    <w:rsid w:val="005E3F3A"/>
    <w:rsid w:val="005E4EEA"/>
    <w:rsid w:val="005E6040"/>
    <w:rsid w:val="005E69D4"/>
    <w:rsid w:val="005E7A2A"/>
    <w:rsid w:val="005E7E31"/>
    <w:rsid w:val="005F0A4C"/>
    <w:rsid w:val="005F0F03"/>
    <w:rsid w:val="005F15E0"/>
    <w:rsid w:val="005F1870"/>
    <w:rsid w:val="005F187E"/>
    <w:rsid w:val="005F2728"/>
    <w:rsid w:val="005F272A"/>
    <w:rsid w:val="005F277D"/>
    <w:rsid w:val="005F2CA7"/>
    <w:rsid w:val="005F2FD2"/>
    <w:rsid w:val="005F38F7"/>
    <w:rsid w:val="005F3ACF"/>
    <w:rsid w:val="005F3BFD"/>
    <w:rsid w:val="005F422E"/>
    <w:rsid w:val="005F4F76"/>
    <w:rsid w:val="005F514F"/>
    <w:rsid w:val="005F5198"/>
    <w:rsid w:val="005F586B"/>
    <w:rsid w:val="005F5B06"/>
    <w:rsid w:val="005F6D30"/>
    <w:rsid w:val="005F70A7"/>
    <w:rsid w:val="005F73AD"/>
    <w:rsid w:val="00600DB4"/>
    <w:rsid w:val="0060101B"/>
    <w:rsid w:val="00601341"/>
    <w:rsid w:val="00601C2F"/>
    <w:rsid w:val="00602425"/>
    <w:rsid w:val="006035AB"/>
    <w:rsid w:val="0060377B"/>
    <w:rsid w:val="006039DD"/>
    <w:rsid w:val="00603AFA"/>
    <w:rsid w:val="00603CD3"/>
    <w:rsid w:val="00603CE8"/>
    <w:rsid w:val="0060442D"/>
    <w:rsid w:val="00604680"/>
    <w:rsid w:val="00604854"/>
    <w:rsid w:val="00604B4C"/>
    <w:rsid w:val="00605ECF"/>
    <w:rsid w:val="0060612B"/>
    <w:rsid w:val="0060647D"/>
    <w:rsid w:val="0060668A"/>
    <w:rsid w:val="00607178"/>
    <w:rsid w:val="0060735E"/>
    <w:rsid w:val="0061014C"/>
    <w:rsid w:val="00610636"/>
    <w:rsid w:val="00610957"/>
    <w:rsid w:val="00610BF4"/>
    <w:rsid w:val="0061110C"/>
    <w:rsid w:val="0061158B"/>
    <w:rsid w:val="006116F7"/>
    <w:rsid w:val="00612169"/>
    <w:rsid w:val="00612A47"/>
    <w:rsid w:val="006131BC"/>
    <w:rsid w:val="0061394B"/>
    <w:rsid w:val="00613FA7"/>
    <w:rsid w:val="0061535D"/>
    <w:rsid w:val="00615673"/>
    <w:rsid w:val="00615BBF"/>
    <w:rsid w:val="006161E5"/>
    <w:rsid w:val="00616561"/>
    <w:rsid w:val="006167EF"/>
    <w:rsid w:val="00616D97"/>
    <w:rsid w:val="00617898"/>
    <w:rsid w:val="006200B6"/>
    <w:rsid w:val="00620776"/>
    <w:rsid w:val="006207FD"/>
    <w:rsid w:val="00620CEE"/>
    <w:rsid w:val="00621A41"/>
    <w:rsid w:val="00622CE8"/>
    <w:rsid w:val="00622D8F"/>
    <w:rsid w:val="00622E29"/>
    <w:rsid w:val="00623492"/>
    <w:rsid w:val="00623786"/>
    <w:rsid w:val="0062425E"/>
    <w:rsid w:val="0062430B"/>
    <w:rsid w:val="00624360"/>
    <w:rsid w:val="0062488E"/>
    <w:rsid w:val="0062553A"/>
    <w:rsid w:val="0062575A"/>
    <w:rsid w:val="00625EF4"/>
    <w:rsid w:val="00626215"/>
    <w:rsid w:val="00627DAE"/>
    <w:rsid w:val="00630C13"/>
    <w:rsid w:val="006310C1"/>
    <w:rsid w:val="00631E3B"/>
    <w:rsid w:val="00631F4C"/>
    <w:rsid w:val="00631FAF"/>
    <w:rsid w:val="00632211"/>
    <w:rsid w:val="00632574"/>
    <w:rsid w:val="00632F36"/>
    <w:rsid w:val="00633405"/>
    <w:rsid w:val="006335A3"/>
    <w:rsid w:val="00633FDC"/>
    <w:rsid w:val="00634701"/>
    <w:rsid w:val="00634A06"/>
    <w:rsid w:val="00634A69"/>
    <w:rsid w:val="00634DC0"/>
    <w:rsid w:val="00635DCD"/>
    <w:rsid w:val="006364F7"/>
    <w:rsid w:val="00636E15"/>
    <w:rsid w:val="00636EE0"/>
    <w:rsid w:val="0063747A"/>
    <w:rsid w:val="0063799B"/>
    <w:rsid w:val="00637C68"/>
    <w:rsid w:val="00637E93"/>
    <w:rsid w:val="00637F16"/>
    <w:rsid w:val="006404EF"/>
    <w:rsid w:val="00640B28"/>
    <w:rsid w:val="00640F20"/>
    <w:rsid w:val="00641ED0"/>
    <w:rsid w:val="00641F15"/>
    <w:rsid w:val="0064251E"/>
    <w:rsid w:val="00642A82"/>
    <w:rsid w:val="00642C8C"/>
    <w:rsid w:val="00642FE5"/>
    <w:rsid w:val="00644A84"/>
    <w:rsid w:val="00644C01"/>
    <w:rsid w:val="00644D21"/>
    <w:rsid w:val="00644F09"/>
    <w:rsid w:val="006451D0"/>
    <w:rsid w:val="006452A9"/>
    <w:rsid w:val="006453EB"/>
    <w:rsid w:val="00647093"/>
    <w:rsid w:val="00647149"/>
    <w:rsid w:val="006471EC"/>
    <w:rsid w:val="006473C2"/>
    <w:rsid w:val="00647F32"/>
    <w:rsid w:val="006502C2"/>
    <w:rsid w:val="00650535"/>
    <w:rsid w:val="00650AEC"/>
    <w:rsid w:val="00650F8A"/>
    <w:rsid w:val="006510E4"/>
    <w:rsid w:val="00651B19"/>
    <w:rsid w:val="0065203B"/>
    <w:rsid w:val="00652B82"/>
    <w:rsid w:val="006534E7"/>
    <w:rsid w:val="00654108"/>
    <w:rsid w:val="0065410B"/>
    <w:rsid w:val="006549E1"/>
    <w:rsid w:val="00654BFF"/>
    <w:rsid w:val="00654C22"/>
    <w:rsid w:val="00654F3E"/>
    <w:rsid w:val="00655130"/>
    <w:rsid w:val="006551A8"/>
    <w:rsid w:val="006555A7"/>
    <w:rsid w:val="00656918"/>
    <w:rsid w:val="006572F0"/>
    <w:rsid w:val="0065751D"/>
    <w:rsid w:val="006576A7"/>
    <w:rsid w:val="006579BD"/>
    <w:rsid w:val="00657DAA"/>
    <w:rsid w:val="0066034F"/>
    <w:rsid w:val="0066072A"/>
    <w:rsid w:val="006614E4"/>
    <w:rsid w:val="006616EF"/>
    <w:rsid w:val="00661A78"/>
    <w:rsid w:val="00661E1D"/>
    <w:rsid w:val="00661F65"/>
    <w:rsid w:val="00662170"/>
    <w:rsid w:val="00662E03"/>
    <w:rsid w:val="00663005"/>
    <w:rsid w:val="00663073"/>
    <w:rsid w:val="00663CDF"/>
    <w:rsid w:val="00663F50"/>
    <w:rsid w:val="00663FD9"/>
    <w:rsid w:val="00664075"/>
    <w:rsid w:val="00664787"/>
    <w:rsid w:val="00664AA6"/>
    <w:rsid w:val="00664B8C"/>
    <w:rsid w:val="00665967"/>
    <w:rsid w:val="00665B44"/>
    <w:rsid w:val="00666207"/>
    <w:rsid w:val="006666E4"/>
    <w:rsid w:val="00666A21"/>
    <w:rsid w:val="00666B9E"/>
    <w:rsid w:val="00666F87"/>
    <w:rsid w:val="00667922"/>
    <w:rsid w:val="00670F4A"/>
    <w:rsid w:val="00671029"/>
    <w:rsid w:val="00671194"/>
    <w:rsid w:val="00671BB1"/>
    <w:rsid w:val="006726FB"/>
    <w:rsid w:val="00672D5E"/>
    <w:rsid w:val="00672F1B"/>
    <w:rsid w:val="006730D3"/>
    <w:rsid w:val="00673EB7"/>
    <w:rsid w:val="0067478C"/>
    <w:rsid w:val="006754A7"/>
    <w:rsid w:val="00675763"/>
    <w:rsid w:val="006757AD"/>
    <w:rsid w:val="00675970"/>
    <w:rsid w:val="00675B76"/>
    <w:rsid w:val="00675FCA"/>
    <w:rsid w:val="00676101"/>
    <w:rsid w:val="00676131"/>
    <w:rsid w:val="0067635F"/>
    <w:rsid w:val="00676908"/>
    <w:rsid w:val="00677476"/>
    <w:rsid w:val="00677CF9"/>
    <w:rsid w:val="006816E7"/>
    <w:rsid w:val="006828B9"/>
    <w:rsid w:val="00682AC9"/>
    <w:rsid w:val="00682B18"/>
    <w:rsid w:val="006838F2"/>
    <w:rsid w:val="006846EA"/>
    <w:rsid w:val="00684FD1"/>
    <w:rsid w:val="00685CEE"/>
    <w:rsid w:val="00685D88"/>
    <w:rsid w:val="006869AA"/>
    <w:rsid w:val="00686F5B"/>
    <w:rsid w:val="006905D1"/>
    <w:rsid w:val="006907DD"/>
    <w:rsid w:val="00690971"/>
    <w:rsid w:val="006912DF"/>
    <w:rsid w:val="00691348"/>
    <w:rsid w:val="00691E31"/>
    <w:rsid w:val="00691F19"/>
    <w:rsid w:val="00691F77"/>
    <w:rsid w:val="00691FCC"/>
    <w:rsid w:val="006920A9"/>
    <w:rsid w:val="006926C9"/>
    <w:rsid w:val="006933DC"/>
    <w:rsid w:val="00693729"/>
    <w:rsid w:val="00694268"/>
    <w:rsid w:val="0069439A"/>
    <w:rsid w:val="00694C72"/>
    <w:rsid w:val="00694D4B"/>
    <w:rsid w:val="00694F35"/>
    <w:rsid w:val="006953A7"/>
    <w:rsid w:val="00695A70"/>
    <w:rsid w:val="006A0917"/>
    <w:rsid w:val="006A09EE"/>
    <w:rsid w:val="006A0A3B"/>
    <w:rsid w:val="006A0EE1"/>
    <w:rsid w:val="006A1B45"/>
    <w:rsid w:val="006A1D29"/>
    <w:rsid w:val="006A2255"/>
    <w:rsid w:val="006A2FDA"/>
    <w:rsid w:val="006A30ED"/>
    <w:rsid w:val="006A381E"/>
    <w:rsid w:val="006A384C"/>
    <w:rsid w:val="006A39C7"/>
    <w:rsid w:val="006A3CBF"/>
    <w:rsid w:val="006A3D28"/>
    <w:rsid w:val="006A4BB3"/>
    <w:rsid w:val="006A5BE5"/>
    <w:rsid w:val="006A60EE"/>
    <w:rsid w:val="006A60F2"/>
    <w:rsid w:val="006A69CB"/>
    <w:rsid w:val="006A71FE"/>
    <w:rsid w:val="006A741E"/>
    <w:rsid w:val="006A7F85"/>
    <w:rsid w:val="006B0408"/>
    <w:rsid w:val="006B05D1"/>
    <w:rsid w:val="006B068D"/>
    <w:rsid w:val="006B0971"/>
    <w:rsid w:val="006B0B27"/>
    <w:rsid w:val="006B17C7"/>
    <w:rsid w:val="006B1823"/>
    <w:rsid w:val="006B190F"/>
    <w:rsid w:val="006B286A"/>
    <w:rsid w:val="006B36BE"/>
    <w:rsid w:val="006B40B8"/>
    <w:rsid w:val="006B45FC"/>
    <w:rsid w:val="006B45FE"/>
    <w:rsid w:val="006B4761"/>
    <w:rsid w:val="006B49C5"/>
    <w:rsid w:val="006B4C1C"/>
    <w:rsid w:val="006B4CED"/>
    <w:rsid w:val="006B4CF1"/>
    <w:rsid w:val="006B511E"/>
    <w:rsid w:val="006B5643"/>
    <w:rsid w:val="006B5E32"/>
    <w:rsid w:val="006B5E90"/>
    <w:rsid w:val="006B6A6F"/>
    <w:rsid w:val="006B6B90"/>
    <w:rsid w:val="006B76E9"/>
    <w:rsid w:val="006B772C"/>
    <w:rsid w:val="006C0D38"/>
    <w:rsid w:val="006C1639"/>
    <w:rsid w:val="006C1693"/>
    <w:rsid w:val="006C16F4"/>
    <w:rsid w:val="006C1C0A"/>
    <w:rsid w:val="006C2714"/>
    <w:rsid w:val="006C287F"/>
    <w:rsid w:val="006C3139"/>
    <w:rsid w:val="006C34D1"/>
    <w:rsid w:val="006C384B"/>
    <w:rsid w:val="006C3AF1"/>
    <w:rsid w:val="006C3BC5"/>
    <w:rsid w:val="006C441F"/>
    <w:rsid w:val="006C44D4"/>
    <w:rsid w:val="006C4E89"/>
    <w:rsid w:val="006C520D"/>
    <w:rsid w:val="006C5FC0"/>
    <w:rsid w:val="006C60BE"/>
    <w:rsid w:val="006C67B9"/>
    <w:rsid w:val="006C6A9B"/>
    <w:rsid w:val="006C6F24"/>
    <w:rsid w:val="006C6FC0"/>
    <w:rsid w:val="006C7559"/>
    <w:rsid w:val="006C778A"/>
    <w:rsid w:val="006C7D04"/>
    <w:rsid w:val="006C7F3C"/>
    <w:rsid w:val="006D08FE"/>
    <w:rsid w:val="006D0C0F"/>
    <w:rsid w:val="006D1319"/>
    <w:rsid w:val="006D147C"/>
    <w:rsid w:val="006D1D76"/>
    <w:rsid w:val="006D1D98"/>
    <w:rsid w:val="006D1FB4"/>
    <w:rsid w:val="006D2896"/>
    <w:rsid w:val="006D2DED"/>
    <w:rsid w:val="006D35DB"/>
    <w:rsid w:val="006D36D8"/>
    <w:rsid w:val="006D4826"/>
    <w:rsid w:val="006D5110"/>
    <w:rsid w:val="006D51BE"/>
    <w:rsid w:val="006D5A90"/>
    <w:rsid w:val="006D682B"/>
    <w:rsid w:val="006D6D16"/>
    <w:rsid w:val="006D6EA3"/>
    <w:rsid w:val="006D788B"/>
    <w:rsid w:val="006D7ABD"/>
    <w:rsid w:val="006D7B69"/>
    <w:rsid w:val="006E00BF"/>
    <w:rsid w:val="006E0F4E"/>
    <w:rsid w:val="006E0FAB"/>
    <w:rsid w:val="006E10F1"/>
    <w:rsid w:val="006E21AC"/>
    <w:rsid w:val="006E2399"/>
    <w:rsid w:val="006E23C3"/>
    <w:rsid w:val="006E2883"/>
    <w:rsid w:val="006E3CB1"/>
    <w:rsid w:val="006E3D17"/>
    <w:rsid w:val="006E3D3C"/>
    <w:rsid w:val="006E3DDA"/>
    <w:rsid w:val="006E3E8F"/>
    <w:rsid w:val="006E479E"/>
    <w:rsid w:val="006E57B4"/>
    <w:rsid w:val="006E5D5E"/>
    <w:rsid w:val="006E6303"/>
    <w:rsid w:val="006E6D63"/>
    <w:rsid w:val="006E6DD9"/>
    <w:rsid w:val="006F04BD"/>
    <w:rsid w:val="006F1C0F"/>
    <w:rsid w:val="006F1DED"/>
    <w:rsid w:val="006F2759"/>
    <w:rsid w:val="006F2A91"/>
    <w:rsid w:val="006F2D33"/>
    <w:rsid w:val="006F2D7A"/>
    <w:rsid w:val="006F2FF5"/>
    <w:rsid w:val="006F379C"/>
    <w:rsid w:val="006F4220"/>
    <w:rsid w:val="006F4DA6"/>
    <w:rsid w:val="006F69F6"/>
    <w:rsid w:val="006F6BCB"/>
    <w:rsid w:val="006F7104"/>
    <w:rsid w:val="006F73FC"/>
    <w:rsid w:val="006F778D"/>
    <w:rsid w:val="00701020"/>
    <w:rsid w:val="007011CA"/>
    <w:rsid w:val="00701265"/>
    <w:rsid w:val="00701AFC"/>
    <w:rsid w:val="007022EC"/>
    <w:rsid w:val="007028F0"/>
    <w:rsid w:val="00703563"/>
    <w:rsid w:val="007039E6"/>
    <w:rsid w:val="00703CB5"/>
    <w:rsid w:val="00703CE8"/>
    <w:rsid w:val="00704737"/>
    <w:rsid w:val="00704C1B"/>
    <w:rsid w:val="007059EA"/>
    <w:rsid w:val="00705C2C"/>
    <w:rsid w:val="00705D34"/>
    <w:rsid w:val="00706311"/>
    <w:rsid w:val="00706362"/>
    <w:rsid w:val="0070638A"/>
    <w:rsid w:val="007066EA"/>
    <w:rsid w:val="0070708F"/>
    <w:rsid w:val="00707769"/>
    <w:rsid w:val="007077B6"/>
    <w:rsid w:val="0071015D"/>
    <w:rsid w:val="00710906"/>
    <w:rsid w:val="007113ED"/>
    <w:rsid w:val="00712157"/>
    <w:rsid w:val="00712433"/>
    <w:rsid w:val="00712590"/>
    <w:rsid w:val="00712C1D"/>
    <w:rsid w:val="00712E01"/>
    <w:rsid w:val="00712EA1"/>
    <w:rsid w:val="0071398B"/>
    <w:rsid w:val="00713AB4"/>
    <w:rsid w:val="00713E35"/>
    <w:rsid w:val="00714532"/>
    <w:rsid w:val="00714EAB"/>
    <w:rsid w:val="0071540E"/>
    <w:rsid w:val="00715639"/>
    <w:rsid w:val="0071564C"/>
    <w:rsid w:val="0071573F"/>
    <w:rsid w:val="00715A41"/>
    <w:rsid w:val="00716741"/>
    <w:rsid w:val="00717478"/>
    <w:rsid w:val="0071774E"/>
    <w:rsid w:val="007200F0"/>
    <w:rsid w:val="00720717"/>
    <w:rsid w:val="007209A3"/>
    <w:rsid w:val="00720AE0"/>
    <w:rsid w:val="007215EB"/>
    <w:rsid w:val="007216BB"/>
    <w:rsid w:val="00722328"/>
    <w:rsid w:val="007245FB"/>
    <w:rsid w:val="0072483E"/>
    <w:rsid w:val="00724CD7"/>
    <w:rsid w:val="00724E16"/>
    <w:rsid w:val="00724E6E"/>
    <w:rsid w:val="007257E3"/>
    <w:rsid w:val="00726003"/>
    <w:rsid w:val="00726223"/>
    <w:rsid w:val="00726E3E"/>
    <w:rsid w:val="007272EE"/>
    <w:rsid w:val="007272F6"/>
    <w:rsid w:val="0072740E"/>
    <w:rsid w:val="00727575"/>
    <w:rsid w:val="00727A07"/>
    <w:rsid w:val="00727D64"/>
    <w:rsid w:val="00727F09"/>
    <w:rsid w:val="0073108A"/>
    <w:rsid w:val="00731937"/>
    <w:rsid w:val="00732030"/>
    <w:rsid w:val="00732288"/>
    <w:rsid w:val="00732488"/>
    <w:rsid w:val="007325D6"/>
    <w:rsid w:val="00732AD8"/>
    <w:rsid w:val="00734E3B"/>
    <w:rsid w:val="00735EAB"/>
    <w:rsid w:val="0073663C"/>
    <w:rsid w:val="0073689E"/>
    <w:rsid w:val="00737F14"/>
    <w:rsid w:val="00740175"/>
    <w:rsid w:val="00740A8B"/>
    <w:rsid w:val="00740ECE"/>
    <w:rsid w:val="0074107F"/>
    <w:rsid w:val="0074158C"/>
    <w:rsid w:val="00742EC9"/>
    <w:rsid w:val="00743542"/>
    <w:rsid w:val="00743DEC"/>
    <w:rsid w:val="00744138"/>
    <w:rsid w:val="0074435F"/>
    <w:rsid w:val="00744814"/>
    <w:rsid w:val="00744AB9"/>
    <w:rsid w:val="00744FAE"/>
    <w:rsid w:val="00745335"/>
    <w:rsid w:val="00745468"/>
    <w:rsid w:val="00745894"/>
    <w:rsid w:val="0074608A"/>
    <w:rsid w:val="007461A5"/>
    <w:rsid w:val="007475B7"/>
    <w:rsid w:val="00747643"/>
    <w:rsid w:val="0074779E"/>
    <w:rsid w:val="007477CD"/>
    <w:rsid w:val="007503C3"/>
    <w:rsid w:val="00750C1C"/>
    <w:rsid w:val="0075101B"/>
    <w:rsid w:val="00751028"/>
    <w:rsid w:val="007510EB"/>
    <w:rsid w:val="007511DC"/>
    <w:rsid w:val="00751412"/>
    <w:rsid w:val="00751956"/>
    <w:rsid w:val="007519A9"/>
    <w:rsid w:val="007527C2"/>
    <w:rsid w:val="0075327D"/>
    <w:rsid w:val="00753CBF"/>
    <w:rsid w:val="00753D06"/>
    <w:rsid w:val="00753E3C"/>
    <w:rsid w:val="007547D9"/>
    <w:rsid w:val="00754973"/>
    <w:rsid w:val="00755AE5"/>
    <w:rsid w:val="00756084"/>
    <w:rsid w:val="00756302"/>
    <w:rsid w:val="0075649A"/>
    <w:rsid w:val="007565FE"/>
    <w:rsid w:val="00756864"/>
    <w:rsid w:val="00756F61"/>
    <w:rsid w:val="007570AD"/>
    <w:rsid w:val="007577B1"/>
    <w:rsid w:val="00760C03"/>
    <w:rsid w:val="00760D0A"/>
    <w:rsid w:val="00760DB2"/>
    <w:rsid w:val="0076106D"/>
    <w:rsid w:val="00761F4F"/>
    <w:rsid w:val="00762184"/>
    <w:rsid w:val="0076251F"/>
    <w:rsid w:val="00762550"/>
    <w:rsid w:val="007632F6"/>
    <w:rsid w:val="0076340E"/>
    <w:rsid w:val="007635D1"/>
    <w:rsid w:val="007639C1"/>
    <w:rsid w:val="00763CDF"/>
    <w:rsid w:val="007640BA"/>
    <w:rsid w:val="00764958"/>
    <w:rsid w:val="00764D97"/>
    <w:rsid w:val="00765219"/>
    <w:rsid w:val="0076543B"/>
    <w:rsid w:val="00765BED"/>
    <w:rsid w:val="007661B9"/>
    <w:rsid w:val="007663EC"/>
    <w:rsid w:val="00766B7A"/>
    <w:rsid w:val="00766D74"/>
    <w:rsid w:val="00766F86"/>
    <w:rsid w:val="00767396"/>
    <w:rsid w:val="00767DB1"/>
    <w:rsid w:val="007706BC"/>
    <w:rsid w:val="00770C42"/>
    <w:rsid w:val="00770D3F"/>
    <w:rsid w:val="0077107F"/>
    <w:rsid w:val="007712F0"/>
    <w:rsid w:val="00771DBC"/>
    <w:rsid w:val="00772DF7"/>
    <w:rsid w:val="00772F18"/>
    <w:rsid w:val="007731AE"/>
    <w:rsid w:val="007737AF"/>
    <w:rsid w:val="007737C1"/>
    <w:rsid w:val="00773D36"/>
    <w:rsid w:val="007745A7"/>
    <w:rsid w:val="007753A9"/>
    <w:rsid w:val="00775B73"/>
    <w:rsid w:val="00775C47"/>
    <w:rsid w:val="00775F65"/>
    <w:rsid w:val="0077612A"/>
    <w:rsid w:val="00776142"/>
    <w:rsid w:val="00777355"/>
    <w:rsid w:val="007801AB"/>
    <w:rsid w:val="007803D7"/>
    <w:rsid w:val="007805E9"/>
    <w:rsid w:val="00780E83"/>
    <w:rsid w:val="0078127E"/>
    <w:rsid w:val="0078141E"/>
    <w:rsid w:val="00781783"/>
    <w:rsid w:val="0078194F"/>
    <w:rsid w:val="00781974"/>
    <w:rsid w:val="00781B63"/>
    <w:rsid w:val="0078255C"/>
    <w:rsid w:val="0078260C"/>
    <w:rsid w:val="00782A2E"/>
    <w:rsid w:val="00782E31"/>
    <w:rsid w:val="007837DE"/>
    <w:rsid w:val="007837E1"/>
    <w:rsid w:val="00783A24"/>
    <w:rsid w:val="00783D00"/>
    <w:rsid w:val="00783FF2"/>
    <w:rsid w:val="00784C03"/>
    <w:rsid w:val="00785350"/>
    <w:rsid w:val="00786A3A"/>
    <w:rsid w:val="00786CB0"/>
    <w:rsid w:val="007870E2"/>
    <w:rsid w:val="00787561"/>
    <w:rsid w:val="00787BEB"/>
    <w:rsid w:val="00787D27"/>
    <w:rsid w:val="00790262"/>
    <w:rsid w:val="007909A5"/>
    <w:rsid w:val="00790AC4"/>
    <w:rsid w:val="00791833"/>
    <w:rsid w:val="00791B2B"/>
    <w:rsid w:val="00791E38"/>
    <w:rsid w:val="0079208F"/>
    <w:rsid w:val="007928DD"/>
    <w:rsid w:val="00792D28"/>
    <w:rsid w:val="00792D31"/>
    <w:rsid w:val="00793391"/>
    <w:rsid w:val="007934ED"/>
    <w:rsid w:val="00794E09"/>
    <w:rsid w:val="007950C9"/>
    <w:rsid w:val="007950E0"/>
    <w:rsid w:val="00795D1A"/>
    <w:rsid w:val="00795DB4"/>
    <w:rsid w:val="0079673D"/>
    <w:rsid w:val="007967C5"/>
    <w:rsid w:val="00797573"/>
    <w:rsid w:val="00797622"/>
    <w:rsid w:val="00797CC4"/>
    <w:rsid w:val="00797CDB"/>
    <w:rsid w:val="007A1C6A"/>
    <w:rsid w:val="007A2523"/>
    <w:rsid w:val="007A2922"/>
    <w:rsid w:val="007A42F5"/>
    <w:rsid w:val="007A5309"/>
    <w:rsid w:val="007A5338"/>
    <w:rsid w:val="007A559C"/>
    <w:rsid w:val="007A55C4"/>
    <w:rsid w:val="007A56AC"/>
    <w:rsid w:val="007A6721"/>
    <w:rsid w:val="007A69E1"/>
    <w:rsid w:val="007A6F5D"/>
    <w:rsid w:val="007A74BE"/>
    <w:rsid w:val="007B02E3"/>
    <w:rsid w:val="007B0AAB"/>
    <w:rsid w:val="007B1032"/>
    <w:rsid w:val="007B1776"/>
    <w:rsid w:val="007B2048"/>
    <w:rsid w:val="007B37D2"/>
    <w:rsid w:val="007B3CEB"/>
    <w:rsid w:val="007B3DAC"/>
    <w:rsid w:val="007B47D3"/>
    <w:rsid w:val="007B548F"/>
    <w:rsid w:val="007B562B"/>
    <w:rsid w:val="007B5697"/>
    <w:rsid w:val="007B57F8"/>
    <w:rsid w:val="007B599B"/>
    <w:rsid w:val="007B5B20"/>
    <w:rsid w:val="007B5D38"/>
    <w:rsid w:val="007B6659"/>
    <w:rsid w:val="007B665A"/>
    <w:rsid w:val="007B6990"/>
    <w:rsid w:val="007B6BB3"/>
    <w:rsid w:val="007B6E5F"/>
    <w:rsid w:val="007B71B3"/>
    <w:rsid w:val="007B724E"/>
    <w:rsid w:val="007B727E"/>
    <w:rsid w:val="007B736E"/>
    <w:rsid w:val="007B73A1"/>
    <w:rsid w:val="007B748A"/>
    <w:rsid w:val="007B7A82"/>
    <w:rsid w:val="007B7F59"/>
    <w:rsid w:val="007C1560"/>
    <w:rsid w:val="007C208D"/>
    <w:rsid w:val="007C22E7"/>
    <w:rsid w:val="007C3198"/>
    <w:rsid w:val="007C3866"/>
    <w:rsid w:val="007C42C1"/>
    <w:rsid w:val="007C4DBF"/>
    <w:rsid w:val="007C5053"/>
    <w:rsid w:val="007C6D10"/>
    <w:rsid w:val="007C71CA"/>
    <w:rsid w:val="007C7D6F"/>
    <w:rsid w:val="007D051A"/>
    <w:rsid w:val="007D0DEF"/>
    <w:rsid w:val="007D109C"/>
    <w:rsid w:val="007D2793"/>
    <w:rsid w:val="007D2A83"/>
    <w:rsid w:val="007D329A"/>
    <w:rsid w:val="007D3482"/>
    <w:rsid w:val="007D34FE"/>
    <w:rsid w:val="007D3BBD"/>
    <w:rsid w:val="007D3DE8"/>
    <w:rsid w:val="007D3E13"/>
    <w:rsid w:val="007D3FBE"/>
    <w:rsid w:val="007D4891"/>
    <w:rsid w:val="007D48A5"/>
    <w:rsid w:val="007D521E"/>
    <w:rsid w:val="007D54F7"/>
    <w:rsid w:val="007D57D9"/>
    <w:rsid w:val="007D5911"/>
    <w:rsid w:val="007D5954"/>
    <w:rsid w:val="007D59C0"/>
    <w:rsid w:val="007D59C9"/>
    <w:rsid w:val="007D59F2"/>
    <w:rsid w:val="007D5CB4"/>
    <w:rsid w:val="007D68FC"/>
    <w:rsid w:val="007D6B92"/>
    <w:rsid w:val="007D7BA9"/>
    <w:rsid w:val="007D7F5B"/>
    <w:rsid w:val="007E051F"/>
    <w:rsid w:val="007E06EA"/>
    <w:rsid w:val="007E07DB"/>
    <w:rsid w:val="007E0CF1"/>
    <w:rsid w:val="007E16E5"/>
    <w:rsid w:val="007E19A6"/>
    <w:rsid w:val="007E19E9"/>
    <w:rsid w:val="007E2946"/>
    <w:rsid w:val="007E2AD0"/>
    <w:rsid w:val="007E2B5C"/>
    <w:rsid w:val="007E320F"/>
    <w:rsid w:val="007E33AE"/>
    <w:rsid w:val="007E375A"/>
    <w:rsid w:val="007E3D4B"/>
    <w:rsid w:val="007E3F57"/>
    <w:rsid w:val="007E40EE"/>
    <w:rsid w:val="007E4AF8"/>
    <w:rsid w:val="007E5126"/>
    <w:rsid w:val="007E5339"/>
    <w:rsid w:val="007E5872"/>
    <w:rsid w:val="007E5889"/>
    <w:rsid w:val="007E5B4E"/>
    <w:rsid w:val="007E694C"/>
    <w:rsid w:val="007E6AE1"/>
    <w:rsid w:val="007E7171"/>
    <w:rsid w:val="007F0D3C"/>
    <w:rsid w:val="007F12FF"/>
    <w:rsid w:val="007F1347"/>
    <w:rsid w:val="007F1526"/>
    <w:rsid w:val="007F17D1"/>
    <w:rsid w:val="007F1A74"/>
    <w:rsid w:val="007F28CB"/>
    <w:rsid w:val="007F2A15"/>
    <w:rsid w:val="007F2AD9"/>
    <w:rsid w:val="007F30EA"/>
    <w:rsid w:val="007F3358"/>
    <w:rsid w:val="007F360E"/>
    <w:rsid w:val="007F3BE7"/>
    <w:rsid w:val="007F4196"/>
    <w:rsid w:val="007F4C8C"/>
    <w:rsid w:val="007F62CF"/>
    <w:rsid w:val="007F6922"/>
    <w:rsid w:val="007F6E06"/>
    <w:rsid w:val="007F750A"/>
    <w:rsid w:val="007F7562"/>
    <w:rsid w:val="007F7824"/>
    <w:rsid w:val="007F7ACC"/>
    <w:rsid w:val="0080016F"/>
    <w:rsid w:val="00800469"/>
    <w:rsid w:val="00801064"/>
    <w:rsid w:val="00801AD3"/>
    <w:rsid w:val="00801DBE"/>
    <w:rsid w:val="00802788"/>
    <w:rsid w:val="0080306D"/>
    <w:rsid w:val="00803778"/>
    <w:rsid w:val="00803A54"/>
    <w:rsid w:val="00803CD7"/>
    <w:rsid w:val="008042DA"/>
    <w:rsid w:val="0080479F"/>
    <w:rsid w:val="0080488F"/>
    <w:rsid w:val="00804E32"/>
    <w:rsid w:val="00805326"/>
    <w:rsid w:val="00805BCE"/>
    <w:rsid w:val="00805CBF"/>
    <w:rsid w:val="008060A1"/>
    <w:rsid w:val="0080645F"/>
    <w:rsid w:val="00806F9D"/>
    <w:rsid w:val="00807484"/>
    <w:rsid w:val="008078A9"/>
    <w:rsid w:val="00810747"/>
    <w:rsid w:val="0081135E"/>
    <w:rsid w:val="00811C69"/>
    <w:rsid w:val="00811EFC"/>
    <w:rsid w:val="00812114"/>
    <w:rsid w:val="008122A0"/>
    <w:rsid w:val="0081324A"/>
    <w:rsid w:val="008134B5"/>
    <w:rsid w:val="00814045"/>
    <w:rsid w:val="008141E1"/>
    <w:rsid w:val="00814349"/>
    <w:rsid w:val="00814461"/>
    <w:rsid w:val="008145A3"/>
    <w:rsid w:val="008145DD"/>
    <w:rsid w:val="00814BDD"/>
    <w:rsid w:val="00814C9B"/>
    <w:rsid w:val="0081508A"/>
    <w:rsid w:val="00815ADB"/>
    <w:rsid w:val="00815B41"/>
    <w:rsid w:val="00815BBE"/>
    <w:rsid w:val="00816257"/>
    <w:rsid w:val="008177C6"/>
    <w:rsid w:val="00817B01"/>
    <w:rsid w:val="0082015C"/>
    <w:rsid w:val="0082050D"/>
    <w:rsid w:val="00821321"/>
    <w:rsid w:val="0082178B"/>
    <w:rsid w:val="00821C4C"/>
    <w:rsid w:val="0082304B"/>
    <w:rsid w:val="00823348"/>
    <w:rsid w:val="00823A4D"/>
    <w:rsid w:val="0082411F"/>
    <w:rsid w:val="00824B95"/>
    <w:rsid w:val="00824C66"/>
    <w:rsid w:val="00824E09"/>
    <w:rsid w:val="0082621E"/>
    <w:rsid w:val="00826288"/>
    <w:rsid w:val="008263F2"/>
    <w:rsid w:val="00826B73"/>
    <w:rsid w:val="0082784D"/>
    <w:rsid w:val="00827C33"/>
    <w:rsid w:val="008303F6"/>
    <w:rsid w:val="00830A76"/>
    <w:rsid w:val="008310EA"/>
    <w:rsid w:val="00831C65"/>
    <w:rsid w:val="00831CBA"/>
    <w:rsid w:val="00832059"/>
    <w:rsid w:val="0083215A"/>
    <w:rsid w:val="0083274E"/>
    <w:rsid w:val="0083275D"/>
    <w:rsid w:val="008338F1"/>
    <w:rsid w:val="00833F28"/>
    <w:rsid w:val="008343EF"/>
    <w:rsid w:val="008346EA"/>
    <w:rsid w:val="00834C64"/>
    <w:rsid w:val="00834EE1"/>
    <w:rsid w:val="00834F75"/>
    <w:rsid w:val="008351FE"/>
    <w:rsid w:val="00835590"/>
    <w:rsid w:val="00835C6A"/>
    <w:rsid w:val="00836163"/>
    <w:rsid w:val="00836372"/>
    <w:rsid w:val="0083675E"/>
    <w:rsid w:val="00836A4E"/>
    <w:rsid w:val="00837AA5"/>
    <w:rsid w:val="00837B8F"/>
    <w:rsid w:val="00837E9A"/>
    <w:rsid w:val="00837F11"/>
    <w:rsid w:val="0084009E"/>
    <w:rsid w:val="00840C91"/>
    <w:rsid w:val="00840F2D"/>
    <w:rsid w:val="0084171D"/>
    <w:rsid w:val="00841981"/>
    <w:rsid w:val="00842222"/>
    <w:rsid w:val="00842607"/>
    <w:rsid w:val="00842E33"/>
    <w:rsid w:val="008436A5"/>
    <w:rsid w:val="008440AA"/>
    <w:rsid w:val="00844805"/>
    <w:rsid w:val="0084509D"/>
    <w:rsid w:val="0084597A"/>
    <w:rsid w:val="00845A1D"/>
    <w:rsid w:val="00846597"/>
    <w:rsid w:val="008468B6"/>
    <w:rsid w:val="00846B00"/>
    <w:rsid w:val="00846D14"/>
    <w:rsid w:val="008473E4"/>
    <w:rsid w:val="0084799E"/>
    <w:rsid w:val="008501F6"/>
    <w:rsid w:val="008502F4"/>
    <w:rsid w:val="008505BB"/>
    <w:rsid w:val="008511B9"/>
    <w:rsid w:val="0085219D"/>
    <w:rsid w:val="00852497"/>
    <w:rsid w:val="00852D2C"/>
    <w:rsid w:val="00852DF1"/>
    <w:rsid w:val="008531CC"/>
    <w:rsid w:val="00853988"/>
    <w:rsid w:val="00853A46"/>
    <w:rsid w:val="00853F2C"/>
    <w:rsid w:val="00854A0F"/>
    <w:rsid w:val="00854B2A"/>
    <w:rsid w:val="00856573"/>
    <w:rsid w:val="008565AA"/>
    <w:rsid w:val="00857361"/>
    <w:rsid w:val="008579CB"/>
    <w:rsid w:val="0086023E"/>
    <w:rsid w:val="00860296"/>
    <w:rsid w:val="00860DDF"/>
    <w:rsid w:val="0086172F"/>
    <w:rsid w:val="00861EA4"/>
    <w:rsid w:val="00862057"/>
    <w:rsid w:val="008624EC"/>
    <w:rsid w:val="008625C9"/>
    <w:rsid w:val="00863C85"/>
    <w:rsid w:val="00864874"/>
    <w:rsid w:val="0086499C"/>
    <w:rsid w:val="00864D16"/>
    <w:rsid w:val="00864EF0"/>
    <w:rsid w:val="0086570D"/>
    <w:rsid w:val="00865D0F"/>
    <w:rsid w:val="00866DAF"/>
    <w:rsid w:val="00866EA2"/>
    <w:rsid w:val="0086785A"/>
    <w:rsid w:val="00867BC6"/>
    <w:rsid w:val="00867CE4"/>
    <w:rsid w:val="00867D73"/>
    <w:rsid w:val="00867EFE"/>
    <w:rsid w:val="0087004D"/>
    <w:rsid w:val="00870214"/>
    <w:rsid w:val="008703CC"/>
    <w:rsid w:val="00870A00"/>
    <w:rsid w:val="008717E0"/>
    <w:rsid w:val="008719A5"/>
    <w:rsid w:val="00871E53"/>
    <w:rsid w:val="008725EE"/>
    <w:rsid w:val="00872D01"/>
    <w:rsid w:val="00873815"/>
    <w:rsid w:val="00873FA6"/>
    <w:rsid w:val="00873FF8"/>
    <w:rsid w:val="008740BF"/>
    <w:rsid w:val="0087478C"/>
    <w:rsid w:val="008749EF"/>
    <w:rsid w:val="00874E11"/>
    <w:rsid w:val="008759D2"/>
    <w:rsid w:val="008763E8"/>
    <w:rsid w:val="0087650A"/>
    <w:rsid w:val="00876557"/>
    <w:rsid w:val="00877C5B"/>
    <w:rsid w:val="00877FD6"/>
    <w:rsid w:val="008802B7"/>
    <w:rsid w:val="00880B4B"/>
    <w:rsid w:val="00880C5F"/>
    <w:rsid w:val="00880E76"/>
    <w:rsid w:val="00881290"/>
    <w:rsid w:val="008818D2"/>
    <w:rsid w:val="00881B71"/>
    <w:rsid w:val="00881D78"/>
    <w:rsid w:val="0088292D"/>
    <w:rsid w:val="00882E2A"/>
    <w:rsid w:val="008835DB"/>
    <w:rsid w:val="00883CCC"/>
    <w:rsid w:val="00883E8B"/>
    <w:rsid w:val="00884822"/>
    <w:rsid w:val="008857B7"/>
    <w:rsid w:val="008862EE"/>
    <w:rsid w:val="00887033"/>
    <w:rsid w:val="0088791E"/>
    <w:rsid w:val="00887CAE"/>
    <w:rsid w:val="008901B2"/>
    <w:rsid w:val="00890263"/>
    <w:rsid w:val="00890781"/>
    <w:rsid w:val="008908C9"/>
    <w:rsid w:val="00890E56"/>
    <w:rsid w:val="008912A8"/>
    <w:rsid w:val="0089136F"/>
    <w:rsid w:val="008920BD"/>
    <w:rsid w:val="00892153"/>
    <w:rsid w:val="00893404"/>
    <w:rsid w:val="00894097"/>
    <w:rsid w:val="00894DB9"/>
    <w:rsid w:val="008951E1"/>
    <w:rsid w:val="008957CE"/>
    <w:rsid w:val="0089594C"/>
    <w:rsid w:val="008963EF"/>
    <w:rsid w:val="00896728"/>
    <w:rsid w:val="00896F15"/>
    <w:rsid w:val="0089732D"/>
    <w:rsid w:val="0089760C"/>
    <w:rsid w:val="008A0667"/>
    <w:rsid w:val="008A0727"/>
    <w:rsid w:val="008A0940"/>
    <w:rsid w:val="008A17BE"/>
    <w:rsid w:val="008A17C5"/>
    <w:rsid w:val="008A19B9"/>
    <w:rsid w:val="008A27F2"/>
    <w:rsid w:val="008A2A93"/>
    <w:rsid w:val="008A2E7A"/>
    <w:rsid w:val="008A2FF2"/>
    <w:rsid w:val="008A3FCD"/>
    <w:rsid w:val="008A45F2"/>
    <w:rsid w:val="008A4B37"/>
    <w:rsid w:val="008A4E0D"/>
    <w:rsid w:val="008A56DB"/>
    <w:rsid w:val="008A6607"/>
    <w:rsid w:val="008A67A7"/>
    <w:rsid w:val="008A6B48"/>
    <w:rsid w:val="008A6B90"/>
    <w:rsid w:val="008A7EC1"/>
    <w:rsid w:val="008A8EC4"/>
    <w:rsid w:val="008B0077"/>
    <w:rsid w:val="008B0A37"/>
    <w:rsid w:val="008B0B51"/>
    <w:rsid w:val="008B0B77"/>
    <w:rsid w:val="008B0F45"/>
    <w:rsid w:val="008B10A3"/>
    <w:rsid w:val="008B1109"/>
    <w:rsid w:val="008B229F"/>
    <w:rsid w:val="008B26A7"/>
    <w:rsid w:val="008B2799"/>
    <w:rsid w:val="008B2C26"/>
    <w:rsid w:val="008B3E1B"/>
    <w:rsid w:val="008B4899"/>
    <w:rsid w:val="008B4DF1"/>
    <w:rsid w:val="008B634B"/>
    <w:rsid w:val="008B6764"/>
    <w:rsid w:val="008B6856"/>
    <w:rsid w:val="008B769A"/>
    <w:rsid w:val="008C0758"/>
    <w:rsid w:val="008C0ADB"/>
    <w:rsid w:val="008C0E2E"/>
    <w:rsid w:val="008C185C"/>
    <w:rsid w:val="008C19DB"/>
    <w:rsid w:val="008C1F19"/>
    <w:rsid w:val="008C1F4B"/>
    <w:rsid w:val="008C1F5F"/>
    <w:rsid w:val="008C2061"/>
    <w:rsid w:val="008C2509"/>
    <w:rsid w:val="008C2659"/>
    <w:rsid w:val="008C28A9"/>
    <w:rsid w:val="008C2929"/>
    <w:rsid w:val="008C29E4"/>
    <w:rsid w:val="008C2D57"/>
    <w:rsid w:val="008C35D3"/>
    <w:rsid w:val="008C49E2"/>
    <w:rsid w:val="008C4B34"/>
    <w:rsid w:val="008C4EDA"/>
    <w:rsid w:val="008C5356"/>
    <w:rsid w:val="008C55BC"/>
    <w:rsid w:val="008C5CAF"/>
    <w:rsid w:val="008C677A"/>
    <w:rsid w:val="008C686D"/>
    <w:rsid w:val="008C68FE"/>
    <w:rsid w:val="008C6D20"/>
    <w:rsid w:val="008C74A2"/>
    <w:rsid w:val="008C7A0D"/>
    <w:rsid w:val="008D047A"/>
    <w:rsid w:val="008D080C"/>
    <w:rsid w:val="008D0B5B"/>
    <w:rsid w:val="008D118E"/>
    <w:rsid w:val="008D12C7"/>
    <w:rsid w:val="008D1CF5"/>
    <w:rsid w:val="008D1E7F"/>
    <w:rsid w:val="008D2369"/>
    <w:rsid w:val="008D2527"/>
    <w:rsid w:val="008D29F7"/>
    <w:rsid w:val="008D2A7D"/>
    <w:rsid w:val="008D2B7D"/>
    <w:rsid w:val="008D2D24"/>
    <w:rsid w:val="008D348D"/>
    <w:rsid w:val="008D3806"/>
    <w:rsid w:val="008D3F70"/>
    <w:rsid w:val="008D4B4E"/>
    <w:rsid w:val="008D4C50"/>
    <w:rsid w:val="008D53CB"/>
    <w:rsid w:val="008D5739"/>
    <w:rsid w:val="008D5D50"/>
    <w:rsid w:val="008D6CEE"/>
    <w:rsid w:val="008E051A"/>
    <w:rsid w:val="008E05B3"/>
    <w:rsid w:val="008E0803"/>
    <w:rsid w:val="008E0899"/>
    <w:rsid w:val="008E0AAD"/>
    <w:rsid w:val="008E14C9"/>
    <w:rsid w:val="008E1714"/>
    <w:rsid w:val="008E1A05"/>
    <w:rsid w:val="008E1A5F"/>
    <w:rsid w:val="008E2EFF"/>
    <w:rsid w:val="008E2F56"/>
    <w:rsid w:val="008E3B77"/>
    <w:rsid w:val="008E3C92"/>
    <w:rsid w:val="008E3CC9"/>
    <w:rsid w:val="008E4978"/>
    <w:rsid w:val="008E4B5F"/>
    <w:rsid w:val="008E4BCA"/>
    <w:rsid w:val="008E4DF5"/>
    <w:rsid w:val="008E4F7E"/>
    <w:rsid w:val="008E6512"/>
    <w:rsid w:val="008E6956"/>
    <w:rsid w:val="008E7175"/>
    <w:rsid w:val="008E7E66"/>
    <w:rsid w:val="008F01E8"/>
    <w:rsid w:val="008F02F8"/>
    <w:rsid w:val="008F0D99"/>
    <w:rsid w:val="008F15A1"/>
    <w:rsid w:val="008F1DDA"/>
    <w:rsid w:val="008F26B4"/>
    <w:rsid w:val="008F2B26"/>
    <w:rsid w:val="008F2C95"/>
    <w:rsid w:val="008F2E1D"/>
    <w:rsid w:val="008F2EF1"/>
    <w:rsid w:val="008F3169"/>
    <w:rsid w:val="008F350F"/>
    <w:rsid w:val="008F37F3"/>
    <w:rsid w:val="008F50C1"/>
    <w:rsid w:val="008F52D8"/>
    <w:rsid w:val="008F58EA"/>
    <w:rsid w:val="008F5B7A"/>
    <w:rsid w:val="008F6075"/>
    <w:rsid w:val="008F6E4D"/>
    <w:rsid w:val="008F6F72"/>
    <w:rsid w:val="008F744E"/>
    <w:rsid w:val="008F7726"/>
    <w:rsid w:val="008F79B2"/>
    <w:rsid w:val="008F7D67"/>
    <w:rsid w:val="008F7DDE"/>
    <w:rsid w:val="008F7FD8"/>
    <w:rsid w:val="00900131"/>
    <w:rsid w:val="009006D6"/>
    <w:rsid w:val="00900C0C"/>
    <w:rsid w:val="00900E9A"/>
    <w:rsid w:val="00901562"/>
    <w:rsid w:val="009022C6"/>
    <w:rsid w:val="009024DD"/>
    <w:rsid w:val="00902ABC"/>
    <w:rsid w:val="009042E1"/>
    <w:rsid w:val="00904B85"/>
    <w:rsid w:val="00905833"/>
    <w:rsid w:val="00906019"/>
    <w:rsid w:val="0090660F"/>
    <w:rsid w:val="00906DA2"/>
    <w:rsid w:val="009071FB"/>
    <w:rsid w:val="00907A00"/>
    <w:rsid w:val="00907F64"/>
    <w:rsid w:val="0091029D"/>
    <w:rsid w:val="0091073A"/>
    <w:rsid w:val="00910879"/>
    <w:rsid w:val="00911B91"/>
    <w:rsid w:val="00912025"/>
    <w:rsid w:val="00912521"/>
    <w:rsid w:val="009128A3"/>
    <w:rsid w:val="009129F2"/>
    <w:rsid w:val="0091314E"/>
    <w:rsid w:val="00913EA4"/>
    <w:rsid w:val="00915910"/>
    <w:rsid w:val="009160C5"/>
    <w:rsid w:val="0091646A"/>
    <w:rsid w:val="0091740E"/>
    <w:rsid w:val="00920056"/>
    <w:rsid w:val="009207FE"/>
    <w:rsid w:val="00921438"/>
    <w:rsid w:val="00922232"/>
    <w:rsid w:val="009223A8"/>
    <w:rsid w:val="00922885"/>
    <w:rsid w:val="00922905"/>
    <w:rsid w:val="009232A6"/>
    <w:rsid w:val="0092346E"/>
    <w:rsid w:val="0092351F"/>
    <w:rsid w:val="00923FF1"/>
    <w:rsid w:val="009249A3"/>
    <w:rsid w:val="00924B4B"/>
    <w:rsid w:val="00924E7E"/>
    <w:rsid w:val="00925104"/>
    <w:rsid w:val="0092562A"/>
    <w:rsid w:val="009256E8"/>
    <w:rsid w:val="00926120"/>
    <w:rsid w:val="009264D2"/>
    <w:rsid w:val="00926B51"/>
    <w:rsid w:val="0092705D"/>
    <w:rsid w:val="009274EA"/>
    <w:rsid w:val="009276D2"/>
    <w:rsid w:val="00927D5E"/>
    <w:rsid w:val="00930BE0"/>
    <w:rsid w:val="00931B7E"/>
    <w:rsid w:val="00932457"/>
    <w:rsid w:val="00932545"/>
    <w:rsid w:val="00932715"/>
    <w:rsid w:val="0093292E"/>
    <w:rsid w:val="009337AC"/>
    <w:rsid w:val="0093393D"/>
    <w:rsid w:val="00933DB9"/>
    <w:rsid w:val="00934249"/>
    <w:rsid w:val="00934EA1"/>
    <w:rsid w:val="00934F00"/>
    <w:rsid w:val="009356DE"/>
    <w:rsid w:val="00935A3E"/>
    <w:rsid w:val="00935C7B"/>
    <w:rsid w:val="00936145"/>
    <w:rsid w:val="00936AC0"/>
    <w:rsid w:val="00937ADF"/>
    <w:rsid w:val="00937BCF"/>
    <w:rsid w:val="00940A06"/>
    <w:rsid w:val="00940A90"/>
    <w:rsid w:val="0094150D"/>
    <w:rsid w:val="00941561"/>
    <w:rsid w:val="00941B5E"/>
    <w:rsid w:val="00941C49"/>
    <w:rsid w:val="00942134"/>
    <w:rsid w:val="00942168"/>
    <w:rsid w:val="009425B4"/>
    <w:rsid w:val="0094289B"/>
    <w:rsid w:val="0094313E"/>
    <w:rsid w:val="009435EC"/>
    <w:rsid w:val="00943D1A"/>
    <w:rsid w:val="00943D76"/>
    <w:rsid w:val="009445B6"/>
    <w:rsid w:val="00944611"/>
    <w:rsid w:val="009446B4"/>
    <w:rsid w:val="00944A28"/>
    <w:rsid w:val="00944A94"/>
    <w:rsid w:val="00945CD2"/>
    <w:rsid w:val="00945D93"/>
    <w:rsid w:val="00945EB7"/>
    <w:rsid w:val="00946416"/>
    <w:rsid w:val="0094658C"/>
    <w:rsid w:val="0094698A"/>
    <w:rsid w:val="00947363"/>
    <w:rsid w:val="0094798C"/>
    <w:rsid w:val="0095024D"/>
    <w:rsid w:val="00950442"/>
    <w:rsid w:val="009507FC"/>
    <w:rsid w:val="00951D00"/>
    <w:rsid w:val="00952061"/>
    <w:rsid w:val="0095276B"/>
    <w:rsid w:val="00952E11"/>
    <w:rsid w:val="00953333"/>
    <w:rsid w:val="00953555"/>
    <w:rsid w:val="0095361C"/>
    <w:rsid w:val="00953A35"/>
    <w:rsid w:val="00953FEF"/>
    <w:rsid w:val="00954A17"/>
    <w:rsid w:val="00955003"/>
    <w:rsid w:val="00955D2B"/>
    <w:rsid w:val="00955D69"/>
    <w:rsid w:val="00956500"/>
    <w:rsid w:val="00956965"/>
    <w:rsid w:val="009569CB"/>
    <w:rsid w:val="0095746D"/>
    <w:rsid w:val="009574BD"/>
    <w:rsid w:val="009578A3"/>
    <w:rsid w:val="00957E54"/>
    <w:rsid w:val="00957E5D"/>
    <w:rsid w:val="009600CB"/>
    <w:rsid w:val="00960351"/>
    <w:rsid w:val="00960535"/>
    <w:rsid w:val="00961EB2"/>
    <w:rsid w:val="009620C5"/>
    <w:rsid w:val="00962A5A"/>
    <w:rsid w:val="0096446E"/>
    <w:rsid w:val="00964840"/>
    <w:rsid w:val="00964BBF"/>
    <w:rsid w:val="009650F3"/>
    <w:rsid w:val="00965136"/>
    <w:rsid w:val="0096530D"/>
    <w:rsid w:val="00965DE7"/>
    <w:rsid w:val="00965F68"/>
    <w:rsid w:val="009664E6"/>
    <w:rsid w:val="00966AF3"/>
    <w:rsid w:val="0096705F"/>
    <w:rsid w:val="00967367"/>
    <w:rsid w:val="00967408"/>
    <w:rsid w:val="0096790D"/>
    <w:rsid w:val="00967D7E"/>
    <w:rsid w:val="00967F08"/>
    <w:rsid w:val="00970009"/>
    <w:rsid w:val="0097012E"/>
    <w:rsid w:val="0097013B"/>
    <w:rsid w:val="0097027A"/>
    <w:rsid w:val="00970331"/>
    <w:rsid w:val="009705D5"/>
    <w:rsid w:val="0097097C"/>
    <w:rsid w:val="00971624"/>
    <w:rsid w:val="00971763"/>
    <w:rsid w:val="0097194C"/>
    <w:rsid w:val="009720CA"/>
    <w:rsid w:val="0097248E"/>
    <w:rsid w:val="009737F6"/>
    <w:rsid w:val="00973919"/>
    <w:rsid w:val="00973EB7"/>
    <w:rsid w:val="00974ED1"/>
    <w:rsid w:val="0097651A"/>
    <w:rsid w:val="00976609"/>
    <w:rsid w:val="009766B5"/>
    <w:rsid w:val="00976FB8"/>
    <w:rsid w:val="009773C9"/>
    <w:rsid w:val="00977AB7"/>
    <w:rsid w:val="00977E78"/>
    <w:rsid w:val="00977F6D"/>
    <w:rsid w:val="009801CE"/>
    <w:rsid w:val="00980559"/>
    <w:rsid w:val="00980ADB"/>
    <w:rsid w:val="00980B72"/>
    <w:rsid w:val="00981999"/>
    <w:rsid w:val="00981CB3"/>
    <w:rsid w:val="00983248"/>
    <w:rsid w:val="009832DC"/>
    <w:rsid w:val="00983740"/>
    <w:rsid w:val="00983A78"/>
    <w:rsid w:val="009840C0"/>
    <w:rsid w:val="00984322"/>
    <w:rsid w:val="00984372"/>
    <w:rsid w:val="00984674"/>
    <w:rsid w:val="009848DE"/>
    <w:rsid w:val="00985DB8"/>
    <w:rsid w:val="00986098"/>
    <w:rsid w:val="00986BE0"/>
    <w:rsid w:val="00990D01"/>
    <w:rsid w:val="00990EE2"/>
    <w:rsid w:val="00991C1B"/>
    <w:rsid w:val="009921E9"/>
    <w:rsid w:val="0099276A"/>
    <w:rsid w:val="00992C1A"/>
    <w:rsid w:val="00993D33"/>
    <w:rsid w:val="00993E4A"/>
    <w:rsid w:val="00993EF6"/>
    <w:rsid w:val="0099409A"/>
    <w:rsid w:val="00994A7A"/>
    <w:rsid w:val="00994B23"/>
    <w:rsid w:val="00994E74"/>
    <w:rsid w:val="0099539D"/>
    <w:rsid w:val="009953CD"/>
    <w:rsid w:val="009966AB"/>
    <w:rsid w:val="009978B7"/>
    <w:rsid w:val="009979D5"/>
    <w:rsid w:val="009A083C"/>
    <w:rsid w:val="009A144F"/>
    <w:rsid w:val="009A1F4F"/>
    <w:rsid w:val="009A2C7E"/>
    <w:rsid w:val="009A2DA7"/>
    <w:rsid w:val="009A331D"/>
    <w:rsid w:val="009A370B"/>
    <w:rsid w:val="009A3D30"/>
    <w:rsid w:val="009A3D84"/>
    <w:rsid w:val="009A4449"/>
    <w:rsid w:val="009A4954"/>
    <w:rsid w:val="009A4B34"/>
    <w:rsid w:val="009A51CB"/>
    <w:rsid w:val="009A5206"/>
    <w:rsid w:val="009A5287"/>
    <w:rsid w:val="009A5A0E"/>
    <w:rsid w:val="009A5B03"/>
    <w:rsid w:val="009A5FF1"/>
    <w:rsid w:val="009A670D"/>
    <w:rsid w:val="009A6A75"/>
    <w:rsid w:val="009A6F0F"/>
    <w:rsid w:val="009A757C"/>
    <w:rsid w:val="009A76A0"/>
    <w:rsid w:val="009A7701"/>
    <w:rsid w:val="009A780F"/>
    <w:rsid w:val="009A78D4"/>
    <w:rsid w:val="009A7E24"/>
    <w:rsid w:val="009B0FBD"/>
    <w:rsid w:val="009B1066"/>
    <w:rsid w:val="009B1397"/>
    <w:rsid w:val="009B1430"/>
    <w:rsid w:val="009B1B24"/>
    <w:rsid w:val="009B1C6B"/>
    <w:rsid w:val="009B1D71"/>
    <w:rsid w:val="009B2046"/>
    <w:rsid w:val="009B225A"/>
    <w:rsid w:val="009B235C"/>
    <w:rsid w:val="009B25D0"/>
    <w:rsid w:val="009B264D"/>
    <w:rsid w:val="009B2F91"/>
    <w:rsid w:val="009B3540"/>
    <w:rsid w:val="009B370E"/>
    <w:rsid w:val="009B396F"/>
    <w:rsid w:val="009B3B6E"/>
    <w:rsid w:val="009B43B2"/>
    <w:rsid w:val="009B44AB"/>
    <w:rsid w:val="009B4BF9"/>
    <w:rsid w:val="009B4C39"/>
    <w:rsid w:val="009B53BE"/>
    <w:rsid w:val="009B555C"/>
    <w:rsid w:val="009B6AD3"/>
    <w:rsid w:val="009B6C35"/>
    <w:rsid w:val="009B71CC"/>
    <w:rsid w:val="009C00D2"/>
    <w:rsid w:val="009C016A"/>
    <w:rsid w:val="009C01E9"/>
    <w:rsid w:val="009C0365"/>
    <w:rsid w:val="009C058E"/>
    <w:rsid w:val="009C09EA"/>
    <w:rsid w:val="009C0B48"/>
    <w:rsid w:val="009C0C29"/>
    <w:rsid w:val="009C1135"/>
    <w:rsid w:val="009C11D7"/>
    <w:rsid w:val="009C1E39"/>
    <w:rsid w:val="009C2352"/>
    <w:rsid w:val="009C27D3"/>
    <w:rsid w:val="009C2EED"/>
    <w:rsid w:val="009C3064"/>
    <w:rsid w:val="009C33A3"/>
    <w:rsid w:val="009C46F8"/>
    <w:rsid w:val="009C4885"/>
    <w:rsid w:val="009C5D3E"/>
    <w:rsid w:val="009C6B5A"/>
    <w:rsid w:val="009C76BC"/>
    <w:rsid w:val="009C7877"/>
    <w:rsid w:val="009C795A"/>
    <w:rsid w:val="009C79FA"/>
    <w:rsid w:val="009C7BFA"/>
    <w:rsid w:val="009C7E16"/>
    <w:rsid w:val="009D01DD"/>
    <w:rsid w:val="009D11B3"/>
    <w:rsid w:val="009D16FC"/>
    <w:rsid w:val="009D1828"/>
    <w:rsid w:val="009D1BC9"/>
    <w:rsid w:val="009D1D76"/>
    <w:rsid w:val="009D21FE"/>
    <w:rsid w:val="009D246B"/>
    <w:rsid w:val="009D2787"/>
    <w:rsid w:val="009D2B29"/>
    <w:rsid w:val="009D3777"/>
    <w:rsid w:val="009D4706"/>
    <w:rsid w:val="009D5092"/>
    <w:rsid w:val="009D5A20"/>
    <w:rsid w:val="009D65EF"/>
    <w:rsid w:val="009D7116"/>
    <w:rsid w:val="009D7596"/>
    <w:rsid w:val="009D7930"/>
    <w:rsid w:val="009D79C2"/>
    <w:rsid w:val="009E0460"/>
    <w:rsid w:val="009E0712"/>
    <w:rsid w:val="009E0D21"/>
    <w:rsid w:val="009E136D"/>
    <w:rsid w:val="009E1A8E"/>
    <w:rsid w:val="009E248A"/>
    <w:rsid w:val="009E24CA"/>
    <w:rsid w:val="009E2BC0"/>
    <w:rsid w:val="009E2C0A"/>
    <w:rsid w:val="009E2D0B"/>
    <w:rsid w:val="009E2EA2"/>
    <w:rsid w:val="009E3419"/>
    <w:rsid w:val="009E4719"/>
    <w:rsid w:val="009E487B"/>
    <w:rsid w:val="009E51E9"/>
    <w:rsid w:val="009E52B3"/>
    <w:rsid w:val="009E560A"/>
    <w:rsid w:val="009E5920"/>
    <w:rsid w:val="009E5C7E"/>
    <w:rsid w:val="009E606F"/>
    <w:rsid w:val="009E6553"/>
    <w:rsid w:val="009E6F06"/>
    <w:rsid w:val="009E7348"/>
    <w:rsid w:val="009E783F"/>
    <w:rsid w:val="009E7A4A"/>
    <w:rsid w:val="009F090D"/>
    <w:rsid w:val="009F0C6B"/>
    <w:rsid w:val="009F139F"/>
    <w:rsid w:val="009F190F"/>
    <w:rsid w:val="009F2537"/>
    <w:rsid w:val="009F28C7"/>
    <w:rsid w:val="009F28D5"/>
    <w:rsid w:val="009F3862"/>
    <w:rsid w:val="009F387A"/>
    <w:rsid w:val="009F3897"/>
    <w:rsid w:val="009F5926"/>
    <w:rsid w:val="009F5E66"/>
    <w:rsid w:val="009F5FBA"/>
    <w:rsid w:val="009F6066"/>
    <w:rsid w:val="009F6867"/>
    <w:rsid w:val="009F6AA5"/>
    <w:rsid w:val="009F748B"/>
    <w:rsid w:val="009F7A8D"/>
    <w:rsid w:val="009F7F58"/>
    <w:rsid w:val="00A00C65"/>
    <w:rsid w:val="00A010A7"/>
    <w:rsid w:val="00A0129A"/>
    <w:rsid w:val="00A016AF"/>
    <w:rsid w:val="00A029F4"/>
    <w:rsid w:val="00A037E2"/>
    <w:rsid w:val="00A04299"/>
    <w:rsid w:val="00A059B5"/>
    <w:rsid w:val="00A05B0B"/>
    <w:rsid w:val="00A06056"/>
    <w:rsid w:val="00A0688C"/>
    <w:rsid w:val="00A075F1"/>
    <w:rsid w:val="00A07CED"/>
    <w:rsid w:val="00A10499"/>
    <w:rsid w:val="00A11648"/>
    <w:rsid w:val="00A1198A"/>
    <w:rsid w:val="00A120F3"/>
    <w:rsid w:val="00A12E40"/>
    <w:rsid w:val="00A13BA1"/>
    <w:rsid w:val="00A1473C"/>
    <w:rsid w:val="00A14905"/>
    <w:rsid w:val="00A14CD9"/>
    <w:rsid w:val="00A1573D"/>
    <w:rsid w:val="00A1582B"/>
    <w:rsid w:val="00A158EC"/>
    <w:rsid w:val="00A158FD"/>
    <w:rsid w:val="00A1606D"/>
    <w:rsid w:val="00A163FA"/>
    <w:rsid w:val="00A1773F"/>
    <w:rsid w:val="00A20824"/>
    <w:rsid w:val="00A20A17"/>
    <w:rsid w:val="00A20D7A"/>
    <w:rsid w:val="00A215CB"/>
    <w:rsid w:val="00A2172B"/>
    <w:rsid w:val="00A21D35"/>
    <w:rsid w:val="00A2226B"/>
    <w:rsid w:val="00A22750"/>
    <w:rsid w:val="00A228C8"/>
    <w:rsid w:val="00A22B60"/>
    <w:rsid w:val="00A22D6F"/>
    <w:rsid w:val="00A22E78"/>
    <w:rsid w:val="00A237D9"/>
    <w:rsid w:val="00A2384D"/>
    <w:rsid w:val="00A23A5B"/>
    <w:rsid w:val="00A23BD4"/>
    <w:rsid w:val="00A246B1"/>
    <w:rsid w:val="00A253AD"/>
    <w:rsid w:val="00A2568B"/>
    <w:rsid w:val="00A26057"/>
    <w:rsid w:val="00A26585"/>
    <w:rsid w:val="00A27277"/>
    <w:rsid w:val="00A272A7"/>
    <w:rsid w:val="00A279CE"/>
    <w:rsid w:val="00A27E94"/>
    <w:rsid w:val="00A30342"/>
    <w:rsid w:val="00A30443"/>
    <w:rsid w:val="00A30C5B"/>
    <w:rsid w:val="00A30EE8"/>
    <w:rsid w:val="00A31CDD"/>
    <w:rsid w:val="00A31D90"/>
    <w:rsid w:val="00A32329"/>
    <w:rsid w:val="00A32440"/>
    <w:rsid w:val="00A3273D"/>
    <w:rsid w:val="00A32C09"/>
    <w:rsid w:val="00A33520"/>
    <w:rsid w:val="00A337AC"/>
    <w:rsid w:val="00A356B2"/>
    <w:rsid w:val="00A357C2"/>
    <w:rsid w:val="00A35D0A"/>
    <w:rsid w:val="00A3606E"/>
    <w:rsid w:val="00A368AC"/>
    <w:rsid w:val="00A3753E"/>
    <w:rsid w:val="00A37739"/>
    <w:rsid w:val="00A37AE0"/>
    <w:rsid w:val="00A40903"/>
    <w:rsid w:val="00A40B61"/>
    <w:rsid w:val="00A40F3F"/>
    <w:rsid w:val="00A41381"/>
    <w:rsid w:val="00A414BF"/>
    <w:rsid w:val="00A415AE"/>
    <w:rsid w:val="00A41DC0"/>
    <w:rsid w:val="00A41DEB"/>
    <w:rsid w:val="00A4217E"/>
    <w:rsid w:val="00A42570"/>
    <w:rsid w:val="00A42977"/>
    <w:rsid w:val="00A42A19"/>
    <w:rsid w:val="00A42B29"/>
    <w:rsid w:val="00A42FD1"/>
    <w:rsid w:val="00A4368E"/>
    <w:rsid w:val="00A4386C"/>
    <w:rsid w:val="00A43997"/>
    <w:rsid w:val="00A43D2A"/>
    <w:rsid w:val="00A43D59"/>
    <w:rsid w:val="00A43DF2"/>
    <w:rsid w:val="00A443A8"/>
    <w:rsid w:val="00A443D0"/>
    <w:rsid w:val="00A44A19"/>
    <w:rsid w:val="00A44CBD"/>
    <w:rsid w:val="00A451A2"/>
    <w:rsid w:val="00A455D9"/>
    <w:rsid w:val="00A455E4"/>
    <w:rsid w:val="00A45760"/>
    <w:rsid w:val="00A457D1"/>
    <w:rsid w:val="00A45F52"/>
    <w:rsid w:val="00A46AD1"/>
    <w:rsid w:val="00A46F6D"/>
    <w:rsid w:val="00A46FFA"/>
    <w:rsid w:val="00A475EE"/>
    <w:rsid w:val="00A478CC"/>
    <w:rsid w:val="00A47B05"/>
    <w:rsid w:val="00A50AF4"/>
    <w:rsid w:val="00A50E13"/>
    <w:rsid w:val="00A51014"/>
    <w:rsid w:val="00A51573"/>
    <w:rsid w:val="00A516B8"/>
    <w:rsid w:val="00A51A13"/>
    <w:rsid w:val="00A51DA8"/>
    <w:rsid w:val="00A51E51"/>
    <w:rsid w:val="00A51ECF"/>
    <w:rsid w:val="00A52913"/>
    <w:rsid w:val="00A52F9F"/>
    <w:rsid w:val="00A536AF"/>
    <w:rsid w:val="00A547B3"/>
    <w:rsid w:val="00A54DE0"/>
    <w:rsid w:val="00A55AF8"/>
    <w:rsid w:val="00A608E7"/>
    <w:rsid w:val="00A60E14"/>
    <w:rsid w:val="00A61A2B"/>
    <w:rsid w:val="00A61C90"/>
    <w:rsid w:val="00A6211F"/>
    <w:rsid w:val="00A62989"/>
    <w:rsid w:val="00A62F23"/>
    <w:rsid w:val="00A63094"/>
    <w:rsid w:val="00A6309D"/>
    <w:rsid w:val="00A639E3"/>
    <w:rsid w:val="00A63D16"/>
    <w:rsid w:val="00A63EA2"/>
    <w:rsid w:val="00A6462D"/>
    <w:rsid w:val="00A6474D"/>
    <w:rsid w:val="00A647E4"/>
    <w:rsid w:val="00A648A0"/>
    <w:rsid w:val="00A6554F"/>
    <w:rsid w:val="00A65B67"/>
    <w:rsid w:val="00A65C5B"/>
    <w:rsid w:val="00A677D1"/>
    <w:rsid w:val="00A67A2C"/>
    <w:rsid w:val="00A67D44"/>
    <w:rsid w:val="00A7015B"/>
    <w:rsid w:val="00A703D8"/>
    <w:rsid w:val="00A705C4"/>
    <w:rsid w:val="00A70AE6"/>
    <w:rsid w:val="00A70F76"/>
    <w:rsid w:val="00A7116B"/>
    <w:rsid w:val="00A7176B"/>
    <w:rsid w:val="00A71D1D"/>
    <w:rsid w:val="00A7218E"/>
    <w:rsid w:val="00A7232D"/>
    <w:rsid w:val="00A7257B"/>
    <w:rsid w:val="00A72699"/>
    <w:rsid w:val="00A73A1B"/>
    <w:rsid w:val="00A73D14"/>
    <w:rsid w:val="00A73F7E"/>
    <w:rsid w:val="00A7514B"/>
    <w:rsid w:val="00A754E7"/>
    <w:rsid w:val="00A75703"/>
    <w:rsid w:val="00A7585A"/>
    <w:rsid w:val="00A7595C"/>
    <w:rsid w:val="00A75E13"/>
    <w:rsid w:val="00A7647C"/>
    <w:rsid w:val="00A76776"/>
    <w:rsid w:val="00A769E9"/>
    <w:rsid w:val="00A76D09"/>
    <w:rsid w:val="00A770F0"/>
    <w:rsid w:val="00A7714E"/>
    <w:rsid w:val="00A81609"/>
    <w:rsid w:val="00A817E5"/>
    <w:rsid w:val="00A81FBF"/>
    <w:rsid w:val="00A82130"/>
    <w:rsid w:val="00A82200"/>
    <w:rsid w:val="00A82495"/>
    <w:rsid w:val="00A82567"/>
    <w:rsid w:val="00A826AE"/>
    <w:rsid w:val="00A82DC0"/>
    <w:rsid w:val="00A8313C"/>
    <w:rsid w:val="00A84170"/>
    <w:rsid w:val="00A84FD0"/>
    <w:rsid w:val="00A85731"/>
    <w:rsid w:val="00A85E99"/>
    <w:rsid w:val="00A86607"/>
    <w:rsid w:val="00A8679F"/>
    <w:rsid w:val="00A86F0E"/>
    <w:rsid w:val="00A878F9"/>
    <w:rsid w:val="00A87D1B"/>
    <w:rsid w:val="00A90568"/>
    <w:rsid w:val="00A91763"/>
    <w:rsid w:val="00A9194C"/>
    <w:rsid w:val="00A91D05"/>
    <w:rsid w:val="00A93280"/>
    <w:rsid w:val="00A934FE"/>
    <w:rsid w:val="00A935BE"/>
    <w:rsid w:val="00A94064"/>
    <w:rsid w:val="00A94789"/>
    <w:rsid w:val="00A9596E"/>
    <w:rsid w:val="00A95EFD"/>
    <w:rsid w:val="00A95F86"/>
    <w:rsid w:val="00A96357"/>
    <w:rsid w:val="00A9679B"/>
    <w:rsid w:val="00A96887"/>
    <w:rsid w:val="00A978FE"/>
    <w:rsid w:val="00A97EF3"/>
    <w:rsid w:val="00AA0075"/>
    <w:rsid w:val="00AA0336"/>
    <w:rsid w:val="00AA057F"/>
    <w:rsid w:val="00AA0D5A"/>
    <w:rsid w:val="00AA0EF4"/>
    <w:rsid w:val="00AA10C7"/>
    <w:rsid w:val="00AA1AAD"/>
    <w:rsid w:val="00AA1F6F"/>
    <w:rsid w:val="00AA2106"/>
    <w:rsid w:val="00AA23A8"/>
    <w:rsid w:val="00AA252D"/>
    <w:rsid w:val="00AA2855"/>
    <w:rsid w:val="00AA2A9E"/>
    <w:rsid w:val="00AA2FB1"/>
    <w:rsid w:val="00AA318A"/>
    <w:rsid w:val="00AA3868"/>
    <w:rsid w:val="00AA3C73"/>
    <w:rsid w:val="00AA4724"/>
    <w:rsid w:val="00AA55DE"/>
    <w:rsid w:val="00AA60F4"/>
    <w:rsid w:val="00AA670E"/>
    <w:rsid w:val="00AA676A"/>
    <w:rsid w:val="00AA69E3"/>
    <w:rsid w:val="00AA7BCB"/>
    <w:rsid w:val="00AA7DC2"/>
    <w:rsid w:val="00AB0123"/>
    <w:rsid w:val="00AB08D7"/>
    <w:rsid w:val="00AB1553"/>
    <w:rsid w:val="00AB2548"/>
    <w:rsid w:val="00AB2A52"/>
    <w:rsid w:val="00AB2C9C"/>
    <w:rsid w:val="00AB2EA4"/>
    <w:rsid w:val="00AB36A1"/>
    <w:rsid w:val="00AB40B1"/>
    <w:rsid w:val="00AB4111"/>
    <w:rsid w:val="00AB46D0"/>
    <w:rsid w:val="00AB4D60"/>
    <w:rsid w:val="00AB5F60"/>
    <w:rsid w:val="00AB6BBD"/>
    <w:rsid w:val="00AB73FF"/>
    <w:rsid w:val="00AB77A7"/>
    <w:rsid w:val="00AB7D1B"/>
    <w:rsid w:val="00AC001C"/>
    <w:rsid w:val="00AC02FA"/>
    <w:rsid w:val="00AC133E"/>
    <w:rsid w:val="00AC1415"/>
    <w:rsid w:val="00AC1C83"/>
    <w:rsid w:val="00AC1DB1"/>
    <w:rsid w:val="00AC2338"/>
    <w:rsid w:val="00AC277F"/>
    <w:rsid w:val="00AC2F85"/>
    <w:rsid w:val="00AC3B49"/>
    <w:rsid w:val="00AC3FA1"/>
    <w:rsid w:val="00AC4139"/>
    <w:rsid w:val="00AC4855"/>
    <w:rsid w:val="00AC49F7"/>
    <w:rsid w:val="00AC4F24"/>
    <w:rsid w:val="00AC536B"/>
    <w:rsid w:val="00AC53F0"/>
    <w:rsid w:val="00AC5D35"/>
    <w:rsid w:val="00AC6A9B"/>
    <w:rsid w:val="00AC6AB8"/>
    <w:rsid w:val="00AC6ED0"/>
    <w:rsid w:val="00AC722A"/>
    <w:rsid w:val="00AC79FC"/>
    <w:rsid w:val="00AD03B8"/>
    <w:rsid w:val="00AD04E2"/>
    <w:rsid w:val="00AD06D9"/>
    <w:rsid w:val="00AD0831"/>
    <w:rsid w:val="00AD1047"/>
    <w:rsid w:val="00AD1784"/>
    <w:rsid w:val="00AD1B5F"/>
    <w:rsid w:val="00AD1FD7"/>
    <w:rsid w:val="00AD2676"/>
    <w:rsid w:val="00AD28F7"/>
    <w:rsid w:val="00AD29A7"/>
    <w:rsid w:val="00AD2CD6"/>
    <w:rsid w:val="00AD2D7F"/>
    <w:rsid w:val="00AD3168"/>
    <w:rsid w:val="00AD3A94"/>
    <w:rsid w:val="00AD3CD9"/>
    <w:rsid w:val="00AD4311"/>
    <w:rsid w:val="00AD4B66"/>
    <w:rsid w:val="00AD5316"/>
    <w:rsid w:val="00AD5576"/>
    <w:rsid w:val="00AD57A8"/>
    <w:rsid w:val="00AD5953"/>
    <w:rsid w:val="00AD5CC6"/>
    <w:rsid w:val="00AD5CEB"/>
    <w:rsid w:val="00AD5F11"/>
    <w:rsid w:val="00AD7026"/>
    <w:rsid w:val="00AD7182"/>
    <w:rsid w:val="00AD7B8D"/>
    <w:rsid w:val="00AE0775"/>
    <w:rsid w:val="00AE1158"/>
    <w:rsid w:val="00AE11D3"/>
    <w:rsid w:val="00AE11DB"/>
    <w:rsid w:val="00AE11FA"/>
    <w:rsid w:val="00AE1262"/>
    <w:rsid w:val="00AE1314"/>
    <w:rsid w:val="00AE14B1"/>
    <w:rsid w:val="00AE1838"/>
    <w:rsid w:val="00AE1DAD"/>
    <w:rsid w:val="00AE1EA0"/>
    <w:rsid w:val="00AE2D8E"/>
    <w:rsid w:val="00AE324B"/>
    <w:rsid w:val="00AE385E"/>
    <w:rsid w:val="00AE3D93"/>
    <w:rsid w:val="00AE4ABE"/>
    <w:rsid w:val="00AE4D23"/>
    <w:rsid w:val="00AE5749"/>
    <w:rsid w:val="00AE599C"/>
    <w:rsid w:val="00AE5BE7"/>
    <w:rsid w:val="00AE64AC"/>
    <w:rsid w:val="00AE6FD4"/>
    <w:rsid w:val="00AE6FDF"/>
    <w:rsid w:val="00AE70ED"/>
    <w:rsid w:val="00AE74DF"/>
    <w:rsid w:val="00AE752E"/>
    <w:rsid w:val="00AF08F0"/>
    <w:rsid w:val="00AF139C"/>
    <w:rsid w:val="00AF1E3A"/>
    <w:rsid w:val="00AF1F43"/>
    <w:rsid w:val="00AF239D"/>
    <w:rsid w:val="00AF28CA"/>
    <w:rsid w:val="00AF3062"/>
    <w:rsid w:val="00AF3D25"/>
    <w:rsid w:val="00AF50FF"/>
    <w:rsid w:val="00AF533B"/>
    <w:rsid w:val="00AF5E22"/>
    <w:rsid w:val="00AF5F7A"/>
    <w:rsid w:val="00AF6A4A"/>
    <w:rsid w:val="00AF7AB9"/>
    <w:rsid w:val="00AF7FD7"/>
    <w:rsid w:val="00B00326"/>
    <w:rsid w:val="00B004A4"/>
    <w:rsid w:val="00B008AC"/>
    <w:rsid w:val="00B00DA6"/>
    <w:rsid w:val="00B01269"/>
    <w:rsid w:val="00B0144E"/>
    <w:rsid w:val="00B015E4"/>
    <w:rsid w:val="00B01604"/>
    <w:rsid w:val="00B01B58"/>
    <w:rsid w:val="00B0257E"/>
    <w:rsid w:val="00B02AEE"/>
    <w:rsid w:val="00B03701"/>
    <w:rsid w:val="00B0441A"/>
    <w:rsid w:val="00B04DFB"/>
    <w:rsid w:val="00B04F91"/>
    <w:rsid w:val="00B05017"/>
    <w:rsid w:val="00B05733"/>
    <w:rsid w:val="00B05998"/>
    <w:rsid w:val="00B05AB9"/>
    <w:rsid w:val="00B05B00"/>
    <w:rsid w:val="00B06036"/>
    <w:rsid w:val="00B06077"/>
    <w:rsid w:val="00B0680D"/>
    <w:rsid w:val="00B072DC"/>
    <w:rsid w:val="00B075E4"/>
    <w:rsid w:val="00B10A43"/>
    <w:rsid w:val="00B10FB5"/>
    <w:rsid w:val="00B11A35"/>
    <w:rsid w:val="00B11AFF"/>
    <w:rsid w:val="00B12E28"/>
    <w:rsid w:val="00B149D2"/>
    <w:rsid w:val="00B15095"/>
    <w:rsid w:val="00B15554"/>
    <w:rsid w:val="00B15BE8"/>
    <w:rsid w:val="00B15FB4"/>
    <w:rsid w:val="00B16199"/>
    <w:rsid w:val="00B16C3E"/>
    <w:rsid w:val="00B16D88"/>
    <w:rsid w:val="00B16E6E"/>
    <w:rsid w:val="00B1709C"/>
    <w:rsid w:val="00B17A38"/>
    <w:rsid w:val="00B17D0E"/>
    <w:rsid w:val="00B202A1"/>
    <w:rsid w:val="00B20374"/>
    <w:rsid w:val="00B206BF"/>
    <w:rsid w:val="00B21231"/>
    <w:rsid w:val="00B2135B"/>
    <w:rsid w:val="00B213F2"/>
    <w:rsid w:val="00B21785"/>
    <w:rsid w:val="00B21904"/>
    <w:rsid w:val="00B21935"/>
    <w:rsid w:val="00B21AFE"/>
    <w:rsid w:val="00B21D08"/>
    <w:rsid w:val="00B22930"/>
    <w:rsid w:val="00B22A66"/>
    <w:rsid w:val="00B22C00"/>
    <w:rsid w:val="00B230B7"/>
    <w:rsid w:val="00B23C36"/>
    <w:rsid w:val="00B2433C"/>
    <w:rsid w:val="00B246D4"/>
    <w:rsid w:val="00B26189"/>
    <w:rsid w:val="00B263B3"/>
    <w:rsid w:val="00B26540"/>
    <w:rsid w:val="00B269AD"/>
    <w:rsid w:val="00B26D2C"/>
    <w:rsid w:val="00B26F9C"/>
    <w:rsid w:val="00B27393"/>
    <w:rsid w:val="00B307C0"/>
    <w:rsid w:val="00B30C90"/>
    <w:rsid w:val="00B31095"/>
    <w:rsid w:val="00B316A1"/>
    <w:rsid w:val="00B3211B"/>
    <w:rsid w:val="00B323C8"/>
    <w:rsid w:val="00B34B4D"/>
    <w:rsid w:val="00B34F72"/>
    <w:rsid w:val="00B35B06"/>
    <w:rsid w:val="00B36966"/>
    <w:rsid w:val="00B3776C"/>
    <w:rsid w:val="00B37969"/>
    <w:rsid w:val="00B40690"/>
    <w:rsid w:val="00B40FEB"/>
    <w:rsid w:val="00B41D2A"/>
    <w:rsid w:val="00B41DA9"/>
    <w:rsid w:val="00B42034"/>
    <w:rsid w:val="00B4269D"/>
    <w:rsid w:val="00B4280D"/>
    <w:rsid w:val="00B42B0A"/>
    <w:rsid w:val="00B42CEE"/>
    <w:rsid w:val="00B43160"/>
    <w:rsid w:val="00B43659"/>
    <w:rsid w:val="00B4398B"/>
    <w:rsid w:val="00B439BF"/>
    <w:rsid w:val="00B43D8E"/>
    <w:rsid w:val="00B43FF7"/>
    <w:rsid w:val="00B4458D"/>
    <w:rsid w:val="00B44EB6"/>
    <w:rsid w:val="00B45695"/>
    <w:rsid w:val="00B45BB7"/>
    <w:rsid w:val="00B4601B"/>
    <w:rsid w:val="00B46913"/>
    <w:rsid w:val="00B46943"/>
    <w:rsid w:val="00B47309"/>
    <w:rsid w:val="00B47812"/>
    <w:rsid w:val="00B50B42"/>
    <w:rsid w:val="00B50E2F"/>
    <w:rsid w:val="00B517EA"/>
    <w:rsid w:val="00B51E7B"/>
    <w:rsid w:val="00B5220B"/>
    <w:rsid w:val="00B527AB"/>
    <w:rsid w:val="00B52A44"/>
    <w:rsid w:val="00B531EB"/>
    <w:rsid w:val="00B542E1"/>
    <w:rsid w:val="00B543C4"/>
    <w:rsid w:val="00B54560"/>
    <w:rsid w:val="00B548A1"/>
    <w:rsid w:val="00B54DEE"/>
    <w:rsid w:val="00B557AC"/>
    <w:rsid w:val="00B55A2A"/>
    <w:rsid w:val="00B56476"/>
    <w:rsid w:val="00B56796"/>
    <w:rsid w:val="00B5752C"/>
    <w:rsid w:val="00B57880"/>
    <w:rsid w:val="00B57B9D"/>
    <w:rsid w:val="00B6009E"/>
    <w:rsid w:val="00B60235"/>
    <w:rsid w:val="00B603F1"/>
    <w:rsid w:val="00B60BD5"/>
    <w:rsid w:val="00B60C9E"/>
    <w:rsid w:val="00B612D2"/>
    <w:rsid w:val="00B61507"/>
    <w:rsid w:val="00B617FF"/>
    <w:rsid w:val="00B620F0"/>
    <w:rsid w:val="00B62287"/>
    <w:rsid w:val="00B62A99"/>
    <w:rsid w:val="00B62C78"/>
    <w:rsid w:val="00B633EF"/>
    <w:rsid w:val="00B6379A"/>
    <w:rsid w:val="00B63EF2"/>
    <w:rsid w:val="00B64019"/>
    <w:rsid w:val="00B649CC"/>
    <w:rsid w:val="00B64AC2"/>
    <w:rsid w:val="00B64F42"/>
    <w:rsid w:val="00B65AAD"/>
    <w:rsid w:val="00B65B86"/>
    <w:rsid w:val="00B66B79"/>
    <w:rsid w:val="00B66D5C"/>
    <w:rsid w:val="00B673B3"/>
    <w:rsid w:val="00B67462"/>
    <w:rsid w:val="00B67544"/>
    <w:rsid w:val="00B6778A"/>
    <w:rsid w:val="00B67D70"/>
    <w:rsid w:val="00B70B15"/>
    <w:rsid w:val="00B70CF9"/>
    <w:rsid w:val="00B71257"/>
    <w:rsid w:val="00B713CB"/>
    <w:rsid w:val="00B71976"/>
    <w:rsid w:val="00B71D0B"/>
    <w:rsid w:val="00B71DF9"/>
    <w:rsid w:val="00B71E13"/>
    <w:rsid w:val="00B71E54"/>
    <w:rsid w:val="00B71EC7"/>
    <w:rsid w:val="00B7215D"/>
    <w:rsid w:val="00B725E2"/>
    <w:rsid w:val="00B72773"/>
    <w:rsid w:val="00B7309F"/>
    <w:rsid w:val="00B73AE1"/>
    <w:rsid w:val="00B747CF"/>
    <w:rsid w:val="00B74808"/>
    <w:rsid w:val="00B74958"/>
    <w:rsid w:val="00B74C7D"/>
    <w:rsid w:val="00B74D16"/>
    <w:rsid w:val="00B7519F"/>
    <w:rsid w:val="00B75205"/>
    <w:rsid w:val="00B753AB"/>
    <w:rsid w:val="00B753DE"/>
    <w:rsid w:val="00B75970"/>
    <w:rsid w:val="00B76566"/>
    <w:rsid w:val="00B77292"/>
    <w:rsid w:val="00B77A73"/>
    <w:rsid w:val="00B803CA"/>
    <w:rsid w:val="00B80833"/>
    <w:rsid w:val="00B80A33"/>
    <w:rsid w:val="00B80DBC"/>
    <w:rsid w:val="00B81329"/>
    <w:rsid w:val="00B81A75"/>
    <w:rsid w:val="00B82331"/>
    <w:rsid w:val="00B8373D"/>
    <w:rsid w:val="00B839BC"/>
    <w:rsid w:val="00B84C25"/>
    <w:rsid w:val="00B84D6E"/>
    <w:rsid w:val="00B84FDB"/>
    <w:rsid w:val="00B8541F"/>
    <w:rsid w:val="00B8564B"/>
    <w:rsid w:val="00B85CCA"/>
    <w:rsid w:val="00B85D6C"/>
    <w:rsid w:val="00B85E1F"/>
    <w:rsid w:val="00B86726"/>
    <w:rsid w:val="00B868FE"/>
    <w:rsid w:val="00B876E2"/>
    <w:rsid w:val="00B87951"/>
    <w:rsid w:val="00B9005B"/>
    <w:rsid w:val="00B90BD0"/>
    <w:rsid w:val="00B91320"/>
    <w:rsid w:val="00B91935"/>
    <w:rsid w:val="00B91A8C"/>
    <w:rsid w:val="00B9201D"/>
    <w:rsid w:val="00B92352"/>
    <w:rsid w:val="00B92973"/>
    <w:rsid w:val="00B93B66"/>
    <w:rsid w:val="00B93DAB"/>
    <w:rsid w:val="00B93EFE"/>
    <w:rsid w:val="00B9424E"/>
    <w:rsid w:val="00B9428F"/>
    <w:rsid w:val="00B943E8"/>
    <w:rsid w:val="00B94771"/>
    <w:rsid w:val="00B949C5"/>
    <w:rsid w:val="00B94B88"/>
    <w:rsid w:val="00B94E96"/>
    <w:rsid w:val="00B95411"/>
    <w:rsid w:val="00B959CC"/>
    <w:rsid w:val="00B96973"/>
    <w:rsid w:val="00B96B79"/>
    <w:rsid w:val="00B97757"/>
    <w:rsid w:val="00B977DF"/>
    <w:rsid w:val="00BA104E"/>
    <w:rsid w:val="00BA1296"/>
    <w:rsid w:val="00BA1355"/>
    <w:rsid w:val="00BA1746"/>
    <w:rsid w:val="00BA179F"/>
    <w:rsid w:val="00BA17D0"/>
    <w:rsid w:val="00BA1F90"/>
    <w:rsid w:val="00BA2006"/>
    <w:rsid w:val="00BA2314"/>
    <w:rsid w:val="00BA2466"/>
    <w:rsid w:val="00BA2645"/>
    <w:rsid w:val="00BA2708"/>
    <w:rsid w:val="00BA4ED5"/>
    <w:rsid w:val="00BA5B65"/>
    <w:rsid w:val="00BA64BE"/>
    <w:rsid w:val="00BA6E77"/>
    <w:rsid w:val="00BA7064"/>
    <w:rsid w:val="00BA77B4"/>
    <w:rsid w:val="00BB1B2F"/>
    <w:rsid w:val="00BB1F66"/>
    <w:rsid w:val="00BB2BE3"/>
    <w:rsid w:val="00BB30CA"/>
    <w:rsid w:val="00BB322B"/>
    <w:rsid w:val="00BB3A2F"/>
    <w:rsid w:val="00BB4FFE"/>
    <w:rsid w:val="00BB6C59"/>
    <w:rsid w:val="00BB6F0D"/>
    <w:rsid w:val="00BB71B8"/>
    <w:rsid w:val="00BB75D1"/>
    <w:rsid w:val="00BB7839"/>
    <w:rsid w:val="00BB7854"/>
    <w:rsid w:val="00BB78B1"/>
    <w:rsid w:val="00BB7917"/>
    <w:rsid w:val="00BB7E78"/>
    <w:rsid w:val="00BC02FD"/>
    <w:rsid w:val="00BC0F21"/>
    <w:rsid w:val="00BC17CA"/>
    <w:rsid w:val="00BC19C8"/>
    <w:rsid w:val="00BC1B43"/>
    <w:rsid w:val="00BC2269"/>
    <w:rsid w:val="00BC230C"/>
    <w:rsid w:val="00BC272D"/>
    <w:rsid w:val="00BC2CDB"/>
    <w:rsid w:val="00BC3123"/>
    <w:rsid w:val="00BC34BB"/>
    <w:rsid w:val="00BC3A68"/>
    <w:rsid w:val="00BC434C"/>
    <w:rsid w:val="00BC4409"/>
    <w:rsid w:val="00BC5397"/>
    <w:rsid w:val="00BC53DE"/>
    <w:rsid w:val="00BC552E"/>
    <w:rsid w:val="00BC592D"/>
    <w:rsid w:val="00BC5D41"/>
    <w:rsid w:val="00BC62FE"/>
    <w:rsid w:val="00BC6622"/>
    <w:rsid w:val="00BC674F"/>
    <w:rsid w:val="00BC69FC"/>
    <w:rsid w:val="00BC6D91"/>
    <w:rsid w:val="00BC7924"/>
    <w:rsid w:val="00BC79F3"/>
    <w:rsid w:val="00BD054B"/>
    <w:rsid w:val="00BD165F"/>
    <w:rsid w:val="00BD17E8"/>
    <w:rsid w:val="00BD1E9F"/>
    <w:rsid w:val="00BD3600"/>
    <w:rsid w:val="00BD388F"/>
    <w:rsid w:val="00BD47A8"/>
    <w:rsid w:val="00BD4E31"/>
    <w:rsid w:val="00BD6B2F"/>
    <w:rsid w:val="00BD76DA"/>
    <w:rsid w:val="00BD79BE"/>
    <w:rsid w:val="00BD7D0F"/>
    <w:rsid w:val="00BE00B2"/>
    <w:rsid w:val="00BE056B"/>
    <w:rsid w:val="00BE0D93"/>
    <w:rsid w:val="00BE174A"/>
    <w:rsid w:val="00BE268B"/>
    <w:rsid w:val="00BE2975"/>
    <w:rsid w:val="00BE3035"/>
    <w:rsid w:val="00BE3E9B"/>
    <w:rsid w:val="00BE489A"/>
    <w:rsid w:val="00BE584B"/>
    <w:rsid w:val="00BE5933"/>
    <w:rsid w:val="00BE5E33"/>
    <w:rsid w:val="00BE68A7"/>
    <w:rsid w:val="00BE7D49"/>
    <w:rsid w:val="00BF0652"/>
    <w:rsid w:val="00BF081E"/>
    <w:rsid w:val="00BF0B78"/>
    <w:rsid w:val="00BF0BFA"/>
    <w:rsid w:val="00BF0FE7"/>
    <w:rsid w:val="00BF1830"/>
    <w:rsid w:val="00BF2581"/>
    <w:rsid w:val="00BF3C8D"/>
    <w:rsid w:val="00BF4168"/>
    <w:rsid w:val="00BF424D"/>
    <w:rsid w:val="00BF5416"/>
    <w:rsid w:val="00BF55FE"/>
    <w:rsid w:val="00BF56F0"/>
    <w:rsid w:val="00BF5A0E"/>
    <w:rsid w:val="00BF5E3B"/>
    <w:rsid w:val="00BF63B2"/>
    <w:rsid w:val="00BF6B7F"/>
    <w:rsid w:val="00BF71F2"/>
    <w:rsid w:val="00BF7304"/>
    <w:rsid w:val="00BF7E14"/>
    <w:rsid w:val="00C00776"/>
    <w:rsid w:val="00C00F09"/>
    <w:rsid w:val="00C01BCA"/>
    <w:rsid w:val="00C023EF"/>
    <w:rsid w:val="00C02F28"/>
    <w:rsid w:val="00C03FCA"/>
    <w:rsid w:val="00C052C8"/>
    <w:rsid w:val="00C05C9F"/>
    <w:rsid w:val="00C05FA2"/>
    <w:rsid w:val="00C0612E"/>
    <w:rsid w:val="00C06464"/>
    <w:rsid w:val="00C067F3"/>
    <w:rsid w:val="00C06A50"/>
    <w:rsid w:val="00C06B22"/>
    <w:rsid w:val="00C06B3A"/>
    <w:rsid w:val="00C06BE8"/>
    <w:rsid w:val="00C06D90"/>
    <w:rsid w:val="00C07796"/>
    <w:rsid w:val="00C10CC0"/>
    <w:rsid w:val="00C114FB"/>
    <w:rsid w:val="00C11D18"/>
    <w:rsid w:val="00C1276D"/>
    <w:rsid w:val="00C12DF5"/>
    <w:rsid w:val="00C1326F"/>
    <w:rsid w:val="00C134A4"/>
    <w:rsid w:val="00C14CC8"/>
    <w:rsid w:val="00C15406"/>
    <w:rsid w:val="00C15C6A"/>
    <w:rsid w:val="00C15ECF"/>
    <w:rsid w:val="00C162DB"/>
    <w:rsid w:val="00C16487"/>
    <w:rsid w:val="00C16AAC"/>
    <w:rsid w:val="00C17013"/>
    <w:rsid w:val="00C2011F"/>
    <w:rsid w:val="00C20DFF"/>
    <w:rsid w:val="00C211A5"/>
    <w:rsid w:val="00C21383"/>
    <w:rsid w:val="00C2138A"/>
    <w:rsid w:val="00C213EE"/>
    <w:rsid w:val="00C21669"/>
    <w:rsid w:val="00C2275B"/>
    <w:rsid w:val="00C22C3C"/>
    <w:rsid w:val="00C2323D"/>
    <w:rsid w:val="00C238E7"/>
    <w:rsid w:val="00C23914"/>
    <w:rsid w:val="00C2398B"/>
    <w:rsid w:val="00C239AC"/>
    <w:rsid w:val="00C239E1"/>
    <w:rsid w:val="00C23D5E"/>
    <w:rsid w:val="00C23E3A"/>
    <w:rsid w:val="00C24B0B"/>
    <w:rsid w:val="00C24F9C"/>
    <w:rsid w:val="00C25EC4"/>
    <w:rsid w:val="00C261D3"/>
    <w:rsid w:val="00C2623D"/>
    <w:rsid w:val="00C263F1"/>
    <w:rsid w:val="00C26F31"/>
    <w:rsid w:val="00C27679"/>
    <w:rsid w:val="00C27BE7"/>
    <w:rsid w:val="00C3034D"/>
    <w:rsid w:val="00C31760"/>
    <w:rsid w:val="00C31BCF"/>
    <w:rsid w:val="00C322C5"/>
    <w:rsid w:val="00C32994"/>
    <w:rsid w:val="00C32D32"/>
    <w:rsid w:val="00C339C7"/>
    <w:rsid w:val="00C33BEC"/>
    <w:rsid w:val="00C34819"/>
    <w:rsid w:val="00C353D3"/>
    <w:rsid w:val="00C353F4"/>
    <w:rsid w:val="00C35BA8"/>
    <w:rsid w:val="00C3647A"/>
    <w:rsid w:val="00C37DCF"/>
    <w:rsid w:val="00C41448"/>
    <w:rsid w:val="00C4188E"/>
    <w:rsid w:val="00C41C5D"/>
    <w:rsid w:val="00C41E93"/>
    <w:rsid w:val="00C44908"/>
    <w:rsid w:val="00C450B6"/>
    <w:rsid w:val="00C4541E"/>
    <w:rsid w:val="00C45696"/>
    <w:rsid w:val="00C456FE"/>
    <w:rsid w:val="00C45C7E"/>
    <w:rsid w:val="00C45E20"/>
    <w:rsid w:val="00C4695B"/>
    <w:rsid w:val="00C47369"/>
    <w:rsid w:val="00C4752A"/>
    <w:rsid w:val="00C4780E"/>
    <w:rsid w:val="00C47920"/>
    <w:rsid w:val="00C47E51"/>
    <w:rsid w:val="00C503CB"/>
    <w:rsid w:val="00C506AA"/>
    <w:rsid w:val="00C50C02"/>
    <w:rsid w:val="00C5185F"/>
    <w:rsid w:val="00C51BF8"/>
    <w:rsid w:val="00C52EF1"/>
    <w:rsid w:val="00C535D4"/>
    <w:rsid w:val="00C53E10"/>
    <w:rsid w:val="00C5482D"/>
    <w:rsid w:val="00C54AF2"/>
    <w:rsid w:val="00C55189"/>
    <w:rsid w:val="00C55251"/>
    <w:rsid w:val="00C55389"/>
    <w:rsid w:val="00C554B5"/>
    <w:rsid w:val="00C555C0"/>
    <w:rsid w:val="00C5572F"/>
    <w:rsid w:val="00C5579F"/>
    <w:rsid w:val="00C5582B"/>
    <w:rsid w:val="00C55C65"/>
    <w:rsid w:val="00C55E9B"/>
    <w:rsid w:val="00C56143"/>
    <w:rsid w:val="00C56377"/>
    <w:rsid w:val="00C566AF"/>
    <w:rsid w:val="00C56A00"/>
    <w:rsid w:val="00C56C4F"/>
    <w:rsid w:val="00C57817"/>
    <w:rsid w:val="00C57A78"/>
    <w:rsid w:val="00C6084A"/>
    <w:rsid w:val="00C60970"/>
    <w:rsid w:val="00C60C7E"/>
    <w:rsid w:val="00C61945"/>
    <w:rsid w:val="00C6207A"/>
    <w:rsid w:val="00C6229E"/>
    <w:rsid w:val="00C624EE"/>
    <w:rsid w:val="00C62C3A"/>
    <w:rsid w:val="00C631B2"/>
    <w:rsid w:val="00C632AB"/>
    <w:rsid w:val="00C63AFE"/>
    <w:rsid w:val="00C63CA0"/>
    <w:rsid w:val="00C64670"/>
    <w:rsid w:val="00C648F9"/>
    <w:rsid w:val="00C64A4E"/>
    <w:rsid w:val="00C64DF6"/>
    <w:rsid w:val="00C659B5"/>
    <w:rsid w:val="00C65EF5"/>
    <w:rsid w:val="00C65F8D"/>
    <w:rsid w:val="00C66842"/>
    <w:rsid w:val="00C67B2C"/>
    <w:rsid w:val="00C67C64"/>
    <w:rsid w:val="00C70034"/>
    <w:rsid w:val="00C70E23"/>
    <w:rsid w:val="00C70F76"/>
    <w:rsid w:val="00C71541"/>
    <w:rsid w:val="00C71DE9"/>
    <w:rsid w:val="00C725CF"/>
    <w:rsid w:val="00C72CDA"/>
    <w:rsid w:val="00C72E47"/>
    <w:rsid w:val="00C7310B"/>
    <w:rsid w:val="00C73187"/>
    <w:rsid w:val="00C733B6"/>
    <w:rsid w:val="00C73504"/>
    <w:rsid w:val="00C73770"/>
    <w:rsid w:val="00C737B8"/>
    <w:rsid w:val="00C74005"/>
    <w:rsid w:val="00C74225"/>
    <w:rsid w:val="00C743EE"/>
    <w:rsid w:val="00C745D1"/>
    <w:rsid w:val="00C749BF"/>
    <w:rsid w:val="00C74A83"/>
    <w:rsid w:val="00C74D46"/>
    <w:rsid w:val="00C76505"/>
    <w:rsid w:val="00C77679"/>
    <w:rsid w:val="00C77FEC"/>
    <w:rsid w:val="00C8043D"/>
    <w:rsid w:val="00C806CD"/>
    <w:rsid w:val="00C80953"/>
    <w:rsid w:val="00C81261"/>
    <w:rsid w:val="00C8159E"/>
    <w:rsid w:val="00C817AF"/>
    <w:rsid w:val="00C820C8"/>
    <w:rsid w:val="00C829D9"/>
    <w:rsid w:val="00C82BE1"/>
    <w:rsid w:val="00C82D8F"/>
    <w:rsid w:val="00C82FED"/>
    <w:rsid w:val="00C833AA"/>
    <w:rsid w:val="00C836BA"/>
    <w:rsid w:val="00C8397E"/>
    <w:rsid w:val="00C84519"/>
    <w:rsid w:val="00C845D0"/>
    <w:rsid w:val="00C847FA"/>
    <w:rsid w:val="00C84FED"/>
    <w:rsid w:val="00C8647A"/>
    <w:rsid w:val="00C86516"/>
    <w:rsid w:val="00C86B61"/>
    <w:rsid w:val="00C87581"/>
    <w:rsid w:val="00C8777C"/>
    <w:rsid w:val="00C87F39"/>
    <w:rsid w:val="00C900A1"/>
    <w:rsid w:val="00C90167"/>
    <w:rsid w:val="00C9067B"/>
    <w:rsid w:val="00C90987"/>
    <w:rsid w:val="00C916E2"/>
    <w:rsid w:val="00C91A42"/>
    <w:rsid w:val="00C924BB"/>
    <w:rsid w:val="00C926CD"/>
    <w:rsid w:val="00C92DA5"/>
    <w:rsid w:val="00C92E17"/>
    <w:rsid w:val="00C931C0"/>
    <w:rsid w:val="00C93F94"/>
    <w:rsid w:val="00C9400E"/>
    <w:rsid w:val="00C945F4"/>
    <w:rsid w:val="00C94844"/>
    <w:rsid w:val="00C94E85"/>
    <w:rsid w:val="00C95579"/>
    <w:rsid w:val="00C959FD"/>
    <w:rsid w:val="00C95C35"/>
    <w:rsid w:val="00C961FA"/>
    <w:rsid w:val="00C962B4"/>
    <w:rsid w:val="00C963B6"/>
    <w:rsid w:val="00C964AA"/>
    <w:rsid w:val="00C96C0F"/>
    <w:rsid w:val="00C96FF1"/>
    <w:rsid w:val="00C971EA"/>
    <w:rsid w:val="00C97831"/>
    <w:rsid w:val="00C979EE"/>
    <w:rsid w:val="00C97A0F"/>
    <w:rsid w:val="00C97E38"/>
    <w:rsid w:val="00CA0F03"/>
    <w:rsid w:val="00CA0FD6"/>
    <w:rsid w:val="00CA1BF5"/>
    <w:rsid w:val="00CA1DF5"/>
    <w:rsid w:val="00CA1FAB"/>
    <w:rsid w:val="00CA2BA0"/>
    <w:rsid w:val="00CA2E68"/>
    <w:rsid w:val="00CA30AC"/>
    <w:rsid w:val="00CA30B7"/>
    <w:rsid w:val="00CA3386"/>
    <w:rsid w:val="00CA365D"/>
    <w:rsid w:val="00CA3BBB"/>
    <w:rsid w:val="00CA45E2"/>
    <w:rsid w:val="00CA46E7"/>
    <w:rsid w:val="00CA4B34"/>
    <w:rsid w:val="00CA558D"/>
    <w:rsid w:val="00CA6782"/>
    <w:rsid w:val="00CA735B"/>
    <w:rsid w:val="00CA74E0"/>
    <w:rsid w:val="00CA7B39"/>
    <w:rsid w:val="00CB0362"/>
    <w:rsid w:val="00CB0743"/>
    <w:rsid w:val="00CB0DE0"/>
    <w:rsid w:val="00CB12E7"/>
    <w:rsid w:val="00CB1493"/>
    <w:rsid w:val="00CB163A"/>
    <w:rsid w:val="00CB1761"/>
    <w:rsid w:val="00CB1891"/>
    <w:rsid w:val="00CB2BFB"/>
    <w:rsid w:val="00CB2F0A"/>
    <w:rsid w:val="00CB3CB4"/>
    <w:rsid w:val="00CB3F22"/>
    <w:rsid w:val="00CB4ABF"/>
    <w:rsid w:val="00CB55FF"/>
    <w:rsid w:val="00CB5926"/>
    <w:rsid w:val="00CB6E35"/>
    <w:rsid w:val="00CC0170"/>
    <w:rsid w:val="00CC02F2"/>
    <w:rsid w:val="00CC0459"/>
    <w:rsid w:val="00CC065F"/>
    <w:rsid w:val="00CC1413"/>
    <w:rsid w:val="00CC1573"/>
    <w:rsid w:val="00CC1B2D"/>
    <w:rsid w:val="00CC2156"/>
    <w:rsid w:val="00CC2333"/>
    <w:rsid w:val="00CC2DB1"/>
    <w:rsid w:val="00CC31DE"/>
    <w:rsid w:val="00CC40E5"/>
    <w:rsid w:val="00CC41A2"/>
    <w:rsid w:val="00CC4726"/>
    <w:rsid w:val="00CC4B9E"/>
    <w:rsid w:val="00CC545D"/>
    <w:rsid w:val="00CC5633"/>
    <w:rsid w:val="00CC57C6"/>
    <w:rsid w:val="00CC5FA4"/>
    <w:rsid w:val="00CC6734"/>
    <w:rsid w:val="00CC68EE"/>
    <w:rsid w:val="00CC6A6C"/>
    <w:rsid w:val="00CC70A2"/>
    <w:rsid w:val="00CC75B9"/>
    <w:rsid w:val="00CC7B51"/>
    <w:rsid w:val="00CC7CC6"/>
    <w:rsid w:val="00CC7D01"/>
    <w:rsid w:val="00CD0784"/>
    <w:rsid w:val="00CD083E"/>
    <w:rsid w:val="00CD0C5B"/>
    <w:rsid w:val="00CD157B"/>
    <w:rsid w:val="00CD1992"/>
    <w:rsid w:val="00CD1A2F"/>
    <w:rsid w:val="00CD1BB6"/>
    <w:rsid w:val="00CD2834"/>
    <w:rsid w:val="00CD2BF8"/>
    <w:rsid w:val="00CD3149"/>
    <w:rsid w:val="00CD3943"/>
    <w:rsid w:val="00CD4A96"/>
    <w:rsid w:val="00CD51BB"/>
    <w:rsid w:val="00CD5553"/>
    <w:rsid w:val="00CD6538"/>
    <w:rsid w:val="00CD73C1"/>
    <w:rsid w:val="00CD7E51"/>
    <w:rsid w:val="00CD7E93"/>
    <w:rsid w:val="00CD7ED1"/>
    <w:rsid w:val="00CE0671"/>
    <w:rsid w:val="00CE0765"/>
    <w:rsid w:val="00CE0AEB"/>
    <w:rsid w:val="00CE0C94"/>
    <w:rsid w:val="00CE0D01"/>
    <w:rsid w:val="00CE156E"/>
    <w:rsid w:val="00CE1ED6"/>
    <w:rsid w:val="00CE2BB8"/>
    <w:rsid w:val="00CE33DF"/>
    <w:rsid w:val="00CE3861"/>
    <w:rsid w:val="00CE3DFD"/>
    <w:rsid w:val="00CE3EFE"/>
    <w:rsid w:val="00CE40E2"/>
    <w:rsid w:val="00CE4474"/>
    <w:rsid w:val="00CE4A19"/>
    <w:rsid w:val="00CE4C6C"/>
    <w:rsid w:val="00CE4CE1"/>
    <w:rsid w:val="00CE4DC6"/>
    <w:rsid w:val="00CE5644"/>
    <w:rsid w:val="00CE5820"/>
    <w:rsid w:val="00CE5B07"/>
    <w:rsid w:val="00CE6DFB"/>
    <w:rsid w:val="00CE700D"/>
    <w:rsid w:val="00CE73D9"/>
    <w:rsid w:val="00CE7CF8"/>
    <w:rsid w:val="00CF0706"/>
    <w:rsid w:val="00CF0BD9"/>
    <w:rsid w:val="00CF1778"/>
    <w:rsid w:val="00CF3020"/>
    <w:rsid w:val="00CF3278"/>
    <w:rsid w:val="00CF346F"/>
    <w:rsid w:val="00CF3A3C"/>
    <w:rsid w:val="00CF4175"/>
    <w:rsid w:val="00CF4D45"/>
    <w:rsid w:val="00CF54B4"/>
    <w:rsid w:val="00CF58FE"/>
    <w:rsid w:val="00CF5D42"/>
    <w:rsid w:val="00CF5DCC"/>
    <w:rsid w:val="00CF5F17"/>
    <w:rsid w:val="00CF6286"/>
    <w:rsid w:val="00CF62B7"/>
    <w:rsid w:val="00CF6A35"/>
    <w:rsid w:val="00CF6A86"/>
    <w:rsid w:val="00CF7BB2"/>
    <w:rsid w:val="00CF7DA3"/>
    <w:rsid w:val="00D009C0"/>
    <w:rsid w:val="00D00FD6"/>
    <w:rsid w:val="00D01FA6"/>
    <w:rsid w:val="00D0206E"/>
    <w:rsid w:val="00D0210F"/>
    <w:rsid w:val="00D02608"/>
    <w:rsid w:val="00D02C69"/>
    <w:rsid w:val="00D02D95"/>
    <w:rsid w:val="00D02F55"/>
    <w:rsid w:val="00D0304D"/>
    <w:rsid w:val="00D03FC6"/>
    <w:rsid w:val="00D04112"/>
    <w:rsid w:val="00D049BD"/>
    <w:rsid w:val="00D05169"/>
    <w:rsid w:val="00D05B8D"/>
    <w:rsid w:val="00D05BC2"/>
    <w:rsid w:val="00D06726"/>
    <w:rsid w:val="00D06830"/>
    <w:rsid w:val="00D071BB"/>
    <w:rsid w:val="00D07203"/>
    <w:rsid w:val="00D07400"/>
    <w:rsid w:val="00D07EB7"/>
    <w:rsid w:val="00D10CCF"/>
    <w:rsid w:val="00D10FB9"/>
    <w:rsid w:val="00D11532"/>
    <w:rsid w:val="00D11A9C"/>
    <w:rsid w:val="00D11AC3"/>
    <w:rsid w:val="00D12095"/>
    <w:rsid w:val="00D123C8"/>
    <w:rsid w:val="00D12AC5"/>
    <w:rsid w:val="00D12B7A"/>
    <w:rsid w:val="00D12C1F"/>
    <w:rsid w:val="00D12E9E"/>
    <w:rsid w:val="00D13137"/>
    <w:rsid w:val="00D13148"/>
    <w:rsid w:val="00D13553"/>
    <w:rsid w:val="00D137CE"/>
    <w:rsid w:val="00D13804"/>
    <w:rsid w:val="00D13B54"/>
    <w:rsid w:val="00D15025"/>
    <w:rsid w:val="00D15463"/>
    <w:rsid w:val="00D1574C"/>
    <w:rsid w:val="00D15798"/>
    <w:rsid w:val="00D158CC"/>
    <w:rsid w:val="00D15A0F"/>
    <w:rsid w:val="00D15EA5"/>
    <w:rsid w:val="00D15FD1"/>
    <w:rsid w:val="00D16A49"/>
    <w:rsid w:val="00D17349"/>
    <w:rsid w:val="00D20376"/>
    <w:rsid w:val="00D20671"/>
    <w:rsid w:val="00D207AB"/>
    <w:rsid w:val="00D21507"/>
    <w:rsid w:val="00D215DE"/>
    <w:rsid w:val="00D21666"/>
    <w:rsid w:val="00D21812"/>
    <w:rsid w:val="00D2215C"/>
    <w:rsid w:val="00D22981"/>
    <w:rsid w:val="00D22E4F"/>
    <w:rsid w:val="00D2321D"/>
    <w:rsid w:val="00D2329D"/>
    <w:rsid w:val="00D23787"/>
    <w:rsid w:val="00D2427A"/>
    <w:rsid w:val="00D251FD"/>
    <w:rsid w:val="00D25287"/>
    <w:rsid w:val="00D2618B"/>
    <w:rsid w:val="00D2641C"/>
    <w:rsid w:val="00D26E53"/>
    <w:rsid w:val="00D271E5"/>
    <w:rsid w:val="00D272B2"/>
    <w:rsid w:val="00D27319"/>
    <w:rsid w:val="00D27BF3"/>
    <w:rsid w:val="00D30018"/>
    <w:rsid w:val="00D30268"/>
    <w:rsid w:val="00D30F2D"/>
    <w:rsid w:val="00D31D60"/>
    <w:rsid w:val="00D32450"/>
    <w:rsid w:val="00D3295B"/>
    <w:rsid w:val="00D32EFC"/>
    <w:rsid w:val="00D3329C"/>
    <w:rsid w:val="00D333B0"/>
    <w:rsid w:val="00D33449"/>
    <w:rsid w:val="00D3449D"/>
    <w:rsid w:val="00D345BA"/>
    <w:rsid w:val="00D345C3"/>
    <w:rsid w:val="00D3463A"/>
    <w:rsid w:val="00D35985"/>
    <w:rsid w:val="00D35BC8"/>
    <w:rsid w:val="00D3669C"/>
    <w:rsid w:val="00D402CC"/>
    <w:rsid w:val="00D407E4"/>
    <w:rsid w:val="00D409EB"/>
    <w:rsid w:val="00D40A74"/>
    <w:rsid w:val="00D40CC2"/>
    <w:rsid w:val="00D40D70"/>
    <w:rsid w:val="00D41724"/>
    <w:rsid w:val="00D42208"/>
    <w:rsid w:val="00D42BBE"/>
    <w:rsid w:val="00D437EF"/>
    <w:rsid w:val="00D43CC1"/>
    <w:rsid w:val="00D43D10"/>
    <w:rsid w:val="00D44D11"/>
    <w:rsid w:val="00D45815"/>
    <w:rsid w:val="00D45E0D"/>
    <w:rsid w:val="00D45FE2"/>
    <w:rsid w:val="00D46335"/>
    <w:rsid w:val="00D4671B"/>
    <w:rsid w:val="00D4710B"/>
    <w:rsid w:val="00D47E5F"/>
    <w:rsid w:val="00D50585"/>
    <w:rsid w:val="00D517A7"/>
    <w:rsid w:val="00D5184A"/>
    <w:rsid w:val="00D51E2C"/>
    <w:rsid w:val="00D524D5"/>
    <w:rsid w:val="00D52CB8"/>
    <w:rsid w:val="00D531B1"/>
    <w:rsid w:val="00D53546"/>
    <w:rsid w:val="00D538E3"/>
    <w:rsid w:val="00D539F2"/>
    <w:rsid w:val="00D53BEF"/>
    <w:rsid w:val="00D53CFA"/>
    <w:rsid w:val="00D54D7F"/>
    <w:rsid w:val="00D54DD2"/>
    <w:rsid w:val="00D55048"/>
    <w:rsid w:val="00D55470"/>
    <w:rsid w:val="00D561F6"/>
    <w:rsid w:val="00D56211"/>
    <w:rsid w:val="00D56B9A"/>
    <w:rsid w:val="00D570AD"/>
    <w:rsid w:val="00D57128"/>
    <w:rsid w:val="00D5772F"/>
    <w:rsid w:val="00D57DDF"/>
    <w:rsid w:val="00D60604"/>
    <w:rsid w:val="00D61FAE"/>
    <w:rsid w:val="00D6253D"/>
    <w:rsid w:val="00D6289B"/>
    <w:rsid w:val="00D62EEE"/>
    <w:rsid w:val="00D63133"/>
    <w:rsid w:val="00D6390E"/>
    <w:rsid w:val="00D6471F"/>
    <w:rsid w:val="00D64ADC"/>
    <w:rsid w:val="00D654BD"/>
    <w:rsid w:val="00D65B15"/>
    <w:rsid w:val="00D65BEB"/>
    <w:rsid w:val="00D6600F"/>
    <w:rsid w:val="00D66682"/>
    <w:rsid w:val="00D6680B"/>
    <w:rsid w:val="00D716F8"/>
    <w:rsid w:val="00D719F8"/>
    <w:rsid w:val="00D71DCF"/>
    <w:rsid w:val="00D725F5"/>
    <w:rsid w:val="00D7293C"/>
    <w:rsid w:val="00D72CD7"/>
    <w:rsid w:val="00D72DAB"/>
    <w:rsid w:val="00D739C2"/>
    <w:rsid w:val="00D741BC"/>
    <w:rsid w:val="00D7477B"/>
    <w:rsid w:val="00D7487A"/>
    <w:rsid w:val="00D74AE4"/>
    <w:rsid w:val="00D7555B"/>
    <w:rsid w:val="00D76007"/>
    <w:rsid w:val="00D763C9"/>
    <w:rsid w:val="00D765B3"/>
    <w:rsid w:val="00D76F8D"/>
    <w:rsid w:val="00D77246"/>
    <w:rsid w:val="00D778A4"/>
    <w:rsid w:val="00D800CD"/>
    <w:rsid w:val="00D801A0"/>
    <w:rsid w:val="00D80881"/>
    <w:rsid w:val="00D80C7B"/>
    <w:rsid w:val="00D8111B"/>
    <w:rsid w:val="00D811CF"/>
    <w:rsid w:val="00D813D4"/>
    <w:rsid w:val="00D81F03"/>
    <w:rsid w:val="00D828C2"/>
    <w:rsid w:val="00D82F2A"/>
    <w:rsid w:val="00D83545"/>
    <w:rsid w:val="00D83736"/>
    <w:rsid w:val="00D8387E"/>
    <w:rsid w:val="00D843F2"/>
    <w:rsid w:val="00D845F5"/>
    <w:rsid w:val="00D84696"/>
    <w:rsid w:val="00D847FF"/>
    <w:rsid w:val="00D84975"/>
    <w:rsid w:val="00D85B09"/>
    <w:rsid w:val="00D85BC4"/>
    <w:rsid w:val="00D86678"/>
    <w:rsid w:val="00D86759"/>
    <w:rsid w:val="00D86FED"/>
    <w:rsid w:val="00D870B7"/>
    <w:rsid w:val="00D87471"/>
    <w:rsid w:val="00D879BB"/>
    <w:rsid w:val="00D87DF9"/>
    <w:rsid w:val="00D87E90"/>
    <w:rsid w:val="00D87F1F"/>
    <w:rsid w:val="00D9145B"/>
    <w:rsid w:val="00D91D02"/>
    <w:rsid w:val="00D92630"/>
    <w:rsid w:val="00D9276B"/>
    <w:rsid w:val="00D938C3"/>
    <w:rsid w:val="00D93902"/>
    <w:rsid w:val="00D94560"/>
    <w:rsid w:val="00D94B21"/>
    <w:rsid w:val="00D94D40"/>
    <w:rsid w:val="00D94FFF"/>
    <w:rsid w:val="00D9562C"/>
    <w:rsid w:val="00D95ACE"/>
    <w:rsid w:val="00D95BF2"/>
    <w:rsid w:val="00D95EA5"/>
    <w:rsid w:val="00D95EDF"/>
    <w:rsid w:val="00D96B71"/>
    <w:rsid w:val="00D97121"/>
    <w:rsid w:val="00D9747C"/>
    <w:rsid w:val="00D97567"/>
    <w:rsid w:val="00D97794"/>
    <w:rsid w:val="00D97AA7"/>
    <w:rsid w:val="00D97BBC"/>
    <w:rsid w:val="00D97EE5"/>
    <w:rsid w:val="00D97F67"/>
    <w:rsid w:val="00DA0443"/>
    <w:rsid w:val="00DA0665"/>
    <w:rsid w:val="00DA0696"/>
    <w:rsid w:val="00DA0AC9"/>
    <w:rsid w:val="00DA0C39"/>
    <w:rsid w:val="00DA12CE"/>
    <w:rsid w:val="00DA1968"/>
    <w:rsid w:val="00DA1980"/>
    <w:rsid w:val="00DA2736"/>
    <w:rsid w:val="00DA3248"/>
    <w:rsid w:val="00DA39AE"/>
    <w:rsid w:val="00DA3C43"/>
    <w:rsid w:val="00DA5132"/>
    <w:rsid w:val="00DA52E4"/>
    <w:rsid w:val="00DA576A"/>
    <w:rsid w:val="00DA589A"/>
    <w:rsid w:val="00DA5BD5"/>
    <w:rsid w:val="00DA5EFA"/>
    <w:rsid w:val="00DA6204"/>
    <w:rsid w:val="00DA6B1C"/>
    <w:rsid w:val="00DA7044"/>
    <w:rsid w:val="00DA797F"/>
    <w:rsid w:val="00DA7C57"/>
    <w:rsid w:val="00DB02F7"/>
    <w:rsid w:val="00DB0B10"/>
    <w:rsid w:val="00DB0EEF"/>
    <w:rsid w:val="00DB1CCB"/>
    <w:rsid w:val="00DB226E"/>
    <w:rsid w:val="00DB25B6"/>
    <w:rsid w:val="00DB2660"/>
    <w:rsid w:val="00DB269C"/>
    <w:rsid w:val="00DB2A3E"/>
    <w:rsid w:val="00DB2EDD"/>
    <w:rsid w:val="00DB3C19"/>
    <w:rsid w:val="00DB3D1C"/>
    <w:rsid w:val="00DB3D80"/>
    <w:rsid w:val="00DB41F2"/>
    <w:rsid w:val="00DB4619"/>
    <w:rsid w:val="00DB5046"/>
    <w:rsid w:val="00DB506A"/>
    <w:rsid w:val="00DB5112"/>
    <w:rsid w:val="00DB534F"/>
    <w:rsid w:val="00DB63E7"/>
    <w:rsid w:val="00DB675D"/>
    <w:rsid w:val="00DB690A"/>
    <w:rsid w:val="00DB7386"/>
    <w:rsid w:val="00DB7D08"/>
    <w:rsid w:val="00DC08E1"/>
    <w:rsid w:val="00DC1032"/>
    <w:rsid w:val="00DC13B6"/>
    <w:rsid w:val="00DC1556"/>
    <w:rsid w:val="00DC1FAB"/>
    <w:rsid w:val="00DC2841"/>
    <w:rsid w:val="00DC2ADA"/>
    <w:rsid w:val="00DC2DAE"/>
    <w:rsid w:val="00DC2DF5"/>
    <w:rsid w:val="00DC3793"/>
    <w:rsid w:val="00DC37C4"/>
    <w:rsid w:val="00DC4403"/>
    <w:rsid w:val="00DC44FB"/>
    <w:rsid w:val="00DC4FB6"/>
    <w:rsid w:val="00DC5072"/>
    <w:rsid w:val="00DC52CC"/>
    <w:rsid w:val="00DC540E"/>
    <w:rsid w:val="00DC569B"/>
    <w:rsid w:val="00DC5BC2"/>
    <w:rsid w:val="00DC5E23"/>
    <w:rsid w:val="00DC5EDF"/>
    <w:rsid w:val="00DC6736"/>
    <w:rsid w:val="00DC6B63"/>
    <w:rsid w:val="00DC6C95"/>
    <w:rsid w:val="00DC7A6C"/>
    <w:rsid w:val="00DD044B"/>
    <w:rsid w:val="00DD05D1"/>
    <w:rsid w:val="00DD107B"/>
    <w:rsid w:val="00DD173E"/>
    <w:rsid w:val="00DD19F5"/>
    <w:rsid w:val="00DD1DBD"/>
    <w:rsid w:val="00DD2C2C"/>
    <w:rsid w:val="00DD2C71"/>
    <w:rsid w:val="00DD3B94"/>
    <w:rsid w:val="00DD3FEB"/>
    <w:rsid w:val="00DD4952"/>
    <w:rsid w:val="00DD53FC"/>
    <w:rsid w:val="00DD5E22"/>
    <w:rsid w:val="00DD6100"/>
    <w:rsid w:val="00DD6E56"/>
    <w:rsid w:val="00DD7311"/>
    <w:rsid w:val="00DD74BB"/>
    <w:rsid w:val="00DD76FB"/>
    <w:rsid w:val="00DD791E"/>
    <w:rsid w:val="00DD7D99"/>
    <w:rsid w:val="00DD7FB2"/>
    <w:rsid w:val="00DE04B5"/>
    <w:rsid w:val="00DE0931"/>
    <w:rsid w:val="00DE0BD4"/>
    <w:rsid w:val="00DE0F3F"/>
    <w:rsid w:val="00DE123D"/>
    <w:rsid w:val="00DE1AE1"/>
    <w:rsid w:val="00DE2ACB"/>
    <w:rsid w:val="00DE33D8"/>
    <w:rsid w:val="00DE3403"/>
    <w:rsid w:val="00DE3576"/>
    <w:rsid w:val="00DE3C95"/>
    <w:rsid w:val="00DE3E27"/>
    <w:rsid w:val="00DE4070"/>
    <w:rsid w:val="00DE44C8"/>
    <w:rsid w:val="00DE4CB0"/>
    <w:rsid w:val="00DE52AC"/>
    <w:rsid w:val="00DE5CE2"/>
    <w:rsid w:val="00DE5EEB"/>
    <w:rsid w:val="00DE657F"/>
    <w:rsid w:val="00DE6A15"/>
    <w:rsid w:val="00DE734F"/>
    <w:rsid w:val="00DF0883"/>
    <w:rsid w:val="00DF0A0D"/>
    <w:rsid w:val="00DF0E92"/>
    <w:rsid w:val="00DF1083"/>
    <w:rsid w:val="00DF130F"/>
    <w:rsid w:val="00DF15B3"/>
    <w:rsid w:val="00DF1865"/>
    <w:rsid w:val="00DF1CF7"/>
    <w:rsid w:val="00DF1E45"/>
    <w:rsid w:val="00DF1EC7"/>
    <w:rsid w:val="00DF1EE7"/>
    <w:rsid w:val="00DF1F92"/>
    <w:rsid w:val="00DF23FB"/>
    <w:rsid w:val="00DF2537"/>
    <w:rsid w:val="00DF2654"/>
    <w:rsid w:val="00DF313A"/>
    <w:rsid w:val="00DF3196"/>
    <w:rsid w:val="00DF3716"/>
    <w:rsid w:val="00DF37BF"/>
    <w:rsid w:val="00DF39C3"/>
    <w:rsid w:val="00DF3CCC"/>
    <w:rsid w:val="00DF3DD0"/>
    <w:rsid w:val="00DF404C"/>
    <w:rsid w:val="00DF495D"/>
    <w:rsid w:val="00DF4F52"/>
    <w:rsid w:val="00DF56C4"/>
    <w:rsid w:val="00DF5913"/>
    <w:rsid w:val="00DF5D8D"/>
    <w:rsid w:val="00DF6397"/>
    <w:rsid w:val="00DF67B7"/>
    <w:rsid w:val="00DF6D3F"/>
    <w:rsid w:val="00DF6DF5"/>
    <w:rsid w:val="00DF6FB1"/>
    <w:rsid w:val="00DF6FB9"/>
    <w:rsid w:val="00DF735D"/>
    <w:rsid w:val="00E000F1"/>
    <w:rsid w:val="00E009CB"/>
    <w:rsid w:val="00E00BDA"/>
    <w:rsid w:val="00E00D3E"/>
    <w:rsid w:val="00E029A7"/>
    <w:rsid w:val="00E02DD0"/>
    <w:rsid w:val="00E0334E"/>
    <w:rsid w:val="00E03447"/>
    <w:rsid w:val="00E038CC"/>
    <w:rsid w:val="00E03FE1"/>
    <w:rsid w:val="00E04BF5"/>
    <w:rsid w:val="00E05291"/>
    <w:rsid w:val="00E05305"/>
    <w:rsid w:val="00E053A7"/>
    <w:rsid w:val="00E0568A"/>
    <w:rsid w:val="00E0581D"/>
    <w:rsid w:val="00E05826"/>
    <w:rsid w:val="00E05CB2"/>
    <w:rsid w:val="00E06262"/>
    <w:rsid w:val="00E06A21"/>
    <w:rsid w:val="00E06A34"/>
    <w:rsid w:val="00E06BFB"/>
    <w:rsid w:val="00E06F07"/>
    <w:rsid w:val="00E07835"/>
    <w:rsid w:val="00E079AF"/>
    <w:rsid w:val="00E07AC8"/>
    <w:rsid w:val="00E07BDC"/>
    <w:rsid w:val="00E07CE7"/>
    <w:rsid w:val="00E10DD1"/>
    <w:rsid w:val="00E11416"/>
    <w:rsid w:val="00E11662"/>
    <w:rsid w:val="00E118C7"/>
    <w:rsid w:val="00E11CC1"/>
    <w:rsid w:val="00E11CD4"/>
    <w:rsid w:val="00E12775"/>
    <w:rsid w:val="00E12937"/>
    <w:rsid w:val="00E12987"/>
    <w:rsid w:val="00E1378A"/>
    <w:rsid w:val="00E13A68"/>
    <w:rsid w:val="00E13E43"/>
    <w:rsid w:val="00E13EED"/>
    <w:rsid w:val="00E14B31"/>
    <w:rsid w:val="00E14DEA"/>
    <w:rsid w:val="00E14E35"/>
    <w:rsid w:val="00E152A2"/>
    <w:rsid w:val="00E15D51"/>
    <w:rsid w:val="00E16321"/>
    <w:rsid w:val="00E168F0"/>
    <w:rsid w:val="00E177BC"/>
    <w:rsid w:val="00E20745"/>
    <w:rsid w:val="00E21229"/>
    <w:rsid w:val="00E21E66"/>
    <w:rsid w:val="00E22302"/>
    <w:rsid w:val="00E2352F"/>
    <w:rsid w:val="00E23AE7"/>
    <w:rsid w:val="00E23AF1"/>
    <w:rsid w:val="00E24CF0"/>
    <w:rsid w:val="00E24DB4"/>
    <w:rsid w:val="00E254C4"/>
    <w:rsid w:val="00E25B75"/>
    <w:rsid w:val="00E261C2"/>
    <w:rsid w:val="00E26215"/>
    <w:rsid w:val="00E2624C"/>
    <w:rsid w:val="00E26401"/>
    <w:rsid w:val="00E26CF6"/>
    <w:rsid w:val="00E27914"/>
    <w:rsid w:val="00E279C6"/>
    <w:rsid w:val="00E31516"/>
    <w:rsid w:val="00E316D8"/>
    <w:rsid w:val="00E31C2B"/>
    <w:rsid w:val="00E31F77"/>
    <w:rsid w:val="00E320EE"/>
    <w:rsid w:val="00E32E84"/>
    <w:rsid w:val="00E32F98"/>
    <w:rsid w:val="00E32FB1"/>
    <w:rsid w:val="00E33E05"/>
    <w:rsid w:val="00E33E6A"/>
    <w:rsid w:val="00E35061"/>
    <w:rsid w:val="00E350AA"/>
    <w:rsid w:val="00E35BAD"/>
    <w:rsid w:val="00E36130"/>
    <w:rsid w:val="00E36A79"/>
    <w:rsid w:val="00E36C40"/>
    <w:rsid w:val="00E37D35"/>
    <w:rsid w:val="00E40750"/>
    <w:rsid w:val="00E41993"/>
    <w:rsid w:val="00E41EDE"/>
    <w:rsid w:val="00E4201F"/>
    <w:rsid w:val="00E43067"/>
    <w:rsid w:val="00E4336A"/>
    <w:rsid w:val="00E4347B"/>
    <w:rsid w:val="00E434E5"/>
    <w:rsid w:val="00E438DF"/>
    <w:rsid w:val="00E43CC1"/>
    <w:rsid w:val="00E443B3"/>
    <w:rsid w:val="00E44443"/>
    <w:rsid w:val="00E444F5"/>
    <w:rsid w:val="00E44586"/>
    <w:rsid w:val="00E447EA"/>
    <w:rsid w:val="00E44D87"/>
    <w:rsid w:val="00E44F49"/>
    <w:rsid w:val="00E45866"/>
    <w:rsid w:val="00E45DDA"/>
    <w:rsid w:val="00E45FB1"/>
    <w:rsid w:val="00E4675C"/>
    <w:rsid w:val="00E468EB"/>
    <w:rsid w:val="00E46F8B"/>
    <w:rsid w:val="00E470F3"/>
    <w:rsid w:val="00E47100"/>
    <w:rsid w:val="00E4770F"/>
    <w:rsid w:val="00E4790E"/>
    <w:rsid w:val="00E50382"/>
    <w:rsid w:val="00E50E19"/>
    <w:rsid w:val="00E514E3"/>
    <w:rsid w:val="00E51AF9"/>
    <w:rsid w:val="00E5234E"/>
    <w:rsid w:val="00E53ADF"/>
    <w:rsid w:val="00E53BCD"/>
    <w:rsid w:val="00E5409A"/>
    <w:rsid w:val="00E54D85"/>
    <w:rsid w:val="00E56B40"/>
    <w:rsid w:val="00E56CE6"/>
    <w:rsid w:val="00E5717B"/>
    <w:rsid w:val="00E578E2"/>
    <w:rsid w:val="00E5799B"/>
    <w:rsid w:val="00E60556"/>
    <w:rsid w:val="00E60F93"/>
    <w:rsid w:val="00E61AEC"/>
    <w:rsid w:val="00E61BCF"/>
    <w:rsid w:val="00E62624"/>
    <w:rsid w:val="00E63D14"/>
    <w:rsid w:val="00E64905"/>
    <w:rsid w:val="00E64A11"/>
    <w:rsid w:val="00E64CC9"/>
    <w:rsid w:val="00E64D2A"/>
    <w:rsid w:val="00E64DCE"/>
    <w:rsid w:val="00E654A3"/>
    <w:rsid w:val="00E65977"/>
    <w:rsid w:val="00E65D1E"/>
    <w:rsid w:val="00E661E7"/>
    <w:rsid w:val="00E66A4B"/>
    <w:rsid w:val="00E66DDE"/>
    <w:rsid w:val="00E66F30"/>
    <w:rsid w:val="00E670F9"/>
    <w:rsid w:val="00E671AC"/>
    <w:rsid w:val="00E7013C"/>
    <w:rsid w:val="00E704CD"/>
    <w:rsid w:val="00E711FC"/>
    <w:rsid w:val="00E71837"/>
    <w:rsid w:val="00E72E67"/>
    <w:rsid w:val="00E72FAF"/>
    <w:rsid w:val="00E7400C"/>
    <w:rsid w:val="00E74352"/>
    <w:rsid w:val="00E745E9"/>
    <w:rsid w:val="00E74644"/>
    <w:rsid w:val="00E749E2"/>
    <w:rsid w:val="00E74E1E"/>
    <w:rsid w:val="00E74E26"/>
    <w:rsid w:val="00E75213"/>
    <w:rsid w:val="00E75522"/>
    <w:rsid w:val="00E75952"/>
    <w:rsid w:val="00E75955"/>
    <w:rsid w:val="00E75969"/>
    <w:rsid w:val="00E76492"/>
    <w:rsid w:val="00E7685C"/>
    <w:rsid w:val="00E76BB5"/>
    <w:rsid w:val="00E76D85"/>
    <w:rsid w:val="00E7705E"/>
    <w:rsid w:val="00E77272"/>
    <w:rsid w:val="00E77892"/>
    <w:rsid w:val="00E8024E"/>
    <w:rsid w:val="00E80B65"/>
    <w:rsid w:val="00E82548"/>
    <w:rsid w:val="00E8280C"/>
    <w:rsid w:val="00E82A2A"/>
    <w:rsid w:val="00E83330"/>
    <w:rsid w:val="00E8338B"/>
    <w:rsid w:val="00E8384D"/>
    <w:rsid w:val="00E84093"/>
    <w:rsid w:val="00E84C2A"/>
    <w:rsid w:val="00E85926"/>
    <w:rsid w:val="00E85C51"/>
    <w:rsid w:val="00E8627F"/>
    <w:rsid w:val="00E86502"/>
    <w:rsid w:val="00E879DA"/>
    <w:rsid w:val="00E87AC4"/>
    <w:rsid w:val="00E909D6"/>
    <w:rsid w:val="00E91353"/>
    <w:rsid w:val="00E915C8"/>
    <w:rsid w:val="00E91E54"/>
    <w:rsid w:val="00E91F3D"/>
    <w:rsid w:val="00E91F54"/>
    <w:rsid w:val="00E92C80"/>
    <w:rsid w:val="00E92FBE"/>
    <w:rsid w:val="00E933D4"/>
    <w:rsid w:val="00E93454"/>
    <w:rsid w:val="00E938DC"/>
    <w:rsid w:val="00E93BB9"/>
    <w:rsid w:val="00E93CDD"/>
    <w:rsid w:val="00E94402"/>
    <w:rsid w:val="00E949B8"/>
    <w:rsid w:val="00E94CE2"/>
    <w:rsid w:val="00E955AC"/>
    <w:rsid w:val="00E95CA1"/>
    <w:rsid w:val="00E9640A"/>
    <w:rsid w:val="00E96ACF"/>
    <w:rsid w:val="00E96B66"/>
    <w:rsid w:val="00E96F9D"/>
    <w:rsid w:val="00E972BD"/>
    <w:rsid w:val="00E97B47"/>
    <w:rsid w:val="00EA0030"/>
    <w:rsid w:val="00EA0725"/>
    <w:rsid w:val="00EA09CB"/>
    <w:rsid w:val="00EA0BEE"/>
    <w:rsid w:val="00EA0F8C"/>
    <w:rsid w:val="00EA101C"/>
    <w:rsid w:val="00EA109C"/>
    <w:rsid w:val="00EA116F"/>
    <w:rsid w:val="00EA1366"/>
    <w:rsid w:val="00EA1FF3"/>
    <w:rsid w:val="00EA2529"/>
    <w:rsid w:val="00EA329B"/>
    <w:rsid w:val="00EA357E"/>
    <w:rsid w:val="00EA408D"/>
    <w:rsid w:val="00EA4777"/>
    <w:rsid w:val="00EA5284"/>
    <w:rsid w:val="00EA619F"/>
    <w:rsid w:val="00EA6B6D"/>
    <w:rsid w:val="00EA7642"/>
    <w:rsid w:val="00EB149F"/>
    <w:rsid w:val="00EB15A2"/>
    <w:rsid w:val="00EB1929"/>
    <w:rsid w:val="00EB1C36"/>
    <w:rsid w:val="00EB1F8D"/>
    <w:rsid w:val="00EB2037"/>
    <w:rsid w:val="00EB2519"/>
    <w:rsid w:val="00EB2B4C"/>
    <w:rsid w:val="00EB2C1D"/>
    <w:rsid w:val="00EB33AE"/>
    <w:rsid w:val="00EB39B5"/>
    <w:rsid w:val="00EB3EFE"/>
    <w:rsid w:val="00EB46A3"/>
    <w:rsid w:val="00EB4A75"/>
    <w:rsid w:val="00EB55A7"/>
    <w:rsid w:val="00EB591A"/>
    <w:rsid w:val="00EB5A3D"/>
    <w:rsid w:val="00EB611E"/>
    <w:rsid w:val="00EB72BC"/>
    <w:rsid w:val="00EB733C"/>
    <w:rsid w:val="00EB7629"/>
    <w:rsid w:val="00EB7EF0"/>
    <w:rsid w:val="00EB7EF1"/>
    <w:rsid w:val="00EC033D"/>
    <w:rsid w:val="00EC092D"/>
    <w:rsid w:val="00EC096C"/>
    <w:rsid w:val="00EC245D"/>
    <w:rsid w:val="00EC288D"/>
    <w:rsid w:val="00EC2893"/>
    <w:rsid w:val="00EC2B7F"/>
    <w:rsid w:val="00EC32EA"/>
    <w:rsid w:val="00EC36FE"/>
    <w:rsid w:val="00EC3CF8"/>
    <w:rsid w:val="00EC3D62"/>
    <w:rsid w:val="00EC439D"/>
    <w:rsid w:val="00EC46FB"/>
    <w:rsid w:val="00EC488D"/>
    <w:rsid w:val="00EC49A0"/>
    <w:rsid w:val="00EC591E"/>
    <w:rsid w:val="00EC594C"/>
    <w:rsid w:val="00EC5F73"/>
    <w:rsid w:val="00EC6106"/>
    <w:rsid w:val="00EC61E0"/>
    <w:rsid w:val="00EC662D"/>
    <w:rsid w:val="00EC66E6"/>
    <w:rsid w:val="00EC6CDA"/>
    <w:rsid w:val="00EC6E3B"/>
    <w:rsid w:val="00EC7B57"/>
    <w:rsid w:val="00ED050D"/>
    <w:rsid w:val="00ED087A"/>
    <w:rsid w:val="00ED22E0"/>
    <w:rsid w:val="00ED24A6"/>
    <w:rsid w:val="00ED2CC8"/>
    <w:rsid w:val="00ED326C"/>
    <w:rsid w:val="00ED33A1"/>
    <w:rsid w:val="00ED35FA"/>
    <w:rsid w:val="00ED3666"/>
    <w:rsid w:val="00ED3A45"/>
    <w:rsid w:val="00ED4CF4"/>
    <w:rsid w:val="00ED513F"/>
    <w:rsid w:val="00ED56EB"/>
    <w:rsid w:val="00ED599F"/>
    <w:rsid w:val="00ED5F94"/>
    <w:rsid w:val="00ED6179"/>
    <w:rsid w:val="00ED6AFD"/>
    <w:rsid w:val="00ED6CBF"/>
    <w:rsid w:val="00ED763D"/>
    <w:rsid w:val="00ED76B2"/>
    <w:rsid w:val="00ED76B6"/>
    <w:rsid w:val="00ED76E4"/>
    <w:rsid w:val="00ED7B8A"/>
    <w:rsid w:val="00EE06A0"/>
    <w:rsid w:val="00EE082F"/>
    <w:rsid w:val="00EE0DDF"/>
    <w:rsid w:val="00EE0F73"/>
    <w:rsid w:val="00EE11D2"/>
    <w:rsid w:val="00EE13EC"/>
    <w:rsid w:val="00EE1449"/>
    <w:rsid w:val="00EE1697"/>
    <w:rsid w:val="00EE1BF3"/>
    <w:rsid w:val="00EE300D"/>
    <w:rsid w:val="00EE3456"/>
    <w:rsid w:val="00EE3842"/>
    <w:rsid w:val="00EE47B3"/>
    <w:rsid w:val="00EE4D70"/>
    <w:rsid w:val="00EE4FF5"/>
    <w:rsid w:val="00EE521D"/>
    <w:rsid w:val="00EE59CC"/>
    <w:rsid w:val="00EE6450"/>
    <w:rsid w:val="00EE6632"/>
    <w:rsid w:val="00EE75D4"/>
    <w:rsid w:val="00EE7E53"/>
    <w:rsid w:val="00EF05F4"/>
    <w:rsid w:val="00EF140E"/>
    <w:rsid w:val="00EF1B03"/>
    <w:rsid w:val="00EF2922"/>
    <w:rsid w:val="00EF2C83"/>
    <w:rsid w:val="00EF2DB4"/>
    <w:rsid w:val="00EF2E32"/>
    <w:rsid w:val="00EF2F56"/>
    <w:rsid w:val="00EF32AC"/>
    <w:rsid w:val="00EF383D"/>
    <w:rsid w:val="00EF3AA0"/>
    <w:rsid w:val="00EF4E32"/>
    <w:rsid w:val="00EF521E"/>
    <w:rsid w:val="00EF5937"/>
    <w:rsid w:val="00EF635B"/>
    <w:rsid w:val="00EF6780"/>
    <w:rsid w:val="00EF7543"/>
    <w:rsid w:val="00EF7932"/>
    <w:rsid w:val="00EF7CFD"/>
    <w:rsid w:val="00EF7E6E"/>
    <w:rsid w:val="00F00345"/>
    <w:rsid w:val="00F00C18"/>
    <w:rsid w:val="00F00C2C"/>
    <w:rsid w:val="00F015CC"/>
    <w:rsid w:val="00F01603"/>
    <w:rsid w:val="00F01C62"/>
    <w:rsid w:val="00F02520"/>
    <w:rsid w:val="00F03016"/>
    <w:rsid w:val="00F048AE"/>
    <w:rsid w:val="00F04EF2"/>
    <w:rsid w:val="00F05631"/>
    <w:rsid w:val="00F05929"/>
    <w:rsid w:val="00F0617F"/>
    <w:rsid w:val="00F064D6"/>
    <w:rsid w:val="00F0680F"/>
    <w:rsid w:val="00F0769A"/>
    <w:rsid w:val="00F07FCB"/>
    <w:rsid w:val="00F106C7"/>
    <w:rsid w:val="00F10911"/>
    <w:rsid w:val="00F10DE4"/>
    <w:rsid w:val="00F116FC"/>
    <w:rsid w:val="00F117C2"/>
    <w:rsid w:val="00F11BAD"/>
    <w:rsid w:val="00F121AE"/>
    <w:rsid w:val="00F12536"/>
    <w:rsid w:val="00F12BFC"/>
    <w:rsid w:val="00F12CCF"/>
    <w:rsid w:val="00F12D62"/>
    <w:rsid w:val="00F133FD"/>
    <w:rsid w:val="00F135CD"/>
    <w:rsid w:val="00F13794"/>
    <w:rsid w:val="00F142C3"/>
    <w:rsid w:val="00F14B21"/>
    <w:rsid w:val="00F14EA6"/>
    <w:rsid w:val="00F14F09"/>
    <w:rsid w:val="00F1589C"/>
    <w:rsid w:val="00F15DFC"/>
    <w:rsid w:val="00F161C4"/>
    <w:rsid w:val="00F1678E"/>
    <w:rsid w:val="00F16871"/>
    <w:rsid w:val="00F16E67"/>
    <w:rsid w:val="00F17078"/>
    <w:rsid w:val="00F17081"/>
    <w:rsid w:val="00F17568"/>
    <w:rsid w:val="00F175AC"/>
    <w:rsid w:val="00F20882"/>
    <w:rsid w:val="00F20D23"/>
    <w:rsid w:val="00F212BC"/>
    <w:rsid w:val="00F21701"/>
    <w:rsid w:val="00F220F0"/>
    <w:rsid w:val="00F22FAF"/>
    <w:rsid w:val="00F2342D"/>
    <w:rsid w:val="00F239A8"/>
    <w:rsid w:val="00F239E2"/>
    <w:rsid w:val="00F243E5"/>
    <w:rsid w:val="00F244FA"/>
    <w:rsid w:val="00F250E5"/>
    <w:rsid w:val="00F255FB"/>
    <w:rsid w:val="00F258D4"/>
    <w:rsid w:val="00F25D4F"/>
    <w:rsid w:val="00F263F0"/>
    <w:rsid w:val="00F26E98"/>
    <w:rsid w:val="00F27532"/>
    <w:rsid w:val="00F30735"/>
    <w:rsid w:val="00F31664"/>
    <w:rsid w:val="00F31719"/>
    <w:rsid w:val="00F31CD7"/>
    <w:rsid w:val="00F32D4C"/>
    <w:rsid w:val="00F33144"/>
    <w:rsid w:val="00F3336D"/>
    <w:rsid w:val="00F33891"/>
    <w:rsid w:val="00F340C4"/>
    <w:rsid w:val="00F34BD3"/>
    <w:rsid w:val="00F351DE"/>
    <w:rsid w:val="00F35301"/>
    <w:rsid w:val="00F3542B"/>
    <w:rsid w:val="00F3573D"/>
    <w:rsid w:val="00F359B0"/>
    <w:rsid w:val="00F36343"/>
    <w:rsid w:val="00F3676B"/>
    <w:rsid w:val="00F36EA1"/>
    <w:rsid w:val="00F3722E"/>
    <w:rsid w:val="00F37AB7"/>
    <w:rsid w:val="00F37BFA"/>
    <w:rsid w:val="00F40326"/>
    <w:rsid w:val="00F40528"/>
    <w:rsid w:val="00F41513"/>
    <w:rsid w:val="00F41AE7"/>
    <w:rsid w:val="00F42031"/>
    <w:rsid w:val="00F42509"/>
    <w:rsid w:val="00F42555"/>
    <w:rsid w:val="00F42659"/>
    <w:rsid w:val="00F4294A"/>
    <w:rsid w:val="00F42EE4"/>
    <w:rsid w:val="00F42EE8"/>
    <w:rsid w:val="00F44123"/>
    <w:rsid w:val="00F443A2"/>
    <w:rsid w:val="00F44565"/>
    <w:rsid w:val="00F450B4"/>
    <w:rsid w:val="00F45760"/>
    <w:rsid w:val="00F45C0A"/>
    <w:rsid w:val="00F45C2B"/>
    <w:rsid w:val="00F462E1"/>
    <w:rsid w:val="00F46408"/>
    <w:rsid w:val="00F46454"/>
    <w:rsid w:val="00F465AB"/>
    <w:rsid w:val="00F4672C"/>
    <w:rsid w:val="00F469D4"/>
    <w:rsid w:val="00F47A38"/>
    <w:rsid w:val="00F47CC6"/>
    <w:rsid w:val="00F47F34"/>
    <w:rsid w:val="00F508DD"/>
    <w:rsid w:val="00F50CC1"/>
    <w:rsid w:val="00F51B4B"/>
    <w:rsid w:val="00F5238B"/>
    <w:rsid w:val="00F52808"/>
    <w:rsid w:val="00F53AB5"/>
    <w:rsid w:val="00F53F40"/>
    <w:rsid w:val="00F542CE"/>
    <w:rsid w:val="00F549BC"/>
    <w:rsid w:val="00F54A26"/>
    <w:rsid w:val="00F555C1"/>
    <w:rsid w:val="00F555F1"/>
    <w:rsid w:val="00F565B0"/>
    <w:rsid w:val="00F57D76"/>
    <w:rsid w:val="00F600CB"/>
    <w:rsid w:val="00F602AC"/>
    <w:rsid w:val="00F60717"/>
    <w:rsid w:val="00F6093A"/>
    <w:rsid w:val="00F61065"/>
    <w:rsid w:val="00F6107F"/>
    <w:rsid w:val="00F625B2"/>
    <w:rsid w:val="00F628EA"/>
    <w:rsid w:val="00F62CF9"/>
    <w:rsid w:val="00F62F9F"/>
    <w:rsid w:val="00F636BD"/>
    <w:rsid w:val="00F6444D"/>
    <w:rsid w:val="00F64B49"/>
    <w:rsid w:val="00F65323"/>
    <w:rsid w:val="00F6600E"/>
    <w:rsid w:val="00F665DD"/>
    <w:rsid w:val="00F66CF5"/>
    <w:rsid w:val="00F66F55"/>
    <w:rsid w:val="00F66FC8"/>
    <w:rsid w:val="00F67038"/>
    <w:rsid w:val="00F673B1"/>
    <w:rsid w:val="00F67FA3"/>
    <w:rsid w:val="00F7002B"/>
    <w:rsid w:val="00F7059A"/>
    <w:rsid w:val="00F7095F"/>
    <w:rsid w:val="00F7124C"/>
    <w:rsid w:val="00F713AA"/>
    <w:rsid w:val="00F71AB3"/>
    <w:rsid w:val="00F71C51"/>
    <w:rsid w:val="00F7207B"/>
    <w:rsid w:val="00F720DA"/>
    <w:rsid w:val="00F7242A"/>
    <w:rsid w:val="00F72BF1"/>
    <w:rsid w:val="00F730C1"/>
    <w:rsid w:val="00F737A9"/>
    <w:rsid w:val="00F740B7"/>
    <w:rsid w:val="00F740E3"/>
    <w:rsid w:val="00F74D81"/>
    <w:rsid w:val="00F7500E"/>
    <w:rsid w:val="00F75A91"/>
    <w:rsid w:val="00F7619D"/>
    <w:rsid w:val="00F76A30"/>
    <w:rsid w:val="00F76DD6"/>
    <w:rsid w:val="00F774E1"/>
    <w:rsid w:val="00F77AA5"/>
    <w:rsid w:val="00F81099"/>
    <w:rsid w:val="00F81406"/>
    <w:rsid w:val="00F81917"/>
    <w:rsid w:val="00F81B26"/>
    <w:rsid w:val="00F81C49"/>
    <w:rsid w:val="00F81C81"/>
    <w:rsid w:val="00F82025"/>
    <w:rsid w:val="00F8220F"/>
    <w:rsid w:val="00F822C5"/>
    <w:rsid w:val="00F822D6"/>
    <w:rsid w:val="00F824E0"/>
    <w:rsid w:val="00F82AFD"/>
    <w:rsid w:val="00F82FA8"/>
    <w:rsid w:val="00F83668"/>
    <w:rsid w:val="00F836F3"/>
    <w:rsid w:val="00F83BB6"/>
    <w:rsid w:val="00F83E66"/>
    <w:rsid w:val="00F83FD9"/>
    <w:rsid w:val="00F846AE"/>
    <w:rsid w:val="00F84D40"/>
    <w:rsid w:val="00F851EF"/>
    <w:rsid w:val="00F85DA4"/>
    <w:rsid w:val="00F85F94"/>
    <w:rsid w:val="00F86448"/>
    <w:rsid w:val="00F870D7"/>
    <w:rsid w:val="00F874AD"/>
    <w:rsid w:val="00F9224D"/>
    <w:rsid w:val="00F92490"/>
    <w:rsid w:val="00F929BC"/>
    <w:rsid w:val="00F92F98"/>
    <w:rsid w:val="00F930A6"/>
    <w:rsid w:val="00F9333C"/>
    <w:rsid w:val="00F93948"/>
    <w:rsid w:val="00F93D1E"/>
    <w:rsid w:val="00F94004"/>
    <w:rsid w:val="00F94805"/>
    <w:rsid w:val="00F9492D"/>
    <w:rsid w:val="00F9513B"/>
    <w:rsid w:val="00F9531F"/>
    <w:rsid w:val="00F955D0"/>
    <w:rsid w:val="00F95C7E"/>
    <w:rsid w:val="00F96043"/>
    <w:rsid w:val="00F960F4"/>
    <w:rsid w:val="00F9624B"/>
    <w:rsid w:val="00F966D2"/>
    <w:rsid w:val="00F96C8D"/>
    <w:rsid w:val="00F96DC1"/>
    <w:rsid w:val="00F979C1"/>
    <w:rsid w:val="00F97FBB"/>
    <w:rsid w:val="00FA045D"/>
    <w:rsid w:val="00FA0BE2"/>
    <w:rsid w:val="00FA10C8"/>
    <w:rsid w:val="00FA1AD8"/>
    <w:rsid w:val="00FA29B1"/>
    <w:rsid w:val="00FA2A58"/>
    <w:rsid w:val="00FA2C43"/>
    <w:rsid w:val="00FA3335"/>
    <w:rsid w:val="00FA373F"/>
    <w:rsid w:val="00FA3CB7"/>
    <w:rsid w:val="00FA3DCA"/>
    <w:rsid w:val="00FA3EB8"/>
    <w:rsid w:val="00FA3F60"/>
    <w:rsid w:val="00FA4029"/>
    <w:rsid w:val="00FA4605"/>
    <w:rsid w:val="00FA4E7E"/>
    <w:rsid w:val="00FA4F87"/>
    <w:rsid w:val="00FA52E1"/>
    <w:rsid w:val="00FA5ADB"/>
    <w:rsid w:val="00FA6246"/>
    <w:rsid w:val="00FA6C8A"/>
    <w:rsid w:val="00FA701F"/>
    <w:rsid w:val="00FA7886"/>
    <w:rsid w:val="00FB052F"/>
    <w:rsid w:val="00FB054C"/>
    <w:rsid w:val="00FB07F8"/>
    <w:rsid w:val="00FB0D9F"/>
    <w:rsid w:val="00FB1C88"/>
    <w:rsid w:val="00FB2155"/>
    <w:rsid w:val="00FB37D8"/>
    <w:rsid w:val="00FB37FF"/>
    <w:rsid w:val="00FB3FD2"/>
    <w:rsid w:val="00FB41C7"/>
    <w:rsid w:val="00FB495D"/>
    <w:rsid w:val="00FB4B75"/>
    <w:rsid w:val="00FB5084"/>
    <w:rsid w:val="00FB52E5"/>
    <w:rsid w:val="00FB5502"/>
    <w:rsid w:val="00FB595F"/>
    <w:rsid w:val="00FB6326"/>
    <w:rsid w:val="00FB67E8"/>
    <w:rsid w:val="00FB6867"/>
    <w:rsid w:val="00FB6CC5"/>
    <w:rsid w:val="00FB7028"/>
    <w:rsid w:val="00FB7131"/>
    <w:rsid w:val="00FB722F"/>
    <w:rsid w:val="00FB7293"/>
    <w:rsid w:val="00FB7307"/>
    <w:rsid w:val="00FB7315"/>
    <w:rsid w:val="00FB7FFD"/>
    <w:rsid w:val="00FC003B"/>
    <w:rsid w:val="00FC0130"/>
    <w:rsid w:val="00FC0BAA"/>
    <w:rsid w:val="00FC1115"/>
    <w:rsid w:val="00FC1EC1"/>
    <w:rsid w:val="00FC2050"/>
    <w:rsid w:val="00FC213C"/>
    <w:rsid w:val="00FC2D68"/>
    <w:rsid w:val="00FC3F31"/>
    <w:rsid w:val="00FC4224"/>
    <w:rsid w:val="00FC434E"/>
    <w:rsid w:val="00FC5E10"/>
    <w:rsid w:val="00FC5E33"/>
    <w:rsid w:val="00FC605B"/>
    <w:rsid w:val="00FC656A"/>
    <w:rsid w:val="00FC65E9"/>
    <w:rsid w:val="00FC66A8"/>
    <w:rsid w:val="00FC7E20"/>
    <w:rsid w:val="00FD0722"/>
    <w:rsid w:val="00FD0BCD"/>
    <w:rsid w:val="00FD1288"/>
    <w:rsid w:val="00FD1F76"/>
    <w:rsid w:val="00FD2666"/>
    <w:rsid w:val="00FD2C3F"/>
    <w:rsid w:val="00FD30A3"/>
    <w:rsid w:val="00FD30C6"/>
    <w:rsid w:val="00FD3138"/>
    <w:rsid w:val="00FD32C6"/>
    <w:rsid w:val="00FD3706"/>
    <w:rsid w:val="00FD38E2"/>
    <w:rsid w:val="00FD4385"/>
    <w:rsid w:val="00FD4CF8"/>
    <w:rsid w:val="00FD52A0"/>
    <w:rsid w:val="00FD583D"/>
    <w:rsid w:val="00FD5DF7"/>
    <w:rsid w:val="00FD6A00"/>
    <w:rsid w:val="00FD6AD9"/>
    <w:rsid w:val="00FD6F7E"/>
    <w:rsid w:val="00FD6FF2"/>
    <w:rsid w:val="00FD7017"/>
    <w:rsid w:val="00FD7088"/>
    <w:rsid w:val="00FD7C8D"/>
    <w:rsid w:val="00FE0304"/>
    <w:rsid w:val="00FE155C"/>
    <w:rsid w:val="00FE158A"/>
    <w:rsid w:val="00FE19EE"/>
    <w:rsid w:val="00FE19F9"/>
    <w:rsid w:val="00FE21C1"/>
    <w:rsid w:val="00FE28E4"/>
    <w:rsid w:val="00FE2D0D"/>
    <w:rsid w:val="00FE2F05"/>
    <w:rsid w:val="00FE3363"/>
    <w:rsid w:val="00FE34F4"/>
    <w:rsid w:val="00FE3894"/>
    <w:rsid w:val="00FE43D2"/>
    <w:rsid w:val="00FE4707"/>
    <w:rsid w:val="00FE4BA0"/>
    <w:rsid w:val="00FE5915"/>
    <w:rsid w:val="00FE67E3"/>
    <w:rsid w:val="00FE6A61"/>
    <w:rsid w:val="00FE7768"/>
    <w:rsid w:val="00FE7B05"/>
    <w:rsid w:val="00FF002A"/>
    <w:rsid w:val="00FF01B7"/>
    <w:rsid w:val="00FF0356"/>
    <w:rsid w:val="00FF09C3"/>
    <w:rsid w:val="00FF0B8C"/>
    <w:rsid w:val="00FF0BA9"/>
    <w:rsid w:val="00FF0CC1"/>
    <w:rsid w:val="00FF0E0E"/>
    <w:rsid w:val="00FF1407"/>
    <w:rsid w:val="00FF27C5"/>
    <w:rsid w:val="00FF2E49"/>
    <w:rsid w:val="00FF3963"/>
    <w:rsid w:val="00FF3AFF"/>
    <w:rsid w:val="00FF41F9"/>
    <w:rsid w:val="00FF4206"/>
    <w:rsid w:val="00FF42F2"/>
    <w:rsid w:val="00FF44D7"/>
    <w:rsid w:val="00FF4667"/>
    <w:rsid w:val="00FF4C2D"/>
    <w:rsid w:val="00FF4D91"/>
    <w:rsid w:val="00FF50CF"/>
    <w:rsid w:val="00FF532B"/>
    <w:rsid w:val="00FF579E"/>
    <w:rsid w:val="00FF6070"/>
    <w:rsid w:val="00FF65D5"/>
    <w:rsid w:val="00FF69C9"/>
    <w:rsid w:val="00FF6A35"/>
    <w:rsid w:val="00FF6CAE"/>
    <w:rsid w:val="00FF6D35"/>
    <w:rsid w:val="00FF6D3E"/>
    <w:rsid w:val="00FF6E87"/>
    <w:rsid w:val="00FF6FE9"/>
    <w:rsid w:val="00FF702B"/>
    <w:rsid w:val="00FF7307"/>
    <w:rsid w:val="00FF737E"/>
    <w:rsid w:val="00FF7803"/>
    <w:rsid w:val="00FF7D96"/>
    <w:rsid w:val="057432EC"/>
    <w:rsid w:val="240EDFC3"/>
    <w:rsid w:val="2A2B9304"/>
    <w:rsid w:val="49B31052"/>
    <w:rsid w:val="501C1276"/>
    <w:rsid w:val="6461B03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97F12A"/>
  <w15:docId w15:val="{02C1616D-11F7-4465-B7E6-0C8EB9F07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lang w:val="en-AU" w:eastAsia="en-AU" w:bidi="ar-SA"/>
      </w:rPr>
    </w:rPrDefault>
    <w:pPrDefault>
      <w:pPr>
        <w:spacing w:before="120" w:after="120" w:line="240" w:lineRule="atLeast"/>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lsdException w:name="heading 8" w:semiHidden="1" w:uiPriority="3" w:unhideWhenUsed="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qFormat="1"/>
    <w:lsdException w:name="List Continue 2" w:semiHidden="1" w:unhideWhenUsed="1" w:qFormat="1"/>
    <w:lsdException w:name="List Continue 3" w:qFormat="1"/>
    <w:lsdException w:name="List Continue 4" w:semiHidden="1"/>
    <w:lsdException w:name="List Continue 5" w:semiHidden="1"/>
    <w:lsdException w:name="Subtitle" w:uiPriority="2"/>
    <w:lsdException w:name="Salutation" w:semiHidden="1" w:unhideWhenUsed="1"/>
    <w:lsdException w:name="Date" w:semiHidden="1" w:uiPriority="3" w:unhideWhenUsed="1"/>
    <w:lsdException w:name="Body Text First Indent" w:semiHidden="1" w:unhideWhenUsed="1"/>
    <w:lsdException w:name="Body Text First Indent 2" w:semiHidden="1" w:unhideWhenUsed="1"/>
    <w:lsdException w:name="Note Heading" w:semiHidden="1" w:unhideWhenUsed="1" w:qFormat="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F6070"/>
  </w:style>
  <w:style w:type="paragraph" w:styleId="Heading1">
    <w:name w:val="heading 1"/>
    <w:basedOn w:val="Normal"/>
    <w:next w:val="BodyText"/>
    <w:link w:val="Heading1Char"/>
    <w:uiPriority w:val="9"/>
    <w:qFormat/>
    <w:rsid w:val="00A0129A"/>
    <w:pPr>
      <w:keepNext/>
      <w:pageBreakBefore/>
      <w:spacing w:before="0" w:after="240" w:line="230" w:lineRule="atLeast"/>
      <w:outlineLvl w:val="0"/>
    </w:pPr>
    <w:rPr>
      <w:rFonts w:asciiTheme="majorHAnsi" w:eastAsiaTheme="majorEastAsia" w:hAnsiTheme="majorHAnsi" w:cstheme="majorBidi"/>
      <w:bCs/>
      <w:color w:val="201547" w:themeColor="text2"/>
      <w:spacing w:val="-4"/>
      <w:sz w:val="40"/>
      <w:szCs w:val="40"/>
    </w:rPr>
  </w:style>
  <w:style w:type="paragraph" w:styleId="Heading2">
    <w:name w:val="heading 2"/>
    <w:basedOn w:val="Normal"/>
    <w:next w:val="BodyText"/>
    <w:link w:val="Heading2Char"/>
    <w:uiPriority w:val="9"/>
    <w:qFormat/>
    <w:rsid w:val="00B62C78"/>
    <w:pPr>
      <w:keepNext/>
      <w:keepLines/>
      <w:spacing w:before="240" w:line="230" w:lineRule="atLeast"/>
      <w:outlineLvl w:val="1"/>
    </w:pPr>
    <w:rPr>
      <w:rFonts w:asciiTheme="majorHAnsi" w:eastAsiaTheme="majorEastAsia" w:hAnsiTheme="majorHAnsi" w:cstheme="majorBidi"/>
      <w:b/>
      <w:bCs/>
      <w:color w:val="201547" w:themeColor="text2"/>
      <w:spacing w:val="-2"/>
      <w:sz w:val="32"/>
      <w:szCs w:val="26"/>
    </w:rPr>
  </w:style>
  <w:style w:type="paragraph" w:styleId="Heading3">
    <w:name w:val="heading 3"/>
    <w:basedOn w:val="Normal"/>
    <w:next w:val="BodyText"/>
    <w:link w:val="Heading3Char"/>
    <w:qFormat/>
    <w:rsid w:val="00B62C78"/>
    <w:pPr>
      <w:keepNext/>
      <w:keepLines/>
      <w:spacing w:before="200"/>
      <w:outlineLvl w:val="2"/>
    </w:pPr>
    <w:rPr>
      <w:rFonts w:asciiTheme="majorHAnsi" w:eastAsiaTheme="majorEastAsia" w:hAnsiTheme="majorHAnsi" w:cstheme="majorBidi"/>
      <w:bCs/>
      <w:color w:val="201547" w:themeColor="text2"/>
      <w:sz w:val="28"/>
      <w:szCs w:val="26"/>
    </w:rPr>
  </w:style>
  <w:style w:type="paragraph" w:styleId="Heading4">
    <w:name w:val="heading 4"/>
    <w:basedOn w:val="BodyText"/>
    <w:next w:val="BodyText"/>
    <w:link w:val="Heading4Char"/>
    <w:qFormat/>
    <w:rsid w:val="00B62C78"/>
    <w:pPr>
      <w:spacing w:before="200"/>
      <w:outlineLvl w:val="3"/>
    </w:pPr>
    <w:rPr>
      <w:b/>
      <w:bCs/>
      <w:color w:val="201547" w:themeColor="text2"/>
      <w:sz w:val="24"/>
      <w:szCs w:val="24"/>
    </w:rPr>
  </w:style>
  <w:style w:type="paragraph" w:styleId="Heading5">
    <w:name w:val="heading 5"/>
    <w:basedOn w:val="Normal"/>
    <w:next w:val="BodyText"/>
    <w:link w:val="Heading5Char"/>
    <w:rsid w:val="00B62C78"/>
    <w:pPr>
      <w:keepNext/>
      <w:keepLines/>
      <w:spacing w:before="200"/>
      <w:outlineLvl w:val="4"/>
    </w:pPr>
    <w:rPr>
      <w:rFonts w:asciiTheme="majorHAnsi" w:eastAsiaTheme="majorEastAsia" w:hAnsiTheme="majorHAnsi" w:cstheme="majorBidi"/>
      <w:b/>
      <w:iCs/>
      <w:color w:val="201547" w:themeColor="text2"/>
      <w:sz w:val="22"/>
    </w:rPr>
  </w:style>
  <w:style w:type="paragraph" w:styleId="Heading6">
    <w:name w:val="heading 6"/>
    <w:basedOn w:val="Normal"/>
    <w:next w:val="Normal"/>
    <w:link w:val="Heading6Char"/>
    <w:rsid w:val="00462258"/>
    <w:pPr>
      <w:keepNext/>
      <w:keepLines/>
      <w:spacing w:before="200"/>
      <w:outlineLvl w:val="5"/>
    </w:pPr>
    <w:rPr>
      <w:rFonts w:asciiTheme="majorHAnsi" w:eastAsiaTheme="majorEastAsia" w:hAnsiTheme="majorHAnsi" w:cstheme="majorBidi"/>
      <w:b/>
      <w:iCs/>
      <w:color w:val="232222" w:themeColor="text1"/>
      <w:lang w:eastAsia="en-US"/>
    </w:rPr>
  </w:style>
  <w:style w:type="paragraph" w:styleId="Heading7">
    <w:name w:val="heading 7"/>
    <w:basedOn w:val="Normal"/>
    <w:next w:val="BodyText"/>
    <w:link w:val="Heading7Char"/>
    <w:semiHidden/>
    <w:rsid w:val="006926C9"/>
    <w:pPr>
      <w:keepNext/>
      <w:keepLines/>
      <w:pageBreakBefore/>
      <w:spacing w:before="0" w:after="0" w:line="230" w:lineRule="atLeast"/>
      <w:outlineLvl w:val="6"/>
    </w:pPr>
    <w:rPr>
      <w:rFonts w:eastAsiaTheme="majorEastAsia" w:cstheme="majorBidi"/>
      <w:iCs/>
      <w:color w:val="201547" w:themeColor="text2"/>
    </w:rPr>
  </w:style>
  <w:style w:type="paragraph" w:styleId="Heading8">
    <w:name w:val="heading 8"/>
    <w:basedOn w:val="Normal"/>
    <w:next w:val="BodyText"/>
    <w:link w:val="Heading8Char"/>
    <w:semiHidden/>
    <w:rsid w:val="0058629F"/>
    <w:pPr>
      <w:keepNext/>
      <w:keepLines/>
      <w:pageBreakBefore/>
      <w:numPr>
        <w:numId w:val="2"/>
      </w:numPr>
      <w:tabs>
        <w:tab w:val="right" w:pos="9639"/>
      </w:tabs>
      <w:spacing w:after="320"/>
      <w:ind w:left="284" w:hanging="284"/>
      <w:outlineLvl w:val="7"/>
    </w:pPr>
    <w:rPr>
      <w:rFonts w:asciiTheme="majorHAnsi" w:eastAsiaTheme="majorEastAsia" w:hAnsiTheme="majorHAnsi" w:cs="Arial"/>
      <w:caps/>
      <w:sz w:val="36"/>
      <w:lang w:eastAsia="en-US"/>
    </w:rPr>
  </w:style>
  <w:style w:type="paragraph" w:styleId="Heading9">
    <w:name w:val="heading 9"/>
    <w:basedOn w:val="Normal"/>
    <w:next w:val="BodyText"/>
    <w:link w:val="Heading9Char"/>
    <w:semiHidden/>
    <w:qFormat/>
    <w:rsid w:val="000809F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34222"/>
  </w:style>
  <w:style w:type="character" w:customStyle="1" w:styleId="BodyTextChar">
    <w:name w:val="Body Text Char"/>
    <w:basedOn w:val="DefaultParagraphFont"/>
    <w:link w:val="BodyText"/>
    <w:rsid w:val="00134222"/>
  </w:style>
  <w:style w:type="paragraph" w:styleId="BlockText">
    <w:name w:val="Block Text"/>
    <w:basedOn w:val="BodyText"/>
    <w:semiHidden/>
    <w:unhideWhenUsed/>
    <w:rsid w:val="0058629F"/>
    <w:rPr>
      <w:rFonts w:eastAsiaTheme="minorEastAsia" w:cstheme="minorBidi"/>
      <w:iCs/>
    </w:rPr>
  </w:style>
  <w:style w:type="paragraph" w:styleId="BalloonText">
    <w:name w:val="Balloon Text"/>
    <w:basedOn w:val="Normal"/>
    <w:link w:val="BalloonTextChar"/>
    <w:uiPriority w:val="99"/>
    <w:semiHidden/>
    <w:unhideWhenUsed/>
    <w:rsid w:val="0058629F"/>
    <w:rPr>
      <w:rFonts w:ascii="Tahoma" w:hAnsi="Tahoma" w:cs="Tahoma"/>
      <w:sz w:val="16"/>
      <w:szCs w:val="16"/>
    </w:rPr>
  </w:style>
  <w:style w:type="character" w:customStyle="1" w:styleId="BalloonTextChar">
    <w:name w:val="Balloon Text Char"/>
    <w:basedOn w:val="DefaultParagraphFont"/>
    <w:link w:val="BalloonText"/>
    <w:uiPriority w:val="99"/>
    <w:semiHidden/>
    <w:rsid w:val="0058629F"/>
    <w:rPr>
      <w:rFonts w:ascii="Tahoma" w:hAnsi="Tahoma" w:cs="Tahoma"/>
      <w:sz w:val="16"/>
      <w:szCs w:val="16"/>
    </w:rPr>
  </w:style>
  <w:style w:type="paragraph" w:styleId="Footer">
    <w:name w:val="footer"/>
    <w:basedOn w:val="Normal"/>
    <w:link w:val="FooterChar"/>
    <w:uiPriority w:val="99"/>
    <w:rsid w:val="00077BDB"/>
    <w:pPr>
      <w:spacing w:before="0" w:after="0" w:line="200" w:lineRule="atLeast"/>
    </w:pPr>
    <w:rPr>
      <w:bCs/>
      <w:sz w:val="16"/>
    </w:rPr>
  </w:style>
  <w:style w:type="character" w:customStyle="1" w:styleId="FooterChar">
    <w:name w:val="Footer Char"/>
    <w:basedOn w:val="DefaultParagraphFont"/>
    <w:link w:val="Footer"/>
    <w:uiPriority w:val="99"/>
    <w:rsid w:val="00EF7CFD"/>
    <w:rPr>
      <w:bCs/>
      <w:sz w:val="16"/>
    </w:rPr>
  </w:style>
  <w:style w:type="numbering" w:customStyle="1" w:styleId="HangingList">
    <w:name w:val="HangingList"/>
    <w:uiPriority w:val="99"/>
    <w:rsid w:val="0058629F"/>
    <w:pPr>
      <w:numPr>
        <w:numId w:val="1"/>
      </w:numPr>
    </w:pPr>
  </w:style>
  <w:style w:type="paragraph" w:styleId="Header">
    <w:name w:val="header"/>
    <w:basedOn w:val="Normal"/>
    <w:link w:val="HeaderChar"/>
    <w:uiPriority w:val="99"/>
    <w:unhideWhenUsed/>
    <w:rsid w:val="00CD51BB"/>
    <w:pPr>
      <w:tabs>
        <w:tab w:val="center" w:pos="4513"/>
        <w:tab w:val="right" w:pos="9026"/>
      </w:tabs>
      <w:spacing w:before="0" w:after="260"/>
      <w:contextualSpacing/>
    </w:pPr>
  </w:style>
  <w:style w:type="character" w:customStyle="1" w:styleId="HeaderChar">
    <w:name w:val="Header Char"/>
    <w:basedOn w:val="DefaultParagraphFont"/>
    <w:link w:val="Header"/>
    <w:uiPriority w:val="99"/>
    <w:rsid w:val="00CD51BB"/>
  </w:style>
  <w:style w:type="character" w:customStyle="1" w:styleId="Heading1Char">
    <w:name w:val="Heading 1 Char"/>
    <w:basedOn w:val="DefaultParagraphFont"/>
    <w:link w:val="Heading1"/>
    <w:uiPriority w:val="9"/>
    <w:rsid w:val="00A0129A"/>
    <w:rPr>
      <w:rFonts w:asciiTheme="majorHAnsi" w:eastAsiaTheme="majorEastAsia" w:hAnsiTheme="majorHAnsi" w:cstheme="majorBidi"/>
      <w:bCs/>
      <w:color w:val="201547" w:themeColor="text2"/>
      <w:spacing w:val="-4"/>
      <w:sz w:val="40"/>
      <w:szCs w:val="40"/>
    </w:rPr>
  </w:style>
  <w:style w:type="character" w:customStyle="1" w:styleId="Heading2Char">
    <w:name w:val="Heading 2 Char"/>
    <w:basedOn w:val="DefaultParagraphFont"/>
    <w:link w:val="Heading2"/>
    <w:uiPriority w:val="9"/>
    <w:rsid w:val="00B62C78"/>
    <w:rPr>
      <w:rFonts w:asciiTheme="majorHAnsi" w:eastAsiaTheme="majorEastAsia" w:hAnsiTheme="majorHAnsi" w:cstheme="majorBidi"/>
      <w:b/>
      <w:bCs/>
      <w:color w:val="201547" w:themeColor="text2"/>
      <w:spacing w:val="-2"/>
      <w:sz w:val="32"/>
      <w:szCs w:val="26"/>
    </w:rPr>
  </w:style>
  <w:style w:type="character" w:customStyle="1" w:styleId="Heading3Char">
    <w:name w:val="Heading 3 Char"/>
    <w:basedOn w:val="DefaultParagraphFont"/>
    <w:link w:val="Heading3"/>
    <w:rsid w:val="00B62C78"/>
    <w:rPr>
      <w:rFonts w:asciiTheme="majorHAnsi" w:eastAsiaTheme="majorEastAsia" w:hAnsiTheme="majorHAnsi" w:cstheme="majorBidi"/>
      <w:bCs/>
      <w:color w:val="201547" w:themeColor="text2"/>
      <w:sz w:val="28"/>
      <w:szCs w:val="26"/>
    </w:rPr>
  </w:style>
  <w:style w:type="character" w:customStyle="1" w:styleId="Heading4Char">
    <w:name w:val="Heading 4 Char"/>
    <w:basedOn w:val="DefaultParagraphFont"/>
    <w:link w:val="Heading4"/>
    <w:rsid w:val="00B62C78"/>
    <w:rPr>
      <w:b/>
      <w:bCs/>
      <w:color w:val="201547" w:themeColor="text2"/>
      <w:sz w:val="24"/>
      <w:szCs w:val="24"/>
    </w:rPr>
  </w:style>
  <w:style w:type="character" w:customStyle="1" w:styleId="Heading7Char">
    <w:name w:val="Heading 7 Char"/>
    <w:basedOn w:val="DefaultParagraphFont"/>
    <w:link w:val="Heading7"/>
    <w:semiHidden/>
    <w:rsid w:val="006926C9"/>
    <w:rPr>
      <w:rFonts w:eastAsiaTheme="majorEastAsia" w:cstheme="majorBidi"/>
      <w:iCs/>
      <w:color w:val="201547" w:themeColor="text2"/>
    </w:rPr>
  </w:style>
  <w:style w:type="character" w:customStyle="1" w:styleId="Heading8Char">
    <w:name w:val="Heading 8 Char"/>
    <w:basedOn w:val="DefaultParagraphFont"/>
    <w:link w:val="Heading8"/>
    <w:semiHidden/>
    <w:rsid w:val="000809F5"/>
    <w:rPr>
      <w:rFonts w:asciiTheme="majorHAnsi" w:eastAsiaTheme="majorEastAsia" w:hAnsiTheme="majorHAnsi" w:cs="Arial"/>
      <w:caps/>
      <w:sz w:val="36"/>
      <w:lang w:eastAsia="en-US"/>
    </w:rPr>
  </w:style>
  <w:style w:type="character" w:customStyle="1" w:styleId="Heading9Char">
    <w:name w:val="Heading 9 Char"/>
    <w:basedOn w:val="DefaultParagraphFont"/>
    <w:link w:val="Heading9"/>
    <w:semiHidden/>
    <w:rsid w:val="000809F5"/>
  </w:style>
  <w:style w:type="numbering" w:customStyle="1" w:styleId="Headings">
    <w:name w:val="Headings"/>
    <w:uiPriority w:val="99"/>
    <w:rsid w:val="0058629F"/>
    <w:pPr>
      <w:numPr>
        <w:numId w:val="3"/>
      </w:numPr>
    </w:pPr>
  </w:style>
  <w:style w:type="character" w:styleId="Hyperlink">
    <w:name w:val="Hyperlink"/>
    <w:basedOn w:val="DefaultParagraphFont"/>
    <w:uiPriority w:val="99"/>
    <w:unhideWhenUsed/>
    <w:rsid w:val="0058629F"/>
    <w:rPr>
      <w:color w:val="232222" w:themeColor="hyperlink"/>
      <w:u w:val="single"/>
    </w:rPr>
  </w:style>
  <w:style w:type="character" w:styleId="FollowedHyperlink">
    <w:name w:val="FollowedHyperlink"/>
    <w:basedOn w:val="DefaultParagraphFont"/>
    <w:uiPriority w:val="99"/>
    <w:rsid w:val="0058629F"/>
    <w:rPr>
      <w:color w:val="7030A0"/>
      <w:u w:val="single"/>
    </w:rPr>
  </w:style>
  <w:style w:type="paragraph" w:styleId="ListBullet">
    <w:name w:val="List Bullet"/>
    <w:basedOn w:val="BodyText"/>
    <w:qFormat/>
    <w:rsid w:val="00231B63"/>
    <w:pPr>
      <w:numPr>
        <w:numId w:val="7"/>
      </w:numPr>
    </w:pPr>
  </w:style>
  <w:style w:type="paragraph" w:styleId="ListBullet2">
    <w:name w:val="List Bullet 2"/>
    <w:basedOn w:val="ListBullet"/>
    <w:qFormat/>
    <w:rsid w:val="00DE33D8"/>
    <w:pPr>
      <w:numPr>
        <w:ilvl w:val="1"/>
      </w:numPr>
    </w:pPr>
  </w:style>
  <w:style w:type="paragraph" w:styleId="ListBullet3">
    <w:name w:val="List Bullet 3"/>
    <w:basedOn w:val="ListBullet2"/>
    <w:qFormat/>
    <w:rsid w:val="0058629F"/>
    <w:pPr>
      <w:numPr>
        <w:ilvl w:val="2"/>
      </w:numPr>
    </w:pPr>
  </w:style>
  <w:style w:type="paragraph" w:styleId="ListContinue">
    <w:name w:val="List Continue"/>
    <w:basedOn w:val="BodyText"/>
    <w:qFormat/>
    <w:rsid w:val="0056073C"/>
    <w:pPr>
      <w:ind w:left="340"/>
    </w:pPr>
  </w:style>
  <w:style w:type="paragraph" w:styleId="ListNumber">
    <w:name w:val="List Number"/>
    <w:basedOn w:val="BodyText"/>
    <w:qFormat/>
    <w:rsid w:val="00231B63"/>
    <w:pPr>
      <w:numPr>
        <w:numId w:val="8"/>
      </w:numPr>
    </w:pPr>
  </w:style>
  <w:style w:type="paragraph" w:styleId="ListNumber2">
    <w:name w:val="List Number 2"/>
    <w:basedOn w:val="ListNumber"/>
    <w:qFormat/>
    <w:rsid w:val="001369F7"/>
    <w:pPr>
      <w:numPr>
        <w:ilvl w:val="1"/>
      </w:numPr>
    </w:pPr>
  </w:style>
  <w:style w:type="paragraph" w:styleId="ListNumber3">
    <w:name w:val="List Number 3"/>
    <w:basedOn w:val="ListNumber2"/>
    <w:qFormat/>
    <w:rsid w:val="001369F7"/>
    <w:pPr>
      <w:numPr>
        <w:ilvl w:val="2"/>
      </w:numPr>
    </w:pPr>
  </w:style>
  <w:style w:type="numbering" w:customStyle="1" w:styleId="MyListNumbering">
    <w:name w:val="MyListNumbering"/>
    <w:uiPriority w:val="99"/>
    <w:rsid w:val="0058629F"/>
    <w:pPr>
      <w:numPr>
        <w:numId w:val="6"/>
      </w:numPr>
    </w:pPr>
  </w:style>
  <w:style w:type="paragraph" w:styleId="Title">
    <w:name w:val="Title"/>
    <w:basedOn w:val="Normal"/>
    <w:next w:val="Normal"/>
    <w:link w:val="TitleChar"/>
    <w:uiPriority w:val="3"/>
    <w:rsid w:val="00576577"/>
    <w:pPr>
      <w:spacing w:before="0" w:after="0" w:line="240" w:lineRule="auto"/>
    </w:pPr>
    <w:rPr>
      <w:rFonts w:asciiTheme="majorHAnsi" w:hAnsiTheme="majorHAnsi"/>
      <w:b/>
      <w:color w:val="201547" w:themeColor="text2"/>
      <w:sz w:val="41"/>
    </w:rPr>
  </w:style>
  <w:style w:type="character" w:customStyle="1" w:styleId="TitleChar">
    <w:name w:val="Title Char"/>
    <w:basedOn w:val="DefaultParagraphFont"/>
    <w:link w:val="Title"/>
    <w:uiPriority w:val="3"/>
    <w:rsid w:val="00576577"/>
    <w:rPr>
      <w:rFonts w:asciiTheme="majorHAnsi" w:hAnsiTheme="majorHAnsi"/>
      <w:b/>
      <w:color w:val="201547" w:themeColor="text2"/>
      <w:sz w:val="41"/>
    </w:rPr>
  </w:style>
  <w:style w:type="paragraph" w:styleId="TOC5">
    <w:name w:val="toc 5"/>
    <w:basedOn w:val="Normal"/>
    <w:next w:val="Normal"/>
    <w:autoRedefine/>
    <w:uiPriority w:val="39"/>
    <w:semiHidden/>
    <w:rsid w:val="00F7242A"/>
    <w:pPr>
      <w:tabs>
        <w:tab w:val="right" w:pos="9582"/>
      </w:tabs>
      <w:spacing w:before="240" w:after="60"/>
      <w:ind w:right="851"/>
    </w:pPr>
    <w:rPr>
      <w:rFonts w:cs="Arial"/>
      <w:b/>
      <w:color w:val="201547" w:themeColor="text2"/>
      <w:sz w:val="24"/>
    </w:rPr>
  </w:style>
  <w:style w:type="paragraph" w:styleId="TOC6">
    <w:name w:val="toc 6"/>
    <w:basedOn w:val="Normal"/>
    <w:next w:val="Normal"/>
    <w:autoRedefine/>
    <w:rsid w:val="00F7242A"/>
    <w:pPr>
      <w:spacing w:before="0" w:after="100"/>
      <w:ind w:left="1000"/>
    </w:pPr>
    <w:rPr>
      <w:rFonts w:cs="Arial"/>
      <w:color w:val="232222" w:themeColor="text1"/>
    </w:rPr>
  </w:style>
  <w:style w:type="paragraph" w:styleId="TOC7">
    <w:name w:val="toc 7"/>
    <w:basedOn w:val="Normal"/>
    <w:next w:val="Normal"/>
    <w:autoRedefine/>
    <w:rsid w:val="00F7242A"/>
    <w:pPr>
      <w:spacing w:before="0" w:after="100"/>
      <w:ind w:left="1200"/>
    </w:pPr>
    <w:rPr>
      <w:rFonts w:cs="Arial"/>
      <w:color w:val="232222" w:themeColor="text1"/>
    </w:rPr>
  </w:style>
  <w:style w:type="paragraph" w:styleId="TOC8">
    <w:name w:val="toc 8"/>
    <w:basedOn w:val="Normal"/>
    <w:next w:val="Normal"/>
    <w:autoRedefine/>
    <w:uiPriority w:val="39"/>
    <w:semiHidden/>
    <w:rsid w:val="00F7242A"/>
    <w:pPr>
      <w:tabs>
        <w:tab w:val="right" w:leader="dot" w:pos="9582"/>
      </w:tabs>
      <w:spacing w:before="240" w:after="60"/>
      <w:ind w:right="851"/>
      <w:contextualSpacing/>
    </w:pPr>
    <w:rPr>
      <w:rFonts w:cs="Arial"/>
      <w:b/>
      <w:color w:val="201547" w:themeColor="text2"/>
      <w:sz w:val="24"/>
    </w:rPr>
  </w:style>
  <w:style w:type="paragraph" w:styleId="ListContinue2">
    <w:name w:val="List Continue 2"/>
    <w:basedOn w:val="ListContinue"/>
    <w:qFormat/>
    <w:rsid w:val="0056073C"/>
    <w:pPr>
      <w:ind w:left="680"/>
    </w:pPr>
  </w:style>
  <w:style w:type="paragraph" w:styleId="ListContinue3">
    <w:name w:val="List Continue 3"/>
    <w:basedOn w:val="ListContinue2"/>
    <w:qFormat/>
    <w:rsid w:val="0056073C"/>
    <w:pPr>
      <w:ind w:left="1021"/>
    </w:pPr>
  </w:style>
  <w:style w:type="paragraph" w:styleId="NoSpacing">
    <w:name w:val="No Spacing"/>
    <w:basedOn w:val="Normal"/>
    <w:next w:val="BodyText"/>
    <w:link w:val="NoSpacingChar"/>
    <w:uiPriority w:val="1"/>
    <w:qFormat/>
    <w:rsid w:val="00E670F9"/>
    <w:pPr>
      <w:spacing w:before="0" w:after="0"/>
    </w:pPr>
  </w:style>
  <w:style w:type="paragraph" w:styleId="Date">
    <w:name w:val="Date"/>
    <w:basedOn w:val="Normal"/>
    <w:link w:val="DateChar"/>
    <w:uiPriority w:val="99"/>
    <w:rsid w:val="00C503CB"/>
    <w:pPr>
      <w:spacing w:before="0" w:after="0"/>
      <w:jc w:val="right"/>
    </w:pPr>
    <w:rPr>
      <w:sz w:val="24"/>
    </w:rPr>
  </w:style>
  <w:style w:type="character" w:customStyle="1" w:styleId="DateChar">
    <w:name w:val="Date Char"/>
    <w:basedOn w:val="DefaultParagraphFont"/>
    <w:link w:val="Date"/>
    <w:uiPriority w:val="99"/>
    <w:rsid w:val="00C503CB"/>
    <w:rPr>
      <w:sz w:val="24"/>
    </w:rPr>
  </w:style>
  <w:style w:type="paragraph" w:customStyle="1" w:styleId="TableofFiguresHeading">
    <w:name w:val="Table of Figures Heading"/>
    <w:basedOn w:val="Normal"/>
    <w:uiPriority w:val="99"/>
    <w:rsid w:val="00095E93"/>
    <w:pPr>
      <w:keepNext/>
      <w:spacing w:before="0" w:after="60"/>
      <w:outlineLvl w:val="4"/>
    </w:pPr>
    <w:rPr>
      <w:b/>
      <w:bCs/>
      <w:noProof/>
      <w:color w:val="201547" w:themeColor="text2"/>
      <w:sz w:val="24"/>
    </w:rPr>
  </w:style>
  <w:style w:type="character" w:customStyle="1" w:styleId="Heading5Char">
    <w:name w:val="Heading 5 Char"/>
    <w:basedOn w:val="DefaultParagraphFont"/>
    <w:link w:val="Heading5"/>
    <w:rsid w:val="00B62C78"/>
    <w:rPr>
      <w:rFonts w:asciiTheme="majorHAnsi" w:eastAsiaTheme="majorEastAsia" w:hAnsiTheme="majorHAnsi" w:cstheme="majorBidi"/>
      <w:b/>
      <w:iCs/>
      <w:color w:val="201547" w:themeColor="text2"/>
      <w:sz w:val="22"/>
    </w:rPr>
  </w:style>
  <w:style w:type="character" w:customStyle="1" w:styleId="Heading6Char">
    <w:name w:val="Heading 6 Char"/>
    <w:basedOn w:val="DefaultParagraphFont"/>
    <w:link w:val="Heading6"/>
    <w:rsid w:val="00462258"/>
    <w:rPr>
      <w:rFonts w:asciiTheme="majorHAnsi" w:eastAsiaTheme="majorEastAsia" w:hAnsiTheme="majorHAnsi" w:cstheme="majorBidi"/>
      <w:b/>
      <w:iCs/>
      <w:color w:val="232222" w:themeColor="text1"/>
      <w:lang w:eastAsia="en-US"/>
    </w:rPr>
  </w:style>
  <w:style w:type="paragraph" w:styleId="Revision">
    <w:name w:val="Revision"/>
    <w:hidden/>
    <w:uiPriority w:val="99"/>
    <w:semiHidden/>
    <w:rsid w:val="009E7348"/>
    <w:rPr>
      <w:rFonts w:ascii="Calibri" w:eastAsia="Calibri" w:hAnsi="Calibri"/>
      <w:lang w:eastAsia="en-US"/>
    </w:rPr>
  </w:style>
  <w:style w:type="paragraph" w:customStyle="1" w:styleId="ListAlpha">
    <w:name w:val="List Alpha"/>
    <w:basedOn w:val="Normal"/>
    <w:qFormat/>
    <w:rsid w:val="00231B63"/>
    <w:pPr>
      <w:numPr>
        <w:numId w:val="4"/>
      </w:numPr>
    </w:pPr>
  </w:style>
  <w:style w:type="table" w:styleId="PlainTable2">
    <w:name w:val="Plain Table 2"/>
    <w:basedOn w:val="TableNormal"/>
    <w:uiPriority w:val="42"/>
    <w:semiHidden/>
    <w:rsid w:val="0058629F"/>
    <w:pPr>
      <w:spacing w:line="240" w:lineRule="exact"/>
    </w:pPr>
    <w:tblPr>
      <w:tblStyleRowBandSize w:val="1"/>
      <w:tblStyleColBandSize w:val="1"/>
      <w:tblBorders>
        <w:top w:val="single" w:sz="4" w:space="0" w:color="918E8E" w:themeColor="text1" w:themeTint="80"/>
        <w:bottom w:val="single" w:sz="4" w:space="0" w:color="918E8E" w:themeColor="text1" w:themeTint="80"/>
      </w:tblBorders>
      <w:tblCellMar>
        <w:top w:w="227" w:type="dxa"/>
        <w:bottom w:w="227" w:type="dxa"/>
      </w:tblCellMar>
    </w:tblPr>
    <w:tblStylePr w:type="firstRow">
      <w:rPr>
        <w:b/>
        <w:bCs/>
      </w:rPr>
      <w:tblPr/>
      <w:tcPr>
        <w:tcBorders>
          <w:bottom w:val="single" w:sz="4" w:space="0" w:color="918E8E" w:themeColor="text1" w:themeTint="80"/>
        </w:tcBorders>
      </w:tcPr>
    </w:tblStylePr>
    <w:tblStylePr w:type="lastRow">
      <w:rPr>
        <w:b/>
        <w:bCs/>
      </w:rPr>
      <w:tblPr/>
      <w:tcPr>
        <w:tcBorders>
          <w:top w:val="single" w:sz="4" w:space="0" w:color="918E8E" w:themeColor="text1" w:themeTint="80"/>
        </w:tcBorders>
      </w:tcPr>
    </w:tblStylePr>
    <w:tblStylePr w:type="firstCol">
      <w:rPr>
        <w:b/>
        <w:bCs/>
      </w:rPr>
    </w:tblStylePr>
    <w:tblStylePr w:type="lastCol">
      <w:rPr>
        <w:b/>
        <w:bCs/>
      </w:rPr>
    </w:tblStylePr>
    <w:tblStylePr w:type="band1Vert">
      <w:tblPr/>
      <w:tcPr>
        <w:tcBorders>
          <w:left w:val="single" w:sz="4" w:space="0" w:color="918E8E" w:themeColor="text1" w:themeTint="80"/>
          <w:right w:val="single" w:sz="4" w:space="0" w:color="918E8E" w:themeColor="text1" w:themeTint="80"/>
        </w:tcBorders>
      </w:tcPr>
    </w:tblStylePr>
    <w:tblStylePr w:type="band2Vert">
      <w:tblPr/>
      <w:tcPr>
        <w:tcBorders>
          <w:left w:val="single" w:sz="4" w:space="0" w:color="918E8E" w:themeColor="text1" w:themeTint="80"/>
          <w:right w:val="single" w:sz="4" w:space="0" w:color="918E8E" w:themeColor="text1" w:themeTint="80"/>
        </w:tcBorders>
      </w:tcPr>
    </w:tblStylePr>
    <w:tblStylePr w:type="band1Horz">
      <w:tblPr/>
      <w:tcPr>
        <w:tcBorders>
          <w:top w:val="single" w:sz="4" w:space="0" w:color="918E8E" w:themeColor="text1" w:themeTint="80"/>
          <w:bottom w:val="single" w:sz="4" w:space="0" w:color="918E8E" w:themeColor="text1" w:themeTint="80"/>
        </w:tcBorders>
      </w:tcPr>
    </w:tblStylePr>
  </w:style>
  <w:style w:type="character" w:styleId="CommentReference">
    <w:name w:val="annotation reference"/>
    <w:basedOn w:val="DefaultParagraphFont"/>
    <w:uiPriority w:val="99"/>
    <w:semiHidden/>
    <w:unhideWhenUsed/>
    <w:rsid w:val="0058629F"/>
    <w:rPr>
      <w:sz w:val="16"/>
      <w:szCs w:val="16"/>
    </w:rPr>
  </w:style>
  <w:style w:type="paragraph" w:styleId="CommentText">
    <w:name w:val="annotation text"/>
    <w:basedOn w:val="Normal"/>
    <w:link w:val="CommentTextChar"/>
    <w:uiPriority w:val="99"/>
    <w:unhideWhenUsed/>
    <w:rsid w:val="0058629F"/>
  </w:style>
  <w:style w:type="character" w:customStyle="1" w:styleId="CommentTextChar">
    <w:name w:val="Comment Text Char"/>
    <w:basedOn w:val="DefaultParagraphFont"/>
    <w:link w:val="CommentText"/>
    <w:uiPriority w:val="99"/>
    <w:rsid w:val="0058629F"/>
  </w:style>
  <w:style w:type="paragraph" w:styleId="CommentSubject">
    <w:name w:val="annotation subject"/>
    <w:basedOn w:val="CommentText"/>
    <w:next w:val="CommentText"/>
    <w:link w:val="CommentSubjectChar"/>
    <w:uiPriority w:val="99"/>
    <w:semiHidden/>
    <w:unhideWhenUsed/>
    <w:rsid w:val="0058629F"/>
    <w:rPr>
      <w:b/>
      <w:bCs/>
    </w:rPr>
  </w:style>
  <w:style w:type="character" w:customStyle="1" w:styleId="CommentSubjectChar">
    <w:name w:val="Comment Subject Char"/>
    <w:basedOn w:val="CommentTextChar"/>
    <w:link w:val="CommentSubject"/>
    <w:uiPriority w:val="99"/>
    <w:semiHidden/>
    <w:rsid w:val="0058629F"/>
    <w:rPr>
      <w:b/>
      <w:bCs/>
    </w:rPr>
  </w:style>
  <w:style w:type="paragraph" w:styleId="TOCHeading">
    <w:name w:val="TOC Heading"/>
    <w:basedOn w:val="Normal"/>
    <w:uiPriority w:val="99"/>
    <w:rsid w:val="00166FB5"/>
    <w:pPr>
      <w:tabs>
        <w:tab w:val="left" w:pos="1134"/>
        <w:tab w:val="left" w:pos="2268"/>
        <w:tab w:val="left" w:pos="3402"/>
        <w:tab w:val="left" w:pos="4536"/>
        <w:tab w:val="left" w:pos="5103"/>
      </w:tabs>
      <w:spacing w:before="0" w:after="440" w:line="240" w:lineRule="auto"/>
      <w:outlineLvl w:val="4"/>
    </w:pPr>
    <w:rPr>
      <w:rFonts w:cs="Arial"/>
      <w:b/>
      <w:color w:val="201547" w:themeColor="text2"/>
      <w:sz w:val="40"/>
      <w:szCs w:val="40"/>
    </w:rPr>
  </w:style>
  <w:style w:type="paragraph" w:styleId="TOC1">
    <w:name w:val="toc 1"/>
    <w:basedOn w:val="Normal"/>
    <w:next w:val="Normal"/>
    <w:link w:val="TOC1Char"/>
    <w:uiPriority w:val="39"/>
    <w:rsid w:val="00F7242A"/>
    <w:pPr>
      <w:tabs>
        <w:tab w:val="right" w:leader="dot" w:pos="9582"/>
      </w:tabs>
      <w:spacing w:before="240" w:after="60"/>
      <w:ind w:right="851"/>
    </w:pPr>
    <w:rPr>
      <w:rFonts w:cs="Arial"/>
      <w:b/>
      <w:noProof/>
      <w:color w:val="201547" w:themeColor="text2"/>
      <w:sz w:val="24"/>
      <w:szCs w:val="24"/>
    </w:rPr>
  </w:style>
  <w:style w:type="paragraph" w:styleId="TOC2">
    <w:name w:val="toc 2"/>
    <w:basedOn w:val="Normal"/>
    <w:next w:val="Normal"/>
    <w:uiPriority w:val="39"/>
    <w:rsid w:val="000D7227"/>
    <w:pPr>
      <w:tabs>
        <w:tab w:val="right" w:leader="dot" w:pos="9582"/>
      </w:tabs>
      <w:spacing w:after="60"/>
      <w:ind w:right="851"/>
    </w:pPr>
    <w:rPr>
      <w:rFonts w:cs="Arial"/>
      <w:noProof/>
      <w:color w:val="232222"/>
      <w:sz w:val="22"/>
      <w:szCs w:val="28"/>
    </w:rPr>
  </w:style>
  <w:style w:type="table" w:customStyle="1" w:styleId="PullOutBoxTable">
    <w:name w:val="Pull Out Box Table"/>
    <w:basedOn w:val="TableNormal"/>
    <w:uiPriority w:val="99"/>
    <w:rsid w:val="001D46AE"/>
    <w:pPr>
      <w:spacing w:before="70" w:after="70"/>
    </w:pPr>
    <w:tblPr>
      <w:tblBorders>
        <w:top w:val="single" w:sz="4" w:space="0" w:color="232222" w:themeColor="text1"/>
        <w:left w:val="single" w:sz="4" w:space="0" w:color="232222" w:themeColor="text1"/>
        <w:bottom w:val="single" w:sz="4" w:space="0" w:color="232222" w:themeColor="text1"/>
        <w:right w:val="single" w:sz="4" w:space="0" w:color="232222" w:themeColor="text1"/>
      </w:tblBorders>
      <w:tblCellMar>
        <w:top w:w="28" w:type="dxa"/>
        <w:left w:w="142" w:type="dxa"/>
        <w:bottom w:w="28" w:type="dxa"/>
        <w:right w:w="142" w:type="dxa"/>
      </w:tblCellMar>
    </w:tblPr>
  </w:style>
  <w:style w:type="paragraph" w:styleId="FootnoteText">
    <w:name w:val="footnote text"/>
    <w:basedOn w:val="Normal"/>
    <w:link w:val="FootnoteTextChar"/>
    <w:uiPriority w:val="99"/>
    <w:rsid w:val="005D764F"/>
    <w:pPr>
      <w:keepLines/>
      <w:tabs>
        <w:tab w:val="left" w:pos="340"/>
      </w:tabs>
      <w:spacing w:before="0" w:after="60" w:line="180" w:lineRule="atLeast"/>
      <w:ind w:left="340" w:hanging="340"/>
    </w:pPr>
    <w:rPr>
      <w:sz w:val="18"/>
    </w:rPr>
  </w:style>
  <w:style w:type="character" w:styleId="FootnoteReference">
    <w:name w:val="footnote reference"/>
    <w:basedOn w:val="DefaultParagraphFont"/>
    <w:uiPriority w:val="99"/>
    <w:unhideWhenUsed/>
    <w:rsid w:val="0058629F"/>
    <w:rPr>
      <w:vertAlign w:val="superscript"/>
    </w:rPr>
  </w:style>
  <w:style w:type="table" w:styleId="ColorfulGrid">
    <w:name w:val="Colorful Grid"/>
    <w:basedOn w:val="TableNormal"/>
    <w:uiPriority w:val="73"/>
    <w:semiHidden/>
    <w:rsid w:val="0058629F"/>
    <w:tblPr>
      <w:tblStyleRowBandSize w:val="1"/>
      <w:tblStyleColBandSize w:val="1"/>
      <w:tblBorders>
        <w:insideH w:val="single" w:sz="4" w:space="0" w:color="FFFFFF" w:themeColor="background1"/>
      </w:tblBorders>
    </w:tblPr>
    <w:tcPr>
      <w:shd w:val="clear" w:color="auto" w:fill="D3D2D2" w:themeFill="text1" w:themeFillTint="33"/>
    </w:tcPr>
    <w:tblStylePr w:type="firstRow">
      <w:rPr>
        <w:b/>
        <w:bCs/>
      </w:rPr>
      <w:tblPr/>
      <w:tcPr>
        <w:shd w:val="clear" w:color="auto" w:fill="A8A5A5" w:themeFill="text1" w:themeFillTint="66"/>
      </w:tcPr>
    </w:tblStylePr>
    <w:tblStylePr w:type="lastRow">
      <w:rPr>
        <w:b/>
        <w:bCs/>
        <w:color w:val="232222" w:themeColor="text1"/>
      </w:rPr>
      <w:tblPr/>
      <w:tcPr>
        <w:shd w:val="clear" w:color="auto" w:fill="A8A5A5" w:themeFill="text1" w:themeFillTint="66"/>
      </w:tcPr>
    </w:tblStylePr>
    <w:tblStylePr w:type="firstCol">
      <w:rPr>
        <w:color w:val="FFFFFF" w:themeColor="background1"/>
      </w:rPr>
      <w:tblPr/>
      <w:tcPr>
        <w:shd w:val="clear" w:color="auto" w:fill="1A1919" w:themeFill="text1" w:themeFillShade="BF"/>
      </w:tcPr>
    </w:tblStylePr>
    <w:tblStylePr w:type="lastCol">
      <w:rPr>
        <w:color w:val="FFFFFF" w:themeColor="background1"/>
      </w:rPr>
      <w:tblPr/>
      <w:tcPr>
        <w:shd w:val="clear" w:color="auto" w:fill="1A1919" w:themeFill="text1" w:themeFillShade="BF"/>
      </w:tc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ColorfulGrid-Accent1">
    <w:name w:val="Colorful Grid Accent 1"/>
    <w:basedOn w:val="TableNormal"/>
    <w:uiPriority w:val="73"/>
    <w:semiHidden/>
    <w:rsid w:val="0058629F"/>
    <w:tblPr>
      <w:tblStyleRowBandSize w:val="1"/>
      <w:tblStyleColBandSize w:val="1"/>
      <w:tblBorders>
        <w:insideH w:val="single" w:sz="4" w:space="0" w:color="FFFFFF" w:themeColor="background1"/>
      </w:tblBorders>
    </w:tblPr>
    <w:tcPr>
      <w:shd w:val="clear" w:color="auto" w:fill="B1FFE0" w:themeFill="accent1" w:themeFillTint="33"/>
    </w:tcPr>
    <w:tblStylePr w:type="firstRow">
      <w:rPr>
        <w:b/>
        <w:bCs/>
      </w:rPr>
      <w:tblPr/>
      <w:tcPr>
        <w:shd w:val="clear" w:color="auto" w:fill="64FFC2" w:themeFill="accent1" w:themeFillTint="66"/>
      </w:tcPr>
    </w:tblStylePr>
    <w:tblStylePr w:type="lastRow">
      <w:rPr>
        <w:b/>
        <w:bCs/>
        <w:color w:val="232222" w:themeColor="text1"/>
      </w:rPr>
      <w:tblPr/>
      <w:tcPr>
        <w:shd w:val="clear" w:color="auto" w:fill="64FFC2" w:themeFill="accent1" w:themeFillTint="66"/>
      </w:tcPr>
    </w:tblStylePr>
    <w:tblStylePr w:type="firstCol">
      <w:rPr>
        <w:color w:val="FFFFFF" w:themeColor="background1"/>
      </w:rPr>
      <w:tblPr/>
      <w:tcPr>
        <w:shd w:val="clear" w:color="auto" w:fill="005C37" w:themeFill="accent1" w:themeFillShade="BF"/>
      </w:tcPr>
    </w:tblStylePr>
    <w:tblStylePr w:type="lastCol">
      <w:rPr>
        <w:color w:val="FFFFFF" w:themeColor="background1"/>
      </w:rPr>
      <w:tblPr/>
      <w:tcPr>
        <w:shd w:val="clear" w:color="auto" w:fill="005C37" w:themeFill="accent1" w:themeFillShade="BF"/>
      </w:tcPr>
    </w:tblStylePr>
    <w:tblStylePr w:type="band1Vert">
      <w:tblPr/>
      <w:tcPr>
        <w:shd w:val="clear" w:color="auto" w:fill="3EFFB3" w:themeFill="accent1" w:themeFillTint="7F"/>
      </w:tcPr>
    </w:tblStylePr>
    <w:tblStylePr w:type="band1Horz">
      <w:tblPr/>
      <w:tcPr>
        <w:shd w:val="clear" w:color="auto" w:fill="3EFFB3" w:themeFill="accent1" w:themeFillTint="7F"/>
      </w:tcPr>
    </w:tblStylePr>
  </w:style>
  <w:style w:type="table" w:styleId="ColorfulGrid-Accent2">
    <w:name w:val="Colorful Grid Accent 2"/>
    <w:basedOn w:val="TableNormal"/>
    <w:uiPriority w:val="73"/>
    <w:semiHidden/>
    <w:rsid w:val="0058629F"/>
    <w:tblPr>
      <w:tblStyleRowBandSize w:val="1"/>
      <w:tblStyleColBandSize w:val="1"/>
      <w:tblBorders>
        <w:insideH w:val="single" w:sz="4" w:space="0" w:color="FFFFFF" w:themeColor="background1"/>
      </w:tblBorders>
    </w:tblPr>
    <w:tcPr>
      <w:shd w:val="clear" w:color="auto" w:fill="FFEBD1" w:themeFill="accent2" w:themeFillTint="33"/>
    </w:tcPr>
    <w:tblStylePr w:type="firstRow">
      <w:rPr>
        <w:b/>
        <w:bCs/>
      </w:rPr>
      <w:tblPr/>
      <w:tcPr>
        <w:shd w:val="clear" w:color="auto" w:fill="FFD7A3" w:themeFill="accent2" w:themeFillTint="66"/>
      </w:tcPr>
    </w:tblStylePr>
    <w:tblStylePr w:type="lastRow">
      <w:rPr>
        <w:b/>
        <w:bCs/>
        <w:color w:val="232222" w:themeColor="text1"/>
      </w:rPr>
      <w:tblPr/>
      <w:tcPr>
        <w:shd w:val="clear" w:color="auto" w:fill="FFD7A3" w:themeFill="accent2" w:themeFillTint="66"/>
      </w:tcPr>
    </w:tblStylePr>
    <w:tblStylePr w:type="firstCol">
      <w:rPr>
        <w:color w:val="FFFFFF" w:themeColor="background1"/>
      </w:rPr>
      <w:tblPr/>
      <w:tcPr>
        <w:shd w:val="clear" w:color="auto" w:fill="D37800" w:themeFill="accent2" w:themeFillShade="BF"/>
      </w:tcPr>
    </w:tblStylePr>
    <w:tblStylePr w:type="lastCol">
      <w:rPr>
        <w:color w:val="FFFFFF" w:themeColor="background1"/>
      </w:rPr>
      <w:tblPr/>
      <w:tcPr>
        <w:shd w:val="clear" w:color="auto" w:fill="D37800" w:themeFill="accent2" w:themeFillShade="BF"/>
      </w:tc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ColorfulGrid-Accent3">
    <w:name w:val="Colorful Grid Accent 3"/>
    <w:basedOn w:val="TableNormal"/>
    <w:uiPriority w:val="73"/>
    <w:semiHidden/>
    <w:rsid w:val="0058629F"/>
    <w:tblPr>
      <w:tblStyleRowBandSize w:val="1"/>
      <w:tblStyleColBandSize w:val="1"/>
      <w:tblBorders>
        <w:insideH w:val="single" w:sz="4" w:space="0" w:color="FFFFFF" w:themeColor="background1"/>
      </w:tblBorders>
    </w:tblPr>
    <w:tcPr>
      <w:shd w:val="clear" w:color="auto" w:fill="BCFFFB" w:themeFill="accent3" w:themeFillTint="33"/>
    </w:tcPr>
    <w:tblStylePr w:type="firstRow">
      <w:rPr>
        <w:b/>
        <w:bCs/>
      </w:rPr>
      <w:tblPr/>
      <w:tcPr>
        <w:shd w:val="clear" w:color="auto" w:fill="7AFFF8" w:themeFill="accent3" w:themeFillTint="66"/>
      </w:tcPr>
    </w:tblStylePr>
    <w:tblStylePr w:type="lastRow">
      <w:rPr>
        <w:b/>
        <w:bCs/>
        <w:color w:val="232222" w:themeColor="text1"/>
      </w:rPr>
      <w:tblPr/>
      <w:tcPr>
        <w:shd w:val="clear" w:color="auto" w:fill="7AFFF8" w:themeFill="accent3" w:themeFillTint="66"/>
      </w:tcPr>
    </w:tblStylePr>
    <w:tblStylePr w:type="firstCol">
      <w:rPr>
        <w:color w:val="FFFFFF" w:themeColor="background1"/>
      </w:rPr>
      <w:tblPr/>
      <w:tcPr>
        <w:shd w:val="clear" w:color="auto" w:fill="00857E" w:themeFill="accent3" w:themeFillShade="BF"/>
      </w:tcPr>
    </w:tblStylePr>
    <w:tblStylePr w:type="lastCol">
      <w:rPr>
        <w:color w:val="FFFFFF" w:themeColor="background1"/>
      </w:rPr>
      <w:tblPr/>
      <w:tcPr>
        <w:shd w:val="clear" w:color="auto" w:fill="00857E" w:themeFill="accent3" w:themeFillShade="BF"/>
      </w:tc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ColorfulGrid-Accent4">
    <w:name w:val="Colorful Grid Accent 4"/>
    <w:basedOn w:val="TableNormal"/>
    <w:uiPriority w:val="73"/>
    <w:semiHidden/>
    <w:rsid w:val="0058629F"/>
    <w:tblPr>
      <w:tblStyleRowBandSize w:val="1"/>
      <w:tblStyleColBandSize w:val="1"/>
      <w:tblBorders>
        <w:insideH w:val="single" w:sz="4" w:space="0" w:color="FFFFFF" w:themeColor="background1"/>
      </w:tblBorders>
    </w:tblPr>
    <w:tcPr>
      <w:shd w:val="clear" w:color="auto" w:fill="C8BEEC" w:themeFill="accent4" w:themeFillTint="33"/>
    </w:tcPr>
    <w:tblStylePr w:type="firstRow">
      <w:rPr>
        <w:b/>
        <w:bCs/>
      </w:rPr>
      <w:tblPr/>
      <w:tcPr>
        <w:shd w:val="clear" w:color="auto" w:fill="917DD8" w:themeFill="accent4" w:themeFillTint="66"/>
      </w:tcPr>
    </w:tblStylePr>
    <w:tblStylePr w:type="lastRow">
      <w:rPr>
        <w:b/>
        <w:bCs/>
        <w:color w:val="232222" w:themeColor="text1"/>
      </w:rPr>
      <w:tblPr/>
      <w:tcPr>
        <w:shd w:val="clear" w:color="auto" w:fill="917DD8" w:themeFill="accent4" w:themeFillTint="66"/>
      </w:tcPr>
    </w:tblStylePr>
    <w:tblStylePr w:type="firstCol">
      <w:rPr>
        <w:color w:val="FFFFFF" w:themeColor="background1"/>
      </w:rPr>
      <w:tblPr/>
      <w:tcPr>
        <w:shd w:val="clear" w:color="auto" w:fill="170F34" w:themeFill="accent4" w:themeFillShade="BF"/>
      </w:tcPr>
    </w:tblStylePr>
    <w:tblStylePr w:type="lastCol">
      <w:rPr>
        <w:color w:val="FFFFFF" w:themeColor="background1"/>
      </w:rPr>
      <w:tblPr/>
      <w:tcPr>
        <w:shd w:val="clear" w:color="auto" w:fill="170F34" w:themeFill="accent4" w:themeFillShade="BF"/>
      </w:tc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ColorfulGrid-Accent5">
    <w:name w:val="Colorful Grid Accent 5"/>
    <w:basedOn w:val="TableNormal"/>
    <w:uiPriority w:val="73"/>
    <w:semiHidden/>
    <w:rsid w:val="0058629F"/>
    <w:tblPr>
      <w:tblStyleRowBandSize w:val="1"/>
      <w:tblStyleColBandSize w:val="1"/>
      <w:tblBorders>
        <w:insideH w:val="single" w:sz="4" w:space="0" w:color="FFFFFF" w:themeColor="background1"/>
      </w:tblBorders>
    </w:tblPr>
    <w:tcPr>
      <w:shd w:val="clear" w:color="auto" w:fill="E0EFE9" w:themeFill="accent5" w:themeFillTint="33"/>
    </w:tcPr>
    <w:tblStylePr w:type="firstRow">
      <w:rPr>
        <w:b/>
        <w:bCs/>
      </w:rPr>
      <w:tblPr/>
      <w:tcPr>
        <w:shd w:val="clear" w:color="auto" w:fill="C1DFD3" w:themeFill="accent5" w:themeFillTint="66"/>
      </w:tcPr>
    </w:tblStylePr>
    <w:tblStylePr w:type="lastRow">
      <w:rPr>
        <w:b/>
        <w:bCs/>
        <w:color w:val="232222" w:themeColor="text1"/>
      </w:rPr>
      <w:tblPr/>
      <w:tcPr>
        <w:shd w:val="clear" w:color="auto" w:fill="C1DFD3" w:themeFill="accent5" w:themeFillTint="66"/>
      </w:tcPr>
    </w:tblStylePr>
    <w:tblStylePr w:type="firstCol">
      <w:rPr>
        <w:color w:val="FFFFFF" w:themeColor="background1"/>
      </w:rPr>
      <w:tblPr/>
      <w:tcPr>
        <w:shd w:val="clear" w:color="auto" w:fill="46896F" w:themeFill="accent5" w:themeFillShade="BF"/>
      </w:tcPr>
    </w:tblStylePr>
    <w:tblStylePr w:type="lastCol">
      <w:rPr>
        <w:color w:val="FFFFFF" w:themeColor="background1"/>
      </w:rPr>
      <w:tblPr/>
      <w:tcPr>
        <w:shd w:val="clear" w:color="auto" w:fill="46896F" w:themeFill="accent5" w:themeFillShade="BF"/>
      </w:tcPr>
    </w:tblStylePr>
    <w:tblStylePr w:type="band1Vert">
      <w:tblPr/>
      <w:tcPr>
        <w:shd w:val="clear" w:color="auto" w:fill="B2D7C9" w:themeFill="accent5" w:themeFillTint="7F"/>
      </w:tcPr>
    </w:tblStylePr>
    <w:tblStylePr w:type="band1Horz">
      <w:tblPr/>
      <w:tcPr>
        <w:shd w:val="clear" w:color="auto" w:fill="B2D7C9" w:themeFill="accent5" w:themeFillTint="7F"/>
      </w:tcPr>
    </w:tblStylePr>
  </w:style>
  <w:style w:type="table" w:styleId="ColorfulGrid-Accent6">
    <w:name w:val="Colorful Grid Accent 6"/>
    <w:basedOn w:val="TableNormal"/>
    <w:uiPriority w:val="73"/>
    <w:semiHidden/>
    <w:rsid w:val="0058629F"/>
    <w:tblPr>
      <w:tblStyleRowBandSize w:val="1"/>
      <w:tblStyleColBandSize w:val="1"/>
      <w:tblBorders>
        <w:insideH w:val="single" w:sz="4" w:space="0" w:color="FFFFFF" w:themeColor="background1"/>
      </w:tblBorders>
    </w:tblPr>
    <w:tcPr>
      <w:shd w:val="clear" w:color="auto" w:fill="FFF3E3" w:themeFill="accent6" w:themeFillTint="33"/>
    </w:tcPr>
    <w:tblStylePr w:type="firstRow">
      <w:rPr>
        <w:b/>
        <w:bCs/>
      </w:rPr>
      <w:tblPr/>
      <w:tcPr>
        <w:shd w:val="clear" w:color="auto" w:fill="FFE7C8" w:themeFill="accent6" w:themeFillTint="66"/>
      </w:tcPr>
    </w:tblStylePr>
    <w:tblStylePr w:type="lastRow">
      <w:rPr>
        <w:b/>
        <w:bCs/>
        <w:color w:val="232222" w:themeColor="text1"/>
      </w:rPr>
      <w:tblPr/>
      <w:tcPr>
        <w:shd w:val="clear" w:color="auto" w:fill="FFE7C8" w:themeFill="accent6" w:themeFillTint="66"/>
      </w:tcPr>
    </w:tblStylePr>
    <w:tblStylePr w:type="firstCol">
      <w:rPr>
        <w:color w:val="FFFFFF" w:themeColor="background1"/>
      </w:rPr>
      <w:tblPr/>
      <w:tcPr>
        <w:shd w:val="clear" w:color="auto" w:fill="FF9D18" w:themeFill="accent6" w:themeFillShade="BF"/>
      </w:tcPr>
    </w:tblStylePr>
    <w:tblStylePr w:type="lastCol">
      <w:rPr>
        <w:color w:val="FFFFFF" w:themeColor="background1"/>
      </w:rPr>
      <w:tblPr/>
      <w:tcPr>
        <w:shd w:val="clear" w:color="auto" w:fill="FF9D18" w:themeFill="accent6" w:themeFillShade="BF"/>
      </w:tcPr>
    </w:tblStylePr>
    <w:tblStylePr w:type="band1Vert">
      <w:tblPr/>
      <w:tcPr>
        <w:shd w:val="clear" w:color="auto" w:fill="FFE2BA" w:themeFill="accent6" w:themeFillTint="7F"/>
      </w:tcPr>
    </w:tblStylePr>
    <w:tblStylePr w:type="band1Horz">
      <w:tblPr/>
      <w:tcPr>
        <w:shd w:val="clear" w:color="auto" w:fill="FFE2BA" w:themeFill="accent6" w:themeFillTint="7F"/>
      </w:tcPr>
    </w:tblStylePr>
  </w:style>
  <w:style w:type="table" w:styleId="ColorfulList">
    <w:name w:val="Colorful List"/>
    <w:basedOn w:val="TableNormal"/>
    <w:uiPriority w:val="72"/>
    <w:semiHidden/>
    <w:rsid w:val="0058629F"/>
    <w:tblPr>
      <w:tblStyleRowBandSize w:val="1"/>
      <w:tblStyleColBandSize w:val="1"/>
    </w:tblPr>
    <w:tcPr>
      <w:shd w:val="clear" w:color="auto" w:fill="E9E9E9" w:themeFill="tex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C7C7" w:themeFill="text1" w:themeFillTint="3F"/>
      </w:tcPr>
    </w:tblStylePr>
    <w:tblStylePr w:type="band1Horz">
      <w:tblPr/>
      <w:tcPr>
        <w:shd w:val="clear" w:color="auto" w:fill="D3D2D2" w:themeFill="text1" w:themeFillTint="33"/>
      </w:tcPr>
    </w:tblStylePr>
  </w:style>
  <w:style w:type="table" w:styleId="ColorfulList-Accent1">
    <w:name w:val="Colorful List Accent 1"/>
    <w:basedOn w:val="TableNormal"/>
    <w:uiPriority w:val="72"/>
    <w:semiHidden/>
    <w:rsid w:val="0058629F"/>
    <w:tblPr>
      <w:tblStyleRowBandSize w:val="1"/>
      <w:tblStyleColBandSize w:val="1"/>
    </w:tblPr>
    <w:tcPr>
      <w:shd w:val="clear" w:color="auto" w:fill="D9FFF0" w:themeFill="accent1"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FFFD9" w:themeFill="accent1" w:themeFillTint="3F"/>
      </w:tcPr>
    </w:tblStylePr>
    <w:tblStylePr w:type="band1Horz">
      <w:tblPr/>
      <w:tcPr>
        <w:shd w:val="clear" w:color="auto" w:fill="B1FFE0" w:themeFill="accent1" w:themeFillTint="33"/>
      </w:tcPr>
    </w:tblStylePr>
  </w:style>
  <w:style w:type="table" w:styleId="ColorfulList-Accent2">
    <w:name w:val="Colorful List Accent 2"/>
    <w:basedOn w:val="TableNormal"/>
    <w:uiPriority w:val="72"/>
    <w:semiHidden/>
    <w:rsid w:val="0058629F"/>
    <w:tblPr>
      <w:tblStyleRowBandSize w:val="1"/>
      <w:tblStyleColBandSize w:val="1"/>
    </w:tblPr>
    <w:tcPr>
      <w:shd w:val="clear" w:color="auto" w:fill="FFF5E8" w:themeFill="accent2" w:themeFillTint="19"/>
    </w:tcPr>
    <w:tblStylePr w:type="firstRow">
      <w:rPr>
        <w:b/>
        <w:bCs/>
        <w:color w:val="FFFFFF" w:themeColor="background1"/>
      </w:rPr>
      <w:tblPr/>
      <w:tcPr>
        <w:tcBorders>
          <w:bottom w:val="single" w:sz="12" w:space="0" w:color="FFFFFF" w:themeColor="background1"/>
        </w:tcBorders>
        <w:shd w:val="clear" w:color="auto" w:fill="E18100" w:themeFill="accent2" w:themeFillShade="CC"/>
      </w:tcPr>
    </w:tblStylePr>
    <w:tblStylePr w:type="lastRow">
      <w:rPr>
        <w:b/>
        <w:bCs/>
        <w:color w:val="E18100" w:themeColor="accent2"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6C6" w:themeFill="accent2" w:themeFillTint="3F"/>
      </w:tcPr>
    </w:tblStylePr>
    <w:tblStylePr w:type="band1Horz">
      <w:tblPr/>
      <w:tcPr>
        <w:shd w:val="clear" w:color="auto" w:fill="FFEBD1" w:themeFill="accent2" w:themeFillTint="33"/>
      </w:tcPr>
    </w:tblStylePr>
  </w:style>
  <w:style w:type="table" w:styleId="ColorfulList-Accent3">
    <w:name w:val="Colorful List Accent 3"/>
    <w:basedOn w:val="TableNormal"/>
    <w:uiPriority w:val="72"/>
    <w:semiHidden/>
    <w:rsid w:val="0058629F"/>
    <w:tblPr>
      <w:tblStyleRowBandSize w:val="1"/>
      <w:tblStyleColBandSize w:val="1"/>
    </w:tblPr>
    <w:tcPr>
      <w:shd w:val="clear" w:color="auto" w:fill="DEFFFD" w:themeFill="accent3" w:themeFillTint="19"/>
    </w:tcPr>
    <w:tblStylePr w:type="firstRow">
      <w:rPr>
        <w:b/>
        <w:bCs/>
        <w:color w:val="FFFFFF" w:themeColor="background1"/>
      </w:rPr>
      <w:tblPr/>
      <w:tcPr>
        <w:tcBorders>
          <w:bottom w:val="single" w:sz="12" w:space="0" w:color="FFFFFF" w:themeColor="background1"/>
        </w:tcBorders>
        <w:shd w:val="clear" w:color="auto" w:fill="191038" w:themeFill="accent4" w:themeFillShade="CC"/>
      </w:tcPr>
    </w:tblStylePr>
    <w:tblStylePr w:type="lastRow">
      <w:rPr>
        <w:b/>
        <w:bCs/>
        <w:color w:val="191038" w:themeColor="accent4"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FFFA" w:themeFill="accent3" w:themeFillTint="3F"/>
      </w:tcPr>
    </w:tblStylePr>
    <w:tblStylePr w:type="band1Horz">
      <w:tblPr/>
      <w:tcPr>
        <w:shd w:val="clear" w:color="auto" w:fill="BCFFFB" w:themeFill="accent3" w:themeFillTint="33"/>
      </w:tcPr>
    </w:tblStylePr>
  </w:style>
  <w:style w:type="table" w:styleId="ColorfulList-Accent4">
    <w:name w:val="Colorful List Accent 4"/>
    <w:basedOn w:val="TableNormal"/>
    <w:uiPriority w:val="72"/>
    <w:semiHidden/>
    <w:rsid w:val="0058629F"/>
    <w:tblPr>
      <w:tblStyleRowBandSize w:val="1"/>
      <w:tblStyleColBandSize w:val="1"/>
    </w:tblPr>
    <w:tcPr>
      <w:shd w:val="clear" w:color="auto" w:fill="E4DFF5" w:themeFill="accent4" w:themeFillTint="19"/>
    </w:tcPr>
    <w:tblStylePr w:type="firstRow">
      <w:rPr>
        <w:b/>
        <w:bCs/>
        <w:color w:val="FFFFFF" w:themeColor="background1"/>
      </w:rPr>
      <w:tblPr/>
      <w:tcPr>
        <w:tcBorders>
          <w:bottom w:val="single" w:sz="12" w:space="0" w:color="FFFFFF" w:themeColor="background1"/>
        </w:tcBorders>
        <w:shd w:val="clear" w:color="auto" w:fill="008E87" w:themeFill="accent3" w:themeFillShade="CC"/>
      </w:tcPr>
    </w:tblStylePr>
    <w:tblStylePr w:type="lastRow">
      <w:rPr>
        <w:b/>
        <w:bCs/>
        <w:color w:val="008E87" w:themeColor="accent3"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BAFE7" w:themeFill="accent4" w:themeFillTint="3F"/>
      </w:tcPr>
    </w:tblStylePr>
    <w:tblStylePr w:type="band1Horz">
      <w:tblPr/>
      <w:tcPr>
        <w:shd w:val="clear" w:color="auto" w:fill="C8BEEC" w:themeFill="accent4" w:themeFillTint="33"/>
      </w:tcPr>
    </w:tblStylePr>
  </w:style>
  <w:style w:type="table" w:styleId="ColorfulList-Accent5">
    <w:name w:val="Colorful List Accent 5"/>
    <w:basedOn w:val="TableNormal"/>
    <w:uiPriority w:val="72"/>
    <w:semiHidden/>
    <w:rsid w:val="0058629F"/>
    <w:tblPr>
      <w:tblStyleRowBandSize w:val="1"/>
      <w:tblStyleColBandSize w:val="1"/>
    </w:tblPr>
    <w:tcPr>
      <w:shd w:val="clear" w:color="auto" w:fill="EFF7F4" w:themeFill="accent5" w:themeFillTint="19"/>
    </w:tcPr>
    <w:tblStylePr w:type="firstRow">
      <w:rPr>
        <w:b/>
        <w:bCs/>
        <w:color w:val="FFFFFF" w:themeColor="background1"/>
      </w:rPr>
      <w:tblPr/>
      <w:tcPr>
        <w:tcBorders>
          <w:bottom w:val="single" w:sz="12" w:space="0" w:color="FFFFFF" w:themeColor="background1"/>
        </w:tcBorders>
        <w:shd w:val="clear" w:color="auto" w:fill="FFA52B" w:themeFill="accent6" w:themeFillShade="CC"/>
      </w:tcPr>
    </w:tblStylePr>
    <w:tblStylePr w:type="lastRow">
      <w:rPr>
        <w:b/>
        <w:bCs/>
        <w:color w:val="FFA52B" w:themeColor="accent6"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EBE4" w:themeFill="accent5" w:themeFillTint="3F"/>
      </w:tcPr>
    </w:tblStylePr>
    <w:tblStylePr w:type="band1Horz">
      <w:tblPr/>
      <w:tcPr>
        <w:shd w:val="clear" w:color="auto" w:fill="E0EFE9" w:themeFill="accent5" w:themeFillTint="33"/>
      </w:tcPr>
    </w:tblStylePr>
  </w:style>
  <w:style w:type="table" w:styleId="ColorfulList-Accent6">
    <w:name w:val="Colorful List Accent 6"/>
    <w:basedOn w:val="TableNormal"/>
    <w:uiPriority w:val="72"/>
    <w:semiHidden/>
    <w:rsid w:val="0058629F"/>
    <w:tblPr>
      <w:tblStyleRowBandSize w:val="1"/>
      <w:tblStyleColBandSize w:val="1"/>
    </w:tblPr>
    <w:tcPr>
      <w:shd w:val="clear" w:color="auto" w:fill="FFF9F1" w:themeFill="accent6" w:themeFillTint="19"/>
    </w:tcPr>
    <w:tblStylePr w:type="firstRow">
      <w:rPr>
        <w:b/>
        <w:bCs/>
        <w:color w:val="FFFFFF" w:themeColor="background1"/>
      </w:rPr>
      <w:tblPr/>
      <w:tcPr>
        <w:tcBorders>
          <w:bottom w:val="single" w:sz="12" w:space="0" w:color="FFFFFF" w:themeColor="background1"/>
        </w:tcBorders>
        <w:shd w:val="clear" w:color="auto" w:fill="4B9276" w:themeFill="accent5" w:themeFillShade="CC"/>
      </w:tcPr>
    </w:tblStylePr>
    <w:tblStylePr w:type="lastRow">
      <w:rPr>
        <w:b/>
        <w:bCs/>
        <w:color w:val="4B9276" w:themeColor="accent5" w:themeShade="CC"/>
      </w:rPr>
      <w:tblPr/>
      <w:tcPr>
        <w:tcBorders>
          <w:top w:val="single" w:sz="12" w:space="0" w:color="232222"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0DD" w:themeFill="accent6" w:themeFillTint="3F"/>
      </w:tcPr>
    </w:tblStylePr>
    <w:tblStylePr w:type="band1Horz">
      <w:tblPr/>
      <w:tcPr>
        <w:shd w:val="clear" w:color="auto" w:fill="FFF3E3" w:themeFill="accent6" w:themeFillTint="33"/>
      </w:tcPr>
    </w:tblStylePr>
  </w:style>
  <w:style w:type="table" w:styleId="ColorfulShading">
    <w:name w:val="Colorful Shading"/>
    <w:basedOn w:val="TableNormal"/>
    <w:uiPriority w:val="71"/>
    <w:semiHidden/>
    <w:rsid w:val="0058629F"/>
    <w:tblPr>
      <w:tblStyleRowBandSize w:val="1"/>
      <w:tblStyleColBandSize w:val="1"/>
      <w:tblBorders>
        <w:top w:val="single" w:sz="24" w:space="0" w:color="FF9E1B" w:themeColor="accent2"/>
        <w:left w:val="single" w:sz="4" w:space="0" w:color="232222" w:themeColor="text1"/>
        <w:bottom w:val="single" w:sz="4" w:space="0" w:color="232222" w:themeColor="text1"/>
        <w:right w:val="single" w:sz="4" w:space="0" w:color="232222" w:themeColor="text1"/>
        <w:insideH w:val="single" w:sz="4" w:space="0" w:color="FFFFFF" w:themeColor="background1"/>
        <w:insideV w:val="single" w:sz="4" w:space="0" w:color="FFFFFF" w:themeColor="background1"/>
      </w:tblBorders>
    </w:tblPr>
    <w:tcPr>
      <w:shd w:val="clear" w:color="auto" w:fill="E9E9E9" w:themeFill="tex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414" w:themeFill="text1" w:themeFillShade="99"/>
      </w:tcPr>
    </w:tblStylePr>
    <w:tblStylePr w:type="firstCol">
      <w:rPr>
        <w:color w:val="FFFFFF" w:themeColor="background1"/>
      </w:rPr>
      <w:tblPr/>
      <w:tcPr>
        <w:tcBorders>
          <w:top w:val="nil"/>
          <w:left w:val="nil"/>
          <w:bottom w:val="nil"/>
          <w:right w:val="nil"/>
          <w:insideH w:val="single" w:sz="4" w:space="0" w:color="141414" w:themeColor="text1" w:themeShade="99"/>
          <w:insideV w:val="nil"/>
        </w:tcBorders>
        <w:shd w:val="clear" w:color="auto" w:fill="141414"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919" w:themeFill="text1" w:themeFillShade="BF"/>
      </w:tcPr>
    </w:tblStylePr>
    <w:tblStylePr w:type="band1Vert">
      <w:tblPr/>
      <w:tcPr>
        <w:shd w:val="clear" w:color="auto" w:fill="A8A5A5" w:themeFill="text1" w:themeFillTint="66"/>
      </w:tcPr>
    </w:tblStylePr>
    <w:tblStylePr w:type="band1Horz">
      <w:tblPr/>
      <w:tcPr>
        <w:shd w:val="clear" w:color="auto" w:fill="928F8F" w:themeFill="text1" w:themeFillTint="7F"/>
      </w:tcPr>
    </w:tblStylePr>
    <w:tblStylePr w:type="neCell">
      <w:rPr>
        <w:color w:val="232222" w:themeColor="text1"/>
      </w:rPr>
    </w:tblStylePr>
    <w:tblStylePr w:type="nwCell">
      <w:rPr>
        <w:color w:val="232222" w:themeColor="text1"/>
      </w:rPr>
    </w:tblStylePr>
  </w:style>
  <w:style w:type="table" w:styleId="ColorfulShading-Accent1">
    <w:name w:val="Colorful Shading Accent 1"/>
    <w:basedOn w:val="TableNormal"/>
    <w:uiPriority w:val="71"/>
    <w:semiHidden/>
    <w:rsid w:val="0058629F"/>
    <w:tblPr>
      <w:tblStyleRowBandSize w:val="1"/>
      <w:tblStyleColBandSize w:val="1"/>
      <w:tblBorders>
        <w:top w:val="single" w:sz="24" w:space="0" w:color="FF9E1B" w:themeColor="accent2"/>
        <w:left w:val="single" w:sz="4" w:space="0" w:color="007B4B" w:themeColor="accent1"/>
        <w:bottom w:val="single" w:sz="4" w:space="0" w:color="007B4B" w:themeColor="accent1"/>
        <w:right w:val="single" w:sz="4" w:space="0" w:color="007B4B" w:themeColor="accent1"/>
        <w:insideH w:val="single" w:sz="4" w:space="0" w:color="FFFFFF" w:themeColor="background1"/>
        <w:insideV w:val="single" w:sz="4" w:space="0" w:color="FFFFFF" w:themeColor="background1"/>
      </w:tblBorders>
    </w:tblPr>
    <w:tcPr>
      <w:shd w:val="clear" w:color="auto" w:fill="D9FFF0" w:themeFill="accent1"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92C" w:themeFill="accent1" w:themeFillShade="99"/>
      </w:tcPr>
    </w:tblStylePr>
    <w:tblStylePr w:type="firstCol">
      <w:rPr>
        <w:color w:val="FFFFFF" w:themeColor="background1"/>
      </w:rPr>
      <w:tblPr/>
      <w:tcPr>
        <w:tcBorders>
          <w:top w:val="nil"/>
          <w:left w:val="nil"/>
          <w:bottom w:val="nil"/>
          <w:right w:val="nil"/>
          <w:insideH w:val="single" w:sz="4" w:space="0" w:color="00492C" w:themeColor="accent1" w:themeShade="99"/>
          <w:insideV w:val="nil"/>
        </w:tcBorders>
        <w:shd w:val="clear" w:color="auto" w:fill="00492C"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492C" w:themeFill="accent1" w:themeFillShade="99"/>
      </w:tcPr>
    </w:tblStylePr>
    <w:tblStylePr w:type="band1Vert">
      <w:tblPr/>
      <w:tcPr>
        <w:shd w:val="clear" w:color="auto" w:fill="64FFC2" w:themeFill="accent1" w:themeFillTint="66"/>
      </w:tcPr>
    </w:tblStylePr>
    <w:tblStylePr w:type="band1Horz">
      <w:tblPr/>
      <w:tcPr>
        <w:shd w:val="clear" w:color="auto" w:fill="3EFFB3" w:themeFill="accent1" w:themeFillTint="7F"/>
      </w:tcPr>
    </w:tblStylePr>
    <w:tblStylePr w:type="neCell">
      <w:rPr>
        <w:color w:val="232222" w:themeColor="text1"/>
      </w:rPr>
    </w:tblStylePr>
    <w:tblStylePr w:type="nwCell">
      <w:rPr>
        <w:color w:val="232222" w:themeColor="text1"/>
      </w:rPr>
    </w:tblStylePr>
  </w:style>
  <w:style w:type="table" w:styleId="ColorfulShading-Accent2">
    <w:name w:val="Colorful Shading Accent 2"/>
    <w:basedOn w:val="TableNormal"/>
    <w:uiPriority w:val="71"/>
    <w:semiHidden/>
    <w:rsid w:val="0058629F"/>
    <w:tblPr>
      <w:tblStyleRowBandSize w:val="1"/>
      <w:tblStyleColBandSize w:val="1"/>
      <w:tblBorders>
        <w:top w:val="single" w:sz="24" w:space="0" w:color="FF9E1B" w:themeColor="accent2"/>
        <w:left w:val="single" w:sz="4" w:space="0" w:color="FF9E1B" w:themeColor="accent2"/>
        <w:bottom w:val="single" w:sz="4" w:space="0" w:color="FF9E1B" w:themeColor="accent2"/>
        <w:right w:val="single" w:sz="4" w:space="0" w:color="FF9E1B" w:themeColor="accent2"/>
        <w:insideH w:val="single" w:sz="4" w:space="0" w:color="FFFFFF" w:themeColor="background1"/>
        <w:insideV w:val="single" w:sz="4" w:space="0" w:color="FFFFFF" w:themeColor="background1"/>
      </w:tblBorders>
    </w:tblPr>
    <w:tcPr>
      <w:shd w:val="clear" w:color="auto" w:fill="FFF5E8" w:themeFill="accent2" w:themeFillTint="19"/>
    </w:tcPr>
    <w:tblStylePr w:type="firstRow">
      <w:rPr>
        <w:b/>
        <w:bCs/>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96000" w:themeFill="accent2" w:themeFillShade="99"/>
      </w:tcPr>
    </w:tblStylePr>
    <w:tblStylePr w:type="firstCol">
      <w:rPr>
        <w:color w:val="FFFFFF" w:themeColor="background1"/>
      </w:rPr>
      <w:tblPr/>
      <w:tcPr>
        <w:tcBorders>
          <w:top w:val="nil"/>
          <w:left w:val="nil"/>
          <w:bottom w:val="nil"/>
          <w:right w:val="nil"/>
          <w:insideH w:val="single" w:sz="4" w:space="0" w:color="A96000" w:themeColor="accent2" w:themeShade="99"/>
          <w:insideV w:val="nil"/>
        </w:tcBorders>
        <w:shd w:val="clear" w:color="auto" w:fill="A9600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A96000" w:themeFill="accent2" w:themeFillShade="99"/>
      </w:tcPr>
    </w:tblStylePr>
    <w:tblStylePr w:type="band1Vert">
      <w:tblPr/>
      <w:tcPr>
        <w:shd w:val="clear" w:color="auto" w:fill="FFD7A3" w:themeFill="accent2" w:themeFillTint="66"/>
      </w:tcPr>
    </w:tblStylePr>
    <w:tblStylePr w:type="band1Horz">
      <w:tblPr/>
      <w:tcPr>
        <w:shd w:val="clear" w:color="auto" w:fill="FFCE8D" w:themeFill="accent2" w:themeFillTint="7F"/>
      </w:tcPr>
    </w:tblStylePr>
    <w:tblStylePr w:type="neCell">
      <w:rPr>
        <w:color w:val="232222" w:themeColor="text1"/>
      </w:rPr>
    </w:tblStylePr>
    <w:tblStylePr w:type="nwCell">
      <w:rPr>
        <w:color w:val="232222" w:themeColor="text1"/>
      </w:rPr>
    </w:tblStylePr>
  </w:style>
  <w:style w:type="table" w:styleId="ColorfulShading-Accent3">
    <w:name w:val="Colorful Shading Accent 3"/>
    <w:basedOn w:val="TableNormal"/>
    <w:uiPriority w:val="71"/>
    <w:semiHidden/>
    <w:rsid w:val="0058629F"/>
    <w:tblPr>
      <w:tblStyleRowBandSize w:val="1"/>
      <w:tblStyleColBandSize w:val="1"/>
      <w:tblBorders>
        <w:top w:val="single" w:sz="24" w:space="0" w:color="201547" w:themeColor="accent4"/>
        <w:left w:val="single" w:sz="4" w:space="0" w:color="00B2A9" w:themeColor="accent3"/>
        <w:bottom w:val="single" w:sz="4" w:space="0" w:color="00B2A9" w:themeColor="accent3"/>
        <w:right w:val="single" w:sz="4" w:space="0" w:color="00B2A9" w:themeColor="accent3"/>
        <w:insideH w:val="single" w:sz="4" w:space="0" w:color="FFFFFF" w:themeColor="background1"/>
        <w:insideV w:val="single" w:sz="4" w:space="0" w:color="FFFFFF" w:themeColor="background1"/>
      </w:tblBorders>
    </w:tblPr>
    <w:tcPr>
      <w:shd w:val="clear" w:color="auto" w:fill="DEFFFD" w:themeFill="accent3" w:themeFillTint="19"/>
    </w:tcPr>
    <w:tblStylePr w:type="firstRow">
      <w:rPr>
        <w:b/>
        <w:bCs/>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A65" w:themeFill="accent3" w:themeFillShade="99"/>
      </w:tcPr>
    </w:tblStylePr>
    <w:tblStylePr w:type="firstCol">
      <w:rPr>
        <w:color w:val="FFFFFF" w:themeColor="background1"/>
      </w:rPr>
      <w:tblPr/>
      <w:tcPr>
        <w:tcBorders>
          <w:top w:val="nil"/>
          <w:left w:val="nil"/>
          <w:bottom w:val="nil"/>
          <w:right w:val="nil"/>
          <w:insideH w:val="single" w:sz="4" w:space="0" w:color="006A65" w:themeColor="accent3" w:themeShade="99"/>
          <w:insideV w:val="nil"/>
        </w:tcBorders>
        <w:shd w:val="clear" w:color="auto" w:fill="006A6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6A65" w:themeFill="accent3" w:themeFillShade="99"/>
      </w:tcPr>
    </w:tblStylePr>
    <w:tblStylePr w:type="band1Vert">
      <w:tblPr/>
      <w:tcPr>
        <w:shd w:val="clear" w:color="auto" w:fill="7AFFF8" w:themeFill="accent3" w:themeFillTint="66"/>
      </w:tcPr>
    </w:tblStylePr>
    <w:tblStylePr w:type="band1Horz">
      <w:tblPr/>
      <w:tcPr>
        <w:shd w:val="clear" w:color="auto" w:fill="59FFF6" w:themeFill="accent3" w:themeFillTint="7F"/>
      </w:tcPr>
    </w:tblStylePr>
  </w:style>
  <w:style w:type="table" w:styleId="ColorfulShading-Accent4">
    <w:name w:val="Colorful Shading Accent 4"/>
    <w:basedOn w:val="TableNormal"/>
    <w:uiPriority w:val="71"/>
    <w:semiHidden/>
    <w:rsid w:val="0058629F"/>
    <w:tblPr>
      <w:tblStyleRowBandSize w:val="1"/>
      <w:tblStyleColBandSize w:val="1"/>
      <w:tblBorders>
        <w:top w:val="single" w:sz="24" w:space="0" w:color="00B2A9" w:themeColor="accent3"/>
        <w:left w:val="single" w:sz="4" w:space="0" w:color="201547" w:themeColor="accent4"/>
        <w:bottom w:val="single" w:sz="4" w:space="0" w:color="201547" w:themeColor="accent4"/>
        <w:right w:val="single" w:sz="4" w:space="0" w:color="201547" w:themeColor="accent4"/>
        <w:insideH w:val="single" w:sz="4" w:space="0" w:color="FFFFFF" w:themeColor="background1"/>
        <w:insideV w:val="single" w:sz="4" w:space="0" w:color="FFFFFF" w:themeColor="background1"/>
      </w:tblBorders>
    </w:tblPr>
    <w:tcPr>
      <w:shd w:val="clear" w:color="auto" w:fill="E4DFF5" w:themeFill="accent4" w:themeFillTint="19"/>
    </w:tcPr>
    <w:tblStylePr w:type="firstRow">
      <w:rPr>
        <w:b/>
        <w:bCs/>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30C2A" w:themeFill="accent4" w:themeFillShade="99"/>
      </w:tcPr>
    </w:tblStylePr>
    <w:tblStylePr w:type="firstCol">
      <w:rPr>
        <w:color w:val="FFFFFF" w:themeColor="background1"/>
      </w:rPr>
      <w:tblPr/>
      <w:tcPr>
        <w:tcBorders>
          <w:top w:val="nil"/>
          <w:left w:val="nil"/>
          <w:bottom w:val="nil"/>
          <w:right w:val="nil"/>
          <w:insideH w:val="single" w:sz="4" w:space="0" w:color="130C2A" w:themeColor="accent4" w:themeShade="99"/>
          <w:insideV w:val="nil"/>
        </w:tcBorders>
        <w:shd w:val="clear" w:color="auto" w:fill="130C2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130C2A" w:themeFill="accent4" w:themeFillShade="99"/>
      </w:tcPr>
    </w:tblStylePr>
    <w:tblStylePr w:type="band1Vert">
      <w:tblPr/>
      <w:tcPr>
        <w:shd w:val="clear" w:color="auto" w:fill="917DD8" w:themeFill="accent4" w:themeFillTint="66"/>
      </w:tcPr>
    </w:tblStylePr>
    <w:tblStylePr w:type="band1Horz">
      <w:tblPr/>
      <w:tcPr>
        <w:shd w:val="clear" w:color="auto" w:fill="775ECF" w:themeFill="accent4" w:themeFillTint="7F"/>
      </w:tcPr>
    </w:tblStylePr>
    <w:tblStylePr w:type="neCell">
      <w:rPr>
        <w:color w:val="232222" w:themeColor="text1"/>
      </w:rPr>
    </w:tblStylePr>
    <w:tblStylePr w:type="nwCell">
      <w:rPr>
        <w:color w:val="232222" w:themeColor="text1"/>
      </w:rPr>
    </w:tblStylePr>
  </w:style>
  <w:style w:type="table" w:styleId="ColorfulShading-Accent5">
    <w:name w:val="Colorful Shading Accent 5"/>
    <w:basedOn w:val="TableNormal"/>
    <w:uiPriority w:val="71"/>
    <w:semiHidden/>
    <w:rsid w:val="0058629F"/>
    <w:tblPr>
      <w:tblStyleRowBandSize w:val="1"/>
      <w:tblStyleColBandSize w:val="1"/>
      <w:tblBorders>
        <w:top w:val="single" w:sz="24" w:space="0" w:color="FFC576" w:themeColor="accent6"/>
        <w:left w:val="single" w:sz="4" w:space="0" w:color="66B093" w:themeColor="accent5"/>
        <w:bottom w:val="single" w:sz="4" w:space="0" w:color="66B093" w:themeColor="accent5"/>
        <w:right w:val="single" w:sz="4" w:space="0" w:color="66B093" w:themeColor="accent5"/>
        <w:insideH w:val="single" w:sz="4" w:space="0" w:color="FFFFFF" w:themeColor="background1"/>
        <w:insideV w:val="single" w:sz="4" w:space="0" w:color="FFFFFF" w:themeColor="background1"/>
      </w:tblBorders>
    </w:tblPr>
    <w:tcPr>
      <w:shd w:val="clear" w:color="auto" w:fill="EFF7F4" w:themeFill="accent5" w:themeFillTint="19"/>
    </w:tcPr>
    <w:tblStylePr w:type="firstRow">
      <w:rPr>
        <w:b/>
        <w:bCs/>
      </w:rPr>
      <w:tblPr/>
      <w:tcPr>
        <w:tcBorders>
          <w:top w:val="nil"/>
          <w:left w:val="nil"/>
          <w:bottom w:val="single" w:sz="24" w:space="0" w:color="FFC57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86D59" w:themeFill="accent5" w:themeFillShade="99"/>
      </w:tcPr>
    </w:tblStylePr>
    <w:tblStylePr w:type="firstCol">
      <w:rPr>
        <w:color w:val="FFFFFF" w:themeColor="background1"/>
      </w:rPr>
      <w:tblPr/>
      <w:tcPr>
        <w:tcBorders>
          <w:top w:val="nil"/>
          <w:left w:val="nil"/>
          <w:bottom w:val="nil"/>
          <w:right w:val="nil"/>
          <w:insideH w:val="single" w:sz="4" w:space="0" w:color="386D59" w:themeColor="accent5" w:themeShade="99"/>
          <w:insideV w:val="nil"/>
        </w:tcBorders>
        <w:shd w:val="clear" w:color="auto" w:fill="386D5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86D59" w:themeFill="accent5" w:themeFillShade="99"/>
      </w:tcPr>
    </w:tblStylePr>
    <w:tblStylePr w:type="band1Vert">
      <w:tblPr/>
      <w:tcPr>
        <w:shd w:val="clear" w:color="auto" w:fill="C1DFD3" w:themeFill="accent5" w:themeFillTint="66"/>
      </w:tcPr>
    </w:tblStylePr>
    <w:tblStylePr w:type="band1Horz">
      <w:tblPr/>
      <w:tcPr>
        <w:shd w:val="clear" w:color="auto" w:fill="B2D7C9" w:themeFill="accent5" w:themeFillTint="7F"/>
      </w:tcPr>
    </w:tblStylePr>
    <w:tblStylePr w:type="neCell">
      <w:rPr>
        <w:color w:val="232222" w:themeColor="text1"/>
      </w:rPr>
    </w:tblStylePr>
    <w:tblStylePr w:type="nwCell">
      <w:rPr>
        <w:color w:val="232222" w:themeColor="text1"/>
      </w:rPr>
    </w:tblStylePr>
  </w:style>
  <w:style w:type="table" w:styleId="ColorfulShading-Accent6">
    <w:name w:val="Colorful Shading Accent 6"/>
    <w:basedOn w:val="TableNormal"/>
    <w:uiPriority w:val="71"/>
    <w:semiHidden/>
    <w:rsid w:val="0058629F"/>
    <w:tblPr>
      <w:tblStyleRowBandSize w:val="1"/>
      <w:tblStyleColBandSize w:val="1"/>
      <w:tblBorders>
        <w:top w:val="single" w:sz="24" w:space="0" w:color="66B093" w:themeColor="accent5"/>
        <w:left w:val="single" w:sz="4" w:space="0" w:color="FFC576" w:themeColor="accent6"/>
        <w:bottom w:val="single" w:sz="4" w:space="0" w:color="FFC576" w:themeColor="accent6"/>
        <w:right w:val="single" w:sz="4" w:space="0" w:color="FFC576" w:themeColor="accent6"/>
        <w:insideH w:val="single" w:sz="4" w:space="0" w:color="FFFFFF" w:themeColor="background1"/>
        <w:insideV w:val="single" w:sz="4" w:space="0" w:color="FFFFFF" w:themeColor="background1"/>
      </w:tblBorders>
    </w:tblPr>
    <w:tcPr>
      <w:shd w:val="clear" w:color="auto" w:fill="FFF9F1" w:themeFill="accent6" w:themeFillTint="19"/>
    </w:tcPr>
    <w:tblStylePr w:type="firstRow">
      <w:rPr>
        <w:b/>
        <w:bCs/>
      </w:rPr>
      <w:tblPr/>
      <w:tcPr>
        <w:tcBorders>
          <w:top w:val="nil"/>
          <w:left w:val="nil"/>
          <w:bottom w:val="single" w:sz="24" w:space="0" w:color="66B0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F8000" w:themeFill="accent6" w:themeFillShade="99"/>
      </w:tcPr>
    </w:tblStylePr>
    <w:tblStylePr w:type="firstCol">
      <w:rPr>
        <w:color w:val="FFFFFF" w:themeColor="background1"/>
      </w:rPr>
      <w:tblPr/>
      <w:tcPr>
        <w:tcBorders>
          <w:top w:val="nil"/>
          <w:left w:val="nil"/>
          <w:bottom w:val="nil"/>
          <w:right w:val="nil"/>
          <w:insideH w:val="single" w:sz="4" w:space="0" w:color="DF8000" w:themeColor="accent6" w:themeShade="99"/>
          <w:insideV w:val="nil"/>
        </w:tcBorders>
        <w:shd w:val="clear" w:color="auto" w:fill="DF80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F8000" w:themeFill="accent6" w:themeFillShade="99"/>
      </w:tcPr>
    </w:tblStylePr>
    <w:tblStylePr w:type="band1Vert">
      <w:tblPr/>
      <w:tcPr>
        <w:shd w:val="clear" w:color="auto" w:fill="FFE7C8" w:themeFill="accent6" w:themeFillTint="66"/>
      </w:tcPr>
    </w:tblStylePr>
    <w:tblStylePr w:type="band1Horz">
      <w:tblPr/>
      <w:tcPr>
        <w:shd w:val="clear" w:color="auto" w:fill="FFE2BA" w:themeFill="accent6" w:themeFillTint="7F"/>
      </w:tcPr>
    </w:tblStylePr>
    <w:tblStylePr w:type="neCell">
      <w:rPr>
        <w:color w:val="232222" w:themeColor="text1"/>
      </w:rPr>
    </w:tblStylePr>
    <w:tblStylePr w:type="nwCell">
      <w:rPr>
        <w:color w:val="232222" w:themeColor="text1"/>
      </w:rPr>
    </w:tblStylePr>
  </w:style>
  <w:style w:type="table" w:styleId="DarkList">
    <w:name w:val="Dark List"/>
    <w:basedOn w:val="TableNormal"/>
    <w:uiPriority w:val="70"/>
    <w:semiHidden/>
    <w:rsid w:val="0058629F"/>
    <w:rPr>
      <w:color w:val="FFFFFF" w:themeColor="background1"/>
    </w:rPr>
    <w:tblPr>
      <w:tblStyleRowBandSize w:val="1"/>
      <w:tblStyleColBandSize w:val="1"/>
    </w:tblPr>
    <w:tcPr>
      <w:shd w:val="clear" w:color="auto" w:fill="232222"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111111"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919"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919" w:themeFill="text1" w:themeFillShade="BF"/>
      </w:tcPr>
    </w:tblStylePr>
    <w:tblStylePr w:type="band1Vert">
      <w:tblPr/>
      <w:tcPr>
        <w:tcBorders>
          <w:top w:val="nil"/>
          <w:left w:val="nil"/>
          <w:bottom w:val="nil"/>
          <w:right w:val="nil"/>
          <w:insideH w:val="nil"/>
          <w:insideV w:val="nil"/>
        </w:tcBorders>
        <w:shd w:val="clear" w:color="auto" w:fill="1A1919" w:themeFill="text1" w:themeFillShade="BF"/>
      </w:tcPr>
    </w:tblStylePr>
    <w:tblStylePr w:type="band1Horz">
      <w:tblPr/>
      <w:tcPr>
        <w:tcBorders>
          <w:top w:val="nil"/>
          <w:left w:val="nil"/>
          <w:bottom w:val="nil"/>
          <w:right w:val="nil"/>
          <w:insideH w:val="nil"/>
          <w:insideV w:val="nil"/>
        </w:tcBorders>
        <w:shd w:val="clear" w:color="auto" w:fill="1A1919" w:themeFill="text1" w:themeFillShade="BF"/>
      </w:tcPr>
    </w:tblStylePr>
  </w:style>
  <w:style w:type="table" w:styleId="DarkList-Accent1">
    <w:name w:val="Dark List Accent 1"/>
    <w:basedOn w:val="TableNormal"/>
    <w:uiPriority w:val="70"/>
    <w:semiHidden/>
    <w:rsid w:val="0058629F"/>
    <w:rPr>
      <w:color w:val="FFFFFF" w:themeColor="background1"/>
    </w:rPr>
    <w:tblPr>
      <w:tblStyleRowBandSize w:val="1"/>
      <w:tblStyleColBandSize w:val="1"/>
    </w:tblPr>
    <w:tcPr>
      <w:shd w:val="clear" w:color="auto" w:fill="007B4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3D25"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5C3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5C37" w:themeFill="accent1" w:themeFillShade="BF"/>
      </w:tcPr>
    </w:tblStylePr>
    <w:tblStylePr w:type="band1Vert">
      <w:tblPr/>
      <w:tcPr>
        <w:tcBorders>
          <w:top w:val="nil"/>
          <w:left w:val="nil"/>
          <w:bottom w:val="nil"/>
          <w:right w:val="nil"/>
          <w:insideH w:val="nil"/>
          <w:insideV w:val="nil"/>
        </w:tcBorders>
        <w:shd w:val="clear" w:color="auto" w:fill="005C37" w:themeFill="accent1" w:themeFillShade="BF"/>
      </w:tcPr>
    </w:tblStylePr>
    <w:tblStylePr w:type="band1Horz">
      <w:tblPr/>
      <w:tcPr>
        <w:tcBorders>
          <w:top w:val="nil"/>
          <w:left w:val="nil"/>
          <w:bottom w:val="nil"/>
          <w:right w:val="nil"/>
          <w:insideH w:val="nil"/>
          <w:insideV w:val="nil"/>
        </w:tcBorders>
        <w:shd w:val="clear" w:color="auto" w:fill="005C37" w:themeFill="accent1" w:themeFillShade="BF"/>
      </w:tcPr>
    </w:tblStylePr>
  </w:style>
  <w:style w:type="table" w:styleId="DarkList-Accent2">
    <w:name w:val="Dark List Accent 2"/>
    <w:basedOn w:val="TableNormal"/>
    <w:uiPriority w:val="70"/>
    <w:semiHidden/>
    <w:rsid w:val="0058629F"/>
    <w:rPr>
      <w:color w:val="FFFFFF" w:themeColor="background1"/>
    </w:rPr>
    <w:tblPr>
      <w:tblStyleRowBandSize w:val="1"/>
      <w:tblStyleColBandSize w:val="1"/>
    </w:tblPr>
    <w:tcPr>
      <w:shd w:val="clear" w:color="auto" w:fill="FF9E1B"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8C5000"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D37800"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D37800" w:themeFill="accent2" w:themeFillShade="BF"/>
      </w:tcPr>
    </w:tblStylePr>
    <w:tblStylePr w:type="band1Vert">
      <w:tblPr/>
      <w:tcPr>
        <w:tcBorders>
          <w:top w:val="nil"/>
          <w:left w:val="nil"/>
          <w:bottom w:val="nil"/>
          <w:right w:val="nil"/>
          <w:insideH w:val="nil"/>
          <w:insideV w:val="nil"/>
        </w:tcBorders>
        <w:shd w:val="clear" w:color="auto" w:fill="D37800" w:themeFill="accent2" w:themeFillShade="BF"/>
      </w:tcPr>
    </w:tblStylePr>
    <w:tblStylePr w:type="band1Horz">
      <w:tblPr/>
      <w:tcPr>
        <w:tcBorders>
          <w:top w:val="nil"/>
          <w:left w:val="nil"/>
          <w:bottom w:val="nil"/>
          <w:right w:val="nil"/>
          <w:insideH w:val="nil"/>
          <w:insideV w:val="nil"/>
        </w:tcBorders>
        <w:shd w:val="clear" w:color="auto" w:fill="D37800" w:themeFill="accent2" w:themeFillShade="BF"/>
      </w:tcPr>
    </w:tblStylePr>
  </w:style>
  <w:style w:type="table" w:styleId="DarkList-Accent3">
    <w:name w:val="Dark List Accent 3"/>
    <w:basedOn w:val="TableNormal"/>
    <w:uiPriority w:val="70"/>
    <w:semiHidden/>
    <w:rsid w:val="0058629F"/>
    <w:rPr>
      <w:color w:val="FFFFFF" w:themeColor="background1"/>
    </w:rPr>
    <w:tblPr>
      <w:tblStyleRowBandSize w:val="1"/>
      <w:tblStyleColBandSize w:val="1"/>
    </w:tblPr>
    <w:tcPr>
      <w:shd w:val="clear" w:color="auto" w:fill="00B2A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05853"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857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857E" w:themeFill="accent3" w:themeFillShade="BF"/>
      </w:tcPr>
    </w:tblStylePr>
    <w:tblStylePr w:type="band1Vert">
      <w:tblPr/>
      <w:tcPr>
        <w:tcBorders>
          <w:top w:val="nil"/>
          <w:left w:val="nil"/>
          <w:bottom w:val="nil"/>
          <w:right w:val="nil"/>
          <w:insideH w:val="nil"/>
          <w:insideV w:val="nil"/>
        </w:tcBorders>
        <w:shd w:val="clear" w:color="auto" w:fill="00857E" w:themeFill="accent3" w:themeFillShade="BF"/>
      </w:tcPr>
    </w:tblStylePr>
    <w:tblStylePr w:type="band1Horz">
      <w:tblPr/>
      <w:tcPr>
        <w:tcBorders>
          <w:top w:val="nil"/>
          <w:left w:val="nil"/>
          <w:bottom w:val="nil"/>
          <w:right w:val="nil"/>
          <w:insideH w:val="nil"/>
          <w:insideV w:val="nil"/>
        </w:tcBorders>
        <w:shd w:val="clear" w:color="auto" w:fill="00857E" w:themeFill="accent3" w:themeFillShade="BF"/>
      </w:tcPr>
    </w:tblStylePr>
  </w:style>
  <w:style w:type="table" w:styleId="DarkList-Accent4">
    <w:name w:val="Dark List Accent 4"/>
    <w:basedOn w:val="TableNormal"/>
    <w:uiPriority w:val="70"/>
    <w:semiHidden/>
    <w:rsid w:val="0058629F"/>
    <w:rPr>
      <w:color w:val="FFFFFF" w:themeColor="background1"/>
    </w:rPr>
    <w:tblPr>
      <w:tblStyleRowBandSize w:val="1"/>
      <w:tblStyleColBandSize w:val="1"/>
    </w:tblPr>
    <w:tcPr>
      <w:shd w:val="clear" w:color="auto" w:fill="20154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0F0A23"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170F34"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170F34" w:themeFill="accent4" w:themeFillShade="BF"/>
      </w:tcPr>
    </w:tblStylePr>
    <w:tblStylePr w:type="band1Vert">
      <w:tblPr/>
      <w:tcPr>
        <w:tcBorders>
          <w:top w:val="nil"/>
          <w:left w:val="nil"/>
          <w:bottom w:val="nil"/>
          <w:right w:val="nil"/>
          <w:insideH w:val="nil"/>
          <w:insideV w:val="nil"/>
        </w:tcBorders>
        <w:shd w:val="clear" w:color="auto" w:fill="170F34" w:themeFill="accent4" w:themeFillShade="BF"/>
      </w:tcPr>
    </w:tblStylePr>
    <w:tblStylePr w:type="band1Horz">
      <w:tblPr/>
      <w:tcPr>
        <w:tcBorders>
          <w:top w:val="nil"/>
          <w:left w:val="nil"/>
          <w:bottom w:val="nil"/>
          <w:right w:val="nil"/>
          <w:insideH w:val="nil"/>
          <w:insideV w:val="nil"/>
        </w:tcBorders>
        <w:shd w:val="clear" w:color="auto" w:fill="170F34" w:themeFill="accent4" w:themeFillShade="BF"/>
      </w:tcPr>
    </w:tblStylePr>
  </w:style>
  <w:style w:type="table" w:styleId="DarkList-Accent5">
    <w:name w:val="Dark List Accent 5"/>
    <w:basedOn w:val="TableNormal"/>
    <w:uiPriority w:val="70"/>
    <w:semiHidden/>
    <w:rsid w:val="0058629F"/>
    <w:rPr>
      <w:color w:val="FFFFFF" w:themeColor="background1"/>
    </w:rPr>
    <w:tblPr>
      <w:tblStyleRowBandSize w:val="1"/>
      <w:tblStyleColBandSize w:val="1"/>
    </w:tblPr>
    <w:tcPr>
      <w:shd w:val="clear" w:color="auto" w:fill="66B0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2F5B49"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6896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6896F" w:themeFill="accent5" w:themeFillShade="BF"/>
      </w:tcPr>
    </w:tblStylePr>
    <w:tblStylePr w:type="band1Vert">
      <w:tblPr/>
      <w:tcPr>
        <w:tcBorders>
          <w:top w:val="nil"/>
          <w:left w:val="nil"/>
          <w:bottom w:val="nil"/>
          <w:right w:val="nil"/>
          <w:insideH w:val="nil"/>
          <w:insideV w:val="nil"/>
        </w:tcBorders>
        <w:shd w:val="clear" w:color="auto" w:fill="46896F" w:themeFill="accent5" w:themeFillShade="BF"/>
      </w:tcPr>
    </w:tblStylePr>
    <w:tblStylePr w:type="band1Horz">
      <w:tblPr/>
      <w:tcPr>
        <w:tcBorders>
          <w:top w:val="nil"/>
          <w:left w:val="nil"/>
          <w:bottom w:val="nil"/>
          <w:right w:val="nil"/>
          <w:insideH w:val="nil"/>
          <w:insideV w:val="nil"/>
        </w:tcBorders>
        <w:shd w:val="clear" w:color="auto" w:fill="46896F" w:themeFill="accent5" w:themeFillShade="BF"/>
      </w:tcPr>
    </w:tblStylePr>
  </w:style>
  <w:style w:type="table" w:styleId="DarkList-Accent6">
    <w:name w:val="Dark List Accent 6"/>
    <w:basedOn w:val="TableNormal"/>
    <w:uiPriority w:val="70"/>
    <w:semiHidden/>
    <w:rsid w:val="0058629F"/>
    <w:rPr>
      <w:color w:val="FFFFFF" w:themeColor="background1"/>
    </w:rPr>
    <w:tblPr>
      <w:tblStyleRowBandSize w:val="1"/>
      <w:tblStyleColBandSize w:val="1"/>
    </w:tblPr>
    <w:tcPr>
      <w:shd w:val="clear" w:color="auto" w:fill="FFC57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2222" w:themeFill="text1"/>
      </w:tcPr>
    </w:tblStylePr>
    <w:tblStylePr w:type="lastRow">
      <w:tblPr/>
      <w:tcPr>
        <w:tcBorders>
          <w:top w:val="single" w:sz="18" w:space="0" w:color="FFFFFF" w:themeColor="background1"/>
          <w:left w:val="nil"/>
          <w:bottom w:val="nil"/>
          <w:right w:val="nil"/>
          <w:insideH w:val="nil"/>
          <w:insideV w:val="nil"/>
        </w:tcBorders>
        <w:shd w:val="clear" w:color="auto" w:fill="B96B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9D1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9D18" w:themeFill="accent6" w:themeFillShade="BF"/>
      </w:tcPr>
    </w:tblStylePr>
    <w:tblStylePr w:type="band1Vert">
      <w:tblPr/>
      <w:tcPr>
        <w:tcBorders>
          <w:top w:val="nil"/>
          <w:left w:val="nil"/>
          <w:bottom w:val="nil"/>
          <w:right w:val="nil"/>
          <w:insideH w:val="nil"/>
          <w:insideV w:val="nil"/>
        </w:tcBorders>
        <w:shd w:val="clear" w:color="auto" w:fill="FF9D18" w:themeFill="accent6" w:themeFillShade="BF"/>
      </w:tcPr>
    </w:tblStylePr>
    <w:tblStylePr w:type="band1Horz">
      <w:tblPr/>
      <w:tcPr>
        <w:tcBorders>
          <w:top w:val="nil"/>
          <w:left w:val="nil"/>
          <w:bottom w:val="nil"/>
          <w:right w:val="nil"/>
          <w:insideH w:val="nil"/>
          <w:insideV w:val="nil"/>
        </w:tcBorders>
        <w:shd w:val="clear" w:color="auto" w:fill="FF9D18" w:themeFill="accent6" w:themeFillShade="BF"/>
      </w:tcPr>
    </w:tblStylePr>
  </w:style>
  <w:style w:type="table" w:styleId="GridTable1Light">
    <w:name w:val="Grid Table 1 Light"/>
    <w:basedOn w:val="TableNormal"/>
    <w:uiPriority w:val="46"/>
    <w:semiHidden/>
    <w:rsid w:val="0058629F"/>
    <w:tblPr>
      <w:tblStyleRowBandSize w:val="1"/>
      <w:tblStyleColBandSize w:val="1"/>
      <w:tblBorders>
        <w:top w:val="single" w:sz="4" w:space="0" w:color="A8A5A5" w:themeColor="text1" w:themeTint="66"/>
        <w:left w:val="single" w:sz="4" w:space="0" w:color="A8A5A5" w:themeColor="text1" w:themeTint="66"/>
        <w:bottom w:val="single" w:sz="4" w:space="0" w:color="A8A5A5" w:themeColor="text1" w:themeTint="66"/>
        <w:right w:val="single" w:sz="4" w:space="0" w:color="A8A5A5" w:themeColor="text1" w:themeTint="66"/>
        <w:insideH w:val="single" w:sz="4" w:space="0" w:color="A8A5A5" w:themeColor="text1" w:themeTint="66"/>
        <w:insideV w:val="single" w:sz="4" w:space="0" w:color="A8A5A5" w:themeColor="text1" w:themeTint="66"/>
      </w:tblBorders>
    </w:tblPr>
    <w:tblStylePr w:type="firstRow">
      <w:rPr>
        <w:b/>
        <w:bCs/>
      </w:rPr>
      <w:tblPr/>
      <w:tcPr>
        <w:tcBorders>
          <w:bottom w:val="single" w:sz="12" w:space="0" w:color="7C7979" w:themeColor="text1" w:themeTint="99"/>
        </w:tcBorders>
      </w:tcPr>
    </w:tblStylePr>
    <w:tblStylePr w:type="lastRow">
      <w:rPr>
        <w:b/>
        <w:bCs/>
      </w:rPr>
      <w:tblPr/>
      <w:tcPr>
        <w:tcBorders>
          <w:top w:val="double" w:sz="2" w:space="0" w:color="7C7979"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58629F"/>
    <w:tblPr>
      <w:tblStyleRowBandSize w:val="1"/>
      <w:tblStyleColBandSize w:val="1"/>
      <w:tblBorders>
        <w:top w:val="single" w:sz="4" w:space="0" w:color="64FFC2" w:themeColor="accent1" w:themeTint="66"/>
        <w:left w:val="single" w:sz="4" w:space="0" w:color="64FFC2" w:themeColor="accent1" w:themeTint="66"/>
        <w:bottom w:val="single" w:sz="4" w:space="0" w:color="64FFC2" w:themeColor="accent1" w:themeTint="66"/>
        <w:right w:val="single" w:sz="4" w:space="0" w:color="64FFC2" w:themeColor="accent1" w:themeTint="66"/>
        <w:insideH w:val="single" w:sz="4" w:space="0" w:color="64FFC2" w:themeColor="accent1" w:themeTint="66"/>
        <w:insideV w:val="single" w:sz="4" w:space="0" w:color="64FFC2" w:themeColor="accent1" w:themeTint="66"/>
      </w:tblBorders>
    </w:tblPr>
    <w:tblStylePr w:type="firstRow">
      <w:rPr>
        <w:b/>
        <w:bCs/>
      </w:rPr>
      <w:tblPr/>
      <w:tcPr>
        <w:tcBorders>
          <w:bottom w:val="single" w:sz="12" w:space="0" w:color="16FFA3" w:themeColor="accent1" w:themeTint="99"/>
        </w:tcBorders>
      </w:tcPr>
    </w:tblStylePr>
    <w:tblStylePr w:type="lastRow">
      <w:rPr>
        <w:b/>
        <w:bCs/>
      </w:rPr>
      <w:tblPr/>
      <w:tcPr>
        <w:tcBorders>
          <w:top w:val="double" w:sz="2" w:space="0" w:color="16FFA3"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58629F"/>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58629F"/>
    <w:tblPr>
      <w:tblStyleRowBandSize w:val="1"/>
      <w:tblStyleColBandSize w:val="1"/>
      <w:tblBorders>
        <w:top w:val="single" w:sz="4" w:space="0" w:color="7AFFF8" w:themeColor="accent3" w:themeTint="66"/>
        <w:left w:val="single" w:sz="4" w:space="0" w:color="7AFFF8" w:themeColor="accent3" w:themeTint="66"/>
        <w:bottom w:val="single" w:sz="4" w:space="0" w:color="7AFFF8" w:themeColor="accent3" w:themeTint="66"/>
        <w:right w:val="single" w:sz="4" w:space="0" w:color="7AFFF8" w:themeColor="accent3" w:themeTint="66"/>
        <w:insideH w:val="single" w:sz="4" w:space="0" w:color="7AFFF8" w:themeColor="accent3" w:themeTint="66"/>
        <w:insideV w:val="single" w:sz="4" w:space="0" w:color="7AFFF8" w:themeColor="accent3" w:themeTint="66"/>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2" w:space="0" w:color="37FFF4"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58629F"/>
    <w:tblPr>
      <w:tblStyleRowBandSize w:val="1"/>
      <w:tblStyleColBandSize w:val="1"/>
      <w:tblBorders>
        <w:top w:val="single" w:sz="4" w:space="0" w:color="917DD8" w:themeColor="accent4" w:themeTint="66"/>
        <w:left w:val="single" w:sz="4" w:space="0" w:color="917DD8" w:themeColor="accent4" w:themeTint="66"/>
        <w:bottom w:val="single" w:sz="4" w:space="0" w:color="917DD8" w:themeColor="accent4" w:themeTint="66"/>
        <w:right w:val="single" w:sz="4" w:space="0" w:color="917DD8" w:themeColor="accent4" w:themeTint="66"/>
        <w:insideH w:val="single" w:sz="4" w:space="0" w:color="917DD8" w:themeColor="accent4" w:themeTint="66"/>
        <w:insideV w:val="single" w:sz="4" w:space="0" w:color="917DD8" w:themeColor="accent4" w:themeTint="66"/>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2" w:space="0" w:color="5B3DC5"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58629F"/>
    <w:tblPr>
      <w:tblStyleRowBandSize w:val="1"/>
      <w:tblStyleColBandSize w:val="1"/>
      <w:tblBorders>
        <w:top w:val="single" w:sz="4" w:space="0" w:color="C1DFD3" w:themeColor="accent5" w:themeTint="66"/>
        <w:left w:val="single" w:sz="4" w:space="0" w:color="C1DFD3" w:themeColor="accent5" w:themeTint="66"/>
        <w:bottom w:val="single" w:sz="4" w:space="0" w:color="C1DFD3" w:themeColor="accent5" w:themeTint="66"/>
        <w:right w:val="single" w:sz="4" w:space="0" w:color="C1DFD3" w:themeColor="accent5" w:themeTint="66"/>
        <w:insideH w:val="single" w:sz="4" w:space="0" w:color="C1DFD3" w:themeColor="accent5" w:themeTint="66"/>
        <w:insideV w:val="single" w:sz="4" w:space="0" w:color="C1DFD3" w:themeColor="accent5" w:themeTint="66"/>
      </w:tblBorders>
    </w:tblPr>
    <w:tblStylePr w:type="firstRow">
      <w:rPr>
        <w:b/>
        <w:bCs/>
      </w:rPr>
      <w:tblPr/>
      <w:tcPr>
        <w:tcBorders>
          <w:bottom w:val="single" w:sz="12" w:space="0" w:color="A3CFBE" w:themeColor="accent5" w:themeTint="99"/>
        </w:tcBorders>
      </w:tcPr>
    </w:tblStylePr>
    <w:tblStylePr w:type="lastRow">
      <w:rPr>
        <w:b/>
        <w:bCs/>
      </w:rPr>
      <w:tblPr/>
      <w:tcPr>
        <w:tcBorders>
          <w:top w:val="double" w:sz="2" w:space="0" w:color="A3CFBE"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58629F"/>
    <w:tblPr>
      <w:tblStyleRowBandSize w:val="1"/>
      <w:tblStyleColBandSize w:val="1"/>
      <w:tblBorders>
        <w:top w:val="single" w:sz="4" w:space="0" w:color="FFE7C8" w:themeColor="accent6" w:themeTint="66"/>
        <w:left w:val="single" w:sz="4" w:space="0" w:color="FFE7C8" w:themeColor="accent6" w:themeTint="66"/>
        <w:bottom w:val="single" w:sz="4" w:space="0" w:color="FFE7C8" w:themeColor="accent6" w:themeTint="66"/>
        <w:right w:val="single" w:sz="4" w:space="0" w:color="FFE7C8" w:themeColor="accent6" w:themeTint="66"/>
        <w:insideH w:val="single" w:sz="4" w:space="0" w:color="FFE7C8" w:themeColor="accent6" w:themeTint="66"/>
        <w:insideV w:val="single" w:sz="4" w:space="0" w:color="FFE7C8" w:themeColor="accent6" w:themeTint="66"/>
      </w:tblBorders>
    </w:tblPr>
    <w:tblStylePr w:type="firstRow">
      <w:rPr>
        <w:b/>
        <w:bCs/>
      </w:rPr>
      <w:tblPr/>
      <w:tcPr>
        <w:tcBorders>
          <w:bottom w:val="single" w:sz="12" w:space="0" w:color="FFDCAC" w:themeColor="accent6" w:themeTint="99"/>
        </w:tcBorders>
      </w:tcPr>
    </w:tblStylePr>
    <w:tblStylePr w:type="lastRow">
      <w:rPr>
        <w:b/>
        <w:bCs/>
      </w:rPr>
      <w:tblPr/>
      <w:tcPr>
        <w:tcBorders>
          <w:top w:val="double" w:sz="2" w:space="0" w:color="FFDCAC"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58629F"/>
    <w:tblPr>
      <w:tblStyleRowBandSize w:val="1"/>
      <w:tblStyleColBandSize w:val="1"/>
      <w:tblBorders>
        <w:top w:val="single" w:sz="2" w:space="0" w:color="7C7979" w:themeColor="text1" w:themeTint="99"/>
        <w:bottom w:val="single" w:sz="2" w:space="0" w:color="7C7979" w:themeColor="text1" w:themeTint="99"/>
        <w:insideH w:val="single" w:sz="2" w:space="0" w:color="7C7979" w:themeColor="text1" w:themeTint="99"/>
        <w:insideV w:val="single" w:sz="2" w:space="0" w:color="7C7979" w:themeColor="text1" w:themeTint="99"/>
      </w:tblBorders>
    </w:tblPr>
    <w:tblStylePr w:type="firstRow">
      <w:rPr>
        <w:b/>
        <w:bCs/>
      </w:rPr>
      <w:tblPr/>
      <w:tcPr>
        <w:tcBorders>
          <w:top w:val="nil"/>
          <w:bottom w:val="single" w:sz="12" w:space="0" w:color="7C7979" w:themeColor="text1" w:themeTint="99"/>
          <w:insideH w:val="nil"/>
          <w:insideV w:val="nil"/>
        </w:tcBorders>
        <w:shd w:val="clear" w:color="auto" w:fill="FFFFFF" w:themeFill="background1"/>
      </w:tcPr>
    </w:tblStylePr>
    <w:tblStylePr w:type="lastRow">
      <w:rPr>
        <w:b/>
        <w:bCs/>
      </w:rPr>
      <w:tblPr/>
      <w:tcPr>
        <w:tcBorders>
          <w:top w:val="double" w:sz="2" w:space="0" w:color="7C7979"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2-Accent1">
    <w:name w:val="Grid Table 2 Accent 1"/>
    <w:basedOn w:val="TableNormal"/>
    <w:uiPriority w:val="47"/>
    <w:semiHidden/>
    <w:rsid w:val="0058629F"/>
    <w:tblPr>
      <w:tblStyleRowBandSize w:val="1"/>
      <w:tblStyleColBandSize w:val="1"/>
      <w:tblBorders>
        <w:top w:val="single" w:sz="2" w:space="0" w:color="16FFA3" w:themeColor="accent1" w:themeTint="99"/>
        <w:bottom w:val="single" w:sz="2" w:space="0" w:color="16FFA3" w:themeColor="accent1" w:themeTint="99"/>
        <w:insideH w:val="single" w:sz="2" w:space="0" w:color="16FFA3" w:themeColor="accent1" w:themeTint="99"/>
        <w:insideV w:val="single" w:sz="2" w:space="0" w:color="16FFA3" w:themeColor="accent1" w:themeTint="99"/>
      </w:tblBorders>
    </w:tblPr>
    <w:tblStylePr w:type="firstRow">
      <w:rPr>
        <w:b/>
        <w:bCs/>
      </w:rPr>
      <w:tblPr/>
      <w:tcPr>
        <w:tcBorders>
          <w:top w:val="nil"/>
          <w:bottom w:val="single" w:sz="12" w:space="0" w:color="16FFA3" w:themeColor="accent1" w:themeTint="99"/>
          <w:insideH w:val="nil"/>
          <w:insideV w:val="nil"/>
        </w:tcBorders>
        <w:shd w:val="clear" w:color="auto" w:fill="FFFFFF" w:themeFill="background1"/>
      </w:tcPr>
    </w:tblStylePr>
    <w:tblStylePr w:type="lastRow">
      <w:rPr>
        <w:b/>
        <w:bCs/>
      </w:rPr>
      <w:tblPr/>
      <w:tcPr>
        <w:tcBorders>
          <w:top w:val="double" w:sz="2" w:space="0" w:color="16FFA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1FFE0" w:themeFill="accent1" w:themeFillTint="33"/>
      </w:tcPr>
    </w:tblStylePr>
    <w:tblStylePr w:type="band1Horz">
      <w:tblPr/>
      <w:tcPr>
        <w:shd w:val="clear" w:color="auto" w:fill="B1FFE0" w:themeFill="accent1" w:themeFillTint="33"/>
      </w:tcPr>
    </w:tblStylePr>
  </w:style>
  <w:style w:type="table" w:styleId="GridTable2-Accent2">
    <w:name w:val="Grid Table 2 Accent 2"/>
    <w:basedOn w:val="TableNormal"/>
    <w:uiPriority w:val="47"/>
    <w:semiHidden/>
    <w:rsid w:val="0058629F"/>
    <w:tblPr>
      <w:tblStyleRowBandSize w:val="1"/>
      <w:tblStyleColBandSize w:val="1"/>
      <w:tblBorders>
        <w:top w:val="single" w:sz="2" w:space="0" w:color="FFC476" w:themeColor="accent2" w:themeTint="99"/>
        <w:bottom w:val="single" w:sz="2" w:space="0" w:color="FFC476" w:themeColor="accent2" w:themeTint="99"/>
        <w:insideH w:val="single" w:sz="2" w:space="0" w:color="FFC476" w:themeColor="accent2" w:themeTint="99"/>
        <w:insideV w:val="single" w:sz="2" w:space="0" w:color="FFC476" w:themeColor="accent2" w:themeTint="99"/>
      </w:tblBorders>
    </w:tblPr>
    <w:tblStylePr w:type="firstRow">
      <w:rPr>
        <w:b/>
        <w:bCs/>
      </w:rPr>
      <w:tblPr/>
      <w:tcPr>
        <w:tcBorders>
          <w:top w:val="nil"/>
          <w:bottom w:val="single" w:sz="12" w:space="0" w:color="FFC476" w:themeColor="accent2" w:themeTint="99"/>
          <w:insideH w:val="nil"/>
          <w:insideV w:val="nil"/>
        </w:tcBorders>
        <w:shd w:val="clear" w:color="auto" w:fill="FFFFFF" w:themeFill="background1"/>
      </w:tcPr>
    </w:tblStylePr>
    <w:tblStylePr w:type="lastRow">
      <w:rPr>
        <w:b/>
        <w:bCs/>
      </w:rPr>
      <w:tblPr/>
      <w:tcPr>
        <w:tcBorders>
          <w:top w:val="double" w:sz="2" w:space="0" w:color="FFC476"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2-Accent3">
    <w:name w:val="Grid Table 2 Accent 3"/>
    <w:basedOn w:val="TableNormal"/>
    <w:uiPriority w:val="47"/>
    <w:semiHidden/>
    <w:rsid w:val="0058629F"/>
    <w:tblPr>
      <w:tblStyleRowBandSize w:val="1"/>
      <w:tblStyleColBandSize w:val="1"/>
      <w:tblBorders>
        <w:top w:val="single" w:sz="2" w:space="0" w:color="37FFF4" w:themeColor="accent3" w:themeTint="99"/>
        <w:bottom w:val="single" w:sz="2" w:space="0" w:color="37FFF4" w:themeColor="accent3" w:themeTint="99"/>
        <w:insideH w:val="single" w:sz="2" w:space="0" w:color="37FFF4" w:themeColor="accent3" w:themeTint="99"/>
        <w:insideV w:val="single" w:sz="2" w:space="0" w:color="37FFF4" w:themeColor="accent3" w:themeTint="99"/>
      </w:tblBorders>
    </w:tblPr>
    <w:tblStylePr w:type="firstRow">
      <w:rPr>
        <w:b/>
        <w:bCs/>
      </w:rPr>
      <w:tblPr/>
      <w:tcPr>
        <w:tcBorders>
          <w:top w:val="nil"/>
          <w:bottom w:val="single" w:sz="12" w:space="0" w:color="37FFF4" w:themeColor="accent3" w:themeTint="99"/>
          <w:insideH w:val="nil"/>
          <w:insideV w:val="nil"/>
        </w:tcBorders>
        <w:shd w:val="clear" w:color="auto" w:fill="FFFFFF" w:themeFill="background1"/>
      </w:tcPr>
    </w:tblStylePr>
    <w:tblStylePr w:type="lastRow">
      <w:rPr>
        <w:b/>
        <w:bCs/>
      </w:rPr>
      <w:tblPr/>
      <w:tcPr>
        <w:tcBorders>
          <w:top w:val="double" w:sz="2" w:space="0" w:color="37FFF4"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2-Accent4">
    <w:name w:val="Grid Table 2 Accent 4"/>
    <w:basedOn w:val="TableNormal"/>
    <w:uiPriority w:val="47"/>
    <w:semiHidden/>
    <w:rsid w:val="0058629F"/>
    <w:tblPr>
      <w:tblStyleRowBandSize w:val="1"/>
      <w:tblStyleColBandSize w:val="1"/>
      <w:tblBorders>
        <w:top w:val="single" w:sz="2" w:space="0" w:color="5B3DC5" w:themeColor="accent4" w:themeTint="99"/>
        <w:bottom w:val="single" w:sz="2" w:space="0" w:color="5B3DC5" w:themeColor="accent4" w:themeTint="99"/>
        <w:insideH w:val="single" w:sz="2" w:space="0" w:color="5B3DC5" w:themeColor="accent4" w:themeTint="99"/>
        <w:insideV w:val="single" w:sz="2" w:space="0" w:color="5B3DC5" w:themeColor="accent4" w:themeTint="99"/>
      </w:tblBorders>
    </w:tblPr>
    <w:tblStylePr w:type="firstRow">
      <w:rPr>
        <w:b/>
        <w:bCs/>
      </w:rPr>
      <w:tblPr/>
      <w:tcPr>
        <w:tcBorders>
          <w:top w:val="nil"/>
          <w:bottom w:val="single" w:sz="12" w:space="0" w:color="5B3DC5" w:themeColor="accent4" w:themeTint="99"/>
          <w:insideH w:val="nil"/>
          <w:insideV w:val="nil"/>
        </w:tcBorders>
        <w:shd w:val="clear" w:color="auto" w:fill="FFFFFF" w:themeFill="background1"/>
      </w:tcPr>
    </w:tblStylePr>
    <w:tblStylePr w:type="lastRow">
      <w:rPr>
        <w:b/>
        <w:bCs/>
      </w:rPr>
      <w:tblPr/>
      <w:tcPr>
        <w:tcBorders>
          <w:top w:val="double" w:sz="2" w:space="0" w:color="5B3DC5"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2-Accent5">
    <w:name w:val="Grid Table 2 Accent 5"/>
    <w:basedOn w:val="TableNormal"/>
    <w:uiPriority w:val="47"/>
    <w:semiHidden/>
    <w:rsid w:val="0058629F"/>
    <w:tblPr>
      <w:tblStyleRowBandSize w:val="1"/>
      <w:tblStyleColBandSize w:val="1"/>
      <w:tblBorders>
        <w:top w:val="single" w:sz="2" w:space="0" w:color="A3CFBE" w:themeColor="accent5" w:themeTint="99"/>
        <w:bottom w:val="single" w:sz="2" w:space="0" w:color="A3CFBE" w:themeColor="accent5" w:themeTint="99"/>
        <w:insideH w:val="single" w:sz="2" w:space="0" w:color="A3CFBE" w:themeColor="accent5" w:themeTint="99"/>
        <w:insideV w:val="single" w:sz="2" w:space="0" w:color="A3CFBE" w:themeColor="accent5" w:themeTint="99"/>
      </w:tblBorders>
    </w:tblPr>
    <w:tblStylePr w:type="firstRow">
      <w:rPr>
        <w:b/>
        <w:bCs/>
      </w:rPr>
      <w:tblPr/>
      <w:tcPr>
        <w:tcBorders>
          <w:top w:val="nil"/>
          <w:bottom w:val="single" w:sz="12" w:space="0" w:color="A3CFBE" w:themeColor="accent5" w:themeTint="99"/>
          <w:insideH w:val="nil"/>
          <w:insideV w:val="nil"/>
        </w:tcBorders>
        <w:shd w:val="clear" w:color="auto" w:fill="FFFFFF" w:themeFill="background1"/>
      </w:tcPr>
    </w:tblStylePr>
    <w:tblStylePr w:type="lastRow">
      <w:rPr>
        <w:b/>
        <w:bCs/>
      </w:rPr>
      <w:tblPr/>
      <w:tcPr>
        <w:tcBorders>
          <w:top w:val="double" w:sz="2" w:space="0" w:color="A3CFB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FE9" w:themeFill="accent5" w:themeFillTint="33"/>
      </w:tcPr>
    </w:tblStylePr>
    <w:tblStylePr w:type="band1Horz">
      <w:tblPr/>
      <w:tcPr>
        <w:shd w:val="clear" w:color="auto" w:fill="E0EFE9" w:themeFill="accent5" w:themeFillTint="33"/>
      </w:tcPr>
    </w:tblStylePr>
  </w:style>
  <w:style w:type="table" w:styleId="GridTable2-Accent6">
    <w:name w:val="Grid Table 2 Accent 6"/>
    <w:basedOn w:val="TableNormal"/>
    <w:uiPriority w:val="47"/>
    <w:semiHidden/>
    <w:rsid w:val="0058629F"/>
    <w:tblPr>
      <w:tblStyleRowBandSize w:val="1"/>
      <w:tblStyleColBandSize w:val="1"/>
      <w:tblBorders>
        <w:top w:val="single" w:sz="2" w:space="0" w:color="FFDCAC" w:themeColor="accent6" w:themeTint="99"/>
        <w:bottom w:val="single" w:sz="2" w:space="0" w:color="FFDCAC" w:themeColor="accent6" w:themeTint="99"/>
        <w:insideH w:val="single" w:sz="2" w:space="0" w:color="FFDCAC" w:themeColor="accent6" w:themeTint="99"/>
        <w:insideV w:val="single" w:sz="2" w:space="0" w:color="FFDCAC" w:themeColor="accent6" w:themeTint="99"/>
      </w:tblBorders>
    </w:tblPr>
    <w:tblStylePr w:type="firstRow">
      <w:rPr>
        <w:b/>
        <w:bCs/>
      </w:rPr>
      <w:tblPr/>
      <w:tcPr>
        <w:tcBorders>
          <w:top w:val="nil"/>
          <w:bottom w:val="single" w:sz="12" w:space="0" w:color="FFDCAC" w:themeColor="accent6" w:themeTint="99"/>
          <w:insideH w:val="nil"/>
          <w:insideV w:val="nil"/>
        </w:tcBorders>
        <w:shd w:val="clear" w:color="auto" w:fill="FFFFFF" w:themeFill="background1"/>
      </w:tcPr>
    </w:tblStylePr>
    <w:tblStylePr w:type="lastRow">
      <w:rPr>
        <w:b/>
        <w:bCs/>
      </w:rPr>
      <w:tblPr/>
      <w:tcPr>
        <w:tcBorders>
          <w:top w:val="double" w:sz="2" w:space="0" w:color="FFDCA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E3" w:themeFill="accent6" w:themeFillTint="33"/>
      </w:tcPr>
    </w:tblStylePr>
    <w:tblStylePr w:type="band1Horz">
      <w:tblPr/>
      <w:tcPr>
        <w:shd w:val="clear" w:color="auto" w:fill="FFF3E3" w:themeFill="accent6" w:themeFillTint="33"/>
      </w:tcPr>
    </w:tblStylePr>
  </w:style>
  <w:style w:type="table" w:styleId="GridTable3">
    <w:name w:val="Grid Table 3"/>
    <w:basedOn w:val="TableNormal"/>
    <w:uiPriority w:val="48"/>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3-Accent1">
    <w:name w:val="Grid Table 3 Accent 1"/>
    <w:basedOn w:val="TableNormal"/>
    <w:uiPriority w:val="48"/>
    <w:semiHidden/>
    <w:rsid w:val="0058629F"/>
    <w:tblPr>
      <w:tblStyleRowBandSize w:val="1"/>
      <w:tblStyleColBandSize w:val="1"/>
      <w:tblBorders>
        <w:top w:val="single" w:sz="4" w:space="0" w:color="16FFA3" w:themeColor="accent1" w:themeTint="99"/>
        <w:left w:val="single" w:sz="4" w:space="0" w:color="16FFA3" w:themeColor="accent1" w:themeTint="99"/>
        <w:bottom w:val="single" w:sz="4" w:space="0" w:color="16FFA3" w:themeColor="accent1" w:themeTint="99"/>
        <w:right w:val="single" w:sz="4" w:space="0" w:color="16FFA3" w:themeColor="accent1" w:themeTint="99"/>
        <w:insideH w:val="single" w:sz="4" w:space="0" w:color="16FFA3" w:themeColor="accent1" w:themeTint="99"/>
        <w:insideV w:val="single" w:sz="4" w:space="0" w:color="16FFA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FE0" w:themeFill="accent1" w:themeFillTint="33"/>
      </w:tcPr>
    </w:tblStylePr>
    <w:tblStylePr w:type="band1Horz">
      <w:tblPr/>
      <w:tcPr>
        <w:shd w:val="clear" w:color="auto" w:fill="B1FFE0" w:themeFill="accent1" w:themeFillTint="33"/>
      </w:tcPr>
    </w:tblStylePr>
    <w:tblStylePr w:type="neCell">
      <w:tblPr/>
      <w:tcPr>
        <w:tcBorders>
          <w:bottom w:val="single" w:sz="4" w:space="0" w:color="16FFA3" w:themeColor="accent1" w:themeTint="99"/>
        </w:tcBorders>
      </w:tcPr>
    </w:tblStylePr>
    <w:tblStylePr w:type="nwCell">
      <w:tblPr/>
      <w:tcPr>
        <w:tcBorders>
          <w:bottom w:val="single" w:sz="4" w:space="0" w:color="16FFA3" w:themeColor="accent1" w:themeTint="99"/>
        </w:tcBorders>
      </w:tcPr>
    </w:tblStylePr>
    <w:tblStylePr w:type="seCell">
      <w:tblPr/>
      <w:tcPr>
        <w:tcBorders>
          <w:top w:val="single" w:sz="4" w:space="0" w:color="16FFA3" w:themeColor="accent1" w:themeTint="99"/>
        </w:tcBorders>
      </w:tcPr>
    </w:tblStylePr>
    <w:tblStylePr w:type="swCell">
      <w:tblPr/>
      <w:tcPr>
        <w:tcBorders>
          <w:top w:val="single" w:sz="4" w:space="0" w:color="16FFA3" w:themeColor="accent1" w:themeTint="99"/>
        </w:tcBorders>
      </w:tcPr>
    </w:tblStylePr>
  </w:style>
  <w:style w:type="table" w:styleId="GridTable3-Accent2">
    <w:name w:val="Grid Table 3 Accent 2"/>
    <w:basedOn w:val="TableNormal"/>
    <w:uiPriority w:val="48"/>
    <w:semiHidden/>
    <w:rsid w:val="0058629F"/>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3-Accent3">
    <w:name w:val="Grid Table 3 Accent 3"/>
    <w:basedOn w:val="TableNormal"/>
    <w:uiPriority w:val="48"/>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3-Accent4">
    <w:name w:val="Grid Table 3 Accent 4"/>
    <w:basedOn w:val="TableNormal"/>
    <w:uiPriority w:val="48"/>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3-Accent5">
    <w:name w:val="Grid Table 3 Accent 5"/>
    <w:basedOn w:val="TableNormal"/>
    <w:uiPriority w:val="48"/>
    <w:semiHidden/>
    <w:rsid w:val="0058629F"/>
    <w:tblPr>
      <w:tblStyleRowBandSize w:val="1"/>
      <w:tblStyleColBandSize w:val="1"/>
      <w:tblBorders>
        <w:top w:val="single" w:sz="4" w:space="0" w:color="A3CFBE" w:themeColor="accent5" w:themeTint="99"/>
        <w:left w:val="single" w:sz="4" w:space="0" w:color="A3CFBE" w:themeColor="accent5" w:themeTint="99"/>
        <w:bottom w:val="single" w:sz="4" w:space="0" w:color="A3CFBE" w:themeColor="accent5" w:themeTint="99"/>
        <w:right w:val="single" w:sz="4" w:space="0" w:color="A3CFBE" w:themeColor="accent5" w:themeTint="99"/>
        <w:insideH w:val="single" w:sz="4" w:space="0" w:color="A3CFBE" w:themeColor="accent5" w:themeTint="99"/>
        <w:insideV w:val="single" w:sz="4" w:space="0" w:color="A3CFB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E9" w:themeFill="accent5" w:themeFillTint="33"/>
      </w:tcPr>
    </w:tblStylePr>
    <w:tblStylePr w:type="band1Horz">
      <w:tblPr/>
      <w:tcPr>
        <w:shd w:val="clear" w:color="auto" w:fill="E0EFE9" w:themeFill="accent5" w:themeFillTint="33"/>
      </w:tcPr>
    </w:tblStylePr>
    <w:tblStylePr w:type="neCell">
      <w:tblPr/>
      <w:tcPr>
        <w:tcBorders>
          <w:bottom w:val="single" w:sz="4" w:space="0" w:color="A3CFBE" w:themeColor="accent5" w:themeTint="99"/>
        </w:tcBorders>
      </w:tcPr>
    </w:tblStylePr>
    <w:tblStylePr w:type="nwCell">
      <w:tblPr/>
      <w:tcPr>
        <w:tcBorders>
          <w:bottom w:val="single" w:sz="4" w:space="0" w:color="A3CFBE" w:themeColor="accent5" w:themeTint="99"/>
        </w:tcBorders>
      </w:tcPr>
    </w:tblStylePr>
    <w:tblStylePr w:type="seCell">
      <w:tblPr/>
      <w:tcPr>
        <w:tcBorders>
          <w:top w:val="single" w:sz="4" w:space="0" w:color="A3CFBE" w:themeColor="accent5" w:themeTint="99"/>
        </w:tcBorders>
      </w:tcPr>
    </w:tblStylePr>
    <w:tblStylePr w:type="swCell">
      <w:tblPr/>
      <w:tcPr>
        <w:tcBorders>
          <w:top w:val="single" w:sz="4" w:space="0" w:color="A3CFBE" w:themeColor="accent5" w:themeTint="99"/>
        </w:tcBorders>
      </w:tcPr>
    </w:tblStylePr>
  </w:style>
  <w:style w:type="table" w:styleId="GridTable3-Accent6">
    <w:name w:val="Grid Table 3 Accent 6"/>
    <w:basedOn w:val="TableNormal"/>
    <w:uiPriority w:val="48"/>
    <w:semiHidden/>
    <w:rsid w:val="0058629F"/>
    <w:tblPr>
      <w:tblStyleRowBandSize w:val="1"/>
      <w:tblStyleColBandSize w:val="1"/>
      <w:tblBorders>
        <w:top w:val="single" w:sz="4" w:space="0" w:color="FFDCAC" w:themeColor="accent6" w:themeTint="99"/>
        <w:left w:val="single" w:sz="4" w:space="0" w:color="FFDCAC" w:themeColor="accent6" w:themeTint="99"/>
        <w:bottom w:val="single" w:sz="4" w:space="0" w:color="FFDCAC" w:themeColor="accent6" w:themeTint="99"/>
        <w:right w:val="single" w:sz="4" w:space="0" w:color="FFDCAC" w:themeColor="accent6" w:themeTint="99"/>
        <w:insideH w:val="single" w:sz="4" w:space="0" w:color="FFDCAC" w:themeColor="accent6" w:themeTint="99"/>
        <w:insideV w:val="single" w:sz="4" w:space="0" w:color="FFDCA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3" w:themeFill="accent6" w:themeFillTint="33"/>
      </w:tcPr>
    </w:tblStylePr>
    <w:tblStylePr w:type="band1Horz">
      <w:tblPr/>
      <w:tcPr>
        <w:shd w:val="clear" w:color="auto" w:fill="FFF3E3" w:themeFill="accent6" w:themeFillTint="33"/>
      </w:tcPr>
    </w:tblStylePr>
    <w:tblStylePr w:type="neCell">
      <w:tblPr/>
      <w:tcPr>
        <w:tcBorders>
          <w:bottom w:val="single" w:sz="4" w:space="0" w:color="FFDCAC" w:themeColor="accent6" w:themeTint="99"/>
        </w:tcBorders>
      </w:tcPr>
    </w:tblStylePr>
    <w:tblStylePr w:type="nwCell">
      <w:tblPr/>
      <w:tcPr>
        <w:tcBorders>
          <w:bottom w:val="single" w:sz="4" w:space="0" w:color="FFDCAC" w:themeColor="accent6" w:themeTint="99"/>
        </w:tcBorders>
      </w:tcPr>
    </w:tblStylePr>
    <w:tblStylePr w:type="seCell">
      <w:tblPr/>
      <w:tcPr>
        <w:tcBorders>
          <w:top w:val="single" w:sz="4" w:space="0" w:color="FFDCAC" w:themeColor="accent6" w:themeTint="99"/>
        </w:tcBorders>
      </w:tcPr>
    </w:tblStylePr>
    <w:tblStylePr w:type="swCell">
      <w:tblPr/>
      <w:tcPr>
        <w:tcBorders>
          <w:top w:val="single" w:sz="4" w:space="0" w:color="FFDCAC" w:themeColor="accent6" w:themeTint="99"/>
        </w:tcBorders>
      </w:tcPr>
    </w:tblStylePr>
  </w:style>
  <w:style w:type="table" w:styleId="GridTable4">
    <w:name w:val="Grid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insideV w:val="nil"/>
        </w:tcBorders>
        <w:shd w:val="clear" w:color="auto" w:fill="232222" w:themeFill="text1"/>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4-Accent1">
    <w:name w:val="Grid Table 4 Accent 1"/>
    <w:basedOn w:val="TableNormal"/>
    <w:uiPriority w:val="49"/>
    <w:semiHidden/>
    <w:rsid w:val="0058629F"/>
    <w:tblPr>
      <w:tblStyleRowBandSize w:val="1"/>
      <w:tblStyleColBandSize w:val="1"/>
      <w:tblBorders>
        <w:top w:val="single" w:sz="4" w:space="0" w:color="16FFA3" w:themeColor="accent1" w:themeTint="99"/>
        <w:left w:val="single" w:sz="4" w:space="0" w:color="16FFA3" w:themeColor="accent1" w:themeTint="99"/>
        <w:bottom w:val="single" w:sz="4" w:space="0" w:color="16FFA3" w:themeColor="accent1" w:themeTint="99"/>
        <w:right w:val="single" w:sz="4" w:space="0" w:color="16FFA3" w:themeColor="accent1" w:themeTint="99"/>
        <w:insideH w:val="single" w:sz="4" w:space="0" w:color="16FFA3" w:themeColor="accent1" w:themeTint="99"/>
        <w:insideV w:val="single" w:sz="4" w:space="0" w:color="16FFA3" w:themeColor="accent1" w:themeTint="99"/>
      </w:tblBorders>
    </w:tblPr>
    <w:tblStylePr w:type="firstRow">
      <w:rPr>
        <w:b/>
        <w:bCs/>
        <w:color w:val="FFFFFF" w:themeColor="background1"/>
      </w:rPr>
      <w:tblPr/>
      <w:tcPr>
        <w:tcBorders>
          <w:top w:val="single" w:sz="4" w:space="0" w:color="007B4B" w:themeColor="accent1"/>
          <w:left w:val="single" w:sz="4" w:space="0" w:color="007B4B" w:themeColor="accent1"/>
          <w:bottom w:val="single" w:sz="4" w:space="0" w:color="007B4B" w:themeColor="accent1"/>
          <w:right w:val="single" w:sz="4" w:space="0" w:color="007B4B" w:themeColor="accent1"/>
          <w:insideH w:val="nil"/>
          <w:insideV w:val="nil"/>
        </w:tcBorders>
        <w:shd w:val="clear" w:color="auto" w:fill="007B4B" w:themeFill="accent1"/>
      </w:tcPr>
    </w:tblStylePr>
    <w:tblStylePr w:type="lastRow">
      <w:rPr>
        <w:b/>
        <w:bCs/>
      </w:rPr>
      <w:tblPr/>
      <w:tcPr>
        <w:tcBorders>
          <w:top w:val="double" w:sz="4" w:space="0" w:color="007B4B" w:themeColor="accent1"/>
        </w:tcBorders>
      </w:tcPr>
    </w:tblStylePr>
    <w:tblStylePr w:type="firstCol">
      <w:rPr>
        <w:b/>
        <w:bCs/>
      </w:rPr>
    </w:tblStylePr>
    <w:tblStylePr w:type="lastCol">
      <w:rPr>
        <w:b/>
        <w:bCs/>
      </w:rPr>
    </w:tblStylePr>
    <w:tblStylePr w:type="band1Vert">
      <w:tblPr/>
      <w:tcPr>
        <w:shd w:val="clear" w:color="auto" w:fill="B1FFE0" w:themeFill="accent1" w:themeFillTint="33"/>
      </w:tcPr>
    </w:tblStylePr>
    <w:tblStylePr w:type="band1Horz">
      <w:tblPr/>
      <w:tcPr>
        <w:shd w:val="clear" w:color="auto" w:fill="B1FFE0" w:themeFill="accent1" w:themeFillTint="33"/>
      </w:tcPr>
    </w:tblStylePr>
  </w:style>
  <w:style w:type="table" w:styleId="GridTable4-Accent2">
    <w:name w:val="Grid Table 4 Accent 2"/>
    <w:basedOn w:val="TableNormal"/>
    <w:uiPriority w:val="49"/>
    <w:semiHidden/>
    <w:rsid w:val="0058629F"/>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insideV w:val="nil"/>
        </w:tcBorders>
        <w:shd w:val="clear" w:color="auto" w:fill="FF9E1B" w:themeFill="accent2"/>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4-Accent3">
    <w:name w:val="Grid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insideV w:val="nil"/>
        </w:tcBorders>
        <w:shd w:val="clear" w:color="auto" w:fill="00B2A9" w:themeFill="accent3"/>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4-Accent4">
    <w:name w:val="Grid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insideV w:val="nil"/>
        </w:tcBorders>
        <w:shd w:val="clear" w:color="auto" w:fill="201547" w:themeFill="accent4"/>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4-Accent5">
    <w:name w:val="Grid Table 4 Accent 5"/>
    <w:basedOn w:val="TableNormal"/>
    <w:uiPriority w:val="49"/>
    <w:semiHidden/>
    <w:rsid w:val="0058629F"/>
    <w:tblPr>
      <w:tblStyleRowBandSize w:val="1"/>
      <w:tblStyleColBandSize w:val="1"/>
      <w:tblBorders>
        <w:top w:val="single" w:sz="4" w:space="0" w:color="A3CFBE" w:themeColor="accent5" w:themeTint="99"/>
        <w:left w:val="single" w:sz="4" w:space="0" w:color="A3CFBE" w:themeColor="accent5" w:themeTint="99"/>
        <w:bottom w:val="single" w:sz="4" w:space="0" w:color="A3CFBE" w:themeColor="accent5" w:themeTint="99"/>
        <w:right w:val="single" w:sz="4" w:space="0" w:color="A3CFBE" w:themeColor="accent5" w:themeTint="99"/>
        <w:insideH w:val="single" w:sz="4" w:space="0" w:color="A3CFBE" w:themeColor="accent5" w:themeTint="99"/>
        <w:insideV w:val="single" w:sz="4" w:space="0" w:color="A3CFBE" w:themeColor="accent5" w:themeTint="99"/>
      </w:tblBorders>
    </w:tblPr>
    <w:tblStylePr w:type="firstRow">
      <w:rPr>
        <w:b/>
        <w:bCs/>
        <w:color w:val="FFFFFF" w:themeColor="background1"/>
      </w:rPr>
      <w:tblPr/>
      <w:tcPr>
        <w:tcBorders>
          <w:top w:val="single" w:sz="4" w:space="0" w:color="66B093" w:themeColor="accent5"/>
          <w:left w:val="single" w:sz="4" w:space="0" w:color="66B093" w:themeColor="accent5"/>
          <w:bottom w:val="single" w:sz="4" w:space="0" w:color="66B093" w:themeColor="accent5"/>
          <w:right w:val="single" w:sz="4" w:space="0" w:color="66B093" w:themeColor="accent5"/>
          <w:insideH w:val="nil"/>
          <w:insideV w:val="nil"/>
        </w:tcBorders>
        <w:shd w:val="clear" w:color="auto" w:fill="66B093" w:themeFill="accent5"/>
      </w:tcPr>
    </w:tblStylePr>
    <w:tblStylePr w:type="lastRow">
      <w:rPr>
        <w:b/>
        <w:bCs/>
      </w:rPr>
      <w:tblPr/>
      <w:tcPr>
        <w:tcBorders>
          <w:top w:val="double" w:sz="4" w:space="0" w:color="66B093" w:themeColor="accent5"/>
        </w:tcBorders>
      </w:tcPr>
    </w:tblStylePr>
    <w:tblStylePr w:type="firstCol">
      <w:rPr>
        <w:b/>
        <w:bCs/>
      </w:rPr>
    </w:tblStylePr>
    <w:tblStylePr w:type="lastCol">
      <w:rPr>
        <w:b/>
        <w:bCs/>
      </w:rPr>
    </w:tblStylePr>
    <w:tblStylePr w:type="band1Vert">
      <w:tblPr/>
      <w:tcPr>
        <w:shd w:val="clear" w:color="auto" w:fill="E0EFE9" w:themeFill="accent5" w:themeFillTint="33"/>
      </w:tcPr>
    </w:tblStylePr>
    <w:tblStylePr w:type="band1Horz">
      <w:tblPr/>
      <w:tcPr>
        <w:shd w:val="clear" w:color="auto" w:fill="E0EFE9" w:themeFill="accent5" w:themeFillTint="33"/>
      </w:tcPr>
    </w:tblStylePr>
  </w:style>
  <w:style w:type="table" w:styleId="GridTable4-Accent6">
    <w:name w:val="Grid Table 4 Accent 6"/>
    <w:basedOn w:val="TableNormal"/>
    <w:uiPriority w:val="49"/>
    <w:semiHidden/>
    <w:rsid w:val="0058629F"/>
    <w:tblPr>
      <w:tblStyleRowBandSize w:val="1"/>
      <w:tblStyleColBandSize w:val="1"/>
      <w:tblBorders>
        <w:top w:val="single" w:sz="4" w:space="0" w:color="FFDCAC" w:themeColor="accent6" w:themeTint="99"/>
        <w:left w:val="single" w:sz="4" w:space="0" w:color="FFDCAC" w:themeColor="accent6" w:themeTint="99"/>
        <w:bottom w:val="single" w:sz="4" w:space="0" w:color="FFDCAC" w:themeColor="accent6" w:themeTint="99"/>
        <w:right w:val="single" w:sz="4" w:space="0" w:color="FFDCAC" w:themeColor="accent6" w:themeTint="99"/>
        <w:insideH w:val="single" w:sz="4" w:space="0" w:color="FFDCAC" w:themeColor="accent6" w:themeTint="99"/>
        <w:insideV w:val="single" w:sz="4" w:space="0" w:color="FFDCAC" w:themeColor="accent6" w:themeTint="99"/>
      </w:tblBorders>
    </w:tblPr>
    <w:tblStylePr w:type="firstRow">
      <w:rPr>
        <w:b/>
        <w:bCs/>
        <w:color w:val="FFFFFF" w:themeColor="background1"/>
      </w:rPr>
      <w:tblPr/>
      <w:tcPr>
        <w:tcBorders>
          <w:top w:val="single" w:sz="4" w:space="0" w:color="FFC576" w:themeColor="accent6"/>
          <w:left w:val="single" w:sz="4" w:space="0" w:color="FFC576" w:themeColor="accent6"/>
          <w:bottom w:val="single" w:sz="4" w:space="0" w:color="FFC576" w:themeColor="accent6"/>
          <w:right w:val="single" w:sz="4" w:space="0" w:color="FFC576" w:themeColor="accent6"/>
          <w:insideH w:val="nil"/>
          <w:insideV w:val="nil"/>
        </w:tcBorders>
        <w:shd w:val="clear" w:color="auto" w:fill="FFC576" w:themeFill="accent6"/>
      </w:tcPr>
    </w:tblStylePr>
    <w:tblStylePr w:type="lastRow">
      <w:rPr>
        <w:b/>
        <w:bCs/>
      </w:rPr>
      <w:tblPr/>
      <w:tcPr>
        <w:tcBorders>
          <w:top w:val="double" w:sz="4" w:space="0" w:color="FFC576" w:themeColor="accent6"/>
        </w:tcBorders>
      </w:tcPr>
    </w:tblStylePr>
    <w:tblStylePr w:type="firstCol">
      <w:rPr>
        <w:b/>
        <w:bCs/>
      </w:rPr>
    </w:tblStylePr>
    <w:tblStylePr w:type="lastCol">
      <w:rPr>
        <w:b/>
        <w:bCs/>
      </w:rPr>
    </w:tblStylePr>
    <w:tblStylePr w:type="band1Vert">
      <w:tblPr/>
      <w:tcPr>
        <w:shd w:val="clear" w:color="auto" w:fill="FFF3E3" w:themeFill="accent6" w:themeFillTint="33"/>
      </w:tcPr>
    </w:tblStylePr>
    <w:tblStylePr w:type="band1Horz">
      <w:tblPr/>
      <w:tcPr>
        <w:shd w:val="clear" w:color="auto" w:fill="FFF3E3" w:themeFill="accent6" w:themeFillTint="33"/>
      </w:tcPr>
    </w:tblStylePr>
  </w:style>
  <w:style w:type="table" w:styleId="GridTable5Dark">
    <w:name w:val="Grid Table 5 Dark"/>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D2D2"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2222"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2222"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2222"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2222" w:themeFill="text1"/>
      </w:tcPr>
    </w:tblStylePr>
    <w:tblStylePr w:type="band1Vert">
      <w:tblPr/>
      <w:tcPr>
        <w:shd w:val="clear" w:color="auto" w:fill="A8A5A5" w:themeFill="text1" w:themeFillTint="66"/>
      </w:tcPr>
    </w:tblStylePr>
    <w:tblStylePr w:type="band1Horz">
      <w:tblPr/>
      <w:tcPr>
        <w:shd w:val="clear" w:color="auto" w:fill="A8A5A5" w:themeFill="text1" w:themeFillTint="66"/>
      </w:tcPr>
    </w:tblStylePr>
  </w:style>
  <w:style w:type="table" w:styleId="GridTable5Dark-Accent1">
    <w:name w:val="Grid Table 5 Dark Accent 1"/>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FFE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B4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B4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B4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B4B" w:themeFill="accent1"/>
      </w:tcPr>
    </w:tblStylePr>
    <w:tblStylePr w:type="band1Vert">
      <w:tblPr/>
      <w:tcPr>
        <w:shd w:val="clear" w:color="auto" w:fill="64FFC2" w:themeFill="accent1" w:themeFillTint="66"/>
      </w:tcPr>
    </w:tblStylePr>
    <w:tblStylePr w:type="band1Horz">
      <w:tblPr/>
      <w:tcPr>
        <w:shd w:val="clear" w:color="auto" w:fill="64FFC2" w:themeFill="accent1" w:themeFillTint="66"/>
      </w:tcPr>
    </w:tblStylePr>
  </w:style>
  <w:style w:type="table" w:styleId="GridTable5Dark-Accent2">
    <w:name w:val="Grid Table 5 Dark Accent 2"/>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B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9E1B"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9E1B"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9E1B"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9E1B" w:themeFill="accent2"/>
      </w:tcPr>
    </w:tblStylePr>
    <w:tblStylePr w:type="band1Vert">
      <w:tblPr/>
      <w:tcPr>
        <w:shd w:val="clear" w:color="auto" w:fill="FFD7A3" w:themeFill="accent2" w:themeFillTint="66"/>
      </w:tcPr>
    </w:tblStylePr>
    <w:tblStylePr w:type="band1Horz">
      <w:tblPr/>
      <w:tcPr>
        <w:shd w:val="clear" w:color="auto" w:fill="FFD7A3" w:themeFill="accent2" w:themeFillTint="66"/>
      </w:tcPr>
    </w:tblStylePr>
  </w:style>
  <w:style w:type="table" w:styleId="GridTable5Dark-Accent3">
    <w:name w:val="Grid Table 5 Dark Accent 3"/>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F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B2A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B2A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B2A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B2A9" w:themeFill="accent3"/>
      </w:tcPr>
    </w:tblStylePr>
    <w:tblStylePr w:type="band1Vert">
      <w:tblPr/>
      <w:tcPr>
        <w:shd w:val="clear" w:color="auto" w:fill="7AFFF8" w:themeFill="accent3" w:themeFillTint="66"/>
      </w:tcPr>
    </w:tblStylePr>
    <w:tblStylePr w:type="band1Horz">
      <w:tblPr/>
      <w:tcPr>
        <w:shd w:val="clear" w:color="auto" w:fill="7AFFF8" w:themeFill="accent3" w:themeFillTint="66"/>
      </w:tcPr>
    </w:tblStylePr>
  </w:style>
  <w:style w:type="table" w:styleId="GridTable5Dark-Accent4">
    <w:name w:val="Grid Table 5 Dark Accent 4"/>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accent4"/>
      </w:tcPr>
    </w:tblStylePr>
    <w:tblStylePr w:type="band1Vert">
      <w:tblPr/>
      <w:tcPr>
        <w:shd w:val="clear" w:color="auto" w:fill="917DD8" w:themeFill="accent4" w:themeFillTint="66"/>
      </w:tcPr>
    </w:tblStylePr>
    <w:tblStylePr w:type="band1Horz">
      <w:tblPr/>
      <w:tcPr>
        <w:shd w:val="clear" w:color="auto" w:fill="917DD8" w:themeFill="accent4" w:themeFillTint="66"/>
      </w:tcPr>
    </w:tblStylePr>
  </w:style>
  <w:style w:type="table" w:styleId="GridTable5Dark-Accent5">
    <w:name w:val="Grid Table 5 Dark Accent 5"/>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FE9"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B0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B0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B0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B093" w:themeFill="accent5"/>
      </w:tcPr>
    </w:tblStylePr>
    <w:tblStylePr w:type="band1Vert">
      <w:tblPr/>
      <w:tcPr>
        <w:shd w:val="clear" w:color="auto" w:fill="C1DFD3" w:themeFill="accent5" w:themeFillTint="66"/>
      </w:tcPr>
    </w:tblStylePr>
    <w:tblStylePr w:type="band1Horz">
      <w:tblPr/>
      <w:tcPr>
        <w:shd w:val="clear" w:color="auto" w:fill="C1DFD3" w:themeFill="accent5" w:themeFillTint="66"/>
      </w:tcPr>
    </w:tblStylePr>
  </w:style>
  <w:style w:type="table" w:styleId="GridTable5Dark-Accent6">
    <w:name w:val="Grid Table 5 Dark Accent 6"/>
    <w:basedOn w:val="TableNormal"/>
    <w:uiPriority w:val="50"/>
    <w:semiHidden/>
    <w:rsid w:val="0058629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3E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57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57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57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576" w:themeFill="accent6"/>
      </w:tcPr>
    </w:tblStylePr>
    <w:tblStylePr w:type="band1Vert">
      <w:tblPr/>
      <w:tcPr>
        <w:shd w:val="clear" w:color="auto" w:fill="FFE7C8" w:themeFill="accent6" w:themeFillTint="66"/>
      </w:tcPr>
    </w:tblStylePr>
    <w:tblStylePr w:type="band1Horz">
      <w:tblPr/>
      <w:tcPr>
        <w:shd w:val="clear" w:color="auto" w:fill="FFE7C8" w:themeFill="accent6" w:themeFillTint="66"/>
      </w:tcPr>
    </w:tblStylePr>
  </w:style>
  <w:style w:type="table" w:styleId="GridTable6Colorful">
    <w:name w:val="Grid Table 6 Colorful"/>
    <w:basedOn w:val="TableNormal"/>
    <w:uiPriority w:val="51"/>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bottom w:val="single" w:sz="12" w:space="0" w:color="7C7979" w:themeColor="text1" w:themeTint="99"/>
        </w:tcBorders>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GridTable6Colorful-Accent1">
    <w:name w:val="Grid Table 6 Colorful Accent 1"/>
    <w:basedOn w:val="TableNormal"/>
    <w:uiPriority w:val="51"/>
    <w:semiHidden/>
    <w:rsid w:val="0058629F"/>
    <w:rPr>
      <w:color w:val="005C37" w:themeColor="accent1" w:themeShade="BF"/>
    </w:rPr>
    <w:tblPr>
      <w:tblStyleRowBandSize w:val="1"/>
      <w:tblStyleColBandSize w:val="1"/>
      <w:tblBorders>
        <w:top w:val="single" w:sz="4" w:space="0" w:color="16FFA3" w:themeColor="accent1" w:themeTint="99"/>
        <w:left w:val="single" w:sz="4" w:space="0" w:color="16FFA3" w:themeColor="accent1" w:themeTint="99"/>
        <w:bottom w:val="single" w:sz="4" w:space="0" w:color="16FFA3" w:themeColor="accent1" w:themeTint="99"/>
        <w:right w:val="single" w:sz="4" w:space="0" w:color="16FFA3" w:themeColor="accent1" w:themeTint="99"/>
        <w:insideH w:val="single" w:sz="4" w:space="0" w:color="16FFA3" w:themeColor="accent1" w:themeTint="99"/>
        <w:insideV w:val="single" w:sz="4" w:space="0" w:color="16FFA3" w:themeColor="accent1" w:themeTint="99"/>
      </w:tblBorders>
    </w:tblPr>
    <w:tblStylePr w:type="firstRow">
      <w:rPr>
        <w:b/>
        <w:bCs/>
      </w:rPr>
      <w:tblPr/>
      <w:tcPr>
        <w:tcBorders>
          <w:bottom w:val="single" w:sz="12" w:space="0" w:color="16FFA3" w:themeColor="accent1" w:themeTint="99"/>
        </w:tcBorders>
      </w:tcPr>
    </w:tblStylePr>
    <w:tblStylePr w:type="lastRow">
      <w:rPr>
        <w:b/>
        <w:bCs/>
      </w:rPr>
      <w:tblPr/>
      <w:tcPr>
        <w:tcBorders>
          <w:top w:val="double" w:sz="4" w:space="0" w:color="16FFA3" w:themeColor="accent1" w:themeTint="99"/>
        </w:tcBorders>
      </w:tcPr>
    </w:tblStylePr>
    <w:tblStylePr w:type="firstCol">
      <w:rPr>
        <w:b/>
        <w:bCs/>
      </w:rPr>
    </w:tblStylePr>
    <w:tblStylePr w:type="lastCol">
      <w:rPr>
        <w:b/>
        <w:bCs/>
      </w:rPr>
    </w:tblStylePr>
    <w:tblStylePr w:type="band1Vert">
      <w:tblPr/>
      <w:tcPr>
        <w:shd w:val="clear" w:color="auto" w:fill="B1FFE0" w:themeFill="accent1" w:themeFillTint="33"/>
      </w:tcPr>
    </w:tblStylePr>
    <w:tblStylePr w:type="band1Horz">
      <w:tblPr/>
      <w:tcPr>
        <w:shd w:val="clear" w:color="auto" w:fill="B1FFE0" w:themeFill="accent1" w:themeFillTint="33"/>
      </w:tcPr>
    </w:tblStylePr>
  </w:style>
  <w:style w:type="table" w:styleId="GridTable6Colorful-Accent2">
    <w:name w:val="Grid Table 6 Colorful Accent 2"/>
    <w:basedOn w:val="TableNormal"/>
    <w:uiPriority w:val="51"/>
    <w:semiHidden/>
    <w:rsid w:val="0058629F"/>
    <w:rPr>
      <w:color w:val="D37800" w:themeColor="accent2" w:themeShade="BF"/>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GridTable6Colorful-Accent3">
    <w:name w:val="Grid Table 6 Colorful Accent 3"/>
    <w:basedOn w:val="TableNormal"/>
    <w:uiPriority w:val="51"/>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bottom w:val="single" w:sz="12" w:space="0" w:color="37FFF4" w:themeColor="accent3" w:themeTint="99"/>
        </w:tcBorders>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GridTable6Colorful-Accent4">
    <w:name w:val="Grid Table 6 Colorful Accent 4"/>
    <w:basedOn w:val="TableNormal"/>
    <w:uiPriority w:val="51"/>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bottom w:val="single" w:sz="12" w:space="0" w:color="5B3DC5" w:themeColor="accent4" w:themeTint="99"/>
        </w:tcBorders>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GridTable6Colorful-Accent5">
    <w:name w:val="Grid Table 6 Colorful Accent 5"/>
    <w:basedOn w:val="TableNormal"/>
    <w:uiPriority w:val="51"/>
    <w:semiHidden/>
    <w:rsid w:val="0058629F"/>
    <w:rPr>
      <w:color w:val="46896F" w:themeColor="accent5" w:themeShade="BF"/>
    </w:rPr>
    <w:tblPr>
      <w:tblStyleRowBandSize w:val="1"/>
      <w:tblStyleColBandSize w:val="1"/>
      <w:tblBorders>
        <w:top w:val="single" w:sz="4" w:space="0" w:color="A3CFBE" w:themeColor="accent5" w:themeTint="99"/>
        <w:left w:val="single" w:sz="4" w:space="0" w:color="A3CFBE" w:themeColor="accent5" w:themeTint="99"/>
        <w:bottom w:val="single" w:sz="4" w:space="0" w:color="A3CFBE" w:themeColor="accent5" w:themeTint="99"/>
        <w:right w:val="single" w:sz="4" w:space="0" w:color="A3CFBE" w:themeColor="accent5" w:themeTint="99"/>
        <w:insideH w:val="single" w:sz="4" w:space="0" w:color="A3CFBE" w:themeColor="accent5" w:themeTint="99"/>
        <w:insideV w:val="single" w:sz="4" w:space="0" w:color="A3CFBE" w:themeColor="accent5" w:themeTint="99"/>
      </w:tblBorders>
    </w:tblPr>
    <w:tblStylePr w:type="firstRow">
      <w:rPr>
        <w:b/>
        <w:bCs/>
      </w:rPr>
      <w:tblPr/>
      <w:tcPr>
        <w:tcBorders>
          <w:bottom w:val="single" w:sz="12" w:space="0" w:color="A3CFBE" w:themeColor="accent5" w:themeTint="99"/>
        </w:tcBorders>
      </w:tcPr>
    </w:tblStylePr>
    <w:tblStylePr w:type="lastRow">
      <w:rPr>
        <w:b/>
        <w:bCs/>
      </w:rPr>
      <w:tblPr/>
      <w:tcPr>
        <w:tcBorders>
          <w:top w:val="double" w:sz="4" w:space="0" w:color="A3CFBE" w:themeColor="accent5" w:themeTint="99"/>
        </w:tcBorders>
      </w:tcPr>
    </w:tblStylePr>
    <w:tblStylePr w:type="firstCol">
      <w:rPr>
        <w:b/>
        <w:bCs/>
      </w:rPr>
    </w:tblStylePr>
    <w:tblStylePr w:type="lastCol">
      <w:rPr>
        <w:b/>
        <w:bCs/>
      </w:rPr>
    </w:tblStylePr>
    <w:tblStylePr w:type="band1Vert">
      <w:tblPr/>
      <w:tcPr>
        <w:shd w:val="clear" w:color="auto" w:fill="E0EFE9" w:themeFill="accent5" w:themeFillTint="33"/>
      </w:tcPr>
    </w:tblStylePr>
    <w:tblStylePr w:type="band1Horz">
      <w:tblPr/>
      <w:tcPr>
        <w:shd w:val="clear" w:color="auto" w:fill="E0EFE9" w:themeFill="accent5" w:themeFillTint="33"/>
      </w:tcPr>
    </w:tblStylePr>
  </w:style>
  <w:style w:type="table" w:styleId="GridTable6Colorful-Accent6">
    <w:name w:val="Grid Table 6 Colorful Accent 6"/>
    <w:basedOn w:val="TableNormal"/>
    <w:uiPriority w:val="51"/>
    <w:semiHidden/>
    <w:rsid w:val="0058629F"/>
    <w:rPr>
      <w:color w:val="FF9D18" w:themeColor="accent6" w:themeShade="BF"/>
    </w:rPr>
    <w:tblPr>
      <w:tblStyleRowBandSize w:val="1"/>
      <w:tblStyleColBandSize w:val="1"/>
      <w:tblBorders>
        <w:top w:val="single" w:sz="4" w:space="0" w:color="FFDCAC" w:themeColor="accent6" w:themeTint="99"/>
        <w:left w:val="single" w:sz="4" w:space="0" w:color="FFDCAC" w:themeColor="accent6" w:themeTint="99"/>
        <w:bottom w:val="single" w:sz="4" w:space="0" w:color="FFDCAC" w:themeColor="accent6" w:themeTint="99"/>
        <w:right w:val="single" w:sz="4" w:space="0" w:color="FFDCAC" w:themeColor="accent6" w:themeTint="99"/>
        <w:insideH w:val="single" w:sz="4" w:space="0" w:color="FFDCAC" w:themeColor="accent6" w:themeTint="99"/>
        <w:insideV w:val="single" w:sz="4" w:space="0" w:color="FFDCAC" w:themeColor="accent6" w:themeTint="99"/>
      </w:tblBorders>
    </w:tblPr>
    <w:tblStylePr w:type="firstRow">
      <w:rPr>
        <w:b/>
        <w:bCs/>
      </w:rPr>
      <w:tblPr/>
      <w:tcPr>
        <w:tcBorders>
          <w:bottom w:val="single" w:sz="12" w:space="0" w:color="FFDCAC" w:themeColor="accent6" w:themeTint="99"/>
        </w:tcBorders>
      </w:tcPr>
    </w:tblStylePr>
    <w:tblStylePr w:type="lastRow">
      <w:rPr>
        <w:b/>
        <w:bCs/>
      </w:rPr>
      <w:tblPr/>
      <w:tcPr>
        <w:tcBorders>
          <w:top w:val="double" w:sz="4" w:space="0" w:color="FFDCAC" w:themeColor="accent6" w:themeTint="99"/>
        </w:tcBorders>
      </w:tcPr>
    </w:tblStylePr>
    <w:tblStylePr w:type="firstCol">
      <w:rPr>
        <w:b/>
        <w:bCs/>
      </w:rPr>
    </w:tblStylePr>
    <w:tblStylePr w:type="lastCol">
      <w:rPr>
        <w:b/>
        <w:bCs/>
      </w:rPr>
    </w:tblStylePr>
    <w:tblStylePr w:type="band1Vert">
      <w:tblPr/>
      <w:tcPr>
        <w:shd w:val="clear" w:color="auto" w:fill="FFF3E3" w:themeFill="accent6" w:themeFillTint="33"/>
      </w:tcPr>
    </w:tblStylePr>
    <w:tblStylePr w:type="band1Horz">
      <w:tblPr/>
      <w:tcPr>
        <w:shd w:val="clear" w:color="auto" w:fill="FFF3E3" w:themeFill="accent6" w:themeFillTint="33"/>
      </w:tcPr>
    </w:tblStylePr>
  </w:style>
  <w:style w:type="table" w:styleId="GridTable7Colorful">
    <w:name w:val="Grid Table 7 Colorful"/>
    <w:basedOn w:val="TableNormal"/>
    <w:uiPriority w:val="52"/>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insideV w:val="single" w:sz="4" w:space="0" w:color="7C7979"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bottom w:val="single" w:sz="4" w:space="0" w:color="7C7979" w:themeColor="text1" w:themeTint="99"/>
        </w:tcBorders>
      </w:tcPr>
    </w:tblStylePr>
    <w:tblStylePr w:type="nwCell">
      <w:tblPr/>
      <w:tcPr>
        <w:tcBorders>
          <w:bottom w:val="single" w:sz="4" w:space="0" w:color="7C7979" w:themeColor="text1" w:themeTint="99"/>
        </w:tcBorders>
      </w:tcPr>
    </w:tblStylePr>
    <w:tblStylePr w:type="seCell">
      <w:tblPr/>
      <w:tcPr>
        <w:tcBorders>
          <w:top w:val="single" w:sz="4" w:space="0" w:color="7C7979" w:themeColor="text1" w:themeTint="99"/>
        </w:tcBorders>
      </w:tcPr>
    </w:tblStylePr>
    <w:tblStylePr w:type="swCell">
      <w:tblPr/>
      <w:tcPr>
        <w:tcBorders>
          <w:top w:val="single" w:sz="4" w:space="0" w:color="7C7979" w:themeColor="text1" w:themeTint="99"/>
        </w:tcBorders>
      </w:tcPr>
    </w:tblStylePr>
  </w:style>
  <w:style w:type="table" w:styleId="GridTable7Colorful-Accent1">
    <w:name w:val="Grid Table 7 Colorful Accent 1"/>
    <w:basedOn w:val="TableNormal"/>
    <w:uiPriority w:val="52"/>
    <w:semiHidden/>
    <w:rsid w:val="0058629F"/>
    <w:rPr>
      <w:color w:val="005C37" w:themeColor="accent1" w:themeShade="BF"/>
    </w:rPr>
    <w:tblPr>
      <w:tblStyleRowBandSize w:val="1"/>
      <w:tblStyleColBandSize w:val="1"/>
      <w:tblBorders>
        <w:top w:val="single" w:sz="4" w:space="0" w:color="16FFA3" w:themeColor="accent1" w:themeTint="99"/>
        <w:left w:val="single" w:sz="4" w:space="0" w:color="16FFA3" w:themeColor="accent1" w:themeTint="99"/>
        <w:bottom w:val="single" w:sz="4" w:space="0" w:color="16FFA3" w:themeColor="accent1" w:themeTint="99"/>
        <w:right w:val="single" w:sz="4" w:space="0" w:color="16FFA3" w:themeColor="accent1" w:themeTint="99"/>
        <w:insideH w:val="single" w:sz="4" w:space="0" w:color="16FFA3" w:themeColor="accent1" w:themeTint="99"/>
        <w:insideV w:val="single" w:sz="4" w:space="0" w:color="16FFA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1FFE0" w:themeFill="accent1" w:themeFillTint="33"/>
      </w:tcPr>
    </w:tblStylePr>
    <w:tblStylePr w:type="band1Horz">
      <w:tblPr/>
      <w:tcPr>
        <w:shd w:val="clear" w:color="auto" w:fill="B1FFE0" w:themeFill="accent1" w:themeFillTint="33"/>
      </w:tcPr>
    </w:tblStylePr>
    <w:tblStylePr w:type="neCell">
      <w:tblPr/>
      <w:tcPr>
        <w:tcBorders>
          <w:bottom w:val="single" w:sz="4" w:space="0" w:color="16FFA3" w:themeColor="accent1" w:themeTint="99"/>
        </w:tcBorders>
      </w:tcPr>
    </w:tblStylePr>
    <w:tblStylePr w:type="nwCell">
      <w:tblPr/>
      <w:tcPr>
        <w:tcBorders>
          <w:bottom w:val="single" w:sz="4" w:space="0" w:color="16FFA3" w:themeColor="accent1" w:themeTint="99"/>
        </w:tcBorders>
      </w:tcPr>
    </w:tblStylePr>
    <w:tblStylePr w:type="seCell">
      <w:tblPr/>
      <w:tcPr>
        <w:tcBorders>
          <w:top w:val="single" w:sz="4" w:space="0" w:color="16FFA3" w:themeColor="accent1" w:themeTint="99"/>
        </w:tcBorders>
      </w:tcPr>
    </w:tblStylePr>
    <w:tblStylePr w:type="swCell">
      <w:tblPr/>
      <w:tcPr>
        <w:tcBorders>
          <w:top w:val="single" w:sz="4" w:space="0" w:color="16FFA3" w:themeColor="accent1" w:themeTint="99"/>
        </w:tcBorders>
      </w:tcPr>
    </w:tblStylePr>
  </w:style>
  <w:style w:type="table" w:styleId="GridTable7Colorful-Accent2">
    <w:name w:val="Grid Table 7 Colorful Accent 2"/>
    <w:basedOn w:val="TableNormal"/>
    <w:uiPriority w:val="52"/>
    <w:semiHidden/>
    <w:rsid w:val="0058629F"/>
    <w:rPr>
      <w:color w:val="D37800" w:themeColor="accent2" w:themeShade="BF"/>
    </w:rPr>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insideV w:val="single" w:sz="4" w:space="0" w:color="FFC476"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bottom w:val="single" w:sz="4" w:space="0" w:color="FFC476" w:themeColor="accent2" w:themeTint="99"/>
        </w:tcBorders>
      </w:tcPr>
    </w:tblStylePr>
    <w:tblStylePr w:type="nwCell">
      <w:tblPr/>
      <w:tcPr>
        <w:tcBorders>
          <w:bottom w:val="single" w:sz="4" w:space="0" w:color="FFC476" w:themeColor="accent2" w:themeTint="99"/>
        </w:tcBorders>
      </w:tcPr>
    </w:tblStylePr>
    <w:tblStylePr w:type="seCell">
      <w:tblPr/>
      <w:tcPr>
        <w:tcBorders>
          <w:top w:val="single" w:sz="4" w:space="0" w:color="FFC476" w:themeColor="accent2" w:themeTint="99"/>
        </w:tcBorders>
      </w:tcPr>
    </w:tblStylePr>
    <w:tblStylePr w:type="swCell">
      <w:tblPr/>
      <w:tcPr>
        <w:tcBorders>
          <w:top w:val="single" w:sz="4" w:space="0" w:color="FFC476" w:themeColor="accent2" w:themeTint="99"/>
        </w:tcBorders>
      </w:tcPr>
    </w:tblStylePr>
  </w:style>
  <w:style w:type="table" w:styleId="GridTable7Colorful-Accent3">
    <w:name w:val="Grid Table 7 Colorful Accent 3"/>
    <w:basedOn w:val="TableNormal"/>
    <w:uiPriority w:val="52"/>
    <w:semiHidden/>
    <w:rsid w:val="0058629F"/>
    <w:rPr>
      <w:color w:val="00857E" w:themeColor="accent3" w:themeShade="BF"/>
    </w:rPr>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insideV w:val="single" w:sz="4" w:space="0" w:color="37FFF4"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bottom w:val="single" w:sz="4" w:space="0" w:color="37FFF4" w:themeColor="accent3" w:themeTint="99"/>
        </w:tcBorders>
      </w:tcPr>
    </w:tblStylePr>
    <w:tblStylePr w:type="nwCell">
      <w:tblPr/>
      <w:tcPr>
        <w:tcBorders>
          <w:bottom w:val="single" w:sz="4" w:space="0" w:color="37FFF4" w:themeColor="accent3" w:themeTint="99"/>
        </w:tcBorders>
      </w:tcPr>
    </w:tblStylePr>
    <w:tblStylePr w:type="seCell">
      <w:tblPr/>
      <w:tcPr>
        <w:tcBorders>
          <w:top w:val="single" w:sz="4" w:space="0" w:color="37FFF4" w:themeColor="accent3" w:themeTint="99"/>
        </w:tcBorders>
      </w:tcPr>
    </w:tblStylePr>
    <w:tblStylePr w:type="swCell">
      <w:tblPr/>
      <w:tcPr>
        <w:tcBorders>
          <w:top w:val="single" w:sz="4" w:space="0" w:color="37FFF4" w:themeColor="accent3" w:themeTint="99"/>
        </w:tcBorders>
      </w:tcPr>
    </w:tblStylePr>
  </w:style>
  <w:style w:type="table" w:styleId="GridTable7Colorful-Accent4">
    <w:name w:val="Grid Table 7 Colorful Accent 4"/>
    <w:basedOn w:val="TableNormal"/>
    <w:uiPriority w:val="52"/>
    <w:semiHidden/>
    <w:rsid w:val="0058629F"/>
    <w:rPr>
      <w:color w:val="170F34" w:themeColor="accent4" w:themeShade="BF"/>
    </w:rPr>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insideV w:val="single" w:sz="4" w:space="0" w:color="5B3DC5"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bottom w:val="single" w:sz="4" w:space="0" w:color="5B3DC5" w:themeColor="accent4" w:themeTint="99"/>
        </w:tcBorders>
      </w:tcPr>
    </w:tblStylePr>
    <w:tblStylePr w:type="nwCell">
      <w:tblPr/>
      <w:tcPr>
        <w:tcBorders>
          <w:bottom w:val="single" w:sz="4" w:space="0" w:color="5B3DC5" w:themeColor="accent4" w:themeTint="99"/>
        </w:tcBorders>
      </w:tcPr>
    </w:tblStylePr>
    <w:tblStylePr w:type="seCell">
      <w:tblPr/>
      <w:tcPr>
        <w:tcBorders>
          <w:top w:val="single" w:sz="4" w:space="0" w:color="5B3DC5" w:themeColor="accent4" w:themeTint="99"/>
        </w:tcBorders>
      </w:tcPr>
    </w:tblStylePr>
    <w:tblStylePr w:type="swCell">
      <w:tblPr/>
      <w:tcPr>
        <w:tcBorders>
          <w:top w:val="single" w:sz="4" w:space="0" w:color="5B3DC5" w:themeColor="accent4" w:themeTint="99"/>
        </w:tcBorders>
      </w:tcPr>
    </w:tblStylePr>
  </w:style>
  <w:style w:type="table" w:styleId="GridTable7Colorful-Accent5">
    <w:name w:val="Grid Table 7 Colorful Accent 5"/>
    <w:basedOn w:val="TableNormal"/>
    <w:uiPriority w:val="52"/>
    <w:semiHidden/>
    <w:rsid w:val="0058629F"/>
    <w:rPr>
      <w:color w:val="46896F" w:themeColor="accent5" w:themeShade="BF"/>
    </w:rPr>
    <w:tblPr>
      <w:tblStyleRowBandSize w:val="1"/>
      <w:tblStyleColBandSize w:val="1"/>
      <w:tblBorders>
        <w:top w:val="single" w:sz="4" w:space="0" w:color="A3CFBE" w:themeColor="accent5" w:themeTint="99"/>
        <w:left w:val="single" w:sz="4" w:space="0" w:color="A3CFBE" w:themeColor="accent5" w:themeTint="99"/>
        <w:bottom w:val="single" w:sz="4" w:space="0" w:color="A3CFBE" w:themeColor="accent5" w:themeTint="99"/>
        <w:right w:val="single" w:sz="4" w:space="0" w:color="A3CFBE" w:themeColor="accent5" w:themeTint="99"/>
        <w:insideH w:val="single" w:sz="4" w:space="0" w:color="A3CFBE" w:themeColor="accent5" w:themeTint="99"/>
        <w:insideV w:val="single" w:sz="4" w:space="0" w:color="A3CFB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FE9" w:themeFill="accent5" w:themeFillTint="33"/>
      </w:tcPr>
    </w:tblStylePr>
    <w:tblStylePr w:type="band1Horz">
      <w:tblPr/>
      <w:tcPr>
        <w:shd w:val="clear" w:color="auto" w:fill="E0EFE9" w:themeFill="accent5" w:themeFillTint="33"/>
      </w:tcPr>
    </w:tblStylePr>
    <w:tblStylePr w:type="neCell">
      <w:tblPr/>
      <w:tcPr>
        <w:tcBorders>
          <w:bottom w:val="single" w:sz="4" w:space="0" w:color="A3CFBE" w:themeColor="accent5" w:themeTint="99"/>
        </w:tcBorders>
      </w:tcPr>
    </w:tblStylePr>
    <w:tblStylePr w:type="nwCell">
      <w:tblPr/>
      <w:tcPr>
        <w:tcBorders>
          <w:bottom w:val="single" w:sz="4" w:space="0" w:color="A3CFBE" w:themeColor="accent5" w:themeTint="99"/>
        </w:tcBorders>
      </w:tcPr>
    </w:tblStylePr>
    <w:tblStylePr w:type="seCell">
      <w:tblPr/>
      <w:tcPr>
        <w:tcBorders>
          <w:top w:val="single" w:sz="4" w:space="0" w:color="A3CFBE" w:themeColor="accent5" w:themeTint="99"/>
        </w:tcBorders>
      </w:tcPr>
    </w:tblStylePr>
    <w:tblStylePr w:type="swCell">
      <w:tblPr/>
      <w:tcPr>
        <w:tcBorders>
          <w:top w:val="single" w:sz="4" w:space="0" w:color="A3CFBE" w:themeColor="accent5" w:themeTint="99"/>
        </w:tcBorders>
      </w:tcPr>
    </w:tblStylePr>
  </w:style>
  <w:style w:type="table" w:styleId="GridTable7Colorful-Accent6">
    <w:name w:val="Grid Table 7 Colorful Accent 6"/>
    <w:basedOn w:val="TableNormal"/>
    <w:uiPriority w:val="52"/>
    <w:semiHidden/>
    <w:rsid w:val="0058629F"/>
    <w:rPr>
      <w:color w:val="FF9D18" w:themeColor="accent6" w:themeShade="BF"/>
    </w:rPr>
    <w:tblPr>
      <w:tblStyleRowBandSize w:val="1"/>
      <w:tblStyleColBandSize w:val="1"/>
      <w:tblBorders>
        <w:top w:val="single" w:sz="4" w:space="0" w:color="FFDCAC" w:themeColor="accent6" w:themeTint="99"/>
        <w:left w:val="single" w:sz="4" w:space="0" w:color="FFDCAC" w:themeColor="accent6" w:themeTint="99"/>
        <w:bottom w:val="single" w:sz="4" w:space="0" w:color="FFDCAC" w:themeColor="accent6" w:themeTint="99"/>
        <w:right w:val="single" w:sz="4" w:space="0" w:color="FFDCAC" w:themeColor="accent6" w:themeTint="99"/>
        <w:insideH w:val="single" w:sz="4" w:space="0" w:color="FFDCAC" w:themeColor="accent6" w:themeTint="99"/>
        <w:insideV w:val="single" w:sz="4" w:space="0" w:color="FFDCA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3" w:themeFill="accent6" w:themeFillTint="33"/>
      </w:tcPr>
    </w:tblStylePr>
    <w:tblStylePr w:type="band1Horz">
      <w:tblPr/>
      <w:tcPr>
        <w:shd w:val="clear" w:color="auto" w:fill="FFF3E3" w:themeFill="accent6" w:themeFillTint="33"/>
      </w:tcPr>
    </w:tblStylePr>
    <w:tblStylePr w:type="neCell">
      <w:tblPr/>
      <w:tcPr>
        <w:tcBorders>
          <w:bottom w:val="single" w:sz="4" w:space="0" w:color="FFDCAC" w:themeColor="accent6" w:themeTint="99"/>
        </w:tcBorders>
      </w:tcPr>
    </w:tblStylePr>
    <w:tblStylePr w:type="nwCell">
      <w:tblPr/>
      <w:tcPr>
        <w:tcBorders>
          <w:bottom w:val="single" w:sz="4" w:space="0" w:color="FFDCAC" w:themeColor="accent6" w:themeTint="99"/>
        </w:tcBorders>
      </w:tcPr>
    </w:tblStylePr>
    <w:tblStylePr w:type="seCell">
      <w:tblPr/>
      <w:tcPr>
        <w:tcBorders>
          <w:top w:val="single" w:sz="4" w:space="0" w:color="FFDCAC" w:themeColor="accent6" w:themeTint="99"/>
        </w:tcBorders>
      </w:tcPr>
    </w:tblStylePr>
    <w:tblStylePr w:type="swCell">
      <w:tblPr/>
      <w:tcPr>
        <w:tcBorders>
          <w:top w:val="single" w:sz="4" w:space="0" w:color="FFDCAC" w:themeColor="accent6" w:themeTint="99"/>
        </w:tcBorders>
      </w:tcPr>
    </w:tblStylePr>
  </w:style>
  <w:style w:type="table" w:styleId="LightGrid">
    <w:name w:val="Light Grid"/>
    <w:basedOn w:val="TableNormal"/>
    <w:uiPriority w:val="62"/>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18" w:space="0" w:color="232222" w:themeColor="text1"/>
          <w:right w:val="single" w:sz="8" w:space="0" w:color="232222" w:themeColor="text1"/>
          <w:insideH w:val="nil"/>
          <w:insideV w:val="single" w:sz="8" w:space="0" w:color="23222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insideH w:val="nil"/>
          <w:insideV w:val="single" w:sz="8" w:space="0" w:color="23222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shd w:val="clear" w:color="auto" w:fill="C9C7C7" w:themeFill="text1" w:themeFillTint="3F"/>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shd w:val="clear" w:color="auto" w:fill="C9C7C7" w:themeFill="text1" w:themeFillTint="3F"/>
      </w:tcPr>
    </w:tblStylePr>
    <w:tblStylePr w:type="band2Horz">
      <w:tblPr/>
      <w:tcPr>
        <w:tcBorders>
          <w:top w:val="single" w:sz="8" w:space="0" w:color="232222" w:themeColor="text1"/>
          <w:left w:val="single" w:sz="8" w:space="0" w:color="232222" w:themeColor="text1"/>
          <w:bottom w:val="single" w:sz="8" w:space="0" w:color="232222" w:themeColor="text1"/>
          <w:right w:val="single" w:sz="8" w:space="0" w:color="232222" w:themeColor="text1"/>
          <w:insideV w:val="single" w:sz="8" w:space="0" w:color="232222" w:themeColor="text1"/>
        </w:tcBorders>
      </w:tcPr>
    </w:tblStylePr>
  </w:style>
  <w:style w:type="table" w:styleId="LightGrid-Accent1">
    <w:name w:val="Light Grid Accent 1"/>
    <w:basedOn w:val="TableNormal"/>
    <w:uiPriority w:val="62"/>
    <w:semiHidden/>
    <w:rsid w:val="0058629F"/>
    <w:tblPr>
      <w:tblStyleRowBandSize w:val="1"/>
      <w:tblStyleColBandSize w:val="1"/>
      <w:tblBorders>
        <w:top w:val="single" w:sz="8" w:space="0" w:color="007B4B" w:themeColor="accent1"/>
        <w:left w:val="single" w:sz="8" w:space="0" w:color="007B4B" w:themeColor="accent1"/>
        <w:bottom w:val="single" w:sz="8" w:space="0" w:color="007B4B" w:themeColor="accent1"/>
        <w:right w:val="single" w:sz="8" w:space="0" w:color="007B4B" w:themeColor="accent1"/>
        <w:insideH w:val="single" w:sz="8" w:space="0" w:color="007B4B" w:themeColor="accent1"/>
        <w:insideV w:val="single" w:sz="8" w:space="0" w:color="007B4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B4B" w:themeColor="accent1"/>
          <w:left w:val="single" w:sz="8" w:space="0" w:color="007B4B" w:themeColor="accent1"/>
          <w:bottom w:val="single" w:sz="18" w:space="0" w:color="007B4B" w:themeColor="accent1"/>
          <w:right w:val="single" w:sz="8" w:space="0" w:color="007B4B" w:themeColor="accent1"/>
          <w:insideH w:val="nil"/>
          <w:insideV w:val="single" w:sz="8" w:space="0" w:color="007B4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B4B" w:themeColor="accent1"/>
          <w:left w:val="single" w:sz="8" w:space="0" w:color="007B4B" w:themeColor="accent1"/>
          <w:bottom w:val="single" w:sz="8" w:space="0" w:color="007B4B" w:themeColor="accent1"/>
          <w:right w:val="single" w:sz="8" w:space="0" w:color="007B4B" w:themeColor="accent1"/>
          <w:insideH w:val="nil"/>
          <w:insideV w:val="single" w:sz="8" w:space="0" w:color="007B4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B4B" w:themeColor="accent1"/>
          <w:left w:val="single" w:sz="8" w:space="0" w:color="007B4B" w:themeColor="accent1"/>
          <w:bottom w:val="single" w:sz="8" w:space="0" w:color="007B4B" w:themeColor="accent1"/>
          <w:right w:val="single" w:sz="8" w:space="0" w:color="007B4B" w:themeColor="accent1"/>
        </w:tcBorders>
      </w:tcPr>
    </w:tblStylePr>
    <w:tblStylePr w:type="band1Vert">
      <w:tblPr/>
      <w:tcPr>
        <w:tcBorders>
          <w:top w:val="single" w:sz="8" w:space="0" w:color="007B4B" w:themeColor="accent1"/>
          <w:left w:val="single" w:sz="8" w:space="0" w:color="007B4B" w:themeColor="accent1"/>
          <w:bottom w:val="single" w:sz="8" w:space="0" w:color="007B4B" w:themeColor="accent1"/>
          <w:right w:val="single" w:sz="8" w:space="0" w:color="007B4B" w:themeColor="accent1"/>
        </w:tcBorders>
        <w:shd w:val="clear" w:color="auto" w:fill="9FFFD9" w:themeFill="accent1" w:themeFillTint="3F"/>
      </w:tcPr>
    </w:tblStylePr>
    <w:tblStylePr w:type="band1Horz">
      <w:tblPr/>
      <w:tcPr>
        <w:tcBorders>
          <w:top w:val="single" w:sz="8" w:space="0" w:color="007B4B" w:themeColor="accent1"/>
          <w:left w:val="single" w:sz="8" w:space="0" w:color="007B4B" w:themeColor="accent1"/>
          <w:bottom w:val="single" w:sz="8" w:space="0" w:color="007B4B" w:themeColor="accent1"/>
          <w:right w:val="single" w:sz="8" w:space="0" w:color="007B4B" w:themeColor="accent1"/>
          <w:insideV w:val="single" w:sz="8" w:space="0" w:color="007B4B" w:themeColor="accent1"/>
        </w:tcBorders>
        <w:shd w:val="clear" w:color="auto" w:fill="9FFFD9" w:themeFill="accent1" w:themeFillTint="3F"/>
      </w:tcPr>
    </w:tblStylePr>
    <w:tblStylePr w:type="band2Horz">
      <w:tblPr/>
      <w:tcPr>
        <w:tcBorders>
          <w:top w:val="single" w:sz="8" w:space="0" w:color="007B4B" w:themeColor="accent1"/>
          <w:left w:val="single" w:sz="8" w:space="0" w:color="007B4B" w:themeColor="accent1"/>
          <w:bottom w:val="single" w:sz="8" w:space="0" w:color="007B4B" w:themeColor="accent1"/>
          <w:right w:val="single" w:sz="8" w:space="0" w:color="007B4B" w:themeColor="accent1"/>
          <w:insideV w:val="single" w:sz="8" w:space="0" w:color="007B4B" w:themeColor="accent1"/>
        </w:tcBorders>
      </w:tcPr>
    </w:tblStylePr>
  </w:style>
  <w:style w:type="table" w:styleId="LightGrid-Accent2">
    <w:name w:val="Light Grid Accent 2"/>
    <w:basedOn w:val="TableNormal"/>
    <w:uiPriority w:val="62"/>
    <w:semiHidden/>
    <w:rsid w:val="0058629F"/>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18" w:space="0" w:color="FF9E1B" w:themeColor="accent2"/>
          <w:right w:val="single" w:sz="8" w:space="0" w:color="FF9E1B" w:themeColor="accent2"/>
          <w:insideH w:val="nil"/>
          <w:insideV w:val="single" w:sz="8" w:space="0" w:color="FF9E1B"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insideH w:val="nil"/>
          <w:insideV w:val="single" w:sz="8" w:space="0" w:color="FF9E1B"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shd w:val="clear" w:color="auto" w:fill="FFE6C6" w:themeFill="accent2" w:themeFillTint="3F"/>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shd w:val="clear" w:color="auto" w:fill="FFE6C6" w:themeFill="accent2" w:themeFillTint="3F"/>
      </w:tcPr>
    </w:tblStylePr>
    <w:tblStylePr w:type="band2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insideV w:val="single" w:sz="8" w:space="0" w:color="FF9E1B" w:themeColor="accent2"/>
        </w:tcBorders>
      </w:tcPr>
    </w:tblStylePr>
  </w:style>
  <w:style w:type="table" w:styleId="LightGrid-Accent3">
    <w:name w:val="Light Grid Accent 3"/>
    <w:basedOn w:val="TableNormal"/>
    <w:uiPriority w:val="62"/>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18" w:space="0" w:color="00B2A9" w:themeColor="accent3"/>
          <w:right w:val="single" w:sz="8" w:space="0" w:color="00B2A9" w:themeColor="accent3"/>
          <w:insideH w:val="nil"/>
          <w:insideV w:val="single" w:sz="8" w:space="0" w:color="00B2A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insideH w:val="nil"/>
          <w:insideV w:val="single" w:sz="8" w:space="0" w:color="00B2A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shd w:val="clear" w:color="auto" w:fill="ACFFFA" w:themeFill="accent3" w:themeFillTint="3F"/>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shd w:val="clear" w:color="auto" w:fill="ACFFFA" w:themeFill="accent3" w:themeFillTint="3F"/>
      </w:tcPr>
    </w:tblStylePr>
    <w:tblStylePr w:type="band2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insideV w:val="single" w:sz="8" w:space="0" w:color="00B2A9" w:themeColor="accent3"/>
        </w:tcBorders>
      </w:tcPr>
    </w:tblStylePr>
  </w:style>
  <w:style w:type="table" w:styleId="LightGrid-Accent4">
    <w:name w:val="Light Grid Accent 4"/>
    <w:basedOn w:val="TableNormal"/>
    <w:uiPriority w:val="62"/>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18" w:space="0" w:color="201547" w:themeColor="accent4"/>
          <w:right w:val="single" w:sz="8" w:space="0" w:color="201547" w:themeColor="accent4"/>
          <w:insideH w:val="nil"/>
          <w:insideV w:val="single" w:sz="8" w:space="0" w:color="20154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insideH w:val="nil"/>
          <w:insideV w:val="single" w:sz="8" w:space="0" w:color="20154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shd w:val="clear" w:color="auto" w:fill="BBAFE7" w:themeFill="accent4" w:themeFillTint="3F"/>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shd w:val="clear" w:color="auto" w:fill="BBAFE7" w:themeFill="accent4" w:themeFillTint="3F"/>
      </w:tcPr>
    </w:tblStylePr>
    <w:tblStylePr w:type="band2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insideV w:val="single" w:sz="8" w:space="0" w:color="201547" w:themeColor="accent4"/>
        </w:tcBorders>
      </w:tcPr>
    </w:tblStylePr>
  </w:style>
  <w:style w:type="table" w:styleId="LightGrid-Accent5">
    <w:name w:val="Light Grid Accent 5"/>
    <w:basedOn w:val="TableNormal"/>
    <w:uiPriority w:val="62"/>
    <w:semiHidden/>
    <w:rsid w:val="0058629F"/>
    <w:tblPr>
      <w:tblStyleRowBandSize w:val="1"/>
      <w:tblStyleColBandSize w:val="1"/>
      <w:tblBorders>
        <w:top w:val="single" w:sz="8" w:space="0" w:color="66B093" w:themeColor="accent5"/>
        <w:left w:val="single" w:sz="8" w:space="0" w:color="66B093" w:themeColor="accent5"/>
        <w:bottom w:val="single" w:sz="8" w:space="0" w:color="66B093" w:themeColor="accent5"/>
        <w:right w:val="single" w:sz="8" w:space="0" w:color="66B093" w:themeColor="accent5"/>
        <w:insideH w:val="single" w:sz="8" w:space="0" w:color="66B093" w:themeColor="accent5"/>
        <w:insideV w:val="single" w:sz="8" w:space="0" w:color="66B0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B093" w:themeColor="accent5"/>
          <w:left w:val="single" w:sz="8" w:space="0" w:color="66B093" w:themeColor="accent5"/>
          <w:bottom w:val="single" w:sz="18" w:space="0" w:color="66B093" w:themeColor="accent5"/>
          <w:right w:val="single" w:sz="8" w:space="0" w:color="66B093" w:themeColor="accent5"/>
          <w:insideH w:val="nil"/>
          <w:insideV w:val="single" w:sz="8" w:space="0" w:color="66B0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B093" w:themeColor="accent5"/>
          <w:left w:val="single" w:sz="8" w:space="0" w:color="66B093" w:themeColor="accent5"/>
          <w:bottom w:val="single" w:sz="8" w:space="0" w:color="66B093" w:themeColor="accent5"/>
          <w:right w:val="single" w:sz="8" w:space="0" w:color="66B093" w:themeColor="accent5"/>
          <w:insideH w:val="nil"/>
          <w:insideV w:val="single" w:sz="8" w:space="0" w:color="66B0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B093" w:themeColor="accent5"/>
          <w:left w:val="single" w:sz="8" w:space="0" w:color="66B093" w:themeColor="accent5"/>
          <w:bottom w:val="single" w:sz="8" w:space="0" w:color="66B093" w:themeColor="accent5"/>
          <w:right w:val="single" w:sz="8" w:space="0" w:color="66B093" w:themeColor="accent5"/>
        </w:tcBorders>
      </w:tcPr>
    </w:tblStylePr>
    <w:tblStylePr w:type="band1Vert">
      <w:tblPr/>
      <w:tcPr>
        <w:tcBorders>
          <w:top w:val="single" w:sz="8" w:space="0" w:color="66B093" w:themeColor="accent5"/>
          <w:left w:val="single" w:sz="8" w:space="0" w:color="66B093" w:themeColor="accent5"/>
          <w:bottom w:val="single" w:sz="8" w:space="0" w:color="66B093" w:themeColor="accent5"/>
          <w:right w:val="single" w:sz="8" w:space="0" w:color="66B093" w:themeColor="accent5"/>
        </w:tcBorders>
        <w:shd w:val="clear" w:color="auto" w:fill="D9EBE4" w:themeFill="accent5" w:themeFillTint="3F"/>
      </w:tcPr>
    </w:tblStylePr>
    <w:tblStylePr w:type="band1Horz">
      <w:tblPr/>
      <w:tcPr>
        <w:tcBorders>
          <w:top w:val="single" w:sz="8" w:space="0" w:color="66B093" w:themeColor="accent5"/>
          <w:left w:val="single" w:sz="8" w:space="0" w:color="66B093" w:themeColor="accent5"/>
          <w:bottom w:val="single" w:sz="8" w:space="0" w:color="66B093" w:themeColor="accent5"/>
          <w:right w:val="single" w:sz="8" w:space="0" w:color="66B093" w:themeColor="accent5"/>
          <w:insideV w:val="single" w:sz="8" w:space="0" w:color="66B093" w:themeColor="accent5"/>
        </w:tcBorders>
        <w:shd w:val="clear" w:color="auto" w:fill="D9EBE4" w:themeFill="accent5" w:themeFillTint="3F"/>
      </w:tcPr>
    </w:tblStylePr>
    <w:tblStylePr w:type="band2Horz">
      <w:tblPr/>
      <w:tcPr>
        <w:tcBorders>
          <w:top w:val="single" w:sz="8" w:space="0" w:color="66B093" w:themeColor="accent5"/>
          <w:left w:val="single" w:sz="8" w:space="0" w:color="66B093" w:themeColor="accent5"/>
          <w:bottom w:val="single" w:sz="8" w:space="0" w:color="66B093" w:themeColor="accent5"/>
          <w:right w:val="single" w:sz="8" w:space="0" w:color="66B093" w:themeColor="accent5"/>
          <w:insideV w:val="single" w:sz="8" w:space="0" w:color="66B093" w:themeColor="accent5"/>
        </w:tcBorders>
      </w:tcPr>
    </w:tblStylePr>
  </w:style>
  <w:style w:type="table" w:styleId="LightGrid-Accent6">
    <w:name w:val="Light Grid Accent 6"/>
    <w:basedOn w:val="TableNormal"/>
    <w:uiPriority w:val="62"/>
    <w:semiHidden/>
    <w:rsid w:val="0058629F"/>
    <w:tblPr>
      <w:tblStyleRowBandSize w:val="1"/>
      <w:tblStyleColBandSize w:val="1"/>
      <w:tblBorders>
        <w:top w:val="single" w:sz="8" w:space="0" w:color="FFC576" w:themeColor="accent6"/>
        <w:left w:val="single" w:sz="8" w:space="0" w:color="FFC576" w:themeColor="accent6"/>
        <w:bottom w:val="single" w:sz="8" w:space="0" w:color="FFC576" w:themeColor="accent6"/>
        <w:right w:val="single" w:sz="8" w:space="0" w:color="FFC576" w:themeColor="accent6"/>
        <w:insideH w:val="single" w:sz="8" w:space="0" w:color="FFC576" w:themeColor="accent6"/>
        <w:insideV w:val="single" w:sz="8" w:space="0" w:color="FFC57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576" w:themeColor="accent6"/>
          <w:left w:val="single" w:sz="8" w:space="0" w:color="FFC576" w:themeColor="accent6"/>
          <w:bottom w:val="single" w:sz="18" w:space="0" w:color="FFC576" w:themeColor="accent6"/>
          <w:right w:val="single" w:sz="8" w:space="0" w:color="FFC576" w:themeColor="accent6"/>
          <w:insideH w:val="nil"/>
          <w:insideV w:val="single" w:sz="8" w:space="0" w:color="FFC57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576" w:themeColor="accent6"/>
          <w:left w:val="single" w:sz="8" w:space="0" w:color="FFC576" w:themeColor="accent6"/>
          <w:bottom w:val="single" w:sz="8" w:space="0" w:color="FFC576" w:themeColor="accent6"/>
          <w:right w:val="single" w:sz="8" w:space="0" w:color="FFC576" w:themeColor="accent6"/>
          <w:insideH w:val="nil"/>
          <w:insideV w:val="single" w:sz="8" w:space="0" w:color="FFC57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576" w:themeColor="accent6"/>
          <w:left w:val="single" w:sz="8" w:space="0" w:color="FFC576" w:themeColor="accent6"/>
          <w:bottom w:val="single" w:sz="8" w:space="0" w:color="FFC576" w:themeColor="accent6"/>
          <w:right w:val="single" w:sz="8" w:space="0" w:color="FFC576" w:themeColor="accent6"/>
        </w:tcBorders>
      </w:tcPr>
    </w:tblStylePr>
    <w:tblStylePr w:type="band1Vert">
      <w:tblPr/>
      <w:tcPr>
        <w:tcBorders>
          <w:top w:val="single" w:sz="8" w:space="0" w:color="FFC576" w:themeColor="accent6"/>
          <w:left w:val="single" w:sz="8" w:space="0" w:color="FFC576" w:themeColor="accent6"/>
          <w:bottom w:val="single" w:sz="8" w:space="0" w:color="FFC576" w:themeColor="accent6"/>
          <w:right w:val="single" w:sz="8" w:space="0" w:color="FFC576" w:themeColor="accent6"/>
        </w:tcBorders>
        <w:shd w:val="clear" w:color="auto" w:fill="FFF0DD" w:themeFill="accent6" w:themeFillTint="3F"/>
      </w:tcPr>
    </w:tblStylePr>
    <w:tblStylePr w:type="band1Horz">
      <w:tblPr/>
      <w:tcPr>
        <w:tcBorders>
          <w:top w:val="single" w:sz="8" w:space="0" w:color="FFC576" w:themeColor="accent6"/>
          <w:left w:val="single" w:sz="8" w:space="0" w:color="FFC576" w:themeColor="accent6"/>
          <w:bottom w:val="single" w:sz="8" w:space="0" w:color="FFC576" w:themeColor="accent6"/>
          <w:right w:val="single" w:sz="8" w:space="0" w:color="FFC576" w:themeColor="accent6"/>
          <w:insideV w:val="single" w:sz="8" w:space="0" w:color="FFC576" w:themeColor="accent6"/>
        </w:tcBorders>
        <w:shd w:val="clear" w:color="auto" w:fill="FFF0DD" w:themeFill="accent6" w:themeFillTint="3F"/>
      </w:tcPr>
    </w:tblStylePr>
    <w:tblStylePr w:type="band2Horz">
      <w:tblPr/>
      <w:tcPr>
        <w:tcBorders>
          <w:top w:val="single" w:sz="8" w:space="0" w:color="FFC576" w:themeColor="accent6"/>
          <w:left w:val="single" w:sz="8" w:space="0" w:color="FFC576" w:themeColor="accent6"/>
          <w:bottom w:val="single" w:sz="8" w:space="0" w:color="FFC576" w:themeColor="accent6"/>
          <w:right w:val="single" w:sz="8" w:space="0" w:color="FFC576" w:themeColor="accent6"/>
          <w:insideV w:val="single" w:sz="8" w:space="0" w:color="FFC576" w:themeColor="accent6"/>
        </w:tcBorders>
      </w:tcPr>
    </w:tblStylePr>
  </w:style>
  <w:style w:type="table" w:styleId="LightList">
    <w:name w:val="Light List"/>
    <w:basedOn w:val="TableNormal"/>
    <w:uiPriority w:val="61"/>
    <w:semiHidden/>
    <w:rsid w:val="0058629F"/>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pPr>
        <w:spacing w:before="0" w:after="0" w:line="240" w:lineRule="auto"/>
      </w:pPr>
      <w:rPr>
        <w:b/>
        <w:bCs/>
        <w:color w:val="FFFFFF" w:themeColor="background1"/>
      </w:rPr>
      <w:tblPr/>
      <w:tcPr>
        <w:shd w:val="clear" w:color="auto" w:fill="232222" w:themeFill="text1"/>
      </w:tcPr>
    </w:tblStylePr>
    <w:tblStylePr w:type="lastRow">
      <w:pPr>
        <w:spacing w:before="0" w:after="0" w:line="240" w:lineRule="auto"/>
      </w:pPr>
      <w:rPr>
        <w:b/>
        <w:bCs/>
      </w:rPr>
      <w:tblPr/>
      <w:tcPr>
        <w:tcBorders>
          <w:top w:val="double" w:sz="6" w:space="0" w:color="232222" w:themeColor="text1"/>
          <w:left w:val="single" w:sz="8" w:space="0" w:color="232222" w:themeColor="text1"/>
          <w:bottom w:val="single" w:sz="8" w:space="0" w:color="232222" w:themeColor="text1"/>
          <w:right w:val="single" w:sz="8" w:space="0" w:color="232222" w:themeColor="text1"/>
        </w:tcBorders>
      </w:tcPr>
    </w:tblStylePr>
    <w:tblStylePr w:type="firstCol">
      <w:rPr>
        <w:b/>
        <w:bCs/>
      </w:rPr>
    </w:tblStylePr>
    <w:tblStylePr w:type="lastCol">
      <w:rPr>
        <w:b/>
        <w:bCs/>
      </w:rPr>
    </w:tblStylePr>
    <w:tblStylePr w:type="band1Vert">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tblStylePr w:type="band1Horz">
      <w:tblPr/>
      <w:tcPr>
        <w:tcBorders>
          <w:top w:val="single" w:sz="8" w:space="0" w:color="232222" w:themeColor="text1"/>
          <w:left w:val="single" w:sz="8" w:space="0" w:color="232222" w:themeColor="text1"/>
          <w:bottom w:val="single" w:sz="8" w:space="0" w:color="232222" w:themeColor="text1"/>
          <w:right w:val="single" w:sz="8" w:space="0" w:color="232222" w:themeColor="text1"/>
        </w:tcBorders>
      </w:tcPr>
    </w:tblStylePr>
  </w:style>
  <w:style w:type="table" w:styleId="LightList-Accent1">
    <w:name w:val="Light List Accent 1"/>
    <w:basedOn w:val="TableNormal"/>
    <w:uiPriority w:val="61"/>
    <w:semiHidden/>
    <w:rsid w:val="0058629F"/>
    <w:tblPr>
      <w:tblStyleRowBandSize w:val="1"/>
      <w:tblStyleColBandSize w:val="1"/>
      <w:tblBorders>
        <w:top w:val="single" w:sz="8" w:space="0" w:color="007B4B" w:themeColor="accent1"/>
        <w:left w:val="single" w:sz="8" w:space="0" w:color="007B4B" w:themeColor="accent1"/>
        <w:bottom w:val="single" w:sz="8" w:space="0" w:color="007B4B" w:themeColor="accent1"/>
        <w:right w:val="single" w:sz="8" w:space="0" w:color="007B4B" w:themeColor="accent1"/>
      </w:tblBorders>
    </w:tblPr>
    <w:tblStylePr w:type="firstRow">
      <w:pPr>
        <w:spacing w:before="0" w:after="0" w:line="240" w:lineRule="auto"/>
      </w:pPr>
      <w:rPr>
        <w:b/>
        <w:bCs/>
        <w:color w:val="FFFFFF" w:themeColor="background1"/>
      </w:rPr>
      <w:tblPr/>
      <w:tcPr>
        <w:shd w:val="clear" w:color="auto" w:fill="007B4B" w:themeFill="accent1"/>
      </w:tcPr>
    </w:tblStylePr>
    <w:tblStylePr w:type="lastRow">
      <w:pPr>
        <w:spacing w:before="0" w:after="0" w:line="240" w:lineRule="auto"/>
      </w:pPr>
      <w:rPr>
        <w:b/>
        <w:bCs/>
      </w:rPr>
      <w:tblPr/>
      <w:tcPr>
        <w:tcBorders>
          <w:top w:val="double" w:sz="6" w:space="0" w:color="007B4B" w:themeColor="accent1"/>
          <w:left w:val="single" w:sz="8" w:space="0" w:color="007B4B" w:themeColor="accent1"/>
          <w:bottom w:val="single" w:sz="8" w:space="0" w:color="007B4B" w:themeColor="accent1"/>
          <w:right w:val="single" w:sz="8" w:space="0" w:color="007B4B" w:themeColor="accent1"/>
        </w:tcBorders>
      </w:tcPr>
    </w:tblStylePr>
    <w:tblStylePr w:type="firstCol">
      <w:rPr>
        <w:b/>
        <w:bCs/>
      </w:rPr>
    </w:tblStylePr>
    <w:tblStylePr w:type="lastCol">
      <w:rPr>
        <w:b/>
        <w:bCs/>
      </w:rPr>
    </w:tblStylePr>
    <w:tblStylePr w:type="band1Vert">
      <w:tblPr/>
      <w:tcPr>
        <w:tcBorders>
          <w:top w:val="single" w:sz="8" w:space="0" w:color="007B4B" w:themeColor="accent1"/>
          <w:left w:val="single" w:sz="8" w:space="0" w:color="007B4B" w:themeColor="accent1"/>
          <w:bottom w:val="single" w:sz="8" w:space="0" w:color="007B4B" w:themeColor="accent1"/>
          <w:right w:val="single" w:sz="8" w:space="0" w:color="007B4B" w:themeColor="accent1"/>
        </w:tcBorders>
      </w:tcPr>
    </w:tblStylePr>
    <w:tblStylePr w:type="band1Horz">
      <w:tblPr/>
      <w:tcPr>
        <w:tcBorders>
          <w:top w:val="single" w:sz="8" w:space="0" w:color="007B4B" w:themeColor="accent1"/>
          <w:left w:val="single" w:sz="8" w:space="0" w:color="007B4B" w:themeColor="accent1"/>
          <w:bottom w:val="single" w:sz="8" w:space="0" w:color="007B4B" w:themeColor="accent1"/>
          <w:right w:val="single" w:sz="8" w:space="0" w:color="007B4B" w:themeColor="accent1"/>
        </w:tcBorders>
      </w:tcPr>
    </w:tblStylePr>
  </w:style>
  <w:style w:type="table" w:styleId="LightList-Accent2">
    <w:name w:val="Light List Accent 2"/>
    <w:basedOn w:val="TableNormal"/>
    <w:uiPriority w:val="61"/>
    <w:semiHidden/>
    <w:rsid w:val="0058629F"/>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pPr>
        <w:spacing w:before="0" w:after="0" w:line="240" w:lineRule="auto"/>
      </w:pPr>
      <w:rPr>
        <w:b/>
        <w:bCs/>
        <w:color w:val="FFFFFF" w:themeColor="background1"/>
      </w:rPr>
      <w:tblPr/>
      <w:tcPr>
        <w:shd w:val="clear" w:color="auto" w:fill="FF9E1B" w:themeFill="accent2"/>
      </w:tcPr>
    </w:tblStylePr>
    <w:tblStylePr w:type="lastRow">
      <w:pPr>
        <w:spacing w:before="0" w:after="0" w:line="240" w:lineRule="auto"/>
      </w:pPr>
      <w:rPr>
        <w:b/>
        <w:bCs/>
      </w:rPr>
      <w:tblPr/>
      <w:tcPr>
        <w:tcBorders>
          <w:top w:val="double" w:sz="6" w:space="0" w:color="FF9E1B" w:themeColor="accent2"/>
          <w:left w:val="single" w:sz="8" w:space="0" w:color="FF9E1B" w:themeColor="accent2"/>
          <w:bottom w:val="single" w:sz="8" w:space="0" w:color="FF9E1B" w:themeColor="accent2"/>
          <w:right w:val="single" w:sz="8" w:space="0" w:color="FF9E1B" w:themeColor="accent2"/>
        </w:tcBorders>
      </w:tcPr>
    </w:tblStylePr>
    <w:tblStylePr w:type="firstCol">
      <w:rPr>
        <w:b/>
        <w:bCs/>
      </w:rPr>
    </w:tblStylePr>
    <w:tblStylePr w:type="lastCol">
      <w:rPr>
        <w:b/>
        <w:bCs/>
      </w:rPr>
    </w:tblStylePr>
    <w:tblStylePr w:type="band1Vert">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tblStylePr w:type="band1Horz">
      <w:tblPr/>
      <w:tcPr>
        <w:tcBorders>
          <w:top w:val="single" w:sz="8" w:space="0" w:color="FF9E1B" w:themeColor="accent2"/>
          <w:left w:val="single" w:sz="8" w:space="0" w:color="FF9E1B" w:themeColor="accent2"/>
          <w:bottom w:val="single" w:sz="8" w:space="0" w:color="FF9E1B" w:themeColor="accent2"/>
          <w:right w:val="single" w:sz="8" w:space="0" w:color="FF9E1B" w:themeColor="accent2"/>
        </w:tcBorders>
      </w:tcPr>
    </w:tblStylePr>
  </w:style>
  <w:style w:type="table" w:styleId="LightList-Accent3">
    <w:name w:val="Light List Accent 3"/>
    <w:basedOn w:val="TableNormal"/>
    <w:uiPriority w:val="61"/>
    <w:semiHidden/>
    <w:rsid w:val="0058629F"/>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pPr>
        <w:spacing w:before="0" w:after="0" w:line="240" w:lineRule="auto"/>
      </w:pPr>
      <w:rPr>
        <w:b/>
        <w:bCs/>
        <w:color w:val="FFFFFF" w:themeColor="background1"/>
      </w:rPr>
      <w:tblPr/>
      <w:tcPr>
        <w:shd w:val="clear" w:color="auto" w:fill="00B2A9" w:themeFill="accent3"/>
      </w:tcPr>
    </w:tblStylePr>
    <w:tblStylePr w:type="lastRow">
      <w:pPr>
        <w:spacing w:before="0" w:after="0" w:line="240" w:lineRule="auto"/>
      </w:pPr>
      <w:rPr>
        <w:b/>
        <w:bCs/>
      </w:rPr>
      <w:tblPr/>
      <w:tcPr>
        <w:tcBorders>
          <w:top w:val="double" w:sz="6" w:space="0" w:color="00B2A9" w:themeColor="accent3"/>
          <w:left w:val="single" w:sz="8" w:space="0" w:color="00B2A9" w:themeColor="accent3"/>
          <w:bottom w:val="single" w:sz="8" w:space="0" w:color="00B2A9" w:themeColor="accent3"/>
          <w:right w:val="single" w:sz="8" w:space="0" w:color="00B2A9" w:themeColor="accent3"/>
        </w:tcBorders>
      </w:tcPr>
    </w:tblStylePr>
    <w:tblStylePr w:type="firstCol">
      <w:rPr>
        <w:b/>
        <w:bCs/>
      </w:rPr>
    </w:tblStylePr>
    <w:tblStylePr w:type="lastCol">
      <w:rPr>
        <w:b/>
        <w:bCs/>
      </w:rPr>
    </w:tblStylePr>
    <w:tblStylePr w:type="band1Vert">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tblStylePr w:type="band1Horz">
      <w:tblPr/>
      <w:tcPr>
        <w:tcBorders>
          <w:top w:val="single" w:sz="8" w:space="0" w:color="00B2A9" w:themeColor="accent3"/>
          <w:left w:val="single" w:sz="8" w:space="0" w:color="00B2A9" w:themeColor="accent3"/>
          <w:bottom w:val="single" w:sz="8" w:space="0" w:color="00B2A9" w:themeColor="accent3"/>
          <w:right w:val="single" w:sz="8" w:space="0" w:color="00B2A9" w:themeColor="accent3"/>
        </w:tcBorders>
      </w:tcPr>
    </w:tblStylePr>
  </w:style>
  <w:style w:type="table" w:styleId="LightList-Accent4">
    <w:name w:val="Light List Accent 4"/>
    <w:basedOn w:val="TableNormal"/>
    <w:uiPriority w:val="61"/>
    <w:semiHidden/>
    <w:rsid w:val="0058629F"/>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pPr>
        <w:spacing w:before="0" w:after="0" w:line="240" w:lineRule="auto"/>
      </w:pPr>
      <w:rPr>
        <w:b/>
        <w:bCs/>
        <w:color w:val="FFFFFF" w:themeColor="background1"/>
      </w:rPr>
      <w:tblPr/>
      <w:tcPr>
        <w:shd w:val="clear" w:color="auto" w:fill="201547" w:themeFill="accent4"/>
      </w:tcPr>
    </w:tblStylePr>
    <w:tblStylePr w:type="lastRow">
      <w:pPr>
        <w:spacing w:before="0" w:after="0" w:line="240" w:lineRule="auto"/>
      </w:pPr>
      <w:rPr>
        <w:b/>
        <w:bCs/>
      </w:rPr>
      <w:tblPr/>
      <w:tcPr>
        <w:tcBorders>
          <w:top w:val="double" w:sz="6" w:space="0" w:color="201547" w:themeColor="accent4"/>
          <w:left w:val="single" w:sz="8" w:space="0" w:color="201547" w:themeColor="accent4"/>
          <w:bottom w:val="single" w:sz="8" w:space="0" w:color="201547" w:themeColor="accent4"/>
          <w:right w:val="single" w:sz="8" w:space="0" w:color="201547" w:themeColor="accent4"/>
        </w:tcBorders>
      </w:tcPr>
    </w:tblStylePr>
    <w:tblStylePr w:type="firstCol">
      <w:rPr>
        <w:b/>
        <w:bCs/>
      </w:rPr>
    </w:tblStylePr>
    <w:tblStylePr w:type="lastCol">
      <w:rPr>
        <w:b/>
        <w:bCs/>
      </w:rPr>
    </w:tblStylePr>
    <w:tblStylePr w:type="band1Vert">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tblStylePr w:type="band1Horz">
      <w:tblPr/>
      <w:tcPr>
        <w:tcBorders>
          <w:top w:val="single" w:sz="8" w:space="0" w:color="201547" w:themeColor="accent4"/>
          <w:left w:val="single" w:sz="8" w:space="0" w:color="201547" w:themeColor="accent4"/>
          <w:bottom w:val="single" w:sz="8" w:space="0" w:color="201547" w:themeColor="accent4"/>
          <w:right w:val="single" w:sz="8" w:space="0" w:color="201547" w:themeColor="accent4"/>
        </w:tcBorders>
      </w:tcPr>
    </w:tblStylePr>
  </w:style>
  <w:style w:type="table" w:styleId="LightList-Accent5">
    <w:name w:val="Light List Accent 5"/>
    <w:basedOn w:val="TableNormal"/>
    <w:uiPriority w:val="61"/>
    <w:semiHidden/>
    <w:rsid w:val="0058629F"/>
    <w:tblPr>
      <w:tblStyleRowBandSize w:val="1"/>
      <w:tblStyleColBandSize w:val="1"/>
      <w:tblBorders>
        <w:top w:val="single" w:sz="8" w:space="0" w:color="66B093" w:themeColor="accent5"/>
        <w:left w:val="single" w:sz="8" w:space="0" w:color="66B093" w:themeColor="accent5"/>
        <w:bottom w:val="single" w:sz="8" w:space="0" w:color="66B093" w:themeColor="accent5"/>
        <w:right w:val="single" w:sz="8" w:space="0" w:color="66B093" w:themeColor="accent5"/>
      </w:tblBorders>
    </w:tblPr>
    <w:tblStylePr w:type="firstRow">
      <w:pPr>
        <w:spacing w:before="0" w:after="0" w:line="240" w:lineRule="auto"/>
      </w:pPr>
      <w:rPr>
        <w:b/>
        <w:bCs/>
        <w:color w:val="FFFFFF" w:themeColor="background1"/>
      </w:rPr>
      <w:tblPr/>
      <w:tcPr>
        <w:shd w:val="clear" w:color="auto" w:fill="66B093" w:themeFill="accent5"/>
      </w:tcPr>
    </w:tblStylePr>
    <w:tblStylePr w:type="lastRow">
      <w:pPr>
        <w:spacing w:before="0" w:after="0" w:line="240" w:lineRule="auto"/>
      </w:pPr>
      <w:rPr>
        <w:b/>
        <w:bCs/>
      </w:rPr>
      <w:tblPr/>
      <w:tcPr>
        <w:tcBorders>
          <w:top w:val="double" w:sz="6" w:space="0" w:color="66B093" w:themeColor="accent5"/>
          <w:left w:val="single" w:sz="8" w:space="0" w:color="66B093" w:themeColor="accent5"/>
          <w:bottom w:val="single" w:sz="8" w:space="0" w:color="66B093" w:themeColor="accent5"/>
          <w:right w:val="single" w:sz="8" w:space="0" w:color="66B093" w:themeColor="accent5"/>
        </w:tcBorders>
      </w:tcPr>
    </w:tblStylePr>
    <w:tblStylePr w:type="firstCol">
      <w:rPr>
        <w:b/>
        <w:bCs/>
      </w:rPr>
    </w:tblStylePr>
    <w:tblStylePr w:type="lastCol">
      <w:rPr>
        <w:b/>
        <w:bCs/>
      </w:rPr>
    </w:tblStylePr>
    <w:tblStylePr w:type="band1Vert">
      <w:tblPr/>
      <w:tcPr>
        <w:tcBorders>
          <w:top w:val="single" w:sz="8" w:space="0" w:color="66B093" w:themeColor="accent5"/>
          <w:left w:val="single" w:sz="8" w:space="0" w:color="66B093" w:themeColor="accent5"/>
          <w:bottom w:val="single" w:sz="8" w:space="0" w:color="66B093" w:themeColor="accent5"/>
          <w:right w:val="single" w:sz="8" w:space="0" w:color="66B093" w:themeColor="accent5"/>
        </w:tcBorders>
      </w:tcPr>
    </w:tblStylePr>
    <w:tblStylePr w:type="band1Horz">
      <w:tblPr/>
      <w:tcPr>
        <w:tcBorders>
          <w:top w:val="single" w:sz="8" w:space="0" w:color="66B093" w:themeColor="accent5"/>
          <w:left w:val="single" w:sz="8" w:space="0" w:color="66B093" w:themeColor="accent5"/>
          <w:bottom w:val="single" w:sz="8" w:space="0" w:color="66B093" w:themeColor="accent5"/>
          <w:right w:val="single" w:sz="8" w:space="0" w:color="66B093" w:themeColor="accent5"/>
        </w:tcBorders>
      </w:tcPr>
    </w:tblStylePr>
  </w:style>
  <w:style w:type="table" w:styleId="LightList-Accent6">
    <w:name w:val="Light List Accent 6"/>
    <w:basedOn w:val="TableNormal"/>
    <w:uiPriority w:val="61"/>
    <w:semiHidden/>
    <w:rsid w:val="0058629F"/>
    <w:tblPr>
      <w:tblStyleRowBandSize w:val="1"/>
      <w:tblStyleColBandSize w:val="1"/>
      <w:tblBorders>
        <w:top w:val="single" w:sz="8" w:space="0" w:color="FFC576" w:themeColor="accent6"/>
        <w:left w:val="single" w:sz="8" w:space="0" w:color="FFC576" w:themeColor="accent6"/>
        <w:bottom w:val="single" w:sz="8" w:space="0" w:color="FFC576" w:themeColor="accent6"/>
        <w:right w:val="single" w:sz="8" w:space="0" w:color="FFC576" w:themeColor="accent6"/>
      </w:tblBorders>
    </w:tblPr>
    <w:tblStylePr w:type="firstRow">
      <w:pPr>
        <w:spacing w:before="0" w:after="0" w:line="240" w:lineRule="auto"/>
      </w:pPr>
      <w:rPr>
        <w:b/>
        <w:bCs/>
        <w:color w:val="FFFFFF" w:themeColor="background1"/>
      </w:rPr>
      <w:tblPr/>
      <w:tcPr>
        <w:shd w:val="clear" w:color="auto" w:fill="FFC576" w:themeFill="accent6"/>
      </w:tcPr>
    </w:tblStylePr>
    <w:tblStylePr w:type="lastRow">
      <w:pPr>
        <w:spacing w:before="0" w:after="0" w:line="240" w:lineRule="auto"/>
      </w:pPr>
      <w:rPr>
        <w:b/>
        <w:bCs/>
      </w:rPr>
      <w:tblPr/>
      <w:tcPr>
        <w:tcBorders>
          <w:top w:val="double" w:sz="6" w:space="0" w:color="FFC576" w:themeColor="accent6"/>
          <w:left w:val="single" w:sz="8" w:space="0" w:color="FFC576" w:themeColor="accent6"/>
          <w:bottom w:val="single" w:sz="8" w:space="0" w:color="FFC576" w:themeColor="accent6"/>
          <w:right w:val="single" w:sz="8" w:space="0" w:color="FFC576" w:themeColor="accent6"/>
        </w:tcBorders>
      </w:tcPr>
    </w:tblStylePr>
    <w:tblStylePr w:type="firstCol">
      <w:rPr>
        <w:b/>
        <w:bCs/>
      </w:rPr>
    </w:tblStylePr>
    <w:tblStylePr w:type="lastCol">
      <w:rPr>
        <w:b/>
        <w:bCs/>
      </w:rPr>
    </w:tblStylePr>
    <w:tblStylePr w:type="band1Vert">
      <w:tblPr/>
      <w:tcPr>
        <w:tcBorders>
          <w:top w:val="single" w:sz="8" w:space="0" w:color="FFC576" w:themeColor="accent6"/>
          <w:left w:val="single" w:sz="8" w:space="0" w:color="FFC576" w:themeColor="accent6"/>
          <w:bottom w:val="single" w:sz="8" w:space="0" w:color="FFC576" w:themeColor="accent6"/>
          <w:right w:val="single" w:sz="8" w:space="0" w:color="FFC576" w:themeColor="accent6"/>
        </w:tcBorders>
      </w:tcPr>
    </w:tblStylePr>
    <w:tblStylePr w:type="band1Horz">
      <w:tblPr/>
      <w:tcPr>
        <w:tcBorders>
          <w:top w:val="single" w:sz="8" w:space="0" w:color="FFC576" w:themeColor="accent6"/>
          <w:left w:val="single" w:sz="8" w:space="0" w:color="FFC576" w:themeColor="accent6"/>
          <w:bottom w:val="single" w:sz="8" w:space="0" w:color="FFC576" w:themeColor="accent6"/>
          <w:right w:val="single" w:sz="8" w:space="0" w:color="FFC576" w:themeColor="accent6"/>
        </w:tcBorders>
      </w:tcPr>
    </w:tblStylePr>
  </w:style>
  <w:style w:type="table" w:styleId="LightShading">
    <w:name w:val="Light Shading"/>
    <w:basedOn w:val="TableNormal"/>
    <w:uiPriority w:val="60"/>
    <w:semiHidden/>
    <w:rsid w:val="0058629F"/>
    <w:rPr>
      <w:color w:val="1A1919" w:themeColor="text1" w:themeShade="BF"/>
    </w:rPr>
    <w:tblPr>
      <w:tblStyleRowBandSize w:val="1"/>
      <w:tblStyleColBandSize w:val="1"/>
      <w:tblBorders>
        <w:top w:val="single" w:sz="8" w:space="0" w:color="232222" w:themeColor="text1"/>
        <w:bottom w:val="single" w:sz="8" w:space="0" w:color="232222" w:themeColor="text1"/>
      </w:tblBorders>
    </w:tblPr>
    <w:tblStylePr w:type="fir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lastRow">
      <w:pPr>
        <w:spacing w:before="0" w:after="0" w:line="240" w:lineRule="auto"/>
      </w:pPr>
      <w:rPr>
        <w:b/>
        <w:bCs/>
      </w:rPr>
      <w:tblPr/>
      <w:tcPr>
        <w:tcBorders>
          <w:top w:val="single" w:sz="8" w:space="0" w:color="232222" w:themeColor="text1"/>
          <w:left w:val="nil"/>
          <w:bottom w:val="single" w:sz="8" w:space="0" w:color="232222"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left w:val="nil"/>
          <w:right w:val="nil"/>
          <w:insideH w:val="nil"/>
          <w:insideV w:val="nil"/>
        </w:tcBorders>
        <w:shd w:val="clear" w:color="auto" w:fill="C9C7C7" w:themeFill="text1" w:themeFillTint="3F"/>
      </w:tcPr>
    </w:tblStylePr>
  </w:style>
  <w:style w:type="table" w:styleId="LightShading-Accent1">
    <w:name w:val="Light Shading Accent 1"/>
    <w:basedOn w:val="TableNormal"/>
    <w:uiPriority w:val="60"/>
    <w:semiHidden/>
    <w:rsid w:val="0058629F"/>
    <w:rPr>
      <w:color w:val="005C37" w:themeColor="accent1" w:themeShade="BF"/>
    </w:rPr>
    <w:tblPr>
      <w:tblStyleRowBandSize w:val="1"/>
      <w:tblStyleColBandSize w:val="1"/>
      <w:tblBorders>
        <w:top w:val="single" w:sz="8" w:space="0" w:color="007B4B" w:themeColor="accent1"/>
        <w:bottom w:val="single" w:sz="8" w:space="0" w:color="007B4B" w:themeColor="accent1"/>
      </w:tblBorders>
    </w:tblPr>
    <w:tblStylePr w:type="firstRow">
      <w:pPr>
        <w:spacing w:before="0" w:after="0" w:line="240" w:lineRule="auto"/>
      </w:pPr>
      <w:rPr>
        <w:b/>
        <w:bCs/>
      </w:rPr>
      <w:tblPr/>
      <w:tcPr>
        <w:tcBorders>
          <w:top w:val="single" w:sz="8" w:space="0" w:color="007B4B" w:themeColor="accent1"/>
          <w:left w:val="nil"/>
          <w:bottom w:val="single" w:sz="8" w:space="0" w:color="007B4B" w:themeColor="accent1"/>
          <w:right w:val="nil"/>
          <w:insideH w:val="nil"/>
          <w:insideV w:val="nil"/>
        </w:tcBorders>
      </w:tcPr>
    </w:tblStylePr>
    <w:tblStylePr w:type="lastRow">
      <w:pPr>
        <w:spacing w:before="0" w:after="0" w:line="240" w:lineRule="auto"/>
      </w:pPr>
      <w:rPr>
        <w:b/>
        <w:bCs/>
      </w:rPr>
      <w:tblPr/>
      <w:tcPr>
        <w:tcBorders>
          <w:top w:val="single" w:sz="8" w:space="0" w:color="007B4B" w:themeColor="accent1"/>
          <w:left w:val="nil"/>
          <w:bottom w:val="single" w:sz="8" w:space="0" w:color="007B4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FFFD9" w:themeFill="accent1" w:themeFillTint="3F"/>
      </w:tcPr>
    </w:tblStylePr>
    <w:tblStylePr w:type="band1Horz">
      <w:tblPr/>
      <w:tcPr>
        <w:tcBorders>
          <w:left w:val="nil"/>
          <w:right w:val="nil"/>
          <w:insideH w:val="nil"/>
          <w:insideV w:val="nil"/>
        </w:tcBorders>
        <w:shd w:val="clear" w:color="auto" w:fill="9FFFD9" w:themeFill="accent1" w:themeFillTint="3F"/>
      </w:tcPr>
    </w:tblStylePr>
  </w:style>
  <w:style w:type="table" w:styleId="LightShading-Accent2">
    <w:name w:val="Light Shading Accent 2"/>
    <w:basedOn w:val="TableNormal"/>
    <w:uiPriority w:val="60"/>
    <w:semiHidden/>
    <w:rsid w:val="0058629F"/>
    <w:rPr>
      <w:color w:val="D37800" w:themeColor="accent2" w:themeShade="BF"/>
    </w:rPr>
    <w:tblPr>
      <w:tblStyleRowBandSize w:val="1"/>
      <w:tblStyleColBandSize w:val="1"/>
      <w:tblBorders>
        <w:top w:val="single" w:sz="8" w:space="0" w:color="FF9E1B" w:themeColor="accent2"/>
        <w:bottom w:val="single" w:sz="8" w:space="0" w:color="FF9E1B" w:themeColor="accent2"/>
      </w:tblBorders>
    </w:tblPr>
    <w:tblStylePr w:type="fir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lastRow">
      <w:pPr>
        <w:spacing w:before="0" w:after="0" w:line="240" w:lineRule="auto"/>
      </w:pPr>
      <w:rPr>
        <w:b/>
        <w:bCs/>
      </w:rPr>
      <w:tblPr/>
      <w:tcPr>
        <w:tcBorders>
          <w:top w:val="single" w:sz="8" w:space="0" w:color="FF9E1B" w:themeColor="accent2"/>
          <w:left w:val="nil"/>
          <w:bottom w:val="single" w:sz="8" w:space="0" w:color="FF9E1B"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left w:val="nil"/>
          <w:right w:val="nil"/>
          <w:insideH w:val="nil"/>
          <w:insideV w:val="nil"/>
        </w:tcBorders>
        <w:shd w:val="clear" w:color="auto" w:fill="FFE6C6" w:themeFill="accent2" w:themeFillTint="3F"/>
      </w:tcPr>
    </w:tblStylePr>
  </w:style>
  <w:style w:type="table" w:styleId="LightShading-Accent3">
    <w:name w:val="Light Shading Accent 3"/>
    <w:basedOn w:val="TableNormal"/>
    <w:uiPriority w:val="60"/>
    <w:semiHidden/>
    <w:rsid w:val="0058629F"/>
    <w:rPr>
      <w:color w:val="00857E" w:themeColor="accent3" w:themeShade="BF"/>
    </w:rPr>
    <w:tblPr>
      <w:tblStyleRowBandSize w:val="1"/>
      <w:tblStyleColBandSize w:val="1"/>
      <w:tblBorders>
        <w:top w:val="single" w:sz="8" w:space="0" w:color="00B2A9" w:themeColor="accent3"/>
        <w:bottom w:val="single" w:sz="8" w:space="0" w:color="00B2A9" w:themeColor="accent3"/>
      </w:tblBorders>
    </w:tblPr>
    <w:tblStylePr w:type="fir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lastRow">
      <w:pPr>
        <w:spacing w:before="0" w:after="0" w:line="240" w:lineRule="auto"/>
      </w:pPr>
      <w:rPr>
        <w:b/>
        <w:bCs/>
      </w:rPr>
      <w:tblPr/>
      <w:tcPr>
        <w:tcBorders>
          <w:top w:val="single" w:sz="8" w:space="0" w:color="00B2A9" w:themeColor="accent3"/>
          <w:left w:val="nil"/>
          <w:bottom w:val="single" w:sz="8" w:space="0" w:color="00B2A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left w:val="nil"/>
          <w:right w:val="nil"/>
          <w:insideH w:val="nil"/>
          <w:insideV w:val="nil"/>
        </w:tcBorders>
        <w:shd w:val="clear" w:color="auto" w:fill="ACFFFA" w:themeFill="accent3" w:themeFillTint="3F"/>
      </w:tcPr>
    </w:tblStylePr>
  </w:style>
  <w:style w:type="table" w:styleId="LightShading-Accent4">
    <w:name w:val="Light Shading Accent 4"/>
    <w:basedOn w:val="TableNormal"/>
    <w:uiPriority w:val="60"/>
    <w:semiHidden/>
    <w:rsid w:val="0058629F"/>
    <w:rPr>
      <w:color w:val="170F34" w:themeColor="accent4" w:themeShade="BF"/>
    </w:rPr>
    <w:tblPr>
      <w:tblStyleRowBandSize w:val="1"/>
      <w:tblStyleColBandSize w:val="1"/>
      <w:tblBorders>
        <w:top w:val="single" w:sz="8" w:space="0" w:color="201547" w:themeColor="accent4"/>
        <w:bottom w:val="single" w:sz="8" w:space="0" w:color="201547" w:themeColor="accent4"/>
      </w:tblBorders>
    </w:tblPr>
    <w:tblStylePr w:type="fir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lastRow">
      <w:pPr>
        <w:spacing w:before="0" w:after="0" w:line="240" w:lineRule="auto"/>
      </w:pPr>
      <w:rPr>
        <w:b/>
        <w:bCs/>
      </w:rPr>
      <w:tblPr/>
      <w:tcPr>
        <w:tcBorders>
          <w:top w:val="single" w:sz="8" w:space="0" w:color="201547" w:themeColor="accent4"/>
          <w:left w:val="nil"/>
          <w:bottom w:val="single" w:sz="8" w:space="0" w:color="20154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left w:val="nil"/>
          <w:right w:val="nil"/>
          <w:insideH w:val="nil"/>
          <w:insideV w:val="nil"/>
        </w:tcBorders>
        <w:shd w:val="clear" w:color="auto" w:fill="BBAFE7" w:themeFill="accent4" w:themeFillTint="3F"/>
      </w:tcPr>
    </w:tblStylePr>
  </w:style>
  <w:style w:type="table" w:styleId="LightShading-Accent5">
    <w:name w:val="Light Shading Accent 5"/>
    <w:basedOn w:val="TableNormal"/>
    <w:uiPriority w:val="60"/>
    <w:semiHidden/>
    <w:rsid w:val="0058629F"/>
    <w:rPr>
      <w:color w:val="46896F" w:themeColor="accent5" w:themeShade="BF"/>
    </w:rPr>
    <w:tblPr>
      <w:tblStyleRowBandSize w:val="1"/>
      <w:tblStyleColBandSize w:val="1"/>
      <w:tblBorders>
        <w:top w:val="single" w:sz="8" w:space="0" w:color="66B093" w:themeColor="accent5"/>
        <w:bottom w:val="single" w:sz="8" w:space="0" w:color="66B093" w:themeColor="accent5"/>
      </w:tblBorders>
    </w:tblPr>
    <w:tblStylePr w:type="firstRow">
      <w:pPr>
        <w:spacing w:before="0" w:after="0" w:line="240" w:lineRule="auto"/>
      </w:pPr>
      <w:rPr>
        <w:b/>
        <w:bCs/>
      </w:rPr>
      <w:tblPr/>
      <w:tcPr>
        <w:tcBorders>
          <w:top w:val="single" w:sz="8" w:space="0" w:color="66B093" w:themeColor="accent5"/>
          <w:left w:val="nil"/>
          <w:bottom w:val="single" w:sz="8" w:space="0" w:color="66B093" w:themeColor="accent5"/>
          <w:right w:val="nil"/>
          <w:insideH w:val="nil"/>
          <w:insideV w:val="nil"/>
        </w:tcBorders>
      </w:tcPr>
    </w:tblStylePr>
    <w:tblStylePr w:type="lastRow">
      <w:pPr>
        <w:spacing w:before="0" w:after="0" w:line="240" w:lineRule="auto"/>
      </w:pPr>
      <w:rPr>
        <w:b/>
        <w:bCs/>
      </w:rPr>
      <w:tblPr/>
      <w:tcPr>
        <w:tcBorders>
          <w:top w:val="single" w:sz="8" w:space="0" w:color="66B093" w:themeColor="accent5"/>
          <w:left w:val="nil"/>
          <w:bottom w:val="single" w:sz="8" w:space="0" w:color="66B0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EBE4" w:themeFill="accent5" w:themeFillTint="3F"/>
      </w:tcPr>
    </w:tblStylePr>
    <w:tblStylePr w:type="band1Horz">
      <w:tblPr/>
      <w:tcPr>
        <w:tcBorders>
          <w:left w:val="nil"/>
          <w:right w:val="nil"/>
          <w:insideH w:val="nil"/>
          <w:insideV w:val="nil"/>
        </w:tcBorders>
        <w:shd w:val="clear" w:color="auto" w:fill="D9EBE4" w:themeFill="accent5" w:themeFillTint="3F"/>
      </w:tcPr>
    </w:tblStylePr>
  </w:style>
  <w:style w:type="table" w:styleId="LightShading-Accent6">
    <w:name w:val="Light Shading Accent 6"/>
    <w:basedOn w:val="TableNormal"/>
    <w:uiPriority w:val="60"/>
    <w:semiHidden/>
    <w:rsid w:val="0058629F"/>
    <w:rPr>
      <w:color w:val="FF9D18" w:themeColor="accent6" w:themeShade="BF"/>
    </w:rPr>
    <w:tblPr>
      <w:tblStyleRowBandSize w:val="1"/>
      <w:tblStyleColBandSize w:val="1"/>
      <w:tblBorders>
        <w:top w:val="single" w:sz="8" w:space="0" w:color="FFC576" w:themeColor="accent6"/>
        <w:bottom w:val="single" w:sz="8" w:space="0" w:color="FFC576" w:themeColor="accent6"/>
      </w:tblBorders>
    </w:tblPr>
    <w:tblStylePr w:type="firstRow">
      <w:pPr>
        <w:spacing w:before="0" w:after="0" w:line="240" w:lineRule="auto"/>
      </w:pPr>
      <w:rPr>
        <w:b/>
        <w:bCs/>
      </w:rPr>
      <w:tblPr/>
      <w:tcPr>
        <w:tcBorders>
          <w:top w:val="single" w:sz="8" w:space="0" w:color="FFC576" w:themeColor="accent6"/>
          <w:left w:val="nil"/>
          <w:bottom w:val="single" w:sz="8" w:space="0" w:color="FFC576" w:themeColor="accent6"/>
          <w:right w:val="nil"/>
          <w:insideH w:val="nil"/>
          <w:insideV w:val="nil"/>
        </w:tcBorders>
      </w:tcPr>
    </w:tblStylePr>
    <w:tblStylePr w:type="lastRow">
      <w:pPr>
        <w:spacing w:before="0" w:after="0" w:line="240" w:lineRule="auto"/>
      </w:pPr>
      <w:rPr>
        <w:b/>
        <w:bCs/>
      </w:rPr>
      <w:tblPr/>
      <w:tcPr>
        <w:tcBorders>
          <w:top w:val="single" w:sz="8" w:space="0" w:color="FFC576" w:themeColor="accent6"/>
          <w:left w:val="nil"/>
          <w:bottom w:val="single" w:sz="8" w:space="0" w:color="FFC57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0DD" w:themeFill="accent6" w:themeFillTint="3F"/>
      </w:tcPr>
    </w:tblStylePr>
    <w:tblStylePr w:type="band1Horz">
      <w:tblPr/>
      <w:tcPr>
        <w:tcBorders>
          <w:left w:val="nil"/>
          <w:right w:val="nil"/>
          <w:insideH w:val="nil"/>
          <w:insideV w:val="nil"/>
        </w:tcBorders>
        <w:shd w:val="clear" w:color="auto" w:fill="FFF0DD" w:themeFill="accent6" w:themeFillTint="3F"/>
      </w:tcPr>
    </w:tblStylePr>
  </w:style>
  <w:style w:type="table" w:styleId="ListTable1Light">
    <w:name w:val="List Table 1 Light"/>
    <w:basedOn w:val="TableNormal"/>
    <w:uiPriority w:val="46"/>
    <w:semiHidden/>
    <w:rsid w:val="0058629F"/>
    <w:tblPr>
      <w:tblStyleRowBandSize w:val="1"/>
      <w:tblStyleColBandSize w:val="1"/>
    </w:tblPr>
    <w:tblStylePr w:type="firstRow">
      <w:rPr>
        <w:b/>
        <w:bCs/>
      </w:rPr>
      <w:tblPr/>
      <w:tcPr>
        <w:tcBorders>
          <w:bottom w:val="single" w:sz="4" w:space="0" w:color="7C7979" w:themeColor="text1" w:themeTint="99"/>
        </w:tcBorders>
      </w:tcPr>
    </w:tblStylePr>
    <w:tblStylePr w:type="lastRow">
      <w:rPr>
        <w:b/>
        <w:bCs/>
      </w:rPr>
      <w:tblPr/>
      <w:tcPr>
        <w:tcBorders>
          <w:top w:val="sing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1Light-Accent1">
    <w:name w:val="List Table 1 Light Accent 1"/>
    <w:basedOn w:val="TableNormal"/>
    <w:uiPriority w:val="46"/>
    <w:semiHidden/>
    <w:rsid w:val="0058629F"/>
    <w:tblPr>
      <w:tblStyleRowBandSize w:val="1"/>
      <w:tblStyleColBandSize w:val="1"/>
    </w:tblPr>
    <w:tblStylePr w:type="firstRow">
      <w:rPr>
        <w:b/>
        <w:bCs/>
      </w:rPr>
      <w:tblPr/>
      <w:tcPr>
        <w:tcBorders>
          <w:bottom w:val="single" w:sz="4" w:space="0" w:color="16FFA3" w:themeColor="accent1" w:themeTint="99"/>
        </w:tcBorders>
      </w:tcPr>
    </w:tblStylePr>
    <w:tblStylePr w:type="lastRow">
      <w:rPr>
        <w:b/>
        <w:bCs/>
      </w:rPr>
      <w:tblPr/>
      <w:tcPr>
        <w:tcBorders>
          <w:top w:val="single" w:sz="4" w:space="0" w:color="16FFA3" w:themeColor="accent1" w:themeTint="99"/>
        </w:tcBorders>
      </w:tcPr>
    </w:tblStylePr>
    <w:tblStylePr w:type="firstCol">
      <w:rPr>
        <w:b/>
        <w:bCs/>
      </w:rPr>
    </w:tblStylePr>
    <w:tblStylePr w:type="lastCol">
      <w:rPr>
        <w:b/>
        <w:bCs/>
      </w:rPr>
    </w:tblStylePr>
    <w:tblStylePr w:type="band1Vert">
      <w:tblPr/>
      <w:tcPr>
        <w:shd w:val="clear" w:color="auto" w:fill="B1FFE0" w:themeFill="accent1" w:themeFillTint="33"/>
      </w:tcPr>
    </w:tblStylePr>
    <w:tblStylePr w:type="band1Horz">
      <w:tblPr/>
      <w:tcPr>
        <w:shd w:val="clear" w:color="auto" w:fill="B1FFE0" w:themeFill="accent1" w:themeFillTint="33"/>
      </w:tcPr>
    </w:tblStylePr>
  </w:style>
  <w:style w:type="table" w:styleId="ListTable1Light-Accent2">
    <w:name w:val="List Table 1 Light Accent 2"/>
    <w:basedOn w:val="TableNormal"/>
    <w:uiPriority w:val="46"/>
    <w:semiHidden/>
    <w:rsid w:val="0058629F"/>
    <w:tblPr>
      <w:tblStyleRowBandSize w:val="1"/>
      <w:tblStyleColBandSize w:val="1"/>
    </w:tblPr>
    <w:tblStylePr w:type="firstRow">
      <w:rPr>
        <w:b/>
        <w:bCs/>
      </w:rPr>
      <w:tblPr/>
      <w:tcPr>
        <w:tcBorders>
          <w:bottom w:val="single" w:sz="4" w:space="0" w:color="FFC476" w:themeColor="accent2" w:themeTint="99"/>
        </w:tcBorders>
      </w:tcPr>
    </w:tblStylePr>
    <w:tblStylePr w:type="lastRow">
      <w:rPr>
        <w:b/>
        <w:bCs/>
      </w:rPr>
      <w:tblPr/>
      <w:tcPr>
        <w:tcBorders>
          <w:top w:val="sing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1Light-Accent3">
    <w:name w:val="List Table 1 Light Accent 3"/>
    <w:basedOn w:val="TableNormal"/>
    <w:uiPriority w:val="46"/>
    <w:semiHidden/>
    <w:rsid w:val="0058629F"/>
    <w:tblPr>
      <w:tblStyleRowBandSize w:val="1"/>
      <w:tblStyleColBandSize w:val="1"/>
    </w:tblPr>
    <w:tblStylePr w:type="firstRow">
      <w:rPr>
        <w:b/>
        <w:bCs/>
      </w:rPr>
      <w:tblPr/>
      <w:tcPr>
        <w:tcBorders>
          <w:bottom w:val="single" w:sz="4" w:space="0" w:color="37FFF4" w:themeColor="accent3" w:themeTint="99"/>
        </w:tcBorders>
      </w:tcPr>
    </w:tblStylePr>
    <w:tblStylePr w:type="lastRow">
      <w:rPr>
        <w:b/>
        <w:bCs/>
      </w:rPr>
      <w:tblPr/>
      <w:tcPr>
        <w:tcBorders>
          <w:top w:val="sing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1Light-Accent4">
    <w:name w:val="List Table 1 Light Accent 4"/>
    <w:basedOn w:val="TableNormal"/>
    <w:uiPriority w:val="46"/>
    <w:semiHidden/>
    <w:rsid w:val="0058629F"/>
    <w:tblPr>
      <w:tblStyleRowBandSize w:val="1"/>
      <w:tblStyleColBandSize w:val="1"/>
    </w:tblPr>
    <w:tblStylePr w:type="firstRow">
      <w:rPr>
        <w:b/>
        <w:bCs/>
      </w:rPr>
      <w:tblPr/>
      <w:tcPr>
        <w:tcBorders>
          <w:bottom w:val="single" w:sz="4" w:space="0" w:color="5B3DC5" w:themeColor="accent4" w:themeTint="99"/>
        </w:tcBorders>
      </w:tcPr>
    </w:tblStylePr>
    <w:tblStylePr w:type="lastRow">
      <w:rPr>
        <w:b/>
        <w:bCs/>
      </w:rPr>
      <w:tblPr/>
      <w:tcPr>
        <w:tcBorders>
          <w:top w:val="sing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1Light-Accent5">
    <w:name w:val="List Table 1 Light Accent 5"/>
    <w:basedOn w:val="TableNormal"/>
    <w:uiPriority w:val="46"/>
    <w:semiHidden/>
    <w:rsid w:val="0058629F"/>
    <w:tblPr>
      <w:tblStyleRowBandSize w:val="1"/>
      <w:tblStyleColBandSize w:val="1"/>
    </w:tblPr>
    <w:tblStylePr w:type="firstRow">
      <w:rPr>
        <w:b/>
        <w:bCs/>
      </w:rPr>
      <w:tblPr/>
      <w:tcPr>
        <w:tcBorders>
          <w:bottom w:val="single" w:sz="4" w:space="0" w:color="A3CFBE" w:themeColor="accent5" w:themeTint="99"/>
        </w:tcBorders>
      </w:tcPr>
    </w:tblStylePr>
    <w:tblStylePr w:type="lastRow">
      <w:rPr>
        <w:b/>
        <w:bCs/>
      </w:rPr>
      <w:tblPr/>
      <w:tcPr>
        <w:tcBorders>
          <w:top w:val="single" w:sz="4" w:space="0" w:color="A3CFBE" w:themeColor="accent5" w:themeTint="99"/>
        </w:tcBorders>
      </w:tcPr>
    </w:tblStylePr>
    <w:tblStylePr w:type="firstCol">
      <w:rPr>
        <w:b/>
        <w:bCs/>
      </w:rPr>
    </w:tblStylePr>
    <w:tblStylePr w:type="lastCol">
      <w:rPr>
        <w:b/>
        <w:bCs/>
      </w:rPr>
    </w:tblStylePr>
    <w:tblStylePr w:type="band1Vert">
      <w:tblPr/>
      <w:tcPr>
        <w:shd w:val="clear" w:color="auto" w:fill="E0EFE9" w:themeFill="accent5" w:themeFillTint="33"/>
      </w:tcPr>
    </w:tblStylePr>
    <w:tblStylePr w:type="band1Horz">
      <w:tblPr/>
      <w:tcPr>
        <w:shd w:val="clear" w:color="auto" w:fill="E0EFE9" w:themeFill="accent5" w:themeFillTint="33"/>
      </w:tcPr>
    </w:tblStylePr>
  </w:style>
  <w:style w:type="table" w:styleId="ListTable1Light-Accent6">
    <w:name w:val="List Table 1 Light Accent 6"/>
    <w:basedOn w:val="TableNormal"/>
    <w:uiPriority w:val="46"/>
    <w:semiHidden/>
    <w:rsid w:val="0058629F"/>
    <w:tblPr>
      <w:tblStyleRowBandSize w:val="1"/>
      <w:tblStyleColBandSize w:val="1"/>
    </w:tblPr>
    <w:tblStylePr w:type="firstRow">
      <w:rPr>
        <w:b/>
        <w:bCs/>
      </w:rPr>
      <w:tblPr/>
      <w:tcPr>
        <w:tcBorders>
          <w:bottom w:val="single" w:sz="4" w:space="0" w:color="FFDCAC" w:themeColor="accent6" w:themeTint="99"/>
        </w:tcBorders>
      </w:tcPr>
    </w:tblStylePr>
    <w:tblStylePr w:type="lastRow">
      <w:rPr>
        <w:b/>
        <w:bCs/>
      </w:rPr>
      <w:tblPr/>
      <w:tcPr>
        <w:tcBorders>
          <w:top w:val="single" w:sz="4" w:space="0" w:color="FFDCAC" w:themeColor="accent6" w:themeTint="99"/>
        </w:tcBorders>
      </w:tcPr>
    </w:tblStylePr>
    <w:tblStylePr w:type="firstCol">
      <w:rPr>
        <w:b/>
        <w:bCs/>
      </w:rPr>
    </w:tblStylePr>
    <w:tblStylePr w:type="lastCol">
      <w:rPr>
        <w:b/>
        <w:bCs/>
      </w:rPr>
    </w:tblStylePr>
    <w:tblStylePr w:type="band1Vert">
      <w:tblPr/>
      <w:tcPr>
        <w:shd w:val="clear" w:color="auto" w:fill="FFF3E3" w:themeFill="accent6" w:themeFillTint="33"/>
      </w:tcPr>
    </w:tblStylePr>
    <w:tblStylePr w:type="band1Horz">
      <w:tblPr/>
      <w:tcPr>
        <w:shd w:val="clear" w:color="auto" w:fill="FFF3E3" w:themeFill="accent6" w:themeFillTint="33"/>
      </w:tcPr>
    </w:tblStylePr>
  </w:style>
  <w:style w:type="table" w:styleId="ListTable2">
    <w:name w:val="List Table 2"/>
    <w:basedOn w:val="TableNormal"/>
    <w:uiPriority w:val="47"/>
    <w:semiHidden/>
    <w:rsid w:val="0058629F"/>
    <w:tblPr>
      <w:tblStyleRowBandSize w:val="1"/>
      <w:tblStyleColBandSize w:val="1"/>
      <w:tblBorders>
        <w:top w:val="single" w:sz="4" w:space="0" w:color="7C7979" w:themeColor="text1" w:themeTint="99"/>
        <w:bottom w:val="single" w:sz="4" w:space="0" w:color="7C7979" w:themeColor="text1" w:themeTint="99"/>
        <w:insideH w:val="single" w:sz="4" w:space="0" w:color="7C797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2-Accent1">
    <w:name w:val="List Table 2 Accent 1"/>
    <w:basedOn w:val="TableNormal"/>
    <w:uiPriority w:val="47"/>
    <w:semiHidden/>
    <w:rsid w:val="0058629F"/>
    <w:tblPr>
      <w:tblStyleRowBandSize w:val="1"/>
      <w:tblStyleColBandSize w:val="1"/>
      <w:tblBorders>
        <w:top w:val="single" w:sz="4" w:space="0" w:color="16FFA3" w:themeColor="accent1" w:themeTint="99"/>
        <w:bottom w:val="single" w:sz="4" w:space="0" w:color="16FFA3" w:themeColor="accent1" w:themeTint="99"/>
        <w:insideH w:val="single" w:sz="4" w:space="0" w:color="16FFA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1FFE0" w:themeFill="accent1" w:themeFillTint="33"/>
      </w:tcPr>
    </w:tblStylePr>
    <w:tblStylePr w:type="band1Horz">
      <w:tblPr/>
      <w:tcPr>
        <w:shd w:val="clear" w:color="auto" w:fill="B1FFE0" w:themeFill="accent1" w:themeFillTint="33"/>
      </w:tcPr>
    </w:tblStylePr>
  </w:style>
  <w:style w:type="table" w:styleId="ListTable2-Accent2">
    <w:name w:val="List Table 2 Accent 2"/>
    <w:basedOn w:val="TableNormal"/>
    <w:uiPriority w:val="47"/>
    <w:semiHidden/>
    <w:rsid w:val="0058629F"/>
    <w:tblPr>
      <w:tblStyleRowBandSize w:val="1"/>
      <w:tblStyleColBandSize w:val="1"/>
      <w:tblBorders>
        <w:top w:val="single" w:sz="4" w:space="0" w:color="FFC476" w:themeColor="accent2" w:themeTint="99"/>
        <w:bottom w:val="single" w:sz="4" w:space="0" w:color="FFC476" w:themeColor="accent2" w:themeTint="99"/>
        <w:insideH w:val="single" w:sz="4" w:space="0" w:color="FFC476"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2-Accent3">
    <w:name w:val="List Table 2 Accent 3"/>
    <w:basedOn w:val="TableNormal"/>
    <w:uiPriority w:val="47"/>
    <w:semiHidden/>
    <w:rsid w:val="0058629F"/>
    <w:tblPr>
      <w:tblStyleRowBandSize w:val="1"/>
      <w:tblStyleColBandSize w:val="1"/>
      <w:tblBorders>
        <w:top w:val="single" w:sz="4" w:space="0" w:color="37FFF4" w:themeColor="accent3" w:themeTint="99"/>
        <w:bottom w:val="single" w:sz="4" w:space="0" w:color="37FFF4" w:themeColor="accent3" w:themeTint="99"/>
        <w:insideH w:val="single" w:sz="4" w:space="0" w:color="37FFF4"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2-Accent4">
    <w:name w:val="List Table 2 Accent 4"/>
    <w:basedOn w:val="TableNormal"/>
    <w:uiPriority w:val="47"/>
    <w:semiHidden/>
    <w:rsid w:val="0058629F"/>
    <w:tblPr>
      <w:tblStyleRowBandSize w:val="1"/>
      <w:tblStyleColBandSize w:val="1"/>
      <w:tblBorders>
        <w:top w:val="single" w:sz="4" w:space="0" w:color="5B3DC5" w:themeColor="accent4" w:themeTint="99"/>
        <w:bottom w:val="single" w:sz="4" w:space="0" w:color="5B3DC5" w:themeColor="accent4" w:themeTint="99"/>
        <w:insideH w:val="single" w:sz="4" w:space="0" w:color="5B3DC5"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2-Accent5">
    <w:name w:val="List Table 2 Accent 5"/>
    <w:basedOn w:val="TableNormal"/>
    <w:uiPriority w:val="47"/>
    <w:semiHidden/>
    <w:rsid w:val="0058629F"/>
    <w:tblPr>
      <w:tblStyleRowBandSize w:val="1"/>
      <w:tblStyleColBandSize w:val="1"/>
      <w:tblBorders>
        <w:top w:val="single" w:sz="4" w:space="0" w:color="A3CFBE" w:themeColor="accent5" w:themeTint="99"/>
        <w:bottom w:val="single" w:sz="4" w:space="0" w:color="A3CFBE" w:themeColor="accent5" w:themeTint="99"/>
        <w:insideH w:val="single" w:sz="4" w:space="0" w:color="A3CFB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FE9" w:themeFill="accent5" w:themeFillTint="33"/>
      </w:tcPr>
    </w:tblStylePr>
    <w:tblStylePr w:type="band1Horz">
      <w:tblPr/>
      <w:tcPr>
        <w:shd w:val="clear" w:color="auto" w:fill="E0EFE9" w:themeFill="accent5" w:themeFillTint="33"/>
      </w:tcPr>
    </w:tblStylePr>
  </w:style>
  <w:style w:type="table" w:styleId="ListTable2-Accent6">
    <w:name w:val="List Table 2 Accent 6"/>
    <w:basedOn w:val="TableNormal"/>
    <w:uiPriority w:val="47"/>
    <w:semiHidden/>
    <w:rsid w:val="0058629F"/>
    <w:tblPr>
      <w:tblStyleRowBandSize w:val="1"/>
      <w:tblStyleColBandSize w:val="1"/>
      <w:tblBorders>
        <w:top w:val="single" w:sz="4" w:space="0" w:color="FFDCAC" w:themeColor="accent6" w:themeTint="99"/>
        <w:bottom w:val="single" w:sz="4" w:space="0" w:color="FFDCAC" w:themeColor="accent6" w:themeTint="99"/>
        <w:insideH w:val="single" w:sz="4" w:space="0" w:color="FFDCA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E3" w:themeFill="accent6" w:themeFillTint="33"/>
      </w:tcPr>
    </w:tblStylePr>
    <w:tblStylePr w:type="band1Horz">
      <w:tblPr/>
      <w:tcPr>
        <w:shd w:val="clear" w:color="auto" w:fill="FFF3E3" w:themeFill="accent6" w:themeFillTint="33"/>
      </w:tcPr>
    </w:tblStylePr>
  </w:style>
  <w:style w:type="table" w:styleId="ListTable3">
    <w:name w:val="List Table 3"/>
    <w:basedOn w:val="TableNormal"/>
    <w:uiPriority w:val="48"/>
    <w:semiHidden/>
    <w:rsid w:val="0058629F"/>
    <w:tblPr>
      <w:tblStyleRowBandSize w:val="1"/>
      <w:tblStyleColBandSize w:val="1"/>
      <w:tblBorders>
        <w:top w:val="single" w:sz="4" w:space="0" w:color="232222" w:themeColor="text1"/>
        <w:left w:val="single" w:sz="4" w:space="0" w:color="232222" w:themeColor="text1"/>
        <w:bottom w:val="single" w:sz="4" w:space="0" w:color="232222" w:themeColor="text1"/>
        <w:right w:val="single" w:sz="4" w:space="0" w:color="232222" w:themeColor="text1"/>
      </w:tblBorders>
    </w:tblPr>
    <w:tblStylePr w:type="firstRow">
      <w:rPr>
        <w:b/>
        <w:bCs/>
        <w:color w:val="FFFFFF" w:themeColor="background1"/>
      </w:rPr>
      <w:tblPr/>
      <w:tcPr>
        <w:shd w:val="clear" w:color="auto" w:fill="232222" w:themeFill="text1"/>
      </w:tcPr>
    </w:tblStylePr>
    <w:tblStylePr w:type="lastRow">
      <w:rPr>
        <w:b/>
        <w:bCs/>
      </w:rPr>
      <w:tblPr/>
      <w:tcPr>
        <w:tcBorders>
          <w:top w:val="double" w:sz="4" w:space="0" w:color="232222"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2222" w:themeColor="text1"/>
          <w:right w:val="single" w:sz="4" w:space="0" w:color="232222" w:themeColor="text1"/>
        </w:tcBorders>
      </w:tcPr>
    </w:tblStylePr>
    <w:tblStylePr w:type="band1Horz">
      <w:tblPr/>
      <w:tcPr>
        <w:tcBorders>
          <w:top w:val="single" w:sz="4" w:space="0" w:color="232222" w:themeColor="text1"/>
          <w:bottom w:val="single" w:sz="4" w:space="0" w:color="232222"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2222" w:themeColor="text1"/>
          <w:left w:val="nil"/>
        </w:tcBorders>
      </w:tcPr>
    </w:tblStylePr>
    <w:tblStylePr w:type="swCell">
      <w:tblPr/>
      <w:tcPr>
        <w:tcBorders>
          <w:top w:val="double" w:sz="4" w:space="0" w:color="232222" w:themeColor="text1"/>
          <w:right w:val="nil"/>
        </w:tcBorders>
      </w:tcPr>
    </w:tblStylePr>
  </w:style>
  <w:style w:type="table" w:styleId="ListTable3-Accent1">
    <w:name w:val="List Table 3 Accent 1"/>
    <w:basedOn w:val="TableNormal"/>
    <w:uiPriority w:val="48"/>
    <w:semiHidden/>
    <w:rsid w:val="0058629F"/>
    <w:tblPr>
      <w:tblStyleRowBandSize w:val="1"/>
      <w:tblStyleColBandSize w:val="1"/>
      <w:tblBorders>
        <w:top w:val="single" w:sz="4" w:space="0" w:color="007B4B" w:themeColor="accent1"/>
        <w:left w:val="single" w:sz="4" w:space="0" w:color="007B4B" w:themeColor="accent1"/>
        <w:bottom w:val="single" w:sz="4" w:space="0" w:color="007B4B" w:themeColor="accent1"/>
        <w:right w:val="single" w:sz="4" w:space="0" w:color="007B4B" w:themeColor="accent1"/>
      </w:tblBorders>
    </w:tblPr>
    <w:tblStylePr w:type="firstRow">
      <w:rPr>
        <w:b/>
        <w:bCs/>
        <w:color w:val="FFFFFF" w:themeColor="background1"/>
      </w:rPr>
      <w:tblPr/>
      <w:tcPr>
        <w:shd w:val="clear" w:color="auto" w:fill="007B4B" w:themeFill="accent1"/>
      </w:tcPr>
    </w:tblStylePr>
    <w:tblStylePr w:type="lastRow">
      <w:rPr>
        <w:b/>
        <w:bCs/>
      </w:rPr>
      <w:tblPr/>
      <w:tcPr>
        <w:tcBorders>
          <w:top w:val="double" w:sz="4" w:space="0" w:color="007B4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B4B" w:themeColor="accent1"/>
          <w:right w:val="single" w:sz="4" w:space="0" w:color="007B4B" w:themeColor="accent1"/>
        </w:tcBorders>
      </w:tcPr>
    </w:tblStylePr>
    <w:tblStylePr w:type="band1Horz">
      <w:tblPr/>
      <w:tcPr>
        <w:tcBorders>
          <w:top w:val="single" w:sz="4" w:space="0" w:color="007B4B" w:themeColor="accent1"/>
          <w:bottom w:val="single" w:sz="4" w:space="0" w:color="007B4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B4B" w:themeColor="accent1"/>
          <w:left w:val="nil"/>
        </w:tcBorders>
      </w:tcPr>
    </w:tblStylePr>
    <w:tblStylePr w:type="swCell">
      <w:tblPr/>
      <w:tcPr>
        <w:tcBorders>
          <w:top w:val="double" w:sz="4" w:space="0" w:color="007B4B" w:themeColor="accent1"/>
          <w:right w:val="nil"/>
        </w:tcBorders>
      </w:tcPr>
    </w:tblStylePr>
  </w:style>
  <w:style w:type="table" w:styleId="ListTable3-Accent2">
    <w:name w:val="List Table 3 Accent 2"/>
    <w:basedOn w:val="TableNormal"/>
    <w:uiPriority w:val="48"/>
    <w:semiHidden/>
    <w:rsid w:val="0058629F"/>
    <w:tblPr>
      <w:tblStyleRowBandSize w:val="1"/>
      <w:tblStyleColBandSize w:val="1"/>
      <w:tblBorders>
        <w:top w:val="single" w:sz="4" w:space="0" w:color="FF9E1B" w:themeColor="accent2"/>
        <w:left w:val="single" w:sz="4" w:space="0" w:color="FF9E1B" w:themeColor="accent2"/>
        <w:bottom w:val="single" w:sz="4" w:space="0" w:color="FF9E1B" w:themeColor="accent2"/>
        <w:right w:val="single" w:sz="4" w:space="0" w:color="FF9E1B" w:themeColor="accent2"/>
      </w:tblBorders>
    </w:tblPr>
    <w:tblStylePr w:type="firstRow">
      <w:rPr>
        <w:b/>
        <w:bCs/>
        <w:color w:val="FFFFFF" w:themeColor="background1"/>
      </w:rPr>
      <w:tblPr/>
      <w:tcPr>
        <w:shd w:val="clear" w:color="auto" w:fill="FF9E1B" w:themeFill="accent2"/>
      </w:tcPr>
    </w:tblStylePr>
    <w:tblStylePr w:type="lastRow">
      <w:rPr>
        <w:b/>
        <w:bCs/>
      </w:rPr>
      <w:tblPr/>
      <w:tcPr>
        <w:tcBorders>
          <w:top w:val="double" w:sz="4" w:space="0" w:color="FF9E1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9E1B" w:themeColor="accent2"/>
          <w:right w:val="single" w:sz="4" w:space="0" w:color="FF9E1B" w:themeColor="accent2"/>
        </w:tcBorders>
      </w:tcPr>
    </w:tblStylePr>
    <w:tblStylePr w:type="band1Horz">
      <w:tblPr/>
      <w:tcPr>
        <w:tcBorders>
          <w:top w:val="single" w:sz="4" w:space="0" w:color="FF9E1B" w:themeColor="accent2"/>
          <w:bottom w:val="single" w:sz="4" w:space="0" w:color="FF9E1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9E1B" w:themeColor="accent2"/>
          <w:left w:val="nil"/>
        </w:tcBorders>
      </w:tcPr>
    </w:tblStylePr>
    <w:tblStylePr w:type="swCell">
      <w:tblPr/>
      <w:tcPr>
        <w:tcBorders>
          <w:top w:val="double" w:sz="4" w:space="0" w:color="FF9E1B" w:themeColor="accent2"/>
          <w:right w:val="nil"/>
        </w:tcBorders>
      </w:tcPr>
    </w:tblStylePr>
  </w:style>
  <w:style w:type="table" w:styleId="ListTable3-Accent3">
    <w:name w:val="List Table 3 Accent 3"/>
    <w:basedOn w:val="TableNormal"/>
    <w:uiPriority w:val="48"/>
    <w:semiHidden/>
    <w:rsid w:val="0058629F"/>
    <w:tblPr>
      <w:tblStyleRowBandSize w:val="1"/>
      <w:tblStyleColBandSize w:val="1"/>
      <w:tblBorders>
        <w:top w:val="single" w:sz="4" w:space="0" w:color="00B2A9" w:themeColor="accent3"/>
        <w:left w:val="single" w:sz="4" w:space="0" w:color="00B2A9" w:themeColor="accent3"/>
        <w:bottom w:val="single" w:sz="4" w:space="0" w:color="00B2A9" w:themeColor="accent3"/>
        <w:right w:val="single" w:sz="4" w:space="0" w:color="00B2A9" w:themeColor="accent3"/>
      </w:tblBorders>
    </w:tblPr>
    <w:tblStylePr w:type="firstRow">
      <w:rPr>
        <w:b/>
        <w:bCs/>
        <w:color w:val="FFFFFF" w:themeColor="background1"/>
      </w:rPr>
      <w:tblPr/>
      <w:tcPr>
        <w:shd w:val="clear" w:color="auto" w:fill="00B2A9" w:themeFill="accent3"/>
      </w:tcPr>
    </w:tblStylePr>
    <w:tblStylePr w:type="lastRow">
      <w:rPr>
        <w:b/>
        <w:bCs/>
      </w:rPr>
      <w:tblPr/>
      <w:tcPr>
        <w:tcBorders>
          <w:top w:val="double" w:sz="4" w:space="0" w:color="00B2A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B2A9" w:themeColor="accent3"/>
          <w:right w:val="single" w:sz="4" w:space="0" w:color="00B2A9" w:themeColor="accent3"/>
        </w:tcBorders>
      </w:tcPr>
    </w:tblStylePr>
    <w:tblStylePr w:type="band1Horz">
      <w:tblPr/>
      <w:tcPr>
        <w:tcBorders>
          <w:top w:val="single" w:sz="4" w:space="0" w:color="00B2A9" w:themeColor="accent3"/>
          <w:bottom w:val="single" w:sz="4" w:space="0" w:color="00B2A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B2A9" w:themeColor="accent3"/>
          <w:left w:val="nil"/>
        </w:tcBorders>
      </w:tcPr>
    </w:tblStylePr>
    <w:tblStylePr w:type="swCell">
      <w:tblPr/>
      <w:tcPr>
        <w:tcBorders>
          <w:top w:val="double" w:sz="4" w:space="0" w:color="00B2A9" w:themeColor="accent3"/>
          <w:right w:val="nil"/>
        </w:tcBorders>
      </w:tcPr>
    </w:tblStylePr>
  </w:style>
  <w:style w:type="table" w:styleId="ListTable3-Accent4">
    <w:name w:val="List Table 3 Accent 4"/>
    <w:basedOn w:val="TableNormal"/>
    <w:uiPriority w:val="48"/>
    <w:semiHidden/>
    <w:rsid w:val="0058629F"/>
    <w:tblPr>
      <w:tblStyleRowBandSize w:val="1"/>
      <w:tblStyleColBandSize w:val="1"/>
      <w:tblBorders>
        <w:top w:val="single" w:sz="4" w:space="0" w:color="201547" w:themeColor="accent4"/>
        <w:left w:val="single" w:sz="4" w:space="0" w:color="201547" w:themeColor="accent4"/>
        <w:bottom w:val="single" w:sz="4" w:space="0" w:color="201547" w:themeColor="accent4"/>
        <w:right w:val="single" w:sz="4" w:space="0" w:color="201547" w:themeColor="accent4"/>
      </w:tblBorders>
    </w:tblPr>
    <w:tblStylePr w:type="firstRow">
      <w:rPr>
        <w:b/>
        <w:bCs/>
        <w:color w:val="FFFFFF" w:themeColor="background1"/>
      </w:rPr>
      <w:tblPr/>
      <w:tcPr>
        <w:shd w:val="clear" w:color="auto" w:fill="201547" w:themeFill="accent4"/>
      </w:tcPr>
    </w:tblStylePr>
    <w:tblStylePr w:type="lastRow">
      <w:rPr>
        <w:b/>
        <w:bCs/>
      </w:rPr>
      <w:tblPr/>
      <w:tcPr>
        <w:tcBorders>
          <w:top w:val="double" w:sz="4" w:space="0" w:color="20154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01547" w:themeColor="accent4"/>
          <w:right w:val="single" w:sz="4" w:space="0" w:color="201547" w:themeColor="accent4"/>
        </w:tcBorders>
      </w:tcPr>
    </w:tblStylePr>
    <w:tblStylePr w:type="band1Horz">
      <w:tblPr/>
      <w:tcPr>
        <w:tcBorders>
          <w:top w:val="single" w:sz="4" w:space="0" w:color="201547" w:themeColor="accent4"/>
          <w:bottom w:val="single" w:sz="4" w:space="0" w:color="20154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01547" w:themeColor="accent4"/>
          <w:left w:val="nil"/>
        </w:tcBorders>
      </w:tcPr>
    </w:tblStylePr>
    <w:tblStylePr w:type="swCell">
      <w:tblPr/>
      <w:tcPr>
        <w:tcBorders>
          <w:top w:val="double" w:sz="4" w:space="0" w:color="201547" w:themeColor="accent4"/>
          <w:right w:val="nil"/>
        </w:tcBorders>
      </w:tcPr>
    </w:tblStylePr>
  </w:style>
  <w:style w:type="table" w:styleId="ListTable3-Accent5">
    <w:name w:val="List Table 3 Accent 5"/>
    <w:basedOn w:val="TableNormal"/>
    <w:uiPriority w:val="48"/>
    <w:semiHidden/>
    <w:rsid w:val="0058629F"/>
    <w:tblPr>
      <w:tblStyleRowBandSize w:val="1"/>
      <w:tblStyleColBandSize w:val="1"/>
      <w:tblBorders>
        <w:top w:val="single" w:sz="4" w:space="0" w:color="66B093" w:themeColor="accent5"/>
        <w:left w:val="single" w:sz="4" w:space="0" w:color="66B093" w:themeColor="accent5"/>
        <w:bottom w:val="single" w:sz="4" w:space="0" w:color="66B093" w:themeColor="accent5"/>
        <w:right w:val="single" w:sz="4" w:space="0" w:color="66B093" w:themeColor="accent5"/>
      </w:tblBorders>
    </w:tblPr>
    <w:tblStylePr w:type="firstRow">
      <w:rPr>
        <w:b/>
        <w:bCs/>
        <w:color w:val="FFFFFF" w:themeColor="background1"/>
      </w:rPr>
      <w:tblPr/>
      <w:tcPr>
        <w:shd w:val="clear" w:color="auto" w:fill="66B093" w:themeFill="accent5"/>
      </w:tcPr>
    </w:tblStylePr>
    <w:tblStylePr w:type="lastRow">
      <w:rPr>
        <w:b/>
        <w:bCs/>
      </w:rPr>
      <w:tblPr/>
      <w:tcPr>
        <w:tcBorders>
          <w:top w:val="double" w:sz="4" w:space="0" w:color="66B0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B093" w:themeColor="accent5"/>
          <w:right w:val="single" w:sz="4" w:space="0" w:color="66B093" w:themeColor="accent5"/>
        </w:tcBorders>
      </w:tcPr>
    </w:tblStylePr>
    <w:tblStylePr w:type="band1Horz">
      <w:tblPr/>
      <w:tcPr>
        <w:tcBorders>
          <w:top w:val="single" w:sz="4" w:space="0" w:color="66B093" w:themeColor="accent5"/>
          <w:bottom w:val="single" w:sz="4" w:space="0" w:color="66B0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B093" w:themeColor="accent5"/>
          <w:left w:val="nil"/>
        </w:tcBorders>
      </w:tcPr>
    </w:tblStylePr>
    <w:tblStylePr w:type="swCell">
      <w:tblPr/>
      <w:tcPr>
        <w:tcBorders>
          <w:top w:val="double" w:sz="4" w:space="0" w:color="66B093" w:themeColor="accent5"/>
          <w:right w:val="nil"/>
        </w:tcBorders>
      </w:tcPr>
    </w:tblStylePr>
  </w:style>
  <w:style w:type="table" w:styleId="ListTable3-Accent6">
    <w:name w:val="List Table 3 Accent 6"/>
    <w:basedOn w:val="TableNormal"/>
    <w:uiPriority w:val="48"/>
    <w:semiHidden/>
    <w:rsid w:val="0058629F"/>
    <w:tblPr>
      <w:tblStyleRowBandSize w:val="1"/>
      <w:tblStyleColBandSize w:val="1"/>
      <w:tblBorders>
        <w:top w:val="single" w:sz="4" w:space="0" w:color="FFC576" w:themeColor="accent6"/>
        <w:left w:val="single" w:sz="4" w:space="0" w:color="FFC576" w:themeColor="accent6"/>
        <w:bottom w:val="single" w:sz="4" w:space="0" w:color="FFC576" w:themeColor="accent6"/>
        <w:right w:val="single" w:sz="4" w:space="0" w:color="FFC576" w:themeColor="accent6"/>
      </w:tblBorders>
    </w:tblPr>
    <w:tblStylePr w:type="firstRow">
      <w:rPr>
        <w:b/>
        <w:bCs/>
        <w:color w:val="FFFFFF" w:themeColor="background1"/>
      </w:rPr>
      <w:tblPr/>
      <w:tcPr>
        <w:shd w:val="clear" w:color="auto" w:fill="FFC576" w:themeFill="accent6"/>
      </w:tcPr>
    </w:tblStylePr>
    <w:tblStylePr w:type="lastRow">
      <w:rPr>
        <w:b/>
        <w:bCs/>
      </w:rPr>
      <w:tblPr/>
      <w:tcPr>
        <w:tcBorders>
          <w:top w:val="double" w:sz="4" w:space="0" w:color="FFC57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576" w:themeColor="accent6"/>
          <w:right w:val="single" w:sz="4" w:space="0" w:color="FFC576" w:themeColor="accent6"/>
        </w:tcBorders>
      </w:tcPr>
    </w:tblStylePr>
    <w:tblStylePr w:type="band1Horz">
      <w:tblPr/>
      <w:tcPr>
        <w:tcBorders>
          <w:top w:val="single" w:sz="4" w:space="0" w:color="FFC576" w:themeColor="accent6"/>
          <w:bottom w:val="single" w:sz="4" w:space="0" w:color="FFC57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576" w:themeColor="accent6"/>
          <w:left w:val="nil"/>
        </w:tcBorders>
      </w:tcPr>
    </w:tblStylePr>
    <w:tblStylePr w:type="swCell">
      <w:tblPr/>
      <w:tcPr>
        <w:tcBorders>
          <w:top w:val="double" w:sz="4" w:space="0" w:color="FFC576" w:themeColor="accent6"/>
          <w:right w:val="nil"/>
        </w:tcBorders>
      </w:tcPr>
    </w:tblStylePr>
  </w:style>
  <w:style w:type="table" w:styleId="ListTable4">
    <w:name w:val="List Table 4"/>
    <w:basedOn w:val="TableNormal"/>
    <w:uiPriority w:val="49"/>
    <w:semiHidden/>
    <w:rsid w:val="0058629F"/>
    <w:tblPr>
      <w:tblStyleRowBandSize w:val="1"/>
      <w:tblStyleColBandSize w:val="1"/>
      <w:tblBorders>
        <w:top w:val="single" w:sz="4" w:space="0" w:color="7C7979" w:themeColor="text1" w:themeTint="99"/>
        <w:left w:val="single" w:sz="4" w:space="0" w:color="7C7979" w:themeColor="text1" w:themeTint="99"/>
        <w:bottom w:val="single" w:sz="4" w:space="0" w:color="7C7979" w:themeColor="text1" w:themeTint="99"/>
        <w:right w:val="single" w:sz="4" w:space="0" w:color="7C7979" w:themeColor="text1" w:themeTint="99"/>
        <w:insideH w:val="single" w:sz="4" w:space="0" w:color="7C7979" w:themeColor="text1" w:themeTint="99"/>
      </w:tblBorders>
    </w:tblPr>
    <w:tblStylePr w:type="firstRow">
      <w:rPr>
        <w:b/>
        <w:bCs/>
        <w:color w:val="FFFFFF" w:themeColor="background1"/>
      </w:rPr>
      <w:tblPr/>
      <w:tcPr>
        <w:tcBorders>
          <w:top w:val="single" w:sz="4" w:space="0" w:color="232222" w:themeColor="text1"/>
          <w:left w:val="single" w:sz="4" w:space="0" w:color="232222" w:themeColor="text1"/>
          <w:bottom w:val="single" w:sz="4" w:space="0" w:color="232222" w:themeColor="text1"/>
          <w:right w:val="single" w:sz="4" w:space="0" w:color="232222" w:themeColor="text1"/>
          <w:insideH w:val="nil"/>
        </w:tcBorders>
        <w:shd w:val="clear" w:color="auto" w:fill="232222" w:themeFill="text1"/>
      </w:tcPr>
    </w:tblStylePr>
    <w:tblStylePr w:type="lastRow">
      <w:rPr>
        <w:b/>
        <w:bCs/>
      </w:rPr>
      <w:tblPr/>
      <w:tcPr>
        <w:tcBorders>
          <w:top w:val="double" w:sz="4" w:space="0" w:color="7C7979" w:themeColor="text1" w:themeTint="99"/>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4-Accent1">
    <w:name w:val="List Table 4 Accent 1"/>
    <w:basedOn w:val="TableNormal"/>
    <w:uiPriority w:val="49"/>
    <w:semiHidden/>
    <w:rsid w:val="0058629F"/>
    <w:tblPr>
      <w:tblStyleRowBandSize w:val="1"/>
      <w:tblStyleColBandSize w:val="1"/>
      <w:tblBorders>
        <w:top w:val="single" w:sz="4" w:space="0" w:color="16FFA3" w:themeColor="accent1" w:themeTint="99"/>
        <w:left w:val="single" w:sz="4" w:space="0" w:color="16FFA3" w:themeColor="accent1" w:themeTint="99"/>
        <w:bottom w:val="single" w:sz="4" w:space="0" w:color="16FFA3" w:themeColor="accent1" w:themeTint="99"/>
        <w:right w:val="single" w:sz="4" w:space="0" w:color="16FFA3" w:themeColor="accent1" w:themeTint="99"/>
        <w:insideH w:val="single" w:sz="4" w:space="0" w:color="16FFA3" w:themeColor="accent1" w:themeTint="99"/>
      </w:tblBorders>
    </w:tblPr>
    <w:tblStylePr w:type="firstRow">
      <w:rPr>
        <w:b/>
        <w:bCs/>
        <w:color w:val="FFFFFF" w:themeColor="background1"/>
      </w:rPr>
      <w:tblPr/>
      <w:tcPr>
        <w:tcBorders>
          <w:top w:val="single" w:sz="4" w:space="0" w:color="007B4B" w:themeColor="accent1"/>
          <w:left w:val="single" w:sz="4" w:space="0" w:color="007B4B" w:themeColor="accent1"/>
          <w:bottom w:val="single" w:sz="4" w:space="0" w:color="007B4B" w:themeColor="accent1"/>
          <w:right w:val="single" w:sz="4" w:space="0" w:color="007B4B" w:themeColor="accent1"/>
          <w:insideH w:val="nil"/>
        </w:tcBorders>
        <w:shd w:val="clear" w:color="auto" w:fill="007B4B" w:themeFill="accent1"/>
      </w:tcPr>
    </w:tblStylePr>
    <w:tblStylePr w:type="lastRow">
      <w:rPr>
        <w:b/>
        <w:bCs/>
      </w:rPr>
      <w:tblPr/>
      <w:tcPr>
        <w:tcBorders>
          <w:top w:val="double" w:sz="4" w:space="0" w:color="16FFA3" w:themeColor="accent1" w:themeTint="99"/>
        </w:tcBorders>
      </w:tcPr>
    </w:tblStylePr>
    <w:tblStylePr w:type="firstCol">
      <w:rPr>
        <w:b/>
        <w:bCs/>
      </w:rPr>
    </w:tblStylePr>
    <w:tblStylePr w:type="lastCol">
      <w:rPr>
        <w:b/>
        <w:bCs/>
      </w:rPr>
    </w:tblStylePr>
    <w:tblStylePr w:type="band1Vert">
      <w:tblPr/>
      <w:tcPr>
        <w:shd w:val="clear" w:color="auto" w:fill="B1FFE0" w:themeFill="accent1" w:themeFillTint="33"/>
      </w:tcPr>
    </w:tblStylePr>
    <w:tblStylePr w:type="band1Horz">
      <w:tblPr/>
      <w:tcPr>
        <w:shd w:val="clear" w:color="auto" w:fill="B1FFE0" w:themeFill="accent1" w:themeFillTint="33"/>
      </w:tcPr>
    </w:tblStylePr>
  </w:style>
  <w:style w:type="table" w:styleId="ListTable4-Accent2">
    <w:name w:val="List Table 4 Accent 2"/>
    <w:basedOn w:val="TableNormal"/>
    <w:uiPriority w:val="49"/>
    <w:semiHidden/>
    <w:rsid w:val="0058629F"/>
    <w:tblPr>
      <w:tblStyleRowBandSize w:val="1"/>
      <w:tblStyleColBandSize w:val="1"/>
      <w:tblBorders>
        <w:top w:val="single" w:sz="4" w:space="0" w:color="FFC476" w:themeColor="accent2" w:themeTint="99"/>
        <w:left w:val="single" w:sz="4" w:space="0" w:color="FFC476" w:themeColor="accent2" w:themeTint="99"/>
        <w:bottom w:val="single" w:sz="4" w:space="0" w:color="FFC476" w:themeColor="accent2" w:themeTint="99"/>
        <w:right w:val="single" w:sz="4" w:space="0" w:color="FFC476" w:themeColor="accent2" w:themeTint="99"/>
        <w:insideH w:val="single" w:sz="4" w:space="0" w:color="FFC476" w:themeColor="accent2" w:themeTint="99"/>
      </w:tblBorders>
    </w:tblPr>
    <w:tblStylePr w:type="firstRow">
      <w:rPr>
        <w:b/>
        <w:bCs/>
        <w:color w:val="FFFFFF" w:themeColor="background1"/>
      </w:rPr>
      <w:tblPr/>
      <w:tcPr>
        <w:tcBorders>
          <w:top w:val="single" w:sz="4" w:space="0" w:color="FF9E1B" w:themeColor="accent2"/>
          <w:left w:val="single" w:sz="4" w:space="0" w:color="FF9E1B" w:themeColor="accent2"/>
          <w:bottom w:val="single" w:sz="4" w:space="0" w:color="FF9E1B" w:themeColor="accent2"/>
          <w:right w:val="single" w:sz="4" w:space="0" w:color="FF9E1B" w:themeColor="accent2"/>
          <w:insideH w:val="nil"/>
        </w:tcBorders>
        <w:shd w:val="clear" w:color="auto" w:fill="FF9E1B" w:themeFill="accent2"/>
      </w:tcPr>
    </w:tblStylePr>
    <w:tblStylePr w:type="lastRow">
      <w:rPr>
        <w:b/>
        <w:bCs/>
      </w:rPr>
      <w:tblPr/>
      <w:tcPr>
        <w:tcBorders>
          <w:top w:val="double" w:sz="4" w:space="0" w:color="FFC476" w:themeColor="accent2" w:themeTint="99"/>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4-Accent3">
    <w:name w:val="List Table 4 Accent 3"/>
    <w:basedOn w:val="TableNormal"/>
    <w:uiPriority w:val="49"/>
    <w:semiHidden/>
    <w:rsid w:val="0058629F"/>
    <w:tblPr>
      <w:tblStyleRowBandSize w:val="1"/>
      <w:tblStyleColBandSize w:val="1"/>
      <w:tblBorders>
        <w:top w:val="single" w:sz="4" w:space="0" w:color="37FFF4" w:themeColor="accent3" w:themeTint="99"/>
        <w:left w:val="single" w:sz="4" w:space="0" w:color="37FFF4" w:themeColor="accent3" w:themeTint="99"/>
        <w:bottom w:val="single" w:sz="4" w:space="0" w:color="37FFF4" w:themeColor="accent3" w:themeTint="99"/>
        <w:right w:val="single" w:sz="4" w:space="0" w:color="37FFF4" w:themeColor="accent3" w:themeTint="99"/>
        <w:insideH w:val="single" w:sz="4" w:space="0" w:color="37FFF4" w:themeColor="accent3" w:themeTint="99"/>
      </w:tblBorders>
    </w:tblPr>
    <w:tblStylePr w:type="firstRow">
      <w:rPr>
        <w:b/>
        <w:bCs/>
        <w:color w:val="FFFFFF" w:themeColor="background1"/>
      </w:rPr>
      <w:tblPr/>
      <w:tcPr>
        <w:tcBorders>
          <w:top w:val="single" w:sz="4" w:space="0" w:color="00B2A9" w:themeColor="accent3"/>
          <w:left w:val="single" w:sz="4" w:space="0" w:color="00B2A9" w:themeColor="accent3"/>
          <w:bottom w:val="single" w:sz="4" w:space="0" w:color="00B2A9" w:themeColor="accent3"/>
          <w:right w:val="single" w:sz="4" w:space="0" w:color="00B2A9" w:themeColor="accent3"/>
          <w:insideH w:val="nil"/>
        </w:tcBorders>
        <w:shd w:val="clear" w:color="auto" w:fill="00B2A9" w:themeFill="accent3"/>
      </w:tcPr>
    </w:tblStylePr>
    <w:tblStylePr w:type="lastRow">
      <w:rPr>
        <w:b/>
        <w:bCs/>
      </w:rPr>
      <w:tblPr/>
      <w:tcPr>
        <w:tcBorders>
          <w:top w:val="double" w:sz="4" w:space="0" w:color="37FFF4" w:themeColor="accent3" w:themeTint="99"/>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4-Accent4">
    <w:name w:val="List Table 4 Accent 4"/>
    <w:basedOn w:val="TableNormal"/>
    <w:uiPriority w:val="49"/>
    <w:semiHidden/>
    <w:rsid w:val="0058629F"/>
    <w:tblPr>
      <w:tblStyleRowBandSize w:val="1"/>
      <w:tblStyleColBandSize w:val="1"/>
      <w:tblBorders>
        <w:top w:val="single" w:sz="4" w:space="0" w:color="5B3DC5" w:themeColor="accent4" w:themeTint="99"/>
        <w:left w:val="single" w:sz="4" w:space="0" w:color="5B3DC5" w:themeColor="accent4" w:themeTint="99"/>
        <w:bottom w:val="single" w:sz="4" w:space="0" w:color="5B3DC5" w:themeColor="accent4" w:themeTint="99"/>
        <w:right w:val="single" w:sz="4" w:space="0" w:color="5B3DC5" w:themeColor="accent4" w:themeTint="99"/>
        <w:insideH w:val="single" w:sz="4" w:space="0" w:color="5B3DC5" w:themeColor="accent4" w:themeTint="99"/>
      </w:tblBorders>
    </w:tblPr>
    <w:tblStylePr w:type="firstRow">
      <w:rPr>
        <w:b/>
        <w:bCs/>
        <w:color w:val="FFFFFF" w:themeColor="background1"/>
      </w:rPr>
      <w:tblPr/>
      <w:tcPr>
        <w:tcBorders>
          <w:top w:val="single" w:sz="4" w:space="0" w:color="201547" w:themeColor="accent4"/>
          <w:left w:val="single" w:sz="4" w:space="0" w:color="201547" w:themeColor="accent4"/>
          <w:bottom w:val="single" w:sz="4" w:space="0" w:color="201547" w:themeColor="accent4"/>
          <w:right w:val="single" w:sz="4" w:space="0" w:color="201547" w:themeColor="accent4"/>
          <w:insideH w:val="nil"/>
        </w:tcBorders>
        <w:shd w:val="clear" w:color="auto" w:fill="201547" w:themeFill="accent4"/>
      </w:tcPr>
    </w:tblStylePr>
    <w:tblStylePr w:type="lastRow">
      <w:rPr>
        <w:b/>
        <w:bCs/>
      </w:rPr>
      <w:tblPr/>
      <w:tcPr>
        <w:tcBorders>
          <w:top w:val="double" w:sz="4" w:space="0" w:color="5B3DC5" w:themeColor="accent4" w:themeTint="99"/>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4-Accent5">
    <w:name w:val="List Table 4 Accent 5"/>
    <w:basedOn w:val="TableNormal"/>
    <w:uiPriority w:val="49"/>
    <w:semiHidden/>
    <w:rsid w:val="0058629F"/>
    <w:tblPr>
      <w:tblStyleRowBandSize w:val="1"/>
      <w:tblStyleColBandSize w:val="1"/>
      <w:tblBorders>
        <w:top w:val="single" w:sz="4" w:space="0" w:color="A3CFBE" w:themeColor="accent5" w:themeTint="99"/>
        <w:left w:val="single" w:sz="4" w:space="0" w:color="A3CFBE" w:themeColor="accent5" w:themeTint="99"/>
        <w:bottom w:val="single" w:sz="4" w:space="0" w:color="A3CFBE" w:themeColor="accent5" w:themeTint="99"/>
        <w:right w:val="single" w:sz="4" w:space="0" w:color="A3CFBE" w:themeColor="accent5" w:themeTint="99"/>
        <w:insideH w:val="single" w:sz="4" w:space="0" w:color="A3CFBE" w:themeColor="accent5" w:themeTint="99"/>
      </w:tblBorders>
    </w:tblPr>
    <w:tblStylePr w:type="firstRow">
      <w:rPr>
        <w:b/>
        <w:bCs/>
        <w:color w:val="FFFFFF" w:themeColor="background1"/>
      </w:rPr>
      <w:tblPr/>
      <w:tcPr>
        <w:tcBorders>
          <w:top w:val="single" w:sz="4" w:space="0" w:color="66B093" w:themeColor="accent5"/>
          <w:left w:val="single" w:sz="4" w:space="0" w:color="66B093" w:themeColor="accent5"/>
          <w:bottom w:val="single" w:sz="4" w:space="0" w:color="66B093" w:themeColor="accent5"/>
          <w:right w:val="single" w:sz="4" w:space="0" w:color="66B093" w:themeColor="accent5"/>
          <w:insideH w:val="nil"/>
        </w:tcBorders>
        <w:shd w:val="clear" w:color="auto" w:fill="66B093" w:themeFill="accent5"/>
      </w:tcPr>
    </w:tblStylePr>
    <w:tblStylePr w:type="lastRow">
      <w:rPr>
        <w:b/>
        <w:bCs/>
      </w:rPr>
      <w:tblPr/>
      <w:tcPr>
        <w:tcBorders>
          <w:top w:val="double" w:sz="4" w:space="0" w:color="A3CFBE" w:themeColor="accent5" w:themeTint="99"/>
        </w:tcBorders>
      </w:tcPr>
    </w:tblStylePr>
    <w:tblStylePr w:type="firstCol">
      <w:rPr>
        <w:b/>
        <w:bCs/>
      </w:rPr>
    </w:tblStylePr>
    <w:tblStylePr w:type="lastCol">
      <w:rPr>
        <w:b/>
        <w:bCs/>
      </w:rPr>
    </w:tblStylePr>
    <w:tblStylePr w:type="band1Vert">
      <w:tblPr/>
      <w:tcPr>
        <w:shd w:val="clear" w:color="auto" w:fill="E0EFE9" w:themeFill="accent5" w:themeFillTint="33"/>
      </w:tcPr>
    </w:tblStylePr>
    <w:tblStylePr w:type="band1Horz">
      <w:tblPr/>
      <w:tcPr>
        <w:shd w:val="clear" w:color="auto" w:fill="E0EFE9" w:themeFill="accent5" w:themeFillTint="33"/>
      </w:tcPr>
    </w:tblStylePr>
  </w:style>
  <w:style w:type="table" w:styleId="ListTable4-Accent6">
    <w:name w:val="List Table 4 Accent 6"/>
    <w:basedOn w:val="TableNormal"/>
    <w:uiPriority w:val="49"/>
    <w:semiHidden/>
    <w:rsid w:val="0058629F"/>
    <w:tblPr>
      <w:tblStyleRowBandSize w:val="1"/>
      <w:tblStyleColBandSize w:val="1"/>
      <w:tblBorders>
        <w:top w:val="single" w:sz="4" w:space="0" w:color="FFDCAC" w:themeColor="accent6" w:themeTint="99"/>
        <w:left w:val="single" w:sz="4" w:space="0" w:color="FFDCAC" w:themeColor="accent6" w:themeTint="99"/>
        <w:bottom w:val="single" w:sz="4" w:space="0" w:color="FFDCAC" w:themeColor="accent6" w:themeTint="99"/>
        <w:right w:val="single" w:sz="4" w:space="0" w:color="FFDCAC" w:themeColor="accent6" w:themeTint="99"/>
        <w:insideH w:val="single" w:sz="4" w:space="0" w:color="FFDCAC" w:themeColor="accent6" w:themeTint="99"/>
      </w:tblBorders>
    </w:tblPr>
    <w:tblStylePr w:type="firstRow">
      <w:rPr>
        <w:b/>
        <w:bCs/>
        <w:color w:val="FFFFFF" w:themeColor="background1"/>
      </w:rPr>
      <w:tblPr/>
      <w:tcPr>
        <w:tcBorders>
          <w:top w:val="single" w:sz="4" w:space="0" w:color="FFC576" w:themeColor="accent6"/>
          <w:left w:val="single" w:sz="4" w:space="0" w:color="FFC576" w:themeColor="accent6"/>
          <w:bottom w:val="single" w:sz="4" w:space="0" w:color="FFC576" w:themeColor="accent6"/>
          <w:right w:val="single" w:sz="4" w:space="0" w:color="FFC576" w:themeColor="accent6"/>
          <w:insideH w:val="nil"/>
        </w:tcBorders>
        <w:shd w:val="clear" w:color="auto" w:fill="FFC576" w:themeFill="accent6"/>
      </w:tcPr>
    </w:tblStylePr>
    <w:tblStylePr w:type="lastRow">
      <w:rPr>
        <w:b/>
        <w:bCs/>
      </w:rPr>
      <w:tblPr/>
      <w:tcPr>
        <w:tcBorders>
          <w:top w:val="double" w:sz="4" w:space="0" w:color="FFDCAC" w:themeColor="accent6" w:themeTint="99"/>
        </w:tcBorders>
      </w:tcPr>
    </w:tblStylePr>
    <w:tblStylePr w:type="firstCol">
      <w:rPr>
        <w:b/>
        <w:bCs/>
      </w:rPr>
    </w:tblStylePr>
    <w:tblStylePr w:type="lastCol">
      <w:rPr>
        <w:b/>
        <w:bCs/>
      </w:rPr>
    </w:tblStylePr>
    <w:tblStylePr w:type="band1Vert">
      <w:tblPr/>
      <w:tcPr>
        <w:shd w:val="clear" w:color="auto" w:fill="FFF3E3" w:themeFill="accent6" w:themeFillTint="33"/>
      </w:tcPr>
    </w:tblStylePr>
    <w:tblStylePr w:type="band1Horz">
      <w:tblPr/>
      <w:tcPr>
        <w:shd w:val="clear" w:color="auto" w:fill="FFF3E3" w:themeFill="accent6" w:themeFillTint="33"/>
      </w:tcPr>
    </w:tblStylePr>
  </w:style>
  <w:style w:type="table" w:styleId="ListTable5Dark">
    <w:name w:val="List Table 5 Dark"/>
    <w:basedOn w:val="TableNormal"/>
    <w:uiPriority w:val="50"/>
    <w:semiHidden/>
    <w:rsid w:val="0058629F"/>
    <w:rPr>
      <w:color w:val="FFFFFF" w:themeColor="background1"/>
    </w:rPr>
    <w:tblPr>
      <w:tblStyleRowBandSize w:val="1"/>
      <w:tblStyleColBandSize w:val="1"/>
      <w:tblBorders>
        <w:top w:val="single" w:sz="24" w:space="0" w:color="232222" w:themeColor="text1"/>
        <w:left w:val="single" w:sz="24" w:space="0" w:color="232222" w:themeColor="text1"/>
        <w:bottom w:val="single" w:sz="24" w:space="0" w:color="232222" w:themeColor="text1"/>
        <w:right w:val="single" w:sz="24" w:space="0" w:color="232222" w:themeColor="text1"/>
      </w:tblBorders>
    </w:tblPr>
    <w:tcPr>
      <w:shd w:val="clear" w:color="auto" w:fill="232222"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58629F"/>
    <w:rPr>
      <w:color w:val="FFFFFF" w:themeColor="background1"/>
    </w:rPr>
    <w:tblPr>
      <w:tblStyleRowBandSize w:val="1"/>
      <w:tblStyleColBandSize w:val="1"/>
      <w:tblBorders>
        <w:top w:val="single" w:sz="24" w:space="0" w:color="007B4B" w:themeColor="accent1"/>
        <w:left w:val="single" w:sz="24" w:space="0" w:color="007B4B" w:themeColor="accent1"/>
        <w:bottom w:val="single" w:sz="24" w:space="0" w:color="007B4B" w:themeColor="accent1"/>
        <w:right w:val="single" w:sz="24" w:space="0" w:color="007B4B" w:themeColor="accent1"/>
      </w:tblBorders>
    </w:tblPr>
    <w:tcPr>
      <w:shd w:val="clear" w:color="auto" w:fill="007B4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58629F"/>
    <w:rPr>
      <w:color w:val="FFFFFF" w:themeColor="background1"/>
    </w:rPr>
    <w:tblPr>
      <w:tblStyleRowBandSize w:val="1"/>
      <w:tblStyleColBandSize w:val="1"/>
      <w:tblBorders>
        <w:top w:val="single" w:sz="24" w:space="0" w:color="FF9E1B" w:themeColor="accent2"/>
        <w:left w:val="single" w:sz="24" w:space="0" w:color="FF9E1B" w:themeColor="accent2"/>
        <w:bottom w:val="single" w:sz="24" w:space="0" w:color="FF9E1B" w:themeColor="accent2"/>
        <w:right w:val="single" w:sz="24" w:space="0" w:color="FF9E1B" w:themeColor="accent2"/>
      </w:tblBorders>
    </w:tblPr>
    <w:tcPr>
      <w:shd w:val="clear" w:color="auto" w:fill="FF9E1B"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58629F"/>
    <w:rPr>
      <w:color w:val="FFFFFF" w:themeColor="background1"/>
    </w:rPr>
    <w:tblPr>
      <w:tblStyleRowBandSize w:val="1"/>
      <w:tblStyleColBandSize w:val="1"/>
      <w:tblBorders>
        <w:top w:val="single" w:sz="24" w:space="0" w:color="00B2A9" w:themeColor="accent3"/>
        <w:left w:val="single" w:sz="24" w:space="0" w:color="00B2A9" w:themeColor="accent3"/>
        <w:bottom w:val="single" w:sz="24" w:space="0" w:color="00B2A9" w:themeColor="accent3"/>
        <w:right w:val="single" w:sz="24" w:space="0" w:color="00B2A9" w:themeColor="accent3"/>
      </w:tblBorders>
    </w:tblPr>
    <w:tcPr>
      <w:shd w:val="clear" w:color="auto" w:fill="00B2A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58629F"/>
    <w:rPr>
      <w:color w:val="FFFFFF" w:themeColor="background1"/>
    </w:rPr>
    <w:tblPr>
      <w:tblStyleRowBandSize w:val="1"/>
      <w:tblStyleColBandSize w:val="1"/>
      <w:tblBorders>
        <w:top w:val="single" w:sz="24" w:space="0" w:color="201547" w:themeColor="accent4"/>
        <w:left w:val="single" w:sz="24" w:space="0" w:color="201547" w:themeColor="accent4"/>
        <w:bottom w:val="single" w:sz="24" w:space="0" w:color="201547" w:themeColor="accent4"/>
        <w:right w:val="single" w:sz="24" w:space="0" w:color="201547" w:themeColor="accent4"/>
      </w:tblBorders>
    </w:tblPr>
    <w:tcPr>
      <w:shd w:val="clear" w:color="auto" w:fill="20154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58629F"/>
    <w:rPr>
      <w:color w:val="FFFFFF" w:themeColor="background1"/>
    </w:rPr>
    <w:tblPr>
      <w:tblStyleRowBandSize w:val="1"/>
      <w:tblStyleColBandSize w:val="1"/>
      <w:tblBorders>
        <w:top w:val="single" w:sz="24" w:space="0" w:color="66B093" w:themeColor="accent5"/>
        <w:left w:val="single" w:sz="24" w:space="0" w:color="66B093" w:themeColor="accent5"/>
        <w:bottom w:val="single" w:sz="24" w:space="0" w:color="66B093" w:themeColor="accent5"/>
        <w:right w:val="single" w:sz="24" w:space="0" w:color="66B093" w:themeColor="accent5"/>
      </w:tblBorders>
    </w:tblPr>
    <w:tcPr>
      <w:shd w:val="clear" w:color="auto" w:fill="66B0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58629F"/>
    <w:rPr>
      <w:color w:val="FFFFFF" w:themeColor="background1"/>
    </w:rPr>
    <w:tblPr>
      <w:tblStyleRowBandSize w:val="1"/>
      <w:tblStyleColBandSize w:val="1"/>
      <w:tblBorders>
        <w:top w:val="single" w:sz="24" w:space="0" w:color="FFC576" w:themeColor="accent6"/>
        <w:left w:val="single" w:sz="24" w:space="0" w:color="FFC576" w:themeColor="accent6"/>
        <w:bottom w:val="single" w:sz="24" w:space="0" w:color="FFC576" w:themeColor="accent6"/>
        <w:right w:val="single" w:sz="24" w:space="0" w:color="FFC576" w:themeColor="accent6"/>
      </w:tblBorders>
    </w:tblPr>
    <w:tcPr>
      <w:shd w:val="clear" w:color="auto" w:fill="FFC57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58629F"/>
    <w:tblPr>
      <w:tblStyleRowBandSize w:val="1"/>
      <w:tblStyleColBandSize w:val="1"/>
      <w:tblBorders>
        <w:top w:val="single" w:sz="4" w:space="0" w:color="232222" w:themeColor="text1"/>
        <w:bottom w:val="single" w:sz="4" w:space="0" w:color="232222" w:themeColor="text1"/>
      </w:tblBorders>
    </w:tblPr>
    <w:tblStylePr w:type="firstRow">
      <w:rPr>
        <w:b/>
        <w:bCs/>
      </w:rPr>
      <w:tblPr/>
      <w:tcPr>
        <w:tcBorders>
          <w:bottom w:val="single" w:sz="4" w:space="0" w:color="232222" w:themeColor="text1"/>
        </w:tcBorders>
      </w:tcPr>
    </w:tblStylePr>
    <w:tblStylePr w:type="lastRow">
      <w:rPr>
        <w:b/>
        <w:bCs/>
      </w:rPr>
      <w:tblPr/>
      <w:tcPr>
        <w:tcBorders>
          <w:top w:val="double" w:sz="4" w:space="0" w:color="232222" w:themeColor="text1"/>
        </w:tcBorders>
      </w:tcPr>
    </w:tblStylePr>
    <w:tblStylePr w:type="firstCol">
      <w:rPr>
        <w:b/>
        <w:bCs/>
      </w:rPr>
    </w:tblStylePr>
    <w:tblStylePr w:type="lastCol">
      <w:rPr>
        <w:b/>
        <w:bCs/>
      </w:rPr>
    </w:tblStylePr>
    <w:tblStylePr w:type="band1Vert">
      <w:tblPr/>
      <w:tcPr>
        <w:shd w:val="clear" w:color="auto" w:fill="D3D2D2" w:themeFill="text1" w:themeFillTint="33"/>
      </w:tcPr>
    </w:tblStylePr>
    <w:tblStylePr w:type="band1Horz">
      <w:tblPr/>
      <w:tcPr>
        <w:shd w:val="clear" w:color="auto" w:fill="D3D2D2" w:themeFill="text1" w:themeFillTint="33"/>
      </w:tcPr>
    </w:tblStylePr>
  </w:style>
  <w:style w:type="table" w:styleId="ListTable6Colorful-Accent1">
    <w:name w:val="List Table 6 Colorful Accent 1"/>
    <w:basedOn w:val="TableNormal"/>
    <w:uiPriority w:val="51"/>
    <w:semiHidden/>
    <w:rsid w:val="0058629F"/>
    <w:rPr>
      <w:color w:val="005C37" w:themeColor="accent1" w:themeShade="BF"/>
    </w:rPr>
    <w:tblPr>
      <w:tblStyleRowBandSize w:val="1"/>
      <w:tblStyleColBandSize w:val="1"/>
      <w:tblBorders>
        <w:top w:val="single" w:sz="4" w:space="0" w:color="007B4B" w:themeColor="accent1"/>
        <w:bottom w:val="single" w:sz="4" w:space="0" w:color="007B4B" w:themeColor="accent1"/>
      </w:tblBorders>
    </w:tblPr>
    <w:tblStylePr w:type="firstRow">
      <w:rPr>
        <w:b/>
        <w:bCs/>
      </w:rPr>
      <w:tblPr/>
      <w:tcPr>
        <w:tcBorders>
          <w:bottom w:val="single" w:sz="4" w:space="0" w:color="007B4B" w:themeColor="accent1"/>
        </w:tcBorders>
      </w:tcPr>
    </w:tblStylePr>
    <w:tblStylePr w:type="lastRow">
      <w:rPr>
        <w:b/>
        <w:bCs/>
      </w:rPr>
      <w:tblPr/>
      <w:tcPr>
        <w:tcBorders>
          <w:top w:val="double" w:sz="4" w:space="0" w:color="007B4B" w:themeColor="accent1"/>
        </w:tcBorders>
      </w:tcPr>
    </w:tblStylePr>
    <w:tblStylePr w:type="firstCol">
      <w:rPr>
        <w:b/>
        <w:bCs/>
      </w:rPr>
    </w:tblStylePr>
    <w:tblStylePr w:type="lastCol">
      <w:rPr>
        <w:b/>
        <w:bCs/>
      </w:rPr>
    </w:tblStylePr>
    <w:tblStylePr w:type="band1Vert">
      <w:tblPr/>
      <w:tcPr>
        <w:shd w:val="clear" w:color="auto" w:fill="B1FFE0" w:themeFill="accent1" w:themeFillTint="33"/>
      </w:tcPr>
    </w:tblStylePr>
    <w:tblStylePr w:type="band1Horz">
      <w:tblPr/>
      <w:tcPr>
        <w:shd w:val="clear" w:color="auto" w:fill="B1FFE0" w:themeFill="accent1" w:themeFillTint="33"/>
      </w:tcPr>
    </w:tblStylePr>
  </w:style>
  <w:style w:type="table" w:styleId="ListTable6Colorful-Accent2">
    <w:name w:val="List Table 6 Colorful Accent 2"/>
    <w:basedOn w:val="TableNormal"/>
    <w:uiPriority w:val="51"/>
    <w:semiHidden/>
    <w:rsid w:val="0058629F"/>
    <w:rPr>
      <w:color w:val="D37800" w:themeColor="accent2" w:themeShade="BF"/>
    </w:rPr>
    <w:tblPr>
      <w:tblStyleRowBandSize w:val="1"/>
      <w:tblStyleColBandSize w:val="1"/>
      <w:tblBorders>
        <w:top w:val="single" w:sz="4" w:space="0" w:color="FF9E1B" w:themeColor="accent2"/>
        <w:bottom w:val="single" w:sz="4" w:space="0" w:color="FF9E1B" w:themeColor="accent2"/>
      </w:tblBorders>
    </w:tblPr>
    <w:tblStylePr w:type="firstRow">
      <w:rPr>
        <w:b/>
        <w:bCs/>
      </w:rPr>
      <w:tblPr/>
      <w:tcPr>
        <w:tcBorders>
          <w:bottom w:val="single" w:sz="4" w:space="0" w:color="FF9E1B" w:themeColor="accent2"/>
        </w:tcBorders>
      </w:tcPr>
    </w:tblStylePr>
    <w:tblStylePr w:type="lastRow">
      <w:rPr>
        <w:b/>
        <w:bCs/>
      </w:rPr>
      <w:tblPr/>
      <w:tcPr>
        <w:tcBorders>
          <w:top w:val="double" w:sz="4" w:space="0" w:color="FF9E1B" w:themeColor="accent2"/>
        </w:tcBorders>
      </w:tcPr>
    </w:tblStylePr>
    <w:tblStylePr w:type="firstCol">
      <w:rPr>
        <w:b/>
        <w:bCs/>
      </w:rPr>
    </w:tblStylePr>
    <w:tblStylePr w:type="lastCol">
      <w:rPr>
        <w:b/>
        <w:bCs/>
      </w:rPr>
    </w:tblStylePr>
    <w:tblStylePr w:type="band1Vert">
      <w:tblPr/>
      <w:tcPr>
        <w:shd w:val="clear" w:color="auto" w:fill="FFEBD1" w:themeFill="accent2" w:themeFillTint="33"/>
      </w:tcPr>
    </w:tblStylePr>
    <w:tblStylePr w:type="band1Horz">
      <w:tblPr/>
      <w:tcPr>
        <w:shd w:val="clear" w:color="auto" w:fill="FFEBD1" w:themeFill="accent2" w:themeFillTint="33"/>
      </w:tcPr>
    </w:tblStylePr>
  </w:style>
  <w:style w:type="table" w:styleId="ListTable6Colorful-Accent3">
    <w:name w:val="List Table 6 Colorful Accent 3"/>
    <w:basedOn w:val="TableNormal"/>
    <w:uiPriority w:val="51"/>
    <w:semiHidden/>
    <w:rsid w:val="0058629F"/>
    <w:rPr>
      <w:color w:val="00857E" w:themeColor="accent3" w:themeShade="BF"/>
    </w:rPr>
    <w:tblPr>
      <w:tblStyleRowBandSize w:val="1"/>
      <w:tblStyleColBandSize w:val="1"/>
      <w:tblBorders>
        <w:top w:val="single" w:sz="4" w:space="0" w:color="00B2A9" w:themeColor="accent3"/>
        <w:bottom w:val="single" w:sz="4" w:space="0" w:color="00B2A9" w:themeColor="accent3"/>
      </w:tblBorders>
    </w:tblPr>
    <w:tblStylePr w:type="firstRow">
      <w:rPr>
        <w:b/>
        <w:bCs/>
      </w:rPr>
      <w:tblPr/>
      <w:tcPr>
        <w:tcBorders>
          <w:bottom w:val="single" w:sz="4" w:space="0" w:color="00B2A9" w:themeColor="accent3"/>
        </w:tcBorders>
      </w:tcPr>
    </w:tblStylePr>
    <w:tblStylePr w:type="lastRow">
      <w:rPr>
        <w:b/>
        <w:bCs/>
      </w:rPr>
      <w:tblPr/>
      <w:tcPr>
        <w:tcBorders>
          <w:top w:val="double" w:sz="4" w:space="0" w:color="00B2A9" w:themeColor="accent3"/>
        </w:tcBorders>
      </w:tcPr>
    </w:tblStylePr>
    <w:tblStylePr w:type="firstCol">
      <w:rPr>
        <w:b/>
        <w:bCs/>
      </w:rPr>
    </w:tblStylePr>
    <w:tblStylePr w:type="lastCol">
      <w:rPr>
        <w:b/>
        <w:bCs/>
      </w:rPr>
    </w:tblStylePr>
    <w:tblStylePr w:type="band1Vert">
      <w:tblPr/>
      <w:tcPr>
        <w:shd w:val="clear" w:color="auto" w:fill="BCFFFB" w:themeFill="accent3" w:themeFillTint="33"/>
      </w:tcPr>
    </w:tblStylePr>
    <w:tblStylePr w:type="band1Horz">
      <w:tblPr/>
      <w:tcPr>
        <w:shd w:val="clear" w:color="auto" w:fill="BCFFFB" w:themeFill="accent3" w:themeFillTint="33"/>
      </w:tcPr>
    </w:tblStylePr>
  </w:style>
  <w:style w:type="table" w:styleId="ListTable6Colorful-Accent4">
    <w:name w:val="List Table 6 Colorful Accent 4"/>
    <w:basedOn w:val="TableNormal"/>
    <w:uiPriority w:val="51"/>
    <w:semiHidden/>
    <w:rsid w:val="0058629F"/>
    <w:rPr>
      <w:color w:val="170F34" w:themeColor="accent4" w:themeShade="BF"/>
    </w:rPr>
    <w:tblPr>
      <w:tblStyleRowBandSize w:val="1"/>
      <w:tblStyleColBandSize w:val="1"/>
      <w:tblBorders>
        <w:top w:val="single" w:sz="4" w:space="0" w:color="201547" w:themeColor="accent4"/>
        <w:bottom w:val="single" w:sz="4" w:space="0" w:color="201547" w:themeColor="accent4"/>
      </w:tblBorders>
    </w:tblPr>
    <w:tblStylePr w:type="firstRow">
      <w:rPr>
        <w:b/>
        <w:bCs/>
      </w:rPr>
      <w:tblPr/>
      <w:tcPr>
        <w:tcBorders>
          <w:bottom w:val="single" w:sz="4" w:space="0" w:color="201547" w:themeColor="accent4"/>
        </w:tcBorders>
      </w:tcPr>
    </w:tblStylePr>
    <w:tblStylePr w:type="lastRow">
      <w:rPr>
        <w:b/>
        <w:bCs/>
      </w:rPr>
      <w:tblPr/>
      <w:tcPr>
        <w:tcBorders>
          <w:top w:val="double" w:sz="4" w:space="0" w:color="201547" w:themeColor="accent4"/>
        </w:tcBorders>
      </w:tcPr>
    </w:tblStylePr>
    <w:tblStylePr w:type="firstCol">
      <w:rPr>
        <w:b/>
        <w:bCs/>
      </w:rPr>
    </w:tblStylePr>
    <w:tblStylePr w:type="lastCol">
      <w:rPr>
        <w:b/>
        <w:bCs/>
      </w:rPr>
    </w:tblStylePr>
    <w:tblStylePr w:type="band1Vert">
      <w:tblPr/>
      <w:tcPr>
        <w:shd w:val="clear" w:color="auto" w:fill="C8BEEC" w:themeFill="accent4" w:themeFillTint="33"/>
      </w:tcPr>
    </w:tblStylePr>
    <w:tblStylePr w:type="band1Horz">
      <w:tblPr/>
      <w:tcPr>
        <w:shd w:val="clear" w:color="auto" w:fill="C8BEEC" w:themeFill="accent4" w:themeFillTint="33"/>
      </w:tcPr>
    </w:tblStylePr>
  </w:style>
  <w:style w:type="table" w:styleId="ListTable6Colorful-Accent5">
    <w:name w:val="List Table 6 Colorful Accent 5"/>
    <w:basedOn w:val="TableNormal"/>
    <w:uiPriority w:val="51"/>
    <w:semiHidden/>
    <w:rsid w:val="0058629F"/>
    <w:rPr>
      <w:color w:val="46896F" w:themeColor="accent5" w:themeShade="BF"/>
    </w:rPr>
    <w:tblPr>
      <w:tblStyleRowBandSize w:val="1"/>
      <w:tblStyleColBandSize w:val="1"/>
      <w:tblBorders>
        <w:top w:val="single" w:sz="4" w:space="0" w:color="66B093" w:themeColor="accent5"/>
        <w:bottom w:val="single" w:sz="4" w:space="0" w:color="66B093" w:themeColor="accent5"/>
      </w:tblBorders>
    </w:tblPr>
    <w:tblStylePr w:type="firstRow">
      <w:rPr>
        <w:b/>
        <w:bCs/>
      </w:rPr>
      <w:tblPr/>
      <w:tcPr>
        <w:tcBorders>
          <w:bottom w:val="single" w:sz="4" w:space="0" w:color="66B093" w:themeColor="accent5"/>
        </w:tcBorders>
      </w:tcPr>
    </w:tblStylePr>
    <w:tblStylePr w:type="lastRow">
      <w:rPr>
        <w:b/>
        <w:bCs/>
      </w:rPr>
      <w:tblPr/>
      <w:tcPr>
        <w:tcBorders>
          <w:top w:val="double" w:sz="4" w:space="0" w:color="66B093" w:themeColor="accent5"/>
        </w:tcBorders>
      </w:tcPr>
    </w:tblStylePr>
    <w:tblStylePr w:type="firstCol">
      <w:rPr>
        <w:b/>
        <w:bCs/>
      </w:rPr>
    </w:tblStylePr>
    <w:tblStylePr w:type="lastCol">
      <w:rPr>
        <w:b/>
        <w:bCs/>
      </w:rPr>
    </w:tblStylePr>
    <w:tblStylePr w:type="band1Vert">
      <w:tblPr/>
      <w:tcPr>
        <w:shd w:val="clear" w:color="auto" w:fill="E0EFE9" w:themeFill="accent5" w:themeFillTint="33"/>
      </w:tcPr>
    </w:tblStylePr>
    <w:tblStylePr w:type="band1Horz">
      <w:tblPr/>
      <w:tcPr>
        <w:shd w:val="clear" w:color="auto" w:fill="E0EFE9" w:themeFill="accent5" w:themeFillTint="33"/>
      </w:tcPr>
    </w:tblStylePr>
  </w:style>
  <w:style w:type="table" w:styleId="ListTable6Colorful-Accent6">
    <w:name w:val="List Table 6 Colorful Accent 6"/>
    <w:basedOn w:val="TableNormal"/>
    <w:uiPriority w:val="51"/>
    <w:semiHidden/>
    <w:rsid w:val="0058629F"/>
    <w:rPr>
      <w:color w:val="FF9D18" w:themeColor="accent6" w:themeShade="BF"/>
    </w:rPr>
    <w:tblPr>
      <w:tblStyleRowBandSize w:val="1"/>
      <w:tblStyleColBandSize w:val="1"/>
      <w:tblBorders>
        <w:top w:val="single" w:sz="4" w:space="0" w:color="FFC576" w:themeColor="accent6"/>
        <w:bottom w:val="single" w:sz="4" w:space="0" w:color="FFC576" w:themeColor="accent6"/>
      </w:tblBorders>
    </w:tblPr>
    <w:tblStylePr w:type="firstRow">
      <w:rPr>
        <w:b/>
        <w:bCs/>
      </w:rPr>
      <w:tblPr/>
      <w:tcPr>
        <w:tcBorders>
          <w:bottom w:val="single" w:sz="4" w:space="0" w:color="FFC576" w:themeColor="accent6"/>
        </w:tcBorders>
      </w:tcPr>
    </w:tblStylePr>
    <w:tblStylePr w:type="lastRow">
      <w:rPr>
        <w:b/>
        <w:bCs/>
      </w:rPr>
      <w:tblPr/>
      <w:tcPr>
        <w:tcBorders>
          <w:top w:val="double" w:sz="4" w:space="0" w:color="FFC576" w:themeColor="accent6"/>
        </w:tcBorders>
      </w:tcPr>
    </w:tblStylePr>
    <w:tblStylePr w:type="firstCol">
      <w:rPr>
        <w:b/>
        <w:bCs/>
      </w:rPr>
    </w:tblStylePr>
    <w:tblStylePr w:type="lastCol">
      <w:rPr>
        <w:b/>
        <w:bCs/>
      </w:rPr>
    </w:tblStylePr>
    <w:tblStylePr w:type="band1Vert">
      <w:tblPr/>
      <w:tcPr>
        <w:shd w:val="clear" w:color="auto" w:fill="FFF3E3" w:themeFill="accent6" w:themeFillTint="33"/>
      </w:tcPr>
    </w:tblStylePr>
    <w:tblStylePr w:type="band1Horz">
      <w:tblPr/>
      <w:tcPr>
        <w:shd w:val="clear" w:color="auto" w:fill="FFF3E3" w:themeFill="accent6" w:themeFillTint="33"/>
      </w:tcPr>
    </w:tblStylePr>
  </w:style>
  <w:style w:type="table" w:styleId="ListTable7Colorful">
    <w:name w:val="List Table 7 Colorful"/>
    <w:basedOn w:val="TableNormal"/>
    <w:uiPriority w:val="52"/>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2222"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2222"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2222"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2222" w:themeColor="text1"/>
        </w:tcBorders>
        <w:shd w:val="clear" w:color="auto" w:fill="FFFFFF" w:themeFill="background1"/>
      </w:tcPr>
    </w:tblStylePr>
    <w:tblStylePr w:type="band1Vert">
      <w:tblPr/>
      <w:tcPr>
        <w:shd w:val="clear" w:color="auto" w:fill="D3D2D2" w:themeFill="text1" w:themeFillTint="33"/>
      </w:tcPr>
    </w:tblStylePr>
    <w:tblStylePr w:type="band1Horz">
      <w:tblPr/>
      <w:tcPr>
        <w:shd w:val="clear" w:color="auto" w:fill="D3D2D2"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58629F"/>
    <w:rPr>
      <w:color w:val="005C3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B4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B4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B4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B4B" w:themeColor="accent1"/>
        </w:tcBorders>
        <w:shd w:val="clear" w:color="auto" w:fill="FFFFFF" w:themeFill="background1"/>
      </w:tcPr>
    </w:tblStylePr>
    <w:tblStylePr w:type="band1Vert">
      <w:tblPr/>
      <w:tcPr>
        <w:shd w:val="clear" w:color="auto" w:fill="B1FFE0" w:themeFill="accent1" w:themeFillTint="33"/>
      </w:tcPr>
    </w:tblStylePr>
    <w:tblStylePr w:type="band1Horz">
      <w:tblPr/>
      <w:tcPr>
        <w:shd w:val="clear" w:color="auto" w:fill="B1FFE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58629F"/>
    <w:rPr>
      <w:color w:val="D37800"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9E1B"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9E1B"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9E1B"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9E1B" w:themeColor="accent2"/>
        </w:tcBorders>
        <w:shd w:val="clear" w:color="auto" w:fill="FFFFFF" w:themeFill="background1"/>
      </w:tcPr>
    </w:tblStylePr>
    <w:tblStylePr w:type="band1Vert">
      <w:tblPr/>
      <w:tcPr>
        <w:shd w:val="clear" w:color="auto" w:fill="FFEBD1" w:themeFill="accent2" w:themeFillTint="33"/>
      </w:tcPr>
    </w:tblStylePr>
    <w:tblStylePr w:type="band1Horz">
      <w:tblPr/>
      <w:tcPr>
        <w:shd w:val="clear" w:color="auto" w:fill="FFEB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58629F"/>
    <w:rPr>
      <w:color w:val="00857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B2A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B2A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B2A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B2A9" w:themeColor="accent3"/>
        </w:tcBorders>
        <w:shd w:val="clear" w:color="auto" w:fill="FFFFFF" w:themeFill="background1"/>
      </w:tcPr>
    </w:tblStylePr>
    <w:tblStylePr w:type="band1Vert">
      <w:tblPr/>
      <w:tcPr>
        <w:shd w:val="clear" w:color="auto" w:fill="BCFFFB" w:themeFill="accent3" w:themeFillTint="33"/>
      </w:tcPr>
    </w:tblStylePr>
    <w:tblStylePr w:type="band1Horz">
      <w:tblPr/>
      <w:tcPr>
        <w:shd w:val="clear" w:color="auto" w:fill="BCFFFB"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58629F"/>
    <w:rPr>
      <w:color w:val="170F34"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0154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0154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0154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01547" w:themeColor="accent4"/>
        </w:tcBorders>
        <w:shd w:val="clear" w:color="auto" w:fill="FFFFFF" w:themeFill="background1"/>
      </w:tcPr>
    </w:tblStylePr>
    <w:tblStylePr w:type="band1Vert">
      <w:tblPr/>
      <w:tcPr>
        <w:shd w:val="clear" w:color="auto" w:fill="C8BEEC" w:themeFill="accent4" w:themeFillTint="33"/>
      </w:tcPr>
    </w:tblStylePr>
    <w:tblStylePr w:type="band1Horz">
      <w:tblPr/>
      <w:tcPr>
        <w:shd w:val="clear" w:color="auto" w:fill="C8BE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58629F"/>
    <w:rPr>
      <w:color w:val="46896F"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B0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B0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B0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B093" w:themeColor="accent5"/>
        </w:tcBorders>
        <w:shd w:val="clear" w:color="auto" w:fill="FFFFFF" w:themeFill="background1"/>
      </w:tcPr>
    </w:tblStylePr>
    <w:tblStylePr w:type="band1Vert">
      <w:tblPr/>
      <w:tcPr>
        <w:shd w:val="clear" w:color="auto" w:fill="E0EFE9" w:themeFill="accent5" w:themeFillTint="33"/>
      </w:tcPr>
    </w:tblStylePr>
    <w:tblStylePr w:type="band1Horz">
      <w:tblPr/>
      <w:tcPr>
        <w:shd w:val="clear" w:color="auto" w:fill="E0EFE9"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58629F"/>
    <w:rPr>
      <w:color w:val="FF9D1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57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57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57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576" w:themeColor="accent6"/>
        </w:tcBorders>
        <w:shd w:val="clear" w:color="auto" w:fill="FFFFFF" w:themeFill="background1"/>
      </w:tcPr>
    </w:tblStylePr>
    <w:tblStylePr w:type="band1Vert">
      <w:tblPr/>
      <w:tcPr>
        <w:shd w:val="clear" w:color="auto" w:fill="FFF3E3" w:themeFill="accent6" w:themeFillTint="33"/>
      </w:tcPr>
    </w:tblStylePr>
    <w:tblStylePr w:type="band1Horz">
      <w:tblPr/>
      <w:tcPr>
        <w:shd w:val="clear" w:color="auto" w:fill="FFF3E3"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insideV w:val="single" w:sz="8" w:space="0" w:color="5B5858" w:themeColor="text1" w:themeTint="BF"/>
      </w:tblBorders>
    </w:tblPr>
    <w:tcPr>
      <w:shd w:val="clear" w:color="auto" w:fill="C9C7C7" w:themeFill="text1" w:themeFillTint="3F"/>
    </w:tcPr>
    <w:tblStylePr w:type="firstRow">
      <w:rPr>
        <w:b/>
        <w:bCs/>
      </w:rPr>
    </w:tblStylePr>
    <w:tblStylePr w:type="lastRow">
      <w:rPr>
        <w:b/>
        <w:bCs/>
      </w:rPr>
      <w:tblPr/>
      <w:tcPr>
        <w:tcBorders>
          <w:top w:val="single" w:sz="18" w:space="0" w:color="5B5858" w:themeColor="text1" w:themeTint="BF"/>
        </w:tcBorders>
      </w:tcPr>
    </w:tblStylePr>
    <w:tblStylePr w:type="firstCol">
      <w:rPr>
        <w:b/>
        <w:bCs/>
      </w:rPr>
    </w:tblStylePr>
    <w:tblStylePr w:type="lastCol">
      <w:rPr>
        <w:b/>
        <w:bCs/>
      </w:rPr>
    </w:tblStylePr>
    <w:tblStylePr w:type="band1Vert">
      <w:tblPr/>
      <w:tcPr>
        <w:shd w:val="clear" w:color="auto" w:fill="928F8F" w:themeFill="text1" w:themeFillTint="7F"/>
      </w:tcPr>
    </w:tblStylePr>
    <w:tblStylePr w:type="band1Horz">
      <w:tblPr/>
      <w:tcPr>
        <w:shd w:val="clear" w:color="auto" w:fill="928F8F" w:themeFill="text1" w:themeFillTint="7F"/>
      </w:tcPr>
    </w:tblStylePr>
  </w:style>
  <w:style w:type="table" w:styleId="MediumGrid1-Accent1">
    <w:name w:val="Medium Grid 1 Accent 1"/>
    <w:basedOn w:val="TableNormal"/>
    <w:uiPriority w:val="67"/>
    <w:semiHidden/>
    <w:rsid w:val="0058629F"/>
    <w:tblPr>
      <w:tblStyleRowBandSize w:val="1"/>
      <w:tblStyleColBandSize w:val="1"/>
      <w:tblBorders>
        <w:top w:val="single" w:sz="8" w:space="0" w:color="00DC85" w:themeColor="accent1" w:themeTint="BF"/>
        <w:left w:val="single" w:sz="8" w:space="0" w:color="00DC85" w:themeColor="accent1" w:themeTint="BF"/>
        <w:bottom w:val="single" w:sz="8" w:space="0" w:color="00DC85" w:themeColor="accent1" w:themeTint="BF"/>
        <w:right w:val="single" w:sz="8" w:space="0" w:color="00DC85" w:themeColor="accent1" w:themeTint="BF"/>
        <w:insideH w:val="single" w:sz="8" w:space="0" w:color="00DC85" w:themeColor="accent1" w:themeTint="BF"/>
        <w:insideV w:val="single" w:sz="8" w:space="0" w:color="00DC85" w:themeColor="accent1" w:themeTint="BF"/>
      </w:tblBorders>
    </w:tblPr>
    <w:tcPr>
      <w:shd w:val="clear" w:color="auto" w:fill="9FFFD9" w:themeFill="accent1" w:themeFillTint="3F"/>
    </w:tcPr>
    <w:tblStylePr w:type="firstRow">
      <w:rPr>
        <w:b/>
        <w:bCs/>
      </w:rPr>
    </w:tblStylePr>
    <w:tblStylePr w:type="lastRow">
      <w:rPr>
        <w:b/>
        <w:bCs/>
      </w:rPr>
      <w:tblPr/>
      <w:tcPr>
        <w:tcBorders>
          <w:top w:val="single" w:sz="18" w:space="0" w:color="00DC85" w:themeColor="accent1" w:themeTint="BF"/>
        </w:tcBorders>
      </w:tcPr>
    </w:tblStylePr>
    <w:tblStylePr w:type="firstCol">
      <w:rPr>
        <w:b/>
        <w:bCs/>
      </w:rPr>
    </w:tblStylePr>
    <w:tblStylePr w:type="lastCol">
      <w:rPr>
        <w:b/>
        <w:bCs/>
      </w:rPr>
    </w:tblStylePr>
    <w:tblStylePr w:type="band1Vert">
      <w:tblPr/>
      <w:tcPr>
        <w:shd w:val="clear" w:color="auto" w:fill="3EFFB3" w:themeFill="accent1" w:themeFillTint="7F"/>
      </w:tcPr>
    </w:tblStylePr>
    <w:tblStylePr w:type="band1Horz">
      <w:tblPr/>
      <w:tcPr>
        <w:shd w:val="clear" w:color="auto" w:fill="3EFFB3" w:themeFill="accent1" w:themeFillTint="7F"/>
      </w:tcPr>
    </w:tblStylePr>
  </w:style>
  <w:style w:type="table" w:styleId="MediumGrid1-Accent2">
    <w:name w:val="Medium Grid 1 Accent 2"/>
    <w:basedOn w:val="TableNormal"/>
    <w:uiPriority w:val="67"/>
    <w:semiHidden/>
    <w:rsid w:val="0058629F"/>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insideV w:val="single" w:sz="8" w:space="0" w:color="FFB554" w:themeColor="accent2" w:themeTint="BF"/>
      </w:tblBorders>
    </w:tblPr>
    <w:tcPr>
      <w:shd w:val="clear" w:color="auto" w:fill="FFE6C6" w:themeFill="accent2" w:themeFillTint="3F"/>
    </w:tcPr>
    <w:tblStylePr w:type="firstRow">
      <w:rPr>
        <w:b/>
        <w:bCs/>
      </w:rPr>
    </w:tblStylePr>
    <w:tblStylePr w:type="lastRow">
      <w:rPr>
        <w:b/>
        <w:bCs/>
      </w:rPr>
      <w:tblPr/>
      <w:tcPr>
        <w:tcBorders>
          <w:top w:val="single" w:sz="18" w:space="0" w:color="FFB554" w:themeColor="accent2" w:themeTint="BF"/>
        </w:tcBorders>
      </w:tcPr>
    </w:tblStylePr>
    <w:tblStylePr w:type="firstCol">
      <w:rPr>
        <w:b/>
        <w:bCs/>
      </w:rPr>
    </w:tblStylePr>
    <w:tblStylePr w:type="lastCol">
      <w:rPr>
        <w:b/>
        <w:bCs/>
      </w:rPr>
    </w:tblStylePr>
    <w:tblStylePr w:type="band1Vert">
      <w:tblPr/>
      <w:tcPr>
        <w:shd w:val="clear" w:color="auto" w:fill="FFCE8D" w:themeFill="accent2" w:themeFillTint="7F"/>
      </w:tcPr>
    </w:tblStylePr>
    <w:tblStylePr w:type="band1Horz">
      <w:tblPr/>
      <w:tcPr>
        <w:shd w:val="clear" w:color="auto" w:fill="FFCE8D" w:themeFill="accent2" w:themeFillTint="7F"/>
      </w:tcPr>
    </w:tblStylePr>
  </w:style>
  <w:style w:type="table" w:styleId="MediumGrid1-Accent3">
    <w:name w:val="Medium Grid 1 Accent 3"/>
    <w:basedOn w:val="TableNormal"/>
    <w:uiPriority w:val="67"/>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insideV w:val="single" w:sz="8" w:space="0" w:color="06FFF2" w:themeColor="accent3" w:themeTint="BF"/>
      </w:tblBorders>
    </w:tblPr>
    <w:tcPr>
      <w:shd w:val="clear" w:color="auto" w:fill="ACFFFA" w:themeFill="accent3" w:themeFillTint="3F"/>
    </w:tcPr>
    <w:tblStylePr w:type="firstRow">
      <w:rPr>
        <w:b/>
        <w:bCs/>
      </w:rPr>
    </w:tblStylePr>
    <w:tblStylePr w:type="lastRow">
      <w:rPr>
        <w:b/>
        <w:bCs/>
      </w:rPr>
      <w:tblPr/>
      <w:tcPr>
        <w:tcBorders>
          <w:top w:val="single" w:sz="18" w:space="0" w:color="06FFF2" w:themeColor="accent3" w:themeTint="BF"/>
        </w:tcBorders>
      </w:tcPr>
    </w:tblStylePr>
    <w:tblStylePr w:type="firstCol">
      <w:rPr>
        <w:b/>
        <w:bCs/>
      </w:rPr>
    </w:tblStylePr>
    <w:tblStylePr w:type="lastCol">
      <w:rPr>
        <w:b/>
        <w:bCs/>
      </w:rPr>
    </w:tblStylePr>
    <w:tblStylePr w:type="band1Vert">
      <w:tblPr/>
      <w:tcPr>
        <w:shd w:val="clear" w:color="auto" w:fill="59FFF6" w:themeFill="accent3" w:themeFillTint="7F"/>
      </w:tcPr>
    </w:tblStylePr>
    <w:tblStylePr w:type="band1Horz">
      <w:tblPr/>
      <w:tcPr>
        <w:shd w:val="clear" w:color="auto" w:fill="59FFF6" w:themeFill="accent3" w:themeFillTint="7F"/>
      </w:tcPr>
    </w:tblStylePr>
  </w:style>
  <w:style w:type="table" w:styleId="MediumGrid1-Accent4">
    <w:name w:val="Medium Grid 1 Accent 4"/>
    <w:basedOn w:val="TableNormal"/>
    <w:uiPriority w:val="67"/>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insideV w:val="single" w:sz="8" w:space="0" w:color="442D97" w:themeColor="accent4" w:themeTint="BF"/>
      </w:tblBorders>
    </w:tblPr>
    <w:tcPr>
      <w:shd w:val="clear" w:color="auto" w:fill="BBAFE7" w:themeFill="accent4" w:themeFillTint="3F"/>
    </w:tcPr>
    <w:tblStylePr w:type="firstRow">
      <w:rPr>
        <w:b/>
        <w:bCs/>
      </w:rPr>
    </w:tblStylePr>
    <w:tblStylePr w:type="lastRow">
      <w:rPr>
        <w:b/>
        <w:bCs/>
      </w:rPr>
      <w:tblPr/>
      <w:tcPr>
        <w:tcBorders>
          <w:top w:val="single" w:sz="18" w:space="0" w:color="442D97" w:themeColor="accent4" w:themeTint="BF"/>
        </w:tcBorders>
      </w:tcPr>
    </w:tblStylePr>
    <w:tblStylePr w:type="firstCol">
      <w:rPr>
        <w:b/>
        <w:bCs/>
      </w:rPr>
    </w:tblStylePr>
    <w:tblStylePr w:type="lastCol">
      <w:rPr>
        <w:b/>
        <w:bCs/>
      </w:rPr>
    </w:tblStylePr>
    <w:tblStylePr w:type="band1Vert">
      <w:tblPr/>
      <w:tcPr>
        <w:shd w:val="clear" w:color="auto" w:fill="775ECF" w:themeFill="accent4" w:themeFillTint="7F"/>
      </w:tcPr>
    </w:tblStylePr>
    <w:tblStylePr w:type="band1Horz">
      <w:tblPr/>
      <w:tcPr>
        <w:shd w:val="clear" w:color="auto" w:fill="775ECF" w:themeFill="accent4" w:themeFillTint="7F"/>
      </w:tcPr>
    </w:tblStylePr>
  </w:style>
  <w:style w:type="table" w:styleId="MediumGrid1-Accent5">
    <w:name w:val="Medium Grid 1 Accent 5"/>
    <w:basedOn w:val="TableNormal"/>
    <w:uiPriority w:val="67"/>
    <w:semiHidden/>
    <w:rsid w:val="0058629F"/>
    <w:tblPr>
      <w:tblStyleRowBandSize w:val="1"/>
      <w:tblStyleColBandSize w:val="1"/>
      <w:tblBorders>
        <w:top w:val="single" w:sz="8" w:space="0" w:color="8CC3AE" w:themeColor="accent5" w:themeTint="BF"/>
        <w:left w:val="single" w:sz="8" w:space="0" w:color="8CC3AE" w:themeColor="accent5" w:themeTint="BF"/>
        <w:bottom w:val="single" w:sz="8" w:space="0" w:color="8CC3AE" w:themeColor="accent5" w:themeTint="BF"/>
        <w:right w:val="single" w:sz="8" w:space="0" w:color="8CC3AE" w:themeColor="accent5" w:themeTint="BF"/>
        <w:insideH w:val="single" w:sz="8" w:space="0" w:color="8CC3AE" w:themeColor="accent5" w:themeTint="BF"/>
        <w:insideV w:val="single" w:sz="8" w:space="0" w:color="8CC3AE" w:themeColor="accent5" w:themeTint="BF"/>
      </w:tblBorders>
    </w:tblPr>
    <w:tcPr>
      <w:shd w:val="clear" w:color="auto" w:fill="D9EBE4" w:themeFill="accent5" w:themeFillTint="3F"/>
    </w:tcPr>
    <w:tblStylePr w:type="firstRow">
      <w:rPr>
        <w:b/>
        <w:bCs/>
      </w:rPr>
    </w:tblStylePr>
    <w:tblStylePr w:type="lastRow">
      <w:rPr>
        <w:b/>
        <w:bCs/>
      </w:rPr>
      <w:tblPr/>
      <w:tcPr>
        <w:tcBorders>
          <w:top w:val="single" w:sz="18" w:space="0" w:color="8CC3AE" w:themeColor="accent5" w:themeTint="BF"/>
        </w:tcBorders>
      </w:tcPr>
    </w:tblStylePr>
    <w:tblStylePr w:type="firstCol">
      <w:rPr>
        <w:b/>
        <w:bCs/>
      </w:rPr>
    </w:tblStylePr>
    <w:tblStylePr w:type="lastCol">
      <w:rPr>
        <w:b/>
        <w:bCs/>
      </w:rPr>
    </w:tblStylePr>
    <w:tblStylePr w:type="band1Vert">
      <w:tblPr/>
      <w:tcPr>
        <w:shd w:val="clear" w:color="auto" w:fill="B2D7C9" w:themeFill="accent5" w:themeFillTint="7F"/>
      </w:tcPr>
    </w:tblStylePr>
    <w:tblStylePr w:type="band1Horz">
      <w:tblPr/>
      <w:tcPr>
        <w:shd w:val="clear" w:color="auto" w:fill="B2D7C9" w:themeFill="accent5" w:themeFillTint="7F"/>
      </w:tcPr>
    </w:tblStylePr>
  </w:style>
  <w:style w:type="table" w:styleId="MediumGrid1-Accent6">
    <w:name w:val="Medium Grid 1 Accent 6"/>
    <w:basedOn w:val="TableNormal"/>
    <w:uiPriority w:val="67"/>
    <w:semiHidden/>
    <w:rsid w:val="0058629F"/>
    <w:tblPr>
      <w:tblStyleRowBandSize w:val="1"/>
      <w:tblStyleColBandSize w:val="1"/>
      <w:tblBorders>
        <w:top w:val="single" w:sz="8" w:space="0" w:color="FFD398" w:themeColor="accent6" w:themeTint="BF"/>
        <w:left w:val="single" w:sz="8" w:space="0" w:color="FFD398" w:themeColor="accent6" w:themeTint="BF"/>
        <w:bottom w:val="single" w:sz="8" w:space="0" w:color="FFD398" w:themeColor="accent6" w:themeTint="BF"/>
        <w:right w:val="single" w:sz="8" w:space="0" w:color="FFD398" w:themeColor="accent6" w:themeTint="BF"/>
        <w:insideH w:val="single" w:sz="8" w:space="0" w:color="FFD398" w:themeColor="accent6" w:themeTint="BF"/>
        <w:insideV w:val="single" w:sz="8" w:space="0" w:color="FFD398" w:themeColor="accent6" w:themeTint="BF"/>
      </w:tblBorders>
    </w:tblPr>
    <w:tcPr>
      <w:shd w:val="clear" w:color="auto" w:fill="FFF0DD" w:themeFill="accent6" w:themeFillTint="3F"/>
    </w:tcPr>
    <w:tblStylePr w:type="firstRow">
      <w:rPr>
        <w:b/>
        <w:bCs/>
      </w:rPr>
    </w:tblStylePr>
    <w:tblStylePr w:type="lastRow">
      <w:rPr>
        <w:b/>
        <w:bCs/>
      </w:rPr>
      <w:tblPr/>
      <w:tcPr>
        <w:tcBorders>
          <w:top w:val="single" w:sz="18" w:space="0" w:color="FFD398" w:themeColor="accent6" w:themeTint="BF"/>
        </w:tcBorders>
      </w:tcPr>
    </w:tblStylePr>
    <w:tblStylePr w:type="firstCol">
      <w:rPr>
        <w:b/>
        <w:bCs/>
      </w:rPr>
    </w:tblStylePr>
    <w:tblStylePr w:type="lastCol">
      <w:rPr>
        <w:b/>
        <w:bCs/>
      </w:rPr>
    </w:tblStylePr>
    <w:tblStylePr w:type="band1Vert">
      <w:tblPr/>
      <w:tcPr>
        <w:shd w:val="clear" w:color="auto" w:fill="FFE2BA" w:themeFill="accent6" w:themeFillTint="7F"/>
      </w:tcPr>
    </w:tblStylePr>
    <w:tblStylePr w:type="band1Horz">
      <w:tblPr/>
      <w:tcPr>
        <w:shd w:val="clear" w:color="auto" w:fill="FFE2BA" w:themeFill="accent6" w:themeFillTint="7F"/>
      </w:tcPr>
    </w:tblStylePr>
  </w:style>
  <w:style w:type="table" w:styleId="MediumGrid2">
    <w:name w:val="Medium Grid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insideH w:val="single" w:sz="8" w:space="0" w:color="232222" w:themeColor="text1"/>
        <w:insideV w:val="single" w:sz="8" w:space="0" w:color="232222" w:themeColor="text1"/>
      </w:tblBorders>
    </w:tblPr>
    <w:tcPr>
      <w:shd w:val="clear" w:color="auto" w:fill="C9C7C7" w:themeFill="text1" w:themeFillTint="3F"/>
    </w:tcPr>
    <w:tblStylePr w:type="firstRow">
      <w:rPr>
        <w:b/>
        <w:bCs/>
        <w:color w:val="232222" w:themeColor="text1"/>
      </w:rPr>
      <w:tblPr/>
      <w:tcPr>
        <w:shd w:val="clear" w:color="auto" w:fill="E9E9E9" w:themeFill="tex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D3D2D2" w:themeFill="text1" w:themeFillTint="33"/>
      </w:tcPr>
    </w:tblStylePr>
    <w:tblStylePr w:type="band1Vert">
      <w:tblPr/>
      <w:tcPr>
        <w:shd w:val="clear" w:color="auto" w:fill="928F8F" w:themeFill="text1" w:themeFillTint="7F"/>
      </w:tcPr>
    </w:tblStylePr>
    <w:tblStylePr w:type="band1Horz">
      <w:tblPr/>
      <w:tcPr>
        <w:tcBorders>
          <w:insideH w:val="single" w:sz="6" w:space="0" w:color="232222" w:themeColor="text1"/>
          <w:insideV w:val="single" w:sz="6" w:space="0" w:color="232222" w:themeColor="text1"/>
        </w:tcBorders>
        <w:shd w:val="clear" w:color="auto" w:fill="928F8F"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7B4B" w:themeColor="accent1"/>
        <w:left w:val="single" w:sz="8" w:space="0" w:color="007B4B" w:themeColor="accent1"/>
        <w:bottom w:val="single" w:sz="8" w:space="0" w:color="007B4B" w:themeColor="accent1"/>
        <w:right w:val="single" w:sz="8" w:space="0" w:color="007B4B" w:themeColor="accent1"/>
        <w:insideH w:val="single" w:sz="8" w:space="0" w:color="007B4B" w:themeColor="accent1"/>
        <w:insideV w:val="single" w:sz="8" w:space="0" w:color="007B4B" w:themeColor="accent1"/>
      </w:tblBorders>
    </w:tblPr>
    <w:tcPr>
      <w:shd w:val="clear" w:color="auto" w:fill="9FFFD9" w:themeFill="accent1" w:themeFillTint="3F"/>
    </w:tcPr>
    <w:tblStylePr w:type="firstRow">
      <w:rPr>
        <w:b/>
        <w:bCs/>
        <w:color w:val="232222" w:themeColor="text1"/>
      </w:rPr>
      <w:tblPr/>
      <w:tcPr>
        <w:shd w:val="clear" w:color="auto" w:fill="D9FFF0" w:themeFill="accent1"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1FFE0" w:themeFill="accent1" w:themeFillTint="33"/>
      </w:tcPr>
    </w:tblStylePr>
    <w:tblStylePr w:type="band1Vert">
      <w:tblPr/>
      <w:tcPr>
        <w:shd w:val="clear" w:color="auto" w:fill="3EFFB3" w:themeFill="accent1" w:themeFillTint="7F"/>
      </w:tcPr>
    </w:tblStylePr>
    <w:tblStylePr w:type="band1Horz">
      <w:tblPr/>
      <w:tcPr>
        <w:tcBorders>
          <w:insideH w:val="single" w:sz="6" w:space="0" w:color="007B4B" w:themeColor="accent1"/>
          <w:insideV w:val="single" w:sz="6" w:space="0" w:color="007B4B" w:themeColor="accent1"/>
        </w:tcBorders>
        <w:shd w:val="clear" w:color="auto" w:fill="3EFFB3"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insideH w:val="single" w:sz="8" w:space="0" w:color="FF9E1B" w:themeColor="accent2"/>
        <w:insideV w:val="single" w:sz="8" w:space="0" w:color="FF9E1B" w:themeColor="accent2"/>
      </w:tblBorders>
    </w:tblPr>
    <w:tcPr>
      <w:shd w:val="clear" w:color="auto" w:fill="FFE6C6" w:themeFill="accent2" w:themeFillTint="3F"/>
    </w:tcPr>
    <w:tblStylePr w:type="firstRow">
      <w:rPr>
        <w:b/>
        <w:bCs/>
        <w:color w:val="232222" w:themeColor="text1"/>
      </w:rPr>
      <w:tblPr/>
      <w:tcPr>
        <w:shd w:val="clear" w:color="auto" w:fill="FFF5E8" w:themeFill="accent2"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EBD1" w:themeFill="accent2" w:themeFillTint="33"/>
      </w:tcPr>
    </w:tblStylePr>
    <w:tblStylePr w:type="band1Vert">
      <w:tblPr/>
      <w:tcPr>
        <w:shd w:val="clear" w:color="auto" w:fill="FFCE8D" w:themeFill="accent2" w:themeFillTint="7F"/>
      </w:tcPr>
    </w:tblStylePr>
    <w:tblStylePr w:type="band1Horz">
      <w:tblPr/>
      <w:tcPr>
        <w:tcBorders>
          <w:insideH w:val="single" w:sz="6" w:space="0" w:color="FF9E1B" w:themeColor="accent2"/>
          <w:insideV w:val="single" w:sz="6" w:space="0" w:color="FF9E1B" w:themeColor="accent2"/>
        </w:tcBorders>
        <w:shd w:val="clear" w:color="auto" w:fill="FFCE8D"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insideH w:val="single" w:sz="8" w:space="0" w:color="00B2A9" w:themeColor="accent3"/>
        <w:insideV w:val="single" w:sz="8" w:space="0" w:color="00B2A9" w:themeColor="accent3"/>
      </w:tblBorders>
    </w:tblPr>
    <w:tcPr>
      <w:shd w:val="clear" w:color="auto" w:fill="ACFFFA" w:themeFill="accent3" w:themeFillTint="3F"/>
    </w:tcPr>
    <w:tblStylePr w:type="firstRow">
      <w:rPr>
        <w:b/>
        <w:bCs/>
        <w:color w:val="232222" w:themeColor="text1"/>
      </w:rPr>
      <w:tblPr/>
      <w:tcPr>
        <w:shd w:val="clear" w:color="auto" w:fill="DEFFFD" w:themeFill="accent3"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BCFFFB" w:themeFill="accent3" w:themeFillTint="33"/>
      </w:tcPr>
    </w:tblStylePr>
    <w:tblStylePr w:type="band1Vert">
      <w:tblPr/>
      <w:tcPr>
        <w:shd w:val="clear" w:color="auto" w:fill="59FFF6" w:themeFill="accent3" w:themeFillTint="7F"/>
      </w:tcPr>
    </w:tblStylePr>
    <w:tblStylePr w:type="band1Horz">
      <w:tblPr/>
      <w:tcPr>
        <w:tcBorders>
          <w:insideH w:val="single" w:sz="6" w:space="0" w:color="00B2A9" w:themeColor="accent3"/>
          <w:insideV w:val="single" w:sz="6" w:space="0" w:color="00B2A9" w:themeColor="accent3"/>
        </w:tcBorders>
        <w:shd w:val="clear" w:color="auto" w:fill="59FFF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insideH w:val="single" w:sz="8" w:space="0" w:color="201547" w:themeColor="accent4"/>
        <w:insideV w:val="single" w:sz="8" w:space="0" w:color="201547" w:themeColor="accent4"/>
      </w:tblBorders>
    </w:tblPr>
    <w:tcPr>
      <w:shd w:val="clear" w:color="auto" w:fill="BBAFE7" w:themeFill="accent4" w:themeFillTint="3F"/>
    </w:tcPr>
    <w:tblStylePr w:type="firstRow">
      <w:rPr>
        <w:b/>
        <w:bCs/>
        <w:color w:val="232222" w:themeColor="text1"/>
      </w:rPr>
      <w:tblPr/>
      <w:tcPr>
        <w:shd w:val="clear" w:color="auto" w:fill="E4DFF5" w:themeFill="accent4"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C8BEEC" w:themeFill="accent4" w:themeFillTint="33"/>
      </w:tcPr>
    </w:tblStylePr>
    <w:tblStylePr w:type="band1Vert">
      <w:tblPr/>
      <w:tcPr>
        <w:shd w:val="clear" w:color="auto" w:fill="775ECF" w:themeFill="accent4" w:themeFillTint="7F"/>
      </w:tcPr>
    </w:tblStylePr>
    <w:tblStylePr w:type="band1Horz">
      <w:tblPr/>
      <w:tcPr>
        <w:tcBorders>
          <w:insideH w:val="single" w:sz="6" w:space="0" w:color="201547" w:themeColor="accent4"/>
          <w:insideV w:val="single" w:sz="6" w:space="0" w:color="201547" w:themeColor="accent4"/>
        </w:tcBorders>
        <w:shd w:val="clear" w:color="auto" w:fill="775EC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66B093" w:themeColor="accent5"/>
        <w:left w:val="single" w:sz="8" w:space="0" w:color="66B093" w:themeColor="accent5"/>
        <w:bottom w:val="single" w:sz="8" w:space="0" w:color="66B093" w:themeColor="accent5"/>
        <w:right w:val="single" w:sz="8" w:space="0" w:color="66B093" w:themeColor="accent5"/>
        <w:insideH w:val="single" w:sz="8" w:space="0" w:color="66B093" w:themeColor="accent5"/>
        <w:insideV w:val="single" w:sz="8" w:space="0" w:color="66B093" w:themeColor="accent5"/>
      </w:tblBorders>
    </w:tblPr>
    <w:tcPr>
      <w:shd w:val="clear" w:color="auto" w:fill="D9EBE4" w:themeFill="accent5" w:themeFillTint="3F"/>
    </w:tcPr>
    <w:tblStylePr w:type="firstRow">
      <w:rPr>
        <w:b/>
        <w:bCs/>
        <w:color w:val="232222" w:themeColor="text1"/>
      </w:rPr>
      <w:tblPr/>
      <w:tcPr>
        <w:shd w:val="clear" w:color="auto" w:fill="EFF7F4" w:themeFill="accent5"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E0EFE9" w:themeFill="accent5" w:themeFillTint="33"/>
      </w:tcPr>
    </w:tblStylePr>
    <w:tblStylePr w:type="band1Vert">
      <w:tblPr/>
      <w:tcPr>
        <w:shd w:val="clear" w:color="auto" w:fill="B2D7C9" w:themeFill="accent5" w:themeFillTint="7F"/>
      </w:tcPr>
    </w:tblStylePr>
    <w:tblStylePr w:type="band1Horz">
      <w:tblPr/>
      <w:tcPr>
        <w:tcBorders>
          <w:insideH w:val="single" w:sz="6" w:space="0" w:color="66B093" w:themeColor="accent5"/>
          <w:insideV w:val="single" w:sz="6" w:space="0" w:color="66B093" w:themeColor="accent5"/>
        </w:tcBorders>
        <w:shd w:val="clear" w:color="auto" w:fill="B2D7C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58629F"/>
    <w:rPr>
      <w:rFonts w:asciiTheme="majorHAnsi" w:eastAsiaTheme="majorEastAsia" w:hAnsiTheme="majorHAnsi" w:cstheme="majorBidi"/>
    </w:rPr>
    <w:tblPr>
      <w:tblStyleRowBandSize w:val="1"/>
      <w:tblStyleColBandSize w:val="1"/>
      <w:tblBorders>
        <w:top w:val="single" w:sz="8" w:space="0" w:color="FFC576" w:themeColor="accent6"/>
        <w:left w:val="single" w:sz="8" w:space="0" w:color="FFC576" w:themeColor="accent6"/>
        <w:bottom w:val="single" w:sz="8" w:space="0" w:color="FFC576" w:themeColor="accent6"/>
        <w:right w:val="single" w:sz="8" w:space="0" w:color="FFC576" w:themeColor="accent6"/>
        <w:insideH w:val="single" w:sz="8" w:space="0" w:color="FFC576" w:themeColor="accent6"/>
        <w:insideV w:val="single" w:sz="8" w:space="0" w:color="FFC576" w:themeColor="accent6"/>
      </w:tblBorders>
    </w:tblPr>
    <w:tcPr>
      <w:shd w:val="clear" w:color="auto" w:fill="FFF0DD" w:themeFill="accent6" w:themeFillTint="3F"/>
    </w:tcPr>
    <w:tblStylePr w:type="firstRow">
      <w:rPr>
        <w:b/>
        <w:bCs/>
        <w:color w:val="232222" w:themeColor="text1"/>
      </w:rPr>
      <w:tblPr/>
      <w:tcPr>
        <w:shd w:val="clear" w:color="auto" w:fill="FFF9F1" w:themeFill="accent6" w:themeFillTint="19"/>
      </w:tcPr>
    </w:tblStylePr>
    <w:tblStylePr w:type="lastRow">
      <w:rPr>
        <w:b/>
        <w:bCs/>
        <w:color w:val="232222" w:themeColor="text1"/>
      </w:rPr>
      <w:tblPr/>
      <w:tcPr>
        <w:tcBorders>
          <w:top w:val="single" w:sz="12" w:space="0" w:color="232222" w:themeColor="text1"/>
          <w:left w:val="nil"/>
          <w:bottom w:val="nil"/>
          <w:right w:val="nil"/>
          <w:insideH w:val="nil"/>
          <w:insideV w:val="nil"/>
        </w:tcBorders>
        <w:shd w:val="clear" w:color="auto" w:fill="FFFFFF" w:themeFill="background1"/>
      </w:tcPr>
    </w:tblStylePr>
    <w:tblStylePr w:type="firstCol">
      <w:rPr>
        <w:b/>
        <w:bCs/>
        <w:color w:val="232222"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2222" w:themeColor="text1"/>
      </w:rPr>
      <w:tblPr/>
      <w:tcPr>
        <w:tcBorders>
          <w:top w:val="nil"/>
          <w:left w:val="nil"/>
          <w:bottom w:val="nil"/>
          <w:right w:val="nil"/>
          <w:insideH w:val="nil"/>
          <w:insideV w:val="nil"/>
        </w:tcBorders>
        <w:shd w:val="clear" w:color="auto" w:fill="FFF3E3" w:themeFill="accent6" w:themeFillTint="33"/>
      </w:tcPr>
    </w:tblStylePr>
    <w:tblStylePr w:type="band1Vert">
      <w:tblPr/>
      <w:tcPr>
        <w:shd w:val="clear" w:color="auto" w:fill="FFE2BA" w:themeFill="accent6" w:themeFillTint="7F"/>
      </w:tcPr>
    </w:tblStylePr>
    <w:tblStylePr w:type="band1Horz">
      <w:tblPr/>
      <w:tcPr>
        <w:tcBorders>
          <w:insideH w:val="single" w:sz="6" w:space="0" w:color="FFC576" w:themeColor="accent6"/>
          <w:insideV w:val="single" w:sz="6" w:space="0" w:color="FFC576" w:themeColor="accent6"/>
        </w:tcBorders>
        <w:shd w:val="clear" w:color="auto" w:fill="FFE2B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C7C7"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2222"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2222"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2222"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28F8F"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28F8F" w:themeFill="text1" w:themeFillTint="7F"/>
      </w:tcPr>
    </w:tblStylePr>
  </w:style>
  <w:style w:type="table" w:styleId="MediumGrid3-Accent1">
    <w:name w:val="Medium Grid 3 Accent 1"/>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FFFD9"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B4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B4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B4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B4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EFFB3"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EFFB3" w:themeFill="accent1" w:themeFillTint="7F"/>
      </w:tcPr>
    </w:tblStylePr>
  </w:style>
  <w:style w:type="table" w:styleId="MediumGrid3-Accent2">
    <w:name w:val="Medium Grid 3 Accent 2"/>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6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9E1B"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9E1B"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9E1B"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E8D"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E8D" w:themeFill="accent2" w:themeFillTint="7F"/>
      </w:tcPr>
    </w:tblStylePr>
  </w:style>
  <w:style w:type="table" w:styleId="MediumGrid3-Accent3">
    <w:name w:val="Medium Grid 3 Accent 3"/>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FFF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2A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2A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2A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9FFF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9FFF6" w:themeFill="accent3" w:themeFillTint="7F"/>
      </w:tcPr>
    </w:tblStylePr>
  </w:style>
  <w:style w:type="table" w:styleId="MediumGrid3-Accent4">
    <w:name w:val="Medium Grid 3 Accent 4"/>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BA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0154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0154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0154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75EC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75ECF" w:themeFill="accent4" w:themeFillTint="7F"/>
      </w:tcPr>
    </w:tblStylePr>
  </w:style>
  <w:style w:type="table" w:styleId="MediumGrid3-Accent5">
    <w:name w:val="Medium Grid 3 Accent 5"/>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EBE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B0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B0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B0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B0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D7C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D7C9" w:themeFill="accent5" w:themeFillTint="7F"/>
      </w:tcPr>
    </w:tblStylePr>
  </w:style>
  <w:style w:type="table" w:styleId="MediumGrid3-Accent6">
    <w:name w:val="Medium Grid 3 Accent 6"/>
    <w:basedOn w:val="TableNormal"/>
    <w:uiPriority w:val="69"/>
    <w:semiHidden/>
    <w:rsid w:val="0058629F"/>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0DD"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57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57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57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57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2B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2BA" w:themeFill="accent6" w:themeFillTint="7F"/>
      </w:tcPr>
    </w:tblStylePr>
  </w:style>
  <w:style w:type="table" w:styleId="MediumList1">
    <w:name w:val="Medium List 1"/>
    <w:basedOn w:val="TableNormal"/>
    <w:uiPriority w:val="65"/>
    <w:semiHidden/>
    <w:rsid w:val="0058629F"/>
    <w:tblPr>
      <w:tblStyleRowBandSize w:val="1"/>
      <w:tblStyleColBandSize w:val="1"/>
      <w:tblBorders>
        <w:top w:val="single" w:sz="8" w:space="0" w:color="232222" w:themeColor="text1"/>
        <w:bottom w:val="single" w:sz="8" w:space="0" w:color="232222" w:themeColor="text1"/>
      </w:tblBorders>
    </w:tblPr>
    <w:tblStylePr w:type="firstRow">
      <w:rPr>
        <w:rFonts w:asciiTheme="majorHAnsi" w:eastAsiaTheme="majorEastAsia" w:hAnsiTheme="majorHAnsi" w:cstheme="majorBidi"/>
      </w:rPr>
      <w:tblPr/>
      <w:tcPr>
        <w:tcBorders>
          <w:top w:val="nil"/>
          <w:bottom w:val="single" w:sz="8" w:space="0" w:color="232222" w:themeColor="text1"/>
        </w:tcBorders>
      </w:tcPr>
    </w:tblStylePr>
    <w:tblStylePr w:type="lastRow">
      <w:rPr>
        <w:b/>
        <w:bCs/>
        <w:color w:val="201547" w:themeColor="text2"/>
      </w:rPr>
      <w:tblPr/>
      <w:tcPr>
        <w:tcBorders>
          <w:top w:val="single" w:sz="8" w:space="0" w:color="232222" w:themeColor="text1"/>
          <w:bottom w:val="single" w:sz="8" w:space="0" w:color="232222" w:themeColor="text1"/>
        </w:tcBorders>
      </w:tcPr>
    </w:tblStylePr>
    <w:tblStylePr w:type="firstCol">
      <w:rPr>
        <w:b/>
        <w:bCs/>
      </w:rPr>
    </w:tblStylePr>
    <w:tblStylePr w:type="lastCol">
      <w:rPr>
        <w:b/>
        <w:bCs/>
      </w:rPr>
      <w:tblPr/>
      <w:tcPr>
        <w:tcBorders>
          <w:top w:val="single" w:sz="8" w:space="0" w:color="232222" w:themeColor="text1"/>
          <w:bottom w:val="single" w:sz="8" w:space="0" w:color="232222" w:themeColor="text1"/>
        </w:tcBorders>
      </w:tcPr>
    </w:tblStylePr>
    <w:tblStylePr w:type="band1Vert">
      <w:tblPr/>
      <w:tcPr>
        <w:shd w:val="clear" w:color="auto" w:fill="C9C7C7" w:themeFill="text1" w:themeFillTint="3F"/>
      </w:tcPr>
    </w:tblStylePr>
    <w:tblStylePr w:type="band1Horz">
      <w:tblPr/>
      <w:tcPr>
        <w:shd w:val="clear" w:color="auto" w:fill="C9C7C7" w:themeFill="text1" w:themeFillTint="3F"/>
      </w:tcPr>
    </w:tblStylePr>
  </w:style>
  <w:style w:type="table" w:styleId="MediumList1-Accent1">
    <w:name w:val="Medium List 1 Accent 1"/>
    <w:basedOn w:val="TableNormal"/>
    <w:uiPriority w:val="65"/>
    <w:semiHidden/>
    <w:rsid w:val="0058629F"/>
    <w:tblPr>
      <w:tblStyleRowBandSize w:val="1"/>
      <w:tblStyleColBandSize w:val="1"/>
      <w:tblBorders>
        <w:top w:val="single" w:sz="8" w:space="0" w:color="007B4B" w:themeColor="accent1"/>
        <w:bottom w:val="single" w:sz="8" w:space="0" w:color="007B4B" w:themeColor="accent1"/>
      </w:tblBorders>
    </w:tblPr>
    <w:tblStylePr w:type="firstRow">
      <w:rPr>
        <w:rFonts w:asciiTheme="majorHAnsi" w:eastAsiaTheme="majorEastAsia" w:hAnsiTheme="majorHAnsi" w:cstheme="majorBidi"/>
      </w:rPr>
      <w:tblPr/>
      <w:tcPr>
        <w:tcBorders>
          <w:top w:val="nil"/>
          <w:bottom w:val="single" w:sz="8" w:space="0" w:color="007B4B" w:themeColor="accent1"/>
        </w:tcBorders>
      </w:tcPr>
    </w:tblStylePr>
    <w:tblStylePr w:type="lastRow">
      <w:rPr>
        <w:b/>
        <w:bCs/>
        <w:color w:val="201547" w:themeColor="text2"/>
      </w:rPr>
      <w:tblPr/>
      <w:tcPr>
        <w:tcBorders>
          <w:top w:val="single" w:sz="8" w:space="0" w:color="007B4B" w:themeColor="accent1"/>
          <w:bottom w:val="single" w:sz="8" w:space="0" w:color="007B4B" w:themeColor="accent1"/>
        </w:tcBorders>
      </w:tcPr>
    </w:tblStylePr>
    <w:tblStylePr w:type="firstCol">
      <w:rPr>
        <w:b/>
        <w:bCs/>
      </w:rPr>
    </w:tblStylePr>
    <w:tblStylePr w:type="lastCol">
      <w:rPr>
        <w:b/>
        <w:bCs/>
      </w:rPr>
      <w:tblPr/>
      <w:tcPr>
        <w:tcBorders>
          <w:top w:val="single" w:sz="8" w:space="0" w:color="007B4B" w:themeColor="accent1"/>
          <w:bottom w:val="single" w:sz="8" w:space="0" w:color="007B4B" w:themeColor="accent1"/>
        </w:tcBorders>
      </w:tcPr>
    </w:tblStylePr>
    <w:tblStylePr w:type="band1Vert">
      <w:tblPr/>
      <w:tcPr>
        <w:shd w:val="clear" w:color="auto" w:fill="9FFFD9" w:themeFill="accent1" w:themeFillTint="3F"/>
      </w:tcPr>
    </w:tblStylePr>
    <w:tblStylePr w:type="band1Horz">
      <w:tblPr/>
      <w:tcPr>
        <w:shd w:val="clear" w:color="auto" w:fill="9FFFD9" w:themeFill="accent1" w:themeFillTint="3F"/>
      </w:tcPr>
    </w:tblStylePr>
  </w:style>
  <w:style w:type="table" w:styleId="MediumList1-Accent2">
    <w:name w:val="Medium List 1 Accent 2"/>
    <w:basedOn w:val="TableNormal"/>
    <w:uiPriority w:val="65"/>
    <w:semiHidden/>
    <w:rsid w:val="0058629F"/>
    <w:tblPr>
      <w:tblStyleRowBandSize w:val="1"/>
      <w:tblStyleColBandSize w:val="1"/>
      <w:tblBorders>
        <w:top w:val="single" w:sz="8" w:space="0" w:color="FF9E1B" w:themeColor="accent2"/>
        <w:bottom w:val="single" w:sz="8" w:space="0" w:color="FF9E1B" w:themeColor="accent2"/>
      </w:tblBorders>
    </w:tblPr>
    <w:tblStylePr w:type="firstRow">
      <w:rPr>
        <w:rFonts w:asciiTheme="majorHAnsi" w:eastAsiaTheme="majorEastAsia" w:hAnsiTheme="majorHAnsi" w:cstheme="majorBidi"/>
      </w:rPr>
      <w:tblPr/>
      <w:tcPr>
        <w:tcBorders>
          <w:top w:val="nil"/>
          <w:bottom w:val="single" w:sz="8" w:space="0" w:color="FF9E1B" w:themeColor="accent2"/>
        </w:tcBorders>
      </w:tcPr>
    </w:tblStylePr>
    <w:tblStylePr w:type="lastRow">
      <w:rPr>
        <w:b/>
        <w:bCs/>
        <w:color w:val="201547" w:themeColor="text2"/>
      </w:rPr>
      <w:tblPr/>
      <w:tcPr>
        <w:tcBorders>
          <w:top w:val="single" w:sz="8" w:space="0" w:color="FF9E1B" w:themeColor="accent2"/>
          <w:bottom w:val="single" w:sz="8" w:space="0" w:color="FF9E1B" w:themeColor="accent2"/>
        </w:tcBorders>
      </w:tcPr>
    </w:tblStylePr>
    <w:tblStylePr w:type="firstCol">
      <w:rPr>
        <w:b/>
        <w:bCs/>
      </w:rPr>
    </w:tblStylePr>
    <w:tblStylePr w:type="lastCol">
      <w:rPr>
        <w:b/>
        <w:bCs/>
      </w:rPr>
      <w:tblPr/>
      <w:tcPr>
        <w:tcBorders>
          <w:top w:val="single" w:sz="8" w:space="0" w:color="FF9E1B" w:themeColor="accent2"/>
          <w:bottom w:val="single" w:sz="8" w:space="0" w:color="FF9E1B" w:themeColor="accent2"/>
        </w:tcBorders>
      </w:tcPr>
    </w:tblStylePr>
    <w:tblStylePr w:type="band1Vert">
      <w:tblPr/>
      <w:tcPr>
        <w:shd w:val="clear" w:color="auto" w:fill="FFE6C6" w:themeFill="accent2" w:themeFillTint="3F"/>
      </w:tcPr>
    </w:tblStylePr>
    <w:tblStylePr w:type="band1Horz">
      <w:tblPr/>
      <w:tcPr>
        <w:shd w:val="clear" w:color="auto" w:fill="FFE6C6" w:themeFill="accent2" w:themeFillTint="3F"/>
      </w:tcPr>
    </w:tblStylePr>
  </w:style>
  <w:style w:type="table" w:styleId="MediumList1-Accent3">
    <w:name w:val="Medium List 1 Accent 3"/>
    <w:basedOn w:val="TableNormal"/>
    <w:uiPriority w:val="65"/>
    <w:semiHidden/>
    <w:rsid w:val="0058629F"/>
    <w:tblPr>
      <w:tblStyleRowBandSize w:val="1"/>
      <w:tblStyleColBandSize w:val="1"/>
      <w:tblBorders>
        <w:top w:val="single" w:sz="8" w:space="0" w:color="00B2A9" w:themeColor="accent3"/>
        <w:bottom w:val="single" w:sz="8" w:space="0" w:color="00B2A9" w:themeColor="accent3"/>
      </w:tblBorders>
    </w:tblPr>
    <w:tblStylePr w:type="firstRow">
      <w:rPr>
        <w:rFonts w:asciiTheme="majorHAnsi" w:eastAsiaTheme="majorEastAsia" w:hAnsiTheme="majorHAnsi" w:cstheme="majorBidi"/>
      </w:rPr>
      <w:tblPr/>
      <w:tcPr>
        <w:tcBorders>
          <w:top w:val="nil"/>
          <w:bottom w:val="single" w:sz="8" w:space="0" w:color="00B2A9" w:themeColor="accent3"/>
        </w:tcBorders>
      </w:tcPr>
    </w:tblStylePr>
    <w:tblStylePr w:type="lastRow">
      <w:rPr>
        <w:b/>
        <w:bCs/>
        <w:color w:val="201547" w:themeColor="text2"/>
      </w:rPr>
      <w:tblPr/>
      <w:tcPr>
        <w:tcBorders>
          <w:top w:val="single" w:sz="8" w:space="0" w:color="00B2A9" w:themeColor="accent3"/>
          <w:bottom w:val="single" w:sz="8" w:space="0" w:color="00B2A9" w:themeColor="accent3"/>
        </w:tcBorders>
      </w:tcPr>
    </w:tblStylePr>
    <w:tblStylePr w:type="firstCol">
      <w:rPr>
        <w:b/>
        <w:bCs/>
      </w:rPr>
    </w:tblStylePr>
    <w:tblStylePr w:type="lastCol">
      <w:rPr>
        <w:b/>
        <w:bCs/>
      </w:rPr>
      <w:tblPr/>
      <w:tcPr>
        <w:tcBorders>
          <w:top w:val="single" w:sz="8" w:space="0" w:color="00B2A9" w:themeColor="accent3"/>
          <w:bottom w:val="single" w:sz="8" w:space="0" w:color="00B2A9" w:themeColor="accent3"/>
        </w:tcBorders>
      </w:tcPr>
    </w:tblStylePr>
    <w:tblStylePr w:type="band1Vert">
      <w:tblPr/>
      <w:tcPr>
        <w:shd w:val="clear" w:color="auto" w:fill="ACFFFA" w:themeFill="accent3" w:themeFillTint="3F"/>
      </w:tcPr>
    </w:tblStylePr>
    <w:tblStylePr w:type="band1Horz">
      <w:tblPr/>
      <w:tcPr>
        <w:shd w:val="clear" w:color="auto" w:fill="ACFFFA" w:themeFill="accent3" w:themeFillTint="3F"/>
      </w:tcPr>
    </w:tblStylePr>
  </w:style>
  <w:style w:type="table" w:styleId="MediumList1-Accent4">
    <w:name w:val="Medium List 1 Accent 4"/>
    <w:basedOn w:val="TableNormal"/>
    <w:uiPriority w:val="65"/>
    <w:semiHidden/>
    <w:rsid w:val="0058629F"/>
    <w:tblPr>
      <w:tblStyleRowBandSize w:val="1"/>
      <w:tblStyleColBandSize w:val="1"/>
      <w:tblBorders>
        <w:top w:val="single" w:sz="8" w:space="0" w:color="201547" w:themeColor="accent4"/>
        <w:bottom w:val="single" w:sz="8" w:space="0" w:color="201547" w:themeColor="accent4"/>
      </w:tblBorders>
    </w:tblPr>
    <w:tblStylePr w:type="firstRow">
      <w:rPr>
        <w:rFonts w:asciiTheme="majorHAnsi" w:eastAsiaTheme="majorEastAsia" w:hAnsiTheme="majorHAnsi" w:cstheme="majorBidi"/>
      </w:rPr>
      <w:tblPr/>
      <w:tcPr>
        <w:tcBorders>
          <w:top w:val="nil"/>
          <w:bottom w:val="single" w:sz="8" w:space="0" w:color="201547" w:themeColor="accent4"/>
        </w:tcBorders>
      </w:tcPr>
    </w:tblStylePr>
    <w:tblStylePr w:type="lastRow">
      <w:rPr>
        <w:b/>
        <w:bCs/>
        <w:color w:val="201547" w:themeColor="text2"/>
      </w:rPr>
      <w:tblPr/>
      <w:tcPr>
        <w:tcBorders>
          <w:top w:val="single" w:sz="8" w:space="0" w:color="201547" w:themeColor="accent4"/>
          <w:bottom w:val="single" w:sz="8" w:space="0" w:color="201547" w:themeColor="accent4"/>
        </w:tcBorders>
      </w:tcPr>
    </w:tblStylePr>
    <w:tblStylePr w:type="firstCol">
      <w:rPr>
        <w:b/>
        <w:bCs/>
      </w:rPr>
    </w:tblStylePr>
    <w:tblStylePr w:type="lastCol">
      <w:rPr>
        <w:b/>
        <w:bCs/>
      </w:rPr>
      <w:tblPr/>
      <w:tcPr>
        <w:tcBorders>
          <w:top w:val="single" w:sz="8" w:space="0" w:color="201547" w:themeColor="accent4"/>
          <w:bottom w:val="single" w:sz="8" w:space="0" w:color="201547" w:themeColor="accent4"/>
        </w:tcBorders>
      </w:tcPr>
    </w:tblStylePr>
    <w:tblStylePr w:type="band1Vert">
      <w:tblPr/>
      <w:tcPr>
        <w:shd w:val="clear" w:color="auto" w:fill="BBAFE7" w:themeFill="accent4" w:themeFillTint="3F"/>
      </w:tcPr>
    </w:tblStylePr>
    <w:tblStylePr w:type="band1Horz">
      <w:tblPr/>
      <w:tcPr>
        <w:shd w:val="clear" w:color="auto" w:fill="BBAFE7" w:themeFill="accent4" w:themeFillTint="3F"/>
      </w:tcPr>
    </w:tblStylePr>
  </w:style>
  <w:style w:type="table" w:styleId="MediumList1-Accent5">
    <w:name w:val="Medium List 1 Accent 5"/>
    <w:basedOn w:val="TableNormal"/>
    <w:uiPriority w:val="65"/>
    <w:semiHidden/>
    <w:rsid w:val="0058629F"/>
    <w:tblPr>
      <w:tblStyleRowBandSize w:val="1"/>
      <w:tblStyleColBandSize w:val="1"/>
      <w:tblBorders>
        <w:top w:val="single" w:sz="8" w:space="0" w:color="66B093" w:themeColor="accent5"/>
        <w:bottom w:val="single" w:sz="8" w:space="0" w:color="66B093" w:themeColor="accent5"/>
      </w:tblBorders>
    </w:tblPr>
    <w:tblStylePr w:type="firstRow">
      <w:rPr>
        <w:rFonts w:asciiTheme="majorHAnsi" w:eastAsiaTheme="majorEastAsia" w:hAnsiTheme="majorHAnsi" w:cstheme="majorBidi"/>
      </w:rPr>
      <w:tblPr/>
      <w:tcPr>
        <w:tcBorders>
          <w:top w:val="nil"/>
          <w:bottom w:val="single" w:sz="8" w:space="0" w:color="66B093" w:themeColor="accent5"/>
        </w:tcBorders>
      </w:tcPr>
    </w:tblStylePr>
    <w:tblStylePr w:type="lastRow">
      <w:rPr>
        <w:b/>
        <w:bCs/>
        <w:color w:val="201547" w:themeColor="text2"/>
      </w:rPr>
      <w:tblPr/>
      <w:tcPr>
        <w:tcBorders>
          <w:top w:val="single" w:sz="8" w:space="0" w:color="66B093" w:themeColor="accent5"/>
          <w:bottom w:val="single" w:sz="8" w:space="0" w:color="66B093" w:themeColor="accent5"/>
        </w:tcBorders>
      </w:tcPr>
    </w:tblStylePr>
    <w:tblStylePr w:type="firstCol">
      <w:rPr>
        <w:b/>
        <w:bCs/>
      </w:rPr>
    </w:tblStylePr>
    <w:tblStylePr w:type="lastCol">
      <w:rPr>
        <w:b/>
        <w:bCs/>
      </w:rPr>
      <w:tblPr/>
      <w:tcPr>
        <w:tcBorders>
          <w:top w:val="single" w:sz="8" w:space="0" w:color="66B093" w:themeColor="accent5"/>
          <w:bottom w:val="single" w:sz="8" w:space="0" w:color="66B093" w:themeColor="accent5"/>
        </w:tcBorders>
      </w:tcPr>
    </w:tblStylePr>
    <w:tblStylePr w:type="band1Vert">
      <w:tblPr/>
      <w:tcPr>
        <w:shd w:val="clear" w:color="auto" w:fill="D9EBE4" w:themeFill="accent5" w:themeFillTint="3F"/>
      </w:tcPr>
    </w:tblStylePr>
    <w:tblStylePr w:type="band1Horz">
      <w:tblPr/>
      <w:tcPr>
        <w:shd w:val="clear" w:color="auto" w:fill="D9EBE4" w:themeFill="accent5" w:themeFillTint="3F"/>
      </w:tcPr>
    </w:tblStylePr>
  </w:style>
  <w:style w:type="table" w:styleId="MediumList1-Accent6">
    <w:name w:val="Medium List 1 Accent 6"/>
    <w:basedOn w:val="TableNormal"/>
    <w:uiPriority w:val="65"/>
    <w:semiHidden/>
    <w:rsid w:val="0058629F"/>
    <w:tblPr>
      <w:tblStyleRowBandSize w:val="1"/>
      <w:tblStyleColBandSize w:val="1"/>
      <w:tblBorders>
        <w:top w:val="single" w:sz="8" w:space="0" w:color="FFC576" w:themeColor="accent6"/>
        <w:bottom w:val="single" w:sz="8" w:space="0" w:color="FFC576" w:themeColor="accent6"/>
      </w:tblBorders>
    </w:tblPr>
    <w:tblStylePr w:type="firstRow">
      <w:rPr>
        <w:rFonts w:asciiTheme="majorHAnsi" w:eastAsiaTheme="majorEastAsia" w:hAnsiTheme="majorHAnsi" w:cstheme="majorBidi"/>
      </w:rPr>
      <w:tblPr/>
      <w:tcPr>
        <w:tcBorders>
          <w:top w:val="nil"/>
          <w:bottom w:val="single" w:sz="8" w:space="0" w:color="FFC576" w:themeColor="accent6"/>
        </w:tcBorders>
      </w:tcPr>
    </w:tblStylePr>
    <w:tblStylePr w:type="lastRow">
      <w:rPr>
        <w:b/>
        <w:bCs/>
        <w:color w:val="201547" w:themeColor="text2"/>
      </w:rPr>
      <w:tblPr/>
      <w:tcPr>
        <w:tcBorders>
          <w:top w:val="single" w:sz="8" w:space="0" w:color="FFC576" w:themeColor="accent6"/>
          <w:bottom w:val="single" w:sz="8" w:space="0" w:color="FFC576" w:themeColor="accent6"/>
        </w:tcBorders>
      </w:tcPr>
    </w:tblStylePr>
    <w:tblStylePr w:type="firstCol">
      <w:rPr>
        <w:b/>
        <w:bCs/>
      </w:rPr>
    </w:tblStylePr>
    <w:tblStylePr w:type="lastCol">
      <w:rPr>
        <w:b/>
        <w:bCs/>
      </w:rPr>
      <w:tblPr/>
      <w:tcPr>
        <w:tcBorders>
          <w:top w:val="single" w:sz="8" w:space="0" w:color="FFC576" w:themeColor="accent6"/>
          <w:bottom w:val="single" w:sz="8" w:space="0" w:color="FFC576" w:themeColor="accent6"/>
        </w:tcBorders>
      </w:tcPr>
    </w:tblStylePr>
    <w:tblStylePr w:type="band1Vert">
      <w:tblPr/>
      <w:tcPr>
        <w:shd w:val="clear" w:color="auto" w:fill="FFF0DD" w:themeFill="accent6" w:themeFillTint="3F"/>
      </w:tcPr>
    </w:tblStylePr>
    <w:tblStylePr w:type="band1Horz">
      <w:tblPr/>
      <w:tcPr>
        <w:shd w:val="clear" w:color="auto" w:fill="FFF0DD" w:themeFill="accent6" w:themeFillTint="3F"/>
      </w:tcPr>
    </w:tblStylePr>
  </w:style>
  <w:style w:type="table" w:styleId="MediumList2">
    <w:name w:val="Medium Lis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32222" w:themeColor="text1"/>
        <w:left w:val="single" w:sz="8" w:space="0" w:color="232222" w:themeColor="text1"/>
        <w:bottom w:val="single" w:sz="8" w:space="0" w:color="232222" w:themeColor="text1"/>
        <w:right w:val="single" w:sz="8" w:space="0" w:color="232222" w:themeColor="text1"/>
      </w:tblBorders>
    </w:tblPr>
    <w:tblStylePr w:type="firstRow">
      <w:rPr>
        <w:sz w:val="24"/>
        <w:szCs w:val="24"/>
      </w:rPr>
      <w:tblPr/>
      <w:tcPr>
        <w:tcBorders>
          <w:top w:val="nil"/>
          <w:left w:val="nil"/>
          <w:bottom w:val="single" w:sz="24" w:space="0" w:color="232222" w:themeColor="text1"/>
          <w:right w:val="nil"/>
          <w:insideH w:val="nil"/>
          <w:insideV w:val="nil"/>
        </w:tcBorders>
        <w:shd w:val="clear" w:color="auto" w:fill="FFFFFF" w:themeFill="background1"/>
      </w:tcPr>
    </w:tblStylePr>
    <w:tblStylePr w:type="lastRow">
      <w:tblPr/>
      <w:tcPr>
        <w:tcBorders>
          <w:top w:val="single" w:sz="8" w:space="0" w:color="232222"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2222" w:themeColor="text1"/>
          <w:insideH w:val="nil"/>
          <w:insideV w:val="nil"/>
        </w:tcBorders>
        <w:shd w:val="clear" w:color="auto" w:fill="FFFFFF" w:themeFill="background1"/>
      </w:tcPr>
    </w:tblStylePr>
    <w:tblStylePr w:type="lastCol">
      <w:tblPr/>
      <w:tcPr>
        <w:tcBorders>
          <w:top w:val="nil"/>
          <w:left w:val="single" w:sz="8" w:space="0" w:color="232222"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C7C7" w:themeFill="text1" w:themeFillTint="3F"/>
      </w:tcPr>
    </w:tblStylePr>
    <w:tblStylePr w:type="band1Horz">
      <w:tblPr/>
      <w:tcPr>
        <w:tcBorders>
          <w:top w:val="nil"/>
          <w:bottom w:val="nil"/>
          <w:insideH w:val="nil"/>
          <w:insideV w:val="nil"/>
        </w:tcBorders>
        <w:shd w:val="clear" w:color="auto" w:fill="C9C7C7"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7B4B" w:themeColor="accent1"/>
        <w:left w:val="single" w:sz="8" w:space="0" w:color="007B4B" w:themeColor="accent1"/>
        <w:bottom w:val="single" w:sz="8" w:space="0" w:color="007B4B" w:themeColor="accent1"/>
        <w:right w:val="single" w:sz="8" w:space="0" w:color="007B4B" w:themeColor="accent1"/>
      </w:tblBorders>
    </w:tblPr>
    <w:tblStylePr w:type="firstRow">
      <w:rPr>
        <w:sz w:val="24"/>
        <w:szCs w:val="24"/>
      </w:rPr>
      <w:tblPr/>
      <w:tcPr>
        <w:tcBorders>
          <w:top w:val="nil"/>
          <w:left w:val="nil"/>
          <w:bottom w:val="single" w:sz="24" w:space="0" w:color="007B4B" w:themeColor="accent1"/>
          <w:right w:val="nil"/>
          <w:insideH w:val="nil"/>
          <w:insideV w:val="nil"/>
        </w:tcBorders>
        <w:shd w:val="clear" w:color="auto" w:fill="FFFFFF" w:themeFill="background1"/>
      </w:tcPr>
    </w:tblStylePr>
    <w:tblStylePr w:type="lastRow">
      <w:tblPr/>
      <w:tcPr>
        <w:tcBorders>
          <w:top w:val="single" w:sz="8" w:space="0" w:color="007B4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B4B" w:themeColor="accent1"/>
          <w:insideH w:val="nil"/>
          <w:insideV w:val="nil"/>
        </w:tcBorders>
        <w:shd w:val="clear" w:color="auto" w:fill="FFFFFF" w:themeFill="background1"/>
      </w:tcPr>
    </w:tblStylePr>
    <w:tblStylePr w:type="lastCol">
      <w:tblPr/>
      <w:tcPr>
        <w:tcBorders>
          <w:top w:val="nil"/>
          <w:left w:val="single" w:sz="8" w:space="0" w:color="007B4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FFFD9" w:themeFill="accent1" w:themeFillTint="3F"/>
      </w:tcPr>
    </w:tblStylePr>
    <w:tblStylePr w:type="band1Horz">
      <w:tblPr/>
      <w:tcPr>
        <w:tcBorders>
          <w:top w:val="nil"/>
          <w:bottom w:val="nil"/>
          <w:insideH w:val="nil"/>
          <w:insideV w:val="nil"/>
        </w:tcBorders>
        <w:shd w:val="clear" w:color="auto" w:fill="9FFFD9"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9E1B" w:themeColor="accent2"/>
        <w:left w:val="single" w:sz="8" w:space="0" w:color="FF9E1B" w:themeColor="accent2"/>
        <w:bottom w:val="single" w:sz="8" w:space="0" w:color="FF9E1B" w:themeColor="accent2"/>
        <w:right w:val="single" w:sz="8" w:space="0" w:color="FF9E1B" w:themeColor="accent2"/>
      </w:tblBorders>
    </w:tblPr>
    <w:tblStylePr w:type="firstRow">
      <w:rPr>
        <w:sz w:val="24"/>
        <w:szCs w:val="24"/>
      </w:rPr>
      <w:tblPr/>
      <w:tcPr>
        <w:tcBorders>
          <w:top w:val="nil"/>
          <w:left w:val="nil"/>
          <w:bottom w:val="single" w:sz="24" w:space="0" w:color="FF9E1B" w:themeColor="accent2"/>
          <w:right w:val="nil"/>
          <w:insideH w:val="nil"/>
          <w:insideV w:val="nil"/>
        </w:tcBorders>
        <w:shd w:val="clear" w:color="auto" w:fill="FFFFFF" w:themeFill="background1"/>
      </w:tcPr>
    </w:tblStylePr>
    <w:tblStylePr w:type="lastRow">
      <w:tblPr/>
      <w:tcPr>
        <w:tcBorders>
          <w:top w:val="single" w:sz="8" w:space="0" w:color="FF9E1B"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9E1B" w:themeColor="accent2"/>
          <w:insideH w:val="nil"/>
          <w:insideV w:val="nil"/>
        </w:tcBorders>
        <w:shd w:val="clear" w:color="auto" w:fill="FFFFFF" w:themeFill="background1"/>
      </w:tcPr>
    </w:tblStylePr>
    <w:tblStylePr w:type="lastCol">
      <w:tblPr/>
      <w:tcPr>
        <w:tcBorders>
          <w:top w:val="nil"/>
          <w:left w:val="single" w:sz="8" w:space="0" w:color="FF9E1B"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6C6" w:themeFill="accent2" w:themeFillTint="3F"/>
      </w:tcPr>
    </w:tblStylePr>
    <w:tblStylePr w:type="band1Horz">
      <w:tblPr/>
      <w:tcPr>
        <w:tcBorders>
          <w:top w:val="nil"/>
          <w:bottom w:val="nil"/>
          <w:insideH w:val="nil"/>
          <w:insideV w:val="nil"/>
        </w:tcBorders>
        <w:shd w:val="clear" w:color="auto" w:fill="FFE6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00B2A9" w:themeColor="accent3"/>
        <w:left w:val="single" w:sz="8" w:space="0" w:color="00B2A9" w:themeColor="accent3"/>
        <w:bottom w:val="single" w:sz="8" w:space="0" w:color="00B2A9" w:themeColor="accent3"/>
        <w:right w:val="single" w:sz="8" w:space="0" w:color="00B2A9" w:themeColor="accent3"/>
      </w:tblBorders>
    </w:tblPr>
    <w:tblStylePr w:type="firstRow">
      <w:rPr>
        <w:sz w:val="24"/>
        <w:szCs w:val="24"/>
      </w:rPr>
      <w:tblPr/>
      <w:tcPr>
        <w:tcBorders>
          <w:top w:val="nil"/>
          <w:left w:val="nil"/>
          <w:bottom w:val="single" w:sz="24" w:space="0" w:color="00B2A9" w:themeColor="accent3"/>
          <w:right w:val="nil"/>
          <w:insideH w:val="nil"/>
          <w:insideV w:val="nil"/>
        </w:tcBorders>
        <w:shd w:val="clear" w:color="auto" w:fill="FFFFFF" w:themeFill="background1"/>
      </w:tcPr>
    </w:tblStylePr>
    <w:tblStylePr w:type="lastRow">
      <w:tblPr/>
      <w:tcPr>
        <w:tcBorders>
          <w:top w:val="single" w:sz="8" w:space="0" w:color="00B2A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2A9" w:themeColor="accent3"/>
          <w:insideH w:val="nil"/>
          <w:insideV w:val="nil"/>
        </w:tcBorders>
        <w:shd w:val="clear" w:color="auto" w:fill="FFFFFF" w:themeFill="background1"/>
      </w:tcPr>
    </w:tblStylePr>
    <w:tblStylePr w:type="lastCol">
      <w:tblPr/>
      <w:tcPr>
        <w:tcBorders>
          <w:top w:val="nil"/>
          <w:left w:val="single" w:sz="8" w:space="0" w:color="00B2A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FA" w:themeFill="accent3" w:themeFillTint="3F"/>
      </w:tcPr>
    </w:tblStylePr>
    <w:tblStylePr w:type="band1Horz">
      <w:tblPr/>
      <w:tcPr>
        <w:tcBorders>
          <w:top w:val="nil"/>
          <w:bottom w:val="nil"/>
          <w:insideH w:val="nil"/>
          <w:insideV w:val="nil"/>
        </w:tcBorders>
        <w:shd w:val="clear" w:color="auto" w:fill="ACFFF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201547" w:themeColor="accent4"/>
        <w:left w:val="single" w:sz="8" w:space="0" w:color="201547" w:themeColor="accent4"/>
        <w:bottom w:val="single" w:sz="8" w:space="0" w:color="201547" w:themeColor="accent4"/>
        <w:right w:val="single" w:sz="8" w:space="0" w:color="201547" w:themeColor="accent4"/>
      </w:tblBorders>
    </w:tblPr>
    <w:tblStylePr w:type="firstRow">
      <w:rPr>
        <w:sz w:val="24"/>
        <w:szCs w:val="24"/>
      </w:rPr>
      <w:tblPr/>
      <w:tcPr>
        <w:tcBorders>
          <w:top w:val="nil"/>
          <w:left w:val="nil"/>
          <w:bottom w:val="single" w:sz="24" w:space="0" w:color="201547" w:themeColor="accent4"/>
          <w:right w:val="nil"/>
          <w:insideH w:val="nil"/>
          <w:insideV w:val="nil"/>
        </w:tcBorders>
        <w:shd w:val="clear" w:color="auto" w:fill="FFFFFF" w:themeFill="background1"/>
      </w:tcPr>
    </w:tblStylePr>
    <w:tblStylePr w:type="lastRow">
      <w:tblPr/>
      <w:tcPr>
        <w:tcBorders>
          <w:top w:val="single" w:sz="8" w:space="0" w:color="20154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01547" w:themeColor="accent4"/>
          <w:insideH w:val="nil"/>
          <w:insideV w:val="nil"/>
        </w:tcBorders>
        <w:shd w:val="clear" w:color="auto" w:fill="FFFFFF" w:themeFill="background1"/>
      </w:tcPr>
    </w:tblStylePr>
    <w:tblStylePr w:type="lastCol">
      <w:tblPr/>
      <w:tcPr>
        <w:tcBorders>
          <w:top w:val="nil"/>
          <w:left w:val="single" w:sz="8" w:space="0" w:color="20154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BAFE7" w:themeFill="accent4" w:themeFillTint="3F"/>
      </w:tcPr>
    </w:tblStylePr>
    <w:tblStylePr w:type="band1Horz">
      <w:tblPr/>
      <w:tcPr>
        <w:tcBorders>
          <w:top w:val="nil"/>
          <w:bottom w:val="nil"/>
          <w:insideH w:val="nil"/>
          <w:insideV w:val="nil"/>
        </w:tcBorders>
        <w:shd w:val="clear" w:color="auto" w:fill="BBA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66B093" w:themeColor="accent5"/>
        <w:left w:val="single" w:sz="8" w:space="0" w:color="66B093" w:themeColor="accent5"/>
        <w:bottom w:val="single" w:sz="8" w:space="0" w:color="66B093" w:themeColor="accent5"/>
        <w:right w:val="single" w:sz="8" w:space="0" w:color="66B093" w:themeColor="accent5"/>
      </w:tblBorders>
    </w:tblPr>
    <w:tblStylePr w:type="firstRow">
      <w:rPr>
        <w:sz w:val="24"/>
        <w:szCs w:val="24"/>
      </w:rPr>
      <w:tblPr/>
      <w:tcPr>
        <w:tcBorders>
          <w:top w:val="nil"/>
          <w:left w:val="nil"/>
          <w:bottom w:val="single" w:sz="24" w:space="0" w:color="66B093" w:themeColor="accent5"/>
          <w:right w:val="nil"/>
          <w:insideH w:val="nil"/>
          <w:insideV w:val="nil"/>
        </w:tcBorders>
        <w:shd w:val="clear" w:color="auto" w:fill="FFFFFF" w:themeFill="background1"/>
      </w:tcPr>
    </w:tblStylePr>
    <w:tblStylePr w:type="lastRow">
      <w:tblPr/>
      <w:tcPr>
        <w:tcBorders>
          <w:top w:val="single" w:sz="8" w:space="0" w:color="66B0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B093" w:themeColor="accent5"/>
          <w:insideH w:val="nil"/>
          <w:insideV w:val="nil"/>
        </w:tcBorders>
        <w:shd w:val="clear" w:color="auto" w:fill="FFFFFF" w:themeFill="background1"/>
      </w:tcPr>
    </w:tblStylePr>
    <w:tblStylePr w:type="lastCol">
      <w:tblPr/>
      <w:tcPr>
        <w:tcBorders>
          <w:top w:val="nil"/>
          <w:left w:val="single" w:sz="8" w:space="0" w:color="66B0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EBE4" w:themeFill="accent5" w:themeFillTint="3F"/>
      </w:tcPr>
    </w:tblStylePr>
    <w:tblStylePr w:type="band1Horz">
      <w:tblPr/>
      <w:tcPr>
        <w:tcBorders>
          <w:top w:val="nil"/>
          <w:bottom w:val="nil"/>
          <w:insideH w:val="nil"/>
          <w:insideV w:val="nil"/>
        </w:tcBorders>
        <w:shd w:val="clear" w:color="auto" w:fill="D9EBE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58629F"/>
    <w:rPr>
      <w:rFonts w:asciiTheme="majorHAnsi" w:eastAsiaTheme="majorEastAsia" w:hAnsiTheme="majorHAnsi" w:cstheme="majorBidi"/>
    </w:rPr>
    <w:tblPr>
      <w:tblStyleRowBandSize w:val="1"/>
      <w:tblStyleColBandSize w:val="1"/>
      <w:tblBorders>
        <w:top w:val="single" w:sz="8" w:space="0" w:color="FFC576" w:themeColor="accent6"/>
        <w:left w:val="single" w:sz="8" w:space="0" w:color="FFC576" w:themeColor="accent6"/>
        <w:bottom w:val="single" w:sz="8" w:space="0" w:color="FFC576" w:themeColor="accent6"/>
        <w:right w:val="single" w:sz="8" w:space="0" w:color="FFC576" w:themeColor="accent6"/>
      </w:tblBorders>
    </w:tblPr>
    <w:tblStylePr w:type="firstRow">
      <w:rPr>
        <w:sz w:val="24"/>
        <w:szCs w:val="24"/>
      </w:rPr>
      <w:tblPr/>
      <w:tcPr>
        <w:tcBorders>
          <w:top w:val="nil"/>
          <w:left w:val="nil"/>
          <w:bottom w:val="single" w:sz="24" w:space="0" w:color="FFC576" w:themeColor="accent6"/>
          <w:right w:val="nil"/>
          <w:insideH w:val="nil"/>
          <w:insideV w:val="nil"/>
        </w:tcBorders>
        <w:shd w:val="clear" w:color="auto" w:fill="FFFFFF" w:themeFill="background1"/>
      </w:tcPr>
    </w:tblStylePr>
    <w:tblStylePr w:type="lastRow">
      <w:tblPr/>
      <w:tcPr>
        <w:tcBorders>
          <w:top w:val="single" w:sz="8" w:space="0" w:color="FFC57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576" w:themeColor="accent6"/>
          <w:insideH w:val="nil"/>
          <w:insideV w:val="nil"/>
        </w:tcBorders>
        <w:shd w:val="clear" w:color="auto" w:fill="FFFFFF" w:themeFill="background1"/>
      </w:tcPr>
    </w:tblStylePr>
    <w:tblStylePr w:type="lastCol">
      <w:tblPr/>
      <w:tcPr>
        <w:tcBorders>
          <w:top w:val="nil"/>
          <w:left w:val="single" w:sz="8" w:space="0" w:color="FFC57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0DD" w:themeFill="accent6" w:themeFillTint="3F"/>
      </w:tcPr>
    </w:tblStylePr>
    <w:tblStylePr w:type="band1Horz">
      <w:tblPr/>
      <w:tcPr>
        <w:tcBorders>
          <w:top w:val="nil"/>
          <w:bottom w:val="nil"/>
          <w:insideH w:val="nil"/>
          <w:insideV w:val="nil"/>
        </w:tcBorders>
        <w:shd w:val="clear" w:color="auto" w:fill="FFF0DD"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58629F"/>
    <w:tblPr>
      <w:tblStyleRowBandSize w:val="1"/>
      <w:tblStyleColBandSize w:val="1"/>
      <w:tbl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single" w:sz="8" w:space="0" w:color="5B5858" w:themeColor="text1" w:themeTint="BF"/>
      </w:tblBorders>
    </w:tblPr>
    <w:tblStylePr w:type="firstRow">
      <w:pPr>
        <w:spacing w:before="0" w:after="0" w:line="240" w:lineRule="auto"/>
      </w:pPr>
      <w:rPr>
        <w:b/>
        <w:bCs/>
        <w:color w:val="FFFFFF" w:themeColor="background1"/>
      </w:rPr>
      <w:tblPr/>
      <w:tcPr>
        <w:tcBorders>
          <w:top w:val="single" w:sz="8"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shd w:val="clear" w:color="auto" w:fill="232222" w:themeFill="text1"/>
      </w:tcPr>
    </w:tblStylePr>
    <w:tblStylePr w:type="lastRow">
      <w:pPr>
        <w:spacing w:before="0" w:after="0" w:line="240" w:lineRule="auto"/>
      </w:pPr>
      <w:rPr>
        <w:b/>
        <w:bCs/>
      </w:rPr>
      <w:tblPr/>
      <w:tcPr>
        <w:tcBorders>
          <w:top w:val="double" w:sz="6" w:space="0" w:color="5B5858" w:themeColor="text1" w:themeTint="BF"/>
          <w:left w:val="single" w:sz="8" w:space="0" w:color="5B5858" w:themeColor="text1" w:themeTint="BF"/>
          <w:bottom w:val="single" w:sz="8" w:space="0" w:color="5B5858" w:themeColor="text1" w:themeTint="BF"/>
          <w:right w:val="single" w:sz="8" w:space="0" w:color="5B5858" w:themeColor="text1" w:themeTint="BF"/>
          <w:insideH w:val="nil"/>
          <w:insideV w:val="nil"/>
        </w:tcBorders>
      </w:tcPr>
    </w:tblStylePr>
    <w:tblStylePr w:type="firstCol">
      <w:rPr>
        <w:b/>
        <w:bCs/>
      </w:rPr>
    </w:tblStylePr>
    <w:tblStylePr w:type="lastCol">
      <w:rPr>
        <w:b/>
        <w:bCs/>
      </w:rPr>
    </w:tblStylePr>
    <w:tblStylePr w:type="band1Vert">
      <w:tblPr/>
      <w:tcPr>
        <w:shd w:val="clear" w:color="auto" w:fill="C9C7C7" w:themeFill="text1" w:themeFillTint="3F"/>
      </w:tcPr>
    </w:tblStylePr>
    <w:tblStylePr w:type="band1Horz">
      <w:tblPr/>
      <w:tcPr>
        <w:tcBorders>
          <w:insideH w:val="nil"/>
          <w:insideV w:val="nil"/>
        </w:tcBorders>
        <w:shd w:val="clear" w:color="auto" w:fill="C9C7C7"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58629F"/>
    <w:tblPr>
      <w:tblStyleRowBandSize w:val="1"/>
      <w:tblStyleColBandSize w:val="1"/>
      <w:tblBorders>
        <w:top w:val="single" w:sz="8" w:space="0" w:color="00DC85" w:themeColor="accent1" w:themeTint="BF"/>
        <w:left w:val="single" w:sz="8" w:space="0" w:color="00DC85" w:themeColor="accent1" w:themeTint="BF"/>
        <w:bottom w:val="single" w:sz="8" w:space="0" w:color="00DC85" w:themeColor="accent1" w:themeTint="BF"/>
        <w:right w:val="single" w:sz="8" w:space="0" w:color="00DC85" w:themeColor="accent1" w:themeTint="BF"/>
        <w:insideH w:val="single" w:sz="8" w:space="0" w:color="00DC85" w:themeColor="accent1" w:themeTint="BF"/>
      </w:tblBorders>
    </w:tblPr>
    <w:tblStylePr w:type="firstRow">
      <w:pPr>
        <w:spacing w:before="0" w:after="0" w:line="240" w:lineRule="auto"/>
      </w:pPr>
      <w:rPr>
        <w:b/>
        <w:bCs/>
        <w:color w:val="FFFFFF" w:themeColor="background1"/>
      </w:rPr>
      <w:tblPr/>
      <w:tcPr>
        <w:tcBorders>
          <w:top w:val="single" w:sz="8" w:space="0" w:color="00DC85" w:themeColor="accent1" w:themeTint="BF"/>
          <w:left w:val="single" w:sz="8" w:space="0" w:color="00DC85" w:themeColor="accent1" w:themeTint="BF"/>
          <w:bottom w:val="single" w:sz="8" w:space="0" w:color="00DC85" w:themeColor="accent1" w:themeTint="BF"/>
          <w:right w:val="single" w:sz="8" w:space="0" w:color="00DC85" w:themeColor="accent1" w:themeTint="BF"/>
          <w:insideH w:val="nil"/>
          <w:insideV w:val="nil"/>
        </w:tcBorders>
        <w:shd w:val="clear" w:color="auto" w:fill="007B4B" w:themeFill="accent1"/>
      </w:tcPr>
    </w:tblStylePr>
    <w:tblStylePr w:type="lastRow">
      <w:pPr>
        <w:spacing w:before="0" w:after="0" w:line="240" w:lineRule="auto"/>
      </w:pPr>
      <w:rPr>
        <w:b/>
        <w:bCs/>
      </w:rPr>
      <w:tblPr/>
      <w:tcPr>
        <w:tcBorders>
          <w:top w:val="double" w:sz="6" w:space="0" w:color="00DC85" w:themeColor="accent1" w:themeTint="BF"/>
          <w:left w:val="single" w:sz="8" w:space="0" w:color="00DC85" w:themeColor="accent1" w:themeTint="BF"/>
          <w:bottom w:val="single" w:sz="8" w:space="0" w:color="00DC85" w:themeColor="accent1" w:themeTint="BF"/>
          <w:right w:val="single" w:sz="8" w:space="0" w:color="00DC85" w:themeColor="accent1" w:themeTint="BF"/>
          <w:insideH w:val="nil"/>
          <w:insideV w:val="nil"/>
        </w:tcBorders>
      </w:tcPr>
    </w:tblStylePr>
    <w:tblStylePr w:type="firstCol">
      <w:rPr>
        <w:b/>
        <w:bCs/>
      </w:rPr>
    </w:tblStylePr>
    <w:tblStylePr w:type="lastCol">
      <w:rPr>
        <w:b/>
        <w:bCs/>
      </w:rPr>
    </w:tblStylePr>
    <w:tblStylePr w:type="band1Vert">
      <w:tblPr/>
      <w:tcPr>
        <w:shd w:val="clear" w:color="auto" w:fill="9FFFD9" w:themeFill="accent1" w:themeFillTint="3F"/>
      </w:tcPr>
    </w:tblStylePr>
    <w:tblStylePr w:type="band1Horz">
      <w:tblPr/>
      <w:tcPr>
        <w:tcBorders>
          <w:insideH w:val="nil"/>
          <w:insideV w:val="nil"/>
        </w:tcBorders>
        <w:shd w:val="clear" w:color="auto" w:fill="9FFFD9"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58629F"/>
    <w:tblPr>
      <w:tblStyleRowBandSize w:val="1"/>
      <w:tblStyleColBandSize w:val="1"/>
      <w:tbl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single" w:sz="8" w:space="0" w:color="FFB554" w:themeColor="accent2" w:themeTint="BF"/>
      </w:tblBorders>
    </w:tblPr>
    <w:tblStylePr w:type="firstRow">
      <w:pPr>
        <w:spacing w:before="0" w:after="0" w:line="240" w:lineRule="auto"/>
      </w:pPr>
      <w:rPr>
        <w:b/>
        <w:bCs/>
        <w:color w:val="FFFFFF" w:themeColor="background1"/>
      </w:rPr>
      <w:tblPr/>
      <w:tcPr>
        <w:tcBorders>
          <w:top w:val="single" w:sz="8"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shd w:val="clear" w:color="auto" w:fill="FF9E1B" w:themeFill="accent2"/>
      </w:tcPr>
    </w:tblStylePr>
    <w:tblStylePr w:type="lastRow">
      <w:pPr>
        <w:spacing w:before="0" w:after="0" w:line="240" w:lineRule="auto"/>
      </w:pPr>
      <w:rPr>
        <w:b/>
        <w:bCs/>
      </w:rPr>
      <w:tblPr/>
      <w:tcPr>
        <w:tcBorders>
          <w:top w:val="double" w:sz="6" w:space="0" w:color="FFB554" w:themeColor="accent2" w:themeTint="BF"/>
          <w:left w:val="single" w:sz="8" w:space="0" w:color="FFB554" w:themeColor="accent2" w:themeTint="BF"/>
          <w:bottom w:val="single" w:sz="8" w:space="0" w:color="FFB554" w:themeColor="accent2" w:themeTint="BF"/>
          <w:right w:val="single" w:sz="8" w:space="0" w:color="FFB55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E6C6" w:themeFill="accent2" w:themeFillTint="3F"/>
      </w:tcPr>
    </w:tblStylePr>
    <w:tblStylePr w:type="band1Horz">
      <w:tblPr/>
      <w:tcPr>
        <w:tcBorders>
          <w:insideH w:val="nil"/>
          <w:insideV w:val="nil"/>
        </w:tcBorders>
        <w:shd w:val="clear" w:color="auto" w:fill="FFE6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58629F"/>
    <w:tblPr>
      <w:tblStyleRowBandSize w:val="1"/>
      <w:tblStyleColBandSize w:val="1"/>
      <w:tbl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single" w:sz="8" w:space="0" w:color="06FFF2" w:themeColor="accent3" w:themeTint="BF"/>
      </w:tblBorders>
    </w:tblPr>
    <w:tblStylePr w:type="firstRow">
      <w:pPr>
        <w:spacing w:before="0" w:after="0" w:line="240" w:lineRule="auto"/>
      </w:pPr>
      <w:rPr>
        <w:b/>
        <w:bCs/>
        <w:color w:val="FFFFFF" w:themeColor="background1"/>
      </w:rPr>
      <w:tblPr/>
      <w:tcPr>
        <w:tcBorders>
          <w:top w:val="single" w:sz="8"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shd w:val="clear" w:color="auto" w:fill="00B2A9" w:themeFill="accent3"/>
      </w:tcPr>
    </w:tblStylePr>
    <w:tblStylePr w:type="lastRow">
      <w:pPr>
        <w:spacing w:before="0" w:after="0" w:line="240" w:lineRule="auto"/>
      </w:pPr>
      <w:rPr>
        <w:b/>
        <w:bCs/>
      </w:rPr>
      <w:tblPr/>
      <w:tcPr>
        <w:tcBorders>
          <w:top w:val="double" w:sz="6" w:space="0" w:color="06FFF2" w:themeColor="accent3" w:themeTint="BF"/>
          <w:left w:val="single" w:sz="8" w:space="0" w:color="06FFF2" w:themeColor="accent3" w:themeTint="BF"/>
          <w:bottom w:val="single" w:sz="8" w:space="0" w:color="06FFF2" w:themeColor="accent3" w:themeTint="BF"/>
          <w:right w:val="single" w:sz="8" w:space="0" w:color="06FFF2" w:themeColor="accent3" w:themeTint="BF"/>
          <w:insideH w:val="nil"/>
          <w:insideV w:val="nil"/>
        </w:tcBorders>
      </w:tcPr>
    </w:tblStylePr>
    <w:tblStylePr w:type="firstCol">
      <w:rPr>
        <w:b/>
        <w:bCs/>
      </w:rPr>
    </w:tblStylePr>
    <w:tblStylePr w:type="lastCol">
      <w:rPr>
        <w:b/>
        <w:bCs/>
      </w:rPr>
    </w:tblStylePr>
    <w:tblStylePr w:type="band1Vert">
      <w:tblPr/>
      <w:tcPr>
        <w:shd w:val="clear" w:color="auto" w:fill="ACFFFA" w:themeFill="accent3" w:themeFillTint="3F"/>
      </w:tcPr>
    </w:tblStylePr>
    <w:tblStylePr w:type="band1Horz">
      <w:tblPr/>
      <w:tcPr>
        <w:tcBorders>
          <w:insideH w:val="nil"/>
          <w:insideV w:val="nil"/>
        </w:tcBorders>
        <w:shd w:val="clear" w:color="auto" w:fill="ACFFF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58629F"/>
    <w:tblPr>
      <w:tblStyleRowBandSize w:val="1"/>
      <w:tblStyleColBandSize w:val="1"/>
      <w:tbl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single" w:sz="8" w:space="0" w:color="442D97" w:themeColor="accent4" w:themeTint="BF"/>
      </w:tblBorders>
    </w:tblPr>
    <w:tblStylePr w:type="firstRow">
      <w:pPr>
        <w:spacing w:before="0" w:after="0" w:line="240" w:lineRule="auto"/>
      </w:pPr>
      <w:rPr>
        <w:b/>
        <w:bCs/>
        <w:color w:val="FFFFFF" w:themeColor="background1"/>
      </w:rPr>
      <w:tblPr/>
      <w:tcPr>
        <w:tcBorders>
          <w:top w:val="single" w:sz="8"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shd w:val="clear" w:color="auto" w:fill="201547" w:themeFill="accent4"/>
      </w:tcPr>
    </w:tblStylePr>
    <w:tblStylePr w:type="lastRow">
      <w:pPr>
        <w:spacing w:before="0" w:after="0" w:line="240" w:lineRule="auto"/>
      </w:pPr>
      <w:rPr>
        <w:b/>
        <w:bCs/>
      </w:rPr>
      <w:tblPr/>
      <w:tcPr>
        <w:tcBorders>
          <w:top w:val="double" w:sz="6" w:space="0" w:color="442D97" w:themeColor="accent4" w:themeTint="BF"/>
          <w:left w:val="single" w:sz="8" w:space="0" w:color="442D97" w:themeColor="accent4" w:themeTint="BF"/>
          <w:bottom w:val="single" w:sz="8" w:space="0" w:color="442D97" w:themeColor="accent4" w:themeTint="BF"/>
          <w:right w:val="single" w:sz="8" w:space="0" w:color="442D97" w:themeColor="accent4" w:themeTint="BF"/>
          <w:insideH w:val="nil"/>
          <w:insideV w:val="nil"/>
        </w:tcBorders>
      </w:tcPr>
    </w:tblStylePr>
    <w:tblStylePr w:type="firstCol">
      <w:rPr>
        <w:b/>
        <w:bCs/>
      </w:rPr>
    </w:tblStylePr>
    <w:tblStylePr w:type="lastCol">
      <w:rPr>
        <w:b/>
        <w:bCs/>
      </w:rPr>
    </w:tblStylePr>
    <w:tblStylePr w:type="band1Vert">
      <w:tblPr/>
      <w:tcPr>
        <w:shd w:val="clear" w:color="auto" w:fill="BBAFE7" w:themeFill="accent4" w:themeFillTint="3F"/>
      </w:tcPr>
    </w:tblStylePr>
    <w:tblStylePr w:type="band1Horz">
      <w:tblPr/>
      <w:tcPr>
        <w:tcBorders>
          <w:insideH w:val="nil"/>
          <w:insideV w:val="nil"/>
        </w:tcBorders>
        <w:shd w:val="clear" w:color="auto" w:fill="BBA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58629F"/>
    <w:tblPr>
      <w:tblStyleRowBandSize w:val="1"/>
      <w:tblStyleColBandSize w:val="1"/>
      <w:tblBorders>
        <w:top w:val="single" w:sz="8" w:space="0" w:color="8CC3AE" w:themeColor="accent5" w:themeTint="BF"/>
        <w:left w:val="single" w:sz="8" w:space="0" w:color="8CC3AE" w:themeColor="accent5" w:themeTint="BF"/>
        <w:bottom w:val="single" w:sz="8" w:space="0" w:color="8CC3AE" w:themeColor="accent5" w:themeTint="BF"/>
        <w:right w:val="single" w:sz="8" w:space="0" w:color="8CC3AE" w:themeColor="accent5" w:themeTint="BF"/>
        <w:insideH w:val="single" w:sz="8" w:space="0" w:color="8CC3AE" w:themeColor="accent5" w:themeTint="BF"/>
      </w:tblBorders>
    </w:tblPr>
    <w:tblStylePr w:type="firstRow">
      <w:pPr>
        <w:spacing w:before="0" w:after="0" w:line="240" w:lineRule="auto"/>
      </w:pPr>
      <w:rPr>
        <w:b/>
        <w:bCs/>
        <w:color w:val="FFFFFF" w:themeColor="background1"/>
      </w:rPr>
      <w:tblPr/>
      <w:tcPr>
        <w:tcBorders>
          <w:top w:val="single" w:sz="8" w:space="0" w:color="8CC3AE" w:themeColor="accent5" w:themeTint="BF"/>
          <w:left w:val="single" w:sz="8" w:space="0" w:color="8CC3AE" w:themeColor="accent5" w:themeTint="BF"/>
          <w:bottom w:val="single" w:sz="8" w:space="0" w:color="8CC3AE" w:themeColor="accent5" w:themeTint="BF"/>
          <w:right w:val="single" w:sz="8" w:space="0" w:color="8CC3AE" w:themeColor="accent5" w:themeTint="BF"/>
          <w:insideH w:val="nil"/>
          <w:insideV w:val="nil"/>
        </w:tcBorders>
        <w:shd w:val="clear" w:color="auto" w:fill="66B093" w:themeFill="accent5"/>
      </w:tcPr>
    </w:tblStylePr>
    <w:tblStylePr w:type="lastRow">
      <w:pPr>
        <w:spacing w:before="0" w:after="0" w:line="240" w:lineRule="auto"/>
      </w:pPr>
      <w:rPr>
        <w:b/>
        <w:bCs/>
      </w:rPr>
      <w:tblPr/>
      <w:tcPr>
        <w:tcBorders>
          <w:top w:val="double" w:sz="6" w:space="0" w:color="8CC3AE" w:themeColor="accent5" w:themeTint="BF"/>
          <w:left w:val="single" w:sz="8" w:space="0" w:color="8CC3AE" w:themeColor="accent5" w:themeTint="BF"/>
          <w:bottom w:val="single" w:sz="8" w:space="0" w:color="8CC3AE" w:themeColor="accent5" w:themeTint="BF"/>
          <w:right w:val="single" w:sz="8" w:space="0" w:color="8CC3A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9EBE4" w:themeFill="accent5" w:themeFillTint="3F"/>
      </w:tcPr>
    </w:tblStylePr>
    <w:tblStylePr w:type="band1Horz">
      <w:tblPr/>
      <w:tcPr>
        <w:tcBorders>
          <w:insideH w:val="nil"/>
          <w:insideV w:val="nil"/>
        </w:tcBorders>
        <w:shd w:val="clear" w:color="auto" w:fill="D9EBE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58629F"/>
    <w:tblPr>
      <w:tblStyleRowBandSize w:val="1"/>
      <w:tblStyleColBandSize w:val="1"/>
      <w:tblBorders>
        <w:top w:val="single" w:sz="8" w:space="0" w:color="FFD398" w:themeColor="accent6" w:themeTint="BF"/>
        <w:left w:val="single" w:sz="8" w:space="0" w:color="FFD398" w:themeColor="accent6" w:themeTint="BF"/>
        <w:bottom w:val="single" w:sz="8" w:space="0" w:color="FFD398" w:themeColor="accent6" w:themeTint="BF"/>
        <w:right w:val="single" w:sz="8" w:space="0" w:color="FFD398" w:themeColor="accent6" w:themeTint="BF"/>
        <w:insideH w:val="single" w:sz="8" w:space="0" w:color="FFD398" w:themeColor="accent6" w:themeTint="BF"/>
      </w:tblBorders>
    </w:tblPr>
    <w:tblStylePr w:type="firstRow">
      <w:pPr>
        <w:spacing w:before="0" w:after="0" w:line="240" w:lineRule="auto"/>
      </w:pPr>
      <w:rPr>
        <w:b/>
        <w:bCs/>
        <w:color w:val="FFFFFF" w:themeColor="background1"/>
      </w:rPr>
      <w:tblPr/>
      <w:tcPr>
        <w:tcBorders>
          <w:top w:val="single" w:sz="8" w:space="0" w:color="FFD398" w:themeColor="accent6" w:themeTint="BF"/>
          <w:left w:val="single" w:sz="8" w:space="0" w:color="FFD398" w:themeColor="accent6" w:themeTint="BF"/>
          <w:bottom w:val="single" w:sz="8" w:space="0" w:color="FFD398" w:themeColor="accent6" w:themeTint="BF"/>
          <w:right w:val="single" w:sz="8" w:space="0" w:color="FFD398" w:themeColor="accent6" w:themeTint="BF"/>
          <w:insideH w:val="nil"/>
          <w:insideV w:val="nil"/>
        </w:tcBorders>
        <w:shd w:val="clear" w:color="auto" w:fill="FFC576" w:themeFill="accent6"/>
      </w:tcPr>
    </w:tblStylePr>
    <w:tblStylePr w:type="lastRow">
      <w:pPr>
        <w:spacing w:before="0" w:after="0" w:line="240" w:lineRule="auto"/>
      </w:pPr>
      <w:rPr>
        <w:b/>
        <w:bCs/>
      </w:rPr>
      <w:tblPr/>
      <w:tcPr>
        <w:tcBorders>
          <w:top w:val="double" w:sz="6" w:space="0" w:color="FFD398" w:themeColor="accent6" w:themeTint="BF"/>
          <w:left w:val="single" w:sz="8" w:space="0" w:color="FFD398" w:themeColor="accent6" w:themeTint="BF"/>
          <w:bottom w:val="single" w:sz="8" w:space="0" w:color="FFD398" w:themeColor="accent6" w:themeTint="BF"/>
          <w:right w:val="single" w:sz="8" w:space="0" w:color="FFD398"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0DD" w:themeFill="accent6" w:themeFillTint="3F"/>
      </w:tcPr>
    </w:tblStylePr>
    <w:tblStylePr w:type="band1Horz">
      <w:tblPr/>
      <w:tcPr>
        <w:tcBorders>
          <w:insideH w:val="nil"/>
          <w:insideV w:val="nil"/>
        </w:tcBorders>
        <w:shd w:val="clear" w:color="auto" w:fill="FFF0DD"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2222"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2222" w:themeFill="text1"/>
      </w:tcPr>
    </w:tblStylePr>
    <w:tblStylePr w:type="lastCol">
      <w:rPr>
        <w:b/>
        <w:bCs/>
        <w:color w:val="FFFFFF" w:themeColor="background1"/>
      </w:rPr>
      <w:tblPr/>
      <w:tcPr>
        <w:tcBorders>
          <w:left w:val="nil"/>
          <w:right w:val="nil"/>
          <w:insideH w:val="nil"/>
          <w:insideV w:val="nil"/>
        </w:tcBorders>
        <w:shd w:val="clear" w:color="auto" w:fill="232222"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B4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B4B" w:themeFill="accent1"/>
      </w:tcPr>
    </w:tblStylePr>
    <w:tblStylePr w:type="lastCol">
      <w:rPr>
        <w:b/>
        <w:bCs/>
        <w:color w:val="FFFFFF" w:themeColor="background1"/>
      </w:rPr>
      <w:tblPr/>
      <w:tcPr>
        <w:tcBorders>
          <w:left w:val="nil"/>
          <w:right w:val="nil"/>
          <w:insideH w:val="nil"/>
          <w:insideV w:val="nil"/>
        </w:tcBorders>
        <w:shd w:val="clear" w:color="auto" w:fill="007B4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9E1B"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9E1B" w:themeFill="accent2"/>
      </w:tcPr>
    </w:tblStylePr>
    <w:tblStylePr w:type="lastCol">
      <w:rPr>
        <w:b/>
        <w:bCs/>
        <w:color w:val="FFFFFF" w:themeColor="background1"/>
      </w:rPr>
      <w:tblPr/>
      <w:tcPr>
        <w:tcBorders>
          <w:left w:val="nil"/>
          <w:right w:val="nil"/>
          <w:insideH w:val="nil"/>
          <w:insideV w:val="nil"/>
        </w:tcBorders>
        <w:shd w:val="clear" w:color="auto" w:fill="FF9E1B"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2A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2A9" w:themeFill="accent3"/>
      </w:tcPr>
    </w:tblStylePr>
    <w:tblStylePr w:type="lastCol">
      <w:rPr>
        <w:b/>
        <w:bCs/>
        <w:color w:val="FFFFFF" w:themeColor="background1"/>
      </w:rPr>
      <w:tblPr/>
      <w:tcPr>
        <w:tcBorders>
          <w:left w:val="nil"/>
          <w:right w:val="nil"/>
          <w:insideH w:val="nil"/>
          <w:insideV w:val="nil"/>
        </w:tcBorders>
        <w:shd w:val="clear" w:color="auto" w:fill="00B2A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0154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01547" w:themeFill="accent4"/>
      </w:tcPr>
    </w:tblStylePr>
    <w:tblStylePr w:type="lastCol">
      <w:rPr>
        <w:b/>
        <w:bCs/>
        <w:color w:val="FFFFFF" w:themeColor="background1"/>
      </w:rPr>
      <w:tblPr/>
      <w:tcPr>
        <w:tcBorders>
          <w:left w:val="nil"/>
          <w:right w:val="nil"/>
          <w:insideH w:val="nil"/>
          <w:insideV w:val="nil"/>
        </w:tcBorders>
        <w:shd w:val="clear" w:color="auto" w:fill="20154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B0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6B093" w:themeFill="accent5"/>
      </w:tcPr>
    </w:tblStylePr>
    <w:tblStylePr w:type="lastCol">
      <w:rPr>
        <w:b/>
        <w:bCs/>
        <w:color w:val="FFFFFF" w:themeColor="background1"/>
      </w:rPr>
      <w:tblPr/>
      <w:tcPr>
        <w:tcBorders>
          <w:left w:val="nil"/>
          <w:right w:val="nil"/>
          <w:insideH w:val="nil"/>
          <w:insideV w:val="nil"/>
        </w:tcBorders>
        <w:shd w:val="clear" w:color="auto" w:fill="66B0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58629F"/>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57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576" w:themeFill="accent6"/>
      </w:tcPr>
    </w:tblStylePr>
    <w:tblStylePr w:type="lastCol">
      <w:rPr>
        <w:b/>
        <w:bCs/>
        <w:color w:val="FFFFFF" w:themeColor="background1"/>
      </w:rPr>
      <w:tblPr/>
      <w:tcPr>
        <w:tcBorders>
          <w:left w:val="nil"/>
          <w:right w:val="nil"/>
          <w:insideH w:val="nil"/>
          <w:insideV w:val="nil"/>
        </w:tcBorders>
        <w:shd w:val="clear" w:color="auto" w:fill="FFC57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58629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semiHidden/>
    <w:rsid w:val="0058629F"/>
    <w:tblPr>
      <w:tblStyleRowBandSize w:val="1"/>
      <w:tblStyleColBandSize w:val="1"/>
    </w:tblPr>
    <w:tblStylePr w:type="firstRow">
      <w:rPr>
        <w:b/>
        <w:bCs/>
        <w:caps/>
      </w:rPr>
      <w:tblPr/>
      <w:tcPr>
        <w:tcBorders>
          <w:bottom w:val="single" w:sz="4" w:space="0" w:color="918E8E"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18E8E"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58629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58629F"/>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18E8E"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18E8E"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18E8E"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18E8E"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semiHidden/>
    <w:rsid w:val="0058629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58629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58629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58629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58629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58629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58629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58629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58629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58629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58629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58629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58629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58629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58629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58629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58629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58629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58629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58629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58629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58629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58629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
    <w:name w:val="Table Grid"/>
    <w:basedOn w:val="TableNormal"/>
    <w:uiPriority w:val="39"/>
    <w:rsid w:val="006E5D5E"/>
    <w:pPr>
      <w:spacing w:before="70" w:after="70"/>
    </w:pPr>
    <w:tblPr>
      <w:tblStyleColBandSize w:val="1"/>
      <w:tblBorders>
        <w:top w:val="single" w:sz="4" w:space="0" w:color="auto"/>
        <w:bottom w:val="single" w:sz="4" w:space="0" w:color="auto"/>
        <w:insideH w:val="single" w:sz="4" w:space="0" w:color="auto"/>
      </w:tblBorders>
      <w:tblCellMar>
        <w:left w:w="113" w:type="dxa"/>
        <w:right w:w="113" w:type="dxa"/>
      </w:tblCellMar>
    </w:tblPr>
    <w:tblStylePr w:type="firstRow">
      <w:pPr>
        <w:keepNext/>
        <w:wordWrap/>
      </w:pPr>
      <w:rPr>
        <w:color w:val="201547" w:themeColor="text2"/>
      </w:rPr>
      <w:tblPr/>
      <w:tcPr>
        <w:tcBorders>
          <w:top w:val="nil"/>
          <w:left w:val="nil"/>
          <w:bottom w:val="nil"/>
          <w:right w:val="nil"/>
          <w:insideH w:val="nil"/>
          <w:insideV w:val="nil"/>
        </w:tcBorders>
        <w:shd w:val="clear" w:color="auto" w:fill="FF9E1B" w:themeFill="accent2"/>
      </w:tcPr>
    </w:tblStylePr>
    <w:tblStylePr w:type="firstCol">
      <w:tblPr/>
      <w:tcPr>
        <w:shd w:val="clear" w:color="auto" w:fill="FFFFFF" w:themeFill="background1"/>
      </w:tcPr>
    </w:tblStylePr>
    <w:tblStylePr w:type="band1Vert">
      <w:tblPr/>
      <w:tcPr>
        <w:shd w:val="clear" w:color="auto" w:fill="FFECD1" w:themeFill="background2"/>
      </w:tcPr>
    </w:tblStylePr>
  </w:style>
  <w:style w:type="table" w:styleId="TableList1">
    <w:name w:val="Table List 1"/>
    <w:basedOn w:val="TableNormal"/>
    <w:semiHidden/>
    <w:rsid w:val="005862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58629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58629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58629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58629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58629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58629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58629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58629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58629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58629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58629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58629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5862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58629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58629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58629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PlainText">
    <w:name w:val="Plain Text"/>
    <w:basedOn w:val="Normal"/>
    <w:link w:val="PlainTextChar"/>
    <w:uiPriority w:val="99"/>
    <w:semiHidden/>
    <w:unhideWhenUsed/>
    <w:rsid w:val="0058629F"/>
    <w:rPr>
      <w:rFonts w:ascii="Calibri" w:hAnsi="Calibri"/>
      <w:szCs w:val="21"/>
    </w:rPr>
  </w:style>
  <w:style w:type="character" w:customStyle="1" w:styleId="PlainTextChar">
    <w:name w:val="Plain Text Char"/>
    <w:basedOn w:val="DefaultParagraphFont"/>
    <w:link w:val="PlainText"/>
    <w:uiPriority w:val="99"/>
    <w:semiHidden/>
    <w:rsid w:val="0058629F"/>
    <w:rPr>
      <w:rFonts w:ascii="Calibri" w:hAnsi="Calibri"/>
      <w:color w:val="auto"/>
      <w:szCs w:val="21"/>
    </w:rPr>
  </w:style>
  <w:style w:type="character" w:customStyle="1" w:styleId="FootnoteTextChar">
    <w:name w:val="Footnote Text Char"/>
    <w:basedOn w:val="DefaultParagraphFont"/>
    <w:link w:val="FootnoteText"/>
    <w:uiPriority w:val="99"/>
    <w:rsid w:val="005D764F"/>
    <w:rPr>
      <w:sz w:val="18"/>
    </w:rPr>
  </w:style>
  <w:style w:type="character" w:customStyle="1" w:styleId="TOC1Char">
    <w:name w:val="TOC 1 Char"/>
    <w:basedOn w:val="DefaultParagraphFont"/>
    <w:link w:val="TOC1"/>
    <w:uiPriority w:val="39"/>
    <w:rsid w:val="002B63C6"/>
    <w:rPr>
      <w:rFonts w:cs="Arial"/>
      <w:b/>
      <w:noProof/>
      <w:color w:val="201547" w:themeColor="text2"/>
      <w:sz w:val="24"/>
      <w:szCs w:val="24"/>
    </w:rPr>
  </w:style>
  <w:style w:type="paragraph" w:styleId="EndnoteText">
    <w:name w:val="endnote text"/>
    <w:basedOn w:val="Normal"/>
    <w:link w:val="EndnoteTextChar"/>
    <w:uiPriority w:val="99"/>
    <w:semiHidden/>
    <w:unhideWhenUsed/>
    <w:rsid w:val="00CD157B"/>
    <w:pPr>
      <w:tabs>
        <w:tab w:val="left" w:pos="567"/>
      </w:tabs>
      <w:spacing w:before="60" w:after="0"/>
      <w:ind w:left="567" w:hanging="567"/>
    </w:pPr>
  </w:style>
  <w:style w:type="paragraph" w:styleId="ListContinue4">
    <w:name w:val="List Continue 4"/>
    <w:basedOn w:val="Normal"/>
    <w:semiHidden/>
    <w:rsid w:val="00B45695"/>
    <w:pPr>
      <w:spacing w:after="100"/>
      <w:ind w:left="1701"/>
    </w:pPr>
  </w:style>
  <w:style w:type="paragraph" w:styleId="ListContinue5">
    <w:name w:val="List Continue 5"/>
    <w:basedOn w:val="Normal"/>
    <w:semiHidden/>
    <w:rsid w:val="00B45695"/>
    <w:pPr>
      <w:spacing w:after="100"/>
      <w:ind w:left="2041"/>
    </w:pPr>
  </w:style>
  <w:style w:type="paragraph" w:customStyle="1" w:styleId="xWebCoverPage">
    <w:name w:val="xWebCoverPage"/>
    <w:basedOn w:val="Normal"/>
    <w:uiPriority w:val="99"/>
    <w:semiHidden/>
    <w:rsid w:val="00783D00"/>
    <w:pPr>
      <w:spacing w:before="0" w:after="0" w:line="240" w:lineRule="auto"/>
    </w:pPr>
    <w:rPr>
      <w:rFonts w:cs="Arial"/>
      <w:b/>
      <w:color w:val="201547" w:themeColor="text2"/>
      <w:spacing w:val="-4"/>
      <w:kern w:val="28"/>
      <w:sz w:val="28"/>
      <w:szCs w:val="42"/>
    </w:rPr>
  </w:style>
  <w:style w:type="paragraph" w:customStyle="1" w:styleId="xPartnerLogo">
    <w:name w:val="xPartnerLogo"/>
    <w:basedOn w:val="NoSpacing"/>
    <w:uiPriority w:val="99"/>
    <w:rsid w:val="00C33BEC"/>
    <w:pPr>
      <w:framePr w:h="709" w:hRule="exact" w:wrap="around" w:vAnchor="page" w:hAnchor="page" w:x="568" w:y="15452"/>
    </w:pPr>
  </w:style>
  <w:style w:type="paragraph" w:customStyle="1" w:styleId="xVicLogo">
    <w:name w:val="xVicLogo"/>
    <w:basedOn w:val="NoSpacing"/>
    <w:uiPriority w:val="99"/>
    <w:rsid w:val="00C33BEC"/>
    <w:pPr>
      <w:framePr w:wrap="around" w:vAnchor="page" w:hAnchor="page" w:x="8602" w:y="15452"/>
    </w:pPr>
  </w:style>
  <w:style w:type="numbering" w:customStyle="1" w:styleId="MyHeadings">
    <w:name w:val="MyHeadings"/>
    <w:uiPriority w:val="99"/>
    <w:rsid w:val="0058629F"/>
    <w:pPr>
      <w:numPr>
        <w:numId w:val="5"/>
      </w:numPr>
    </w:pPr>
  </w:style>
  <w:style w:type="character" w:customStyle="1" w:styleId="EndnoteTextChar">
    <w:name w:val="Endnote Text Char"/>
    <w:basedOn w:val="DefaultParagraphFont"/>
    <w:link w:val="EndnoteText"/>
    <w:uiPriority w:val="99"/>
    <w:semiHidden/>
    <w:rsid w:val="00CD157B"/>
  </w:style>
  <w:style w:type="character" w:styleId="EndnoteReference">
    <w:name w:val="endnote reference"/>
    <w:basedOn w:val="DefaultParagraphFont"/>
    <w:uiPriority w:val="99"/>
    <w:semiHidden/>
    <w:unhideWhenUsed/>
    <w:rsid w:val="00CD157B"/>
    <w:rPr>
      <w:vertAlign w:val="superscript"/>
    </w:rPr>
  </w:style>
  <w:style w:type="paragraph" w:customStyle="1" w:styleId="SectionSubtitle">
    <w:name w:val="Section Subtitle"/>
    <w:basedOn w:val="Normal"/>
    <w:uiPriority w:val="3"/>
    <w:rsid w:val="002F5718"/>
    <w:pPr>
      <w:shd w:val="clear" w:color="auto" w:fill="201547" w:themeFill="text2"/>
      <w:spacing w:before="0" w:after="0" w:line="276" w:lineRule="auto"/>
    </w:pPr>
    <w:rPr>
      <w:color w:val="FFFFFF" w:themeColor="background1"/>
      <w:sz w:val="24"/>
    </w:rPr>
  </w:style>
  <w:style w:type="paragraph" w:customStyle="1" w:styleId="IntroFeatureText">
    <w:name w:val="Intro/Feature Text"/>
    <w:basedOn w:val="Normal"/>
    <w:next w:val="Normal"/>
    <w:qFormat/>
    <w:rsid w:val="00801AD3"/>
    <w:pPr>
      <w:spacing w:before="160" w:after="160"/>
    </w:pPr>
    <w:rPr>
      <w:color w:val="201547" w:themeColor="text2"/>
      <w:spacing w:val="-1"/>
      <w:sz w:val="24"/>
      <w:szCs w:val="24"/>
    </w:rPr>
  </w:style>
  <w:style w:type="paragraph" w:styleId="ListNumber4">
    <w:name w:val="List Number 4"/>
    <w:basedOn w:val="Normal"/>
    <w:unhideWhenUsed/>
    <w:rsid w:val="00B45695"/>
    <w:pPr>
      <w:numPr>
        <w:ilvl w:val="3"/>
        <w:numId w:val="8"/>
      </w:numPr>
    </w:pPr>
  </w:style>
  <w:style w:type="paragraph" w:customStyle="1" w:styleId="Source">
    <w:name w:val="Source"/>
    <w:basedOn w:val="Normal"/>
    <w:next w:val="BodyText"/>
    <w:qFormat/>
    <w:rsid w:val="00853A46"/>
    <w:pPr>
      <w:numPr>
        <w:numId w:val="9"/>
      </w:numPr>
      <w:spacing w:before="60" w:after="60" w:line="240" w:lineRule="auto"/>
    </w:pPr>
    <w:rPr>
      <w:rFonts w:cs="Calibri"/>
      <w:sz w:val="18"/>
      <w:szCs w:val="17"/>
    </w:rPr>
  </w:style>
  <w:style w:type="paragraph" w:styleId="ListNumber5">
    <w:name w:val="List Number 5"/>
    <w:basedOn w:val="Normal"/>
    <w:unhideWhenUsed/>
    <w:rsid w:val="00B45695"/>
    <w:pPr>
      <w:numPr>
        <w:ilvl w:val="4"/>
        <w:numId w:val="8"/>
      </w:numPr>
    </w:pPr>
  </w:style>
  <w:style w:type="paragraph" w:styleId="Subtitle">
    <w:name w:val="Subtitle"/>
    <w:basedOn w:val="Normal"/>
    <w:next w:val="Normal"/>
    <w:link w:val="SubtitleChar"/>
    <w:uiPriority w:val="2"/>
    <w:rsid w:val="00576577"/>
    <w:pPr>
      <w:numPr>
        <w:ilvl w:val="1"/>
      </w:numPr>
      <w:spacing w:before="200" w:after="0" w:line="240" w:lineRule="auto"/>
      <w:contextualSpacing/>
    </w:pPr>
    <w:rPr>
      <w:rFonts w:eastAsiaTheme="minorEastAsia" w:cstheme="minorBidi"/>
      <w:color w:val="201547" w:themeColor="text2"/>
      <w:sz w:val="24"/>
      <w:szCs w:val="18"/>
    </w:rPr>
  </w:style>
  <w:style w:type="character" w:customStyle="1" w:styleId="SubtitleChar">
    <w:name w:val="Subtitle Char"/>
    <w:basedOn w:val="DefaultParagraphFont"/>
    <w:link w:val="Subtitle"/>
    <w:uiPriority w:val="2"/>
    <w:rsid w:val="00576577"/>
    <w:rPr>
      <w:rFonts w:eastAsiaTheme="minorEastAsia" w:cstheme="minorBidi"/>
      <w:color w:val="201547" w:themeColor="text2"/>
      <w:sz w:val="24"/>
      <w:szCs w:val="18"/>
    </w:rPr>
  </w:style>
  <w:style w:type="paragraph" w:customStyle="1" w:styleId="xProjectBar">
    <w:name w:val="xProjectBar"/>
    <w:basedOn w:val="Normal"/>
    <w:next w:val="Normal"/>
    <w:uiPriority w:val="99"/>
    <w:rsid w:val="00C33BEC"/>
    <w:pPr>
      <w:framePr w:w="11907" w:h="697" w:hRule="exact" w:wrap="around" w:vAnchor="page" w:hAnchor="page" w:y="3511" w:anchorLock="1"/>
      <w:shd w:val="clear" w:color="auto" w:fill="201547" w:themeFill="text2"/>
      <w:spacing w:before="190" w:after="160"/>
      <w:ind w:left="851" w:right="851"/>
      <w:contextualSpacing/>
    </w:pPr>
    <w:rPr>
      <w:color w:val="FFFFFF" w:themeColor="background1"/>
      <w:spacing w:val="-1"/>
      <w:sz w:val="28"/>
    </w:rPr>
  </w:style>
  <w:style w:type="paragraph" w:customStyle="1" w:styleId="TableTextLeft">
    <w:name w:val="Table Text Left"/>
    <w:basedOn w:val="Normal"/>
    <w:qFormat/>
    <w:rsid w:val="00222F2D"/>
    <w:pPr>
      <w:spacing w:before="70" w:after="70"/>
    </w:pPr>
  </w:style>
  <w:style w:type="character" w:styleId="PlaceholderText">
    <w:name w:val="Placeholder Text"/>
    <w:basedOn w:val="DefaultParagraphFont"/>
    <w:uiPriority w:val="99"/>
    <w:rsid w:val="009F387A"/>
    <w:rPr>
      <w:color w:val="auto"/>
      <w:bdr w:val="none" w:sz="0" w:space="0" w:color="auto"/>
      <w:shd w:val="clear" w:color="auto" w:fill="FFFF00"/>
    </w:rPr>
  </w:style>
  <w:style w:type="paragraph" w:styleId="NoteHeading">
    <w:name w:val="Note Heading"/>
    <w:basedOn w:val="Normal"/>
    <w:next w:val="NoteNumbered"/>
    <w:link w:val="NoteHeadingChar"/>
    <w:qFormat/>
    <w:rsid w:val="00012BCD"/>
    <w:pPr>
      <w:spacing w:before="60" w:after="60" w:line="240" w:lineRule="auto"/>
    </w:pPr>
    <w:rPr>
      <w:rFonts w:cs="Calibri"/>
      <w:sz w:val="18"/>
      <w:szCs w:val="19"/>
    </w:rPr>
  </w:style>
  <w:style w:type="paragraph" w:styleId="Caption">
    <w:name w:val="caption"/>
    <w:basedOn w:val="Normal"/>
    <w:next w:val="BodyText"/>
    <w:uiPriority w:val="35"/>
    <w:qFormat/>
    <w:rsid w:val="001A7EF2"/>
    <w:rPr>
      <w:b/>
      <w:sz w:val="18"/>
      <w14:numSpacing w14:val="tabular"/>
    </w:rPr>
  </w:style>
  <w:style w:type="paragraph" w:styleId="NormalWeb">
    <w:name w:val="Normal (Web)"/>
    <w:basedOn w:val="Normal"/>
    <w:uiPriority w:val="99"/>
    <w:semiHidden/>
    <w:rsid w:val="005F5B06"/>
    <w:pPr>
      <w:spacing w:before="0" w:after="0"/>
    </w:pPr>
    <w:rPr>
      <w:szCs w:val="24"/>
    </w:rPr>
  </w:style>
  <w:style w:type="paragraph" w:customStyle="1" w:styleId="TableTextBullet2">
    <w:name w:val="Table Text Bullet 2"/>
    <w:basedOn w:val="TableTextBullet"/>
    <w:qFormat/>
    <w:rsid w:val="005A5C3A"/>
    <w:pPr>
      <w:numPr>
        <w:ilvl w:val="1"/>
      </w:numPr>
    </w:pPr>
  </w:style>
  <w:style w:type="paragraph" w:styleId="TOC3">
    <w:name w:val="toc 3"/>
    <w:basedOn w:val="Normal"/>
    <w:next w:val="Normal"/>
    <w:uiPriority w:val="39"/>
    <w:rsid w:val="006816E7"/>
    <w:pPr>
      <w:tabs>
        <w:tab w:val="right" w:leader="dot" w:pos="9582"/>
      </w:tabs>
      <w:spacing w:before="60" w:after="60"/>
      <w:ind w:left="227" w:right="851"/>
    </w:pPr>
    <w:rPr>
      <w:rFonts w:eastAsiaTheme="minorEastAsia" w:cstheme="minorBidi"/>
      <w:b/>
      <w:noProof/>
      <w:color w:val="232222"/>
    </w:rPr>
  </w:style>
  <w:style w:type="paragraph" w:customStyle="1" w:styleId="TableTextLeftBold">
    <w:name w:val="Table Text Left Bold"/>
    <w:basedOn w:val="TableTextLeft"/>
    <w:qFormat/>
    <w:rsid w:val="0005578D"/>
    <w:rPr>
      <w:b/>
    </w:rPr>
  </w:style>
  <w:style w:type="character" w:styleId="UnresolvedMention">
    <w:name w:val="Unresolved Mention"/>
    <w:basedOn w:val="DefaultParagraphFont"/>
    <w:uiPriority w:val="99"/>
    <w:semiHidden/>
    <w:unhideWhenUsed/>
    <w:rsid w:val="00E04BF5"/>
    <w:rPr>
      <w:color w:val="605E5C"/>
      <w:shd w:val="clear" w:color="auto" w:fill="E1DFDD"/>
    </w:rPr>
  </w:style>
  <w:style w:type="paragraph" w:customStyle="1" w:styleId="TableTextBullet">
    <w:name w:val="Table Text Bullet"/>
    <w:basedOn w:val="TableTextLeft"/>
    <w:qFormat/>
    <w:rsid w:val="008B2799"/>
    <w:pPr>
      <w:numPr>
        <w:numId w:val="11"/>
      </w:numPr>
    </w:pPr>
  </w:style>
  <w:style w:type="character" w:customStyle="1" w:styleId="NoteHeadingChar">
    <w:name w:val="Note Heading Char"/>
    <w:basedOn w:val="DefaultParagraphFont"/>
    <w:link w:val="NoteHeading"/>
    <w:rsid w:val="00012BCD"/>
    <w:rPr>
      <w:rFonts w:cs="Calibri"/>
      <w:sz w:val="18"/>
      <w:szCs w:val="19"/>
    </w:rPr>
  </w:style>
  <w:style w:type="paragraph" w:customStyle="1" w:styleId="NoteNumbered">
    <w:name w:val="Note Numbered"/>
    <w:basedOn w:val="Normal"/>
    <w:qFormat/>
    <w:rsid w:val="00F72BF1"/>
    <w:pPr>
      <w:numPr>
        <w:numId w:val="10"/>
      </w:numPr>
      <w:spacing w:before="60" w:after="100" w:afterAutospacing="1"/>
      <w:contextualSpacing/>
    </w:pPr>
    <w:rPr>
      <w:rFonts w:cs="Calibri"/>
      <w:sz w:val="18"/>
      <w:szCs w:val="17"/>
    </w:rPr>
  </w:style>
  <w:style w:type="paragraph" w:styleId="ListParagraph">
    <w:name w:val="List Paragraph"/>
    <w:basedOn w:val="Normal"/>
    <w:uiPriority w:val="34"/>
    <w:qFormat/>
    <w:rsid w:val="00816257"/>
    <w:pPr>
      <w:ind w:left="720"/>
      <w:contextualSpacing/>
    </w:pPr>
  </w:style>
  <w:style w:type="character" w:styleId="Strong">
    <w:name w:val="Strong"/>
    <w:basedOn w:val="DefaultParagraphFont"/>
    <w:uiPriority w:val="22"/>
    <w:qFormat/>
    <w:rsid w:val="007577B1"/>
    <w:rPr>
      <w:b/>
      <w:bCs/>
    </w:rPr>
  </w:style>
  <w:style w:type="paragraph" w:customStyle="1" w:styleId="TableTextCentre">
    <w:name w:val="Table Text Centre"/>
    <w:basedOn w:val="TableTextLeft"/>
    <w:qFormat/>
    <w:rsid w:val="00F84D40"/>
    <w:pPr>
      <w:jc w:val="center"/>
    </w:pPr>
  </w:style>
  <w:style w:type="paragraph" w:customStyle="1" w:styleId="TableTextRight">
    <w:name w:val="Table Text Right"/>
    <w:basedOn w:val="TableTextCentre"/>
    <w:qFormat/>
    <w:rsid w:val="00F84D40"/>
    <w:pPr>
      <w:jc w:val="right"/>
    </w:pPr>
  </w:style>
  <w:style w:type="paragraph" w:customStyle="1" w:styleId="TableTextNumbered1">
    <w:name w:val="Table Text Numbered 1"/>
    <w:basedOn w:val="TableTextLeft"/>
    <w:qFormat/>
    <w:rsid w:val="00F84D40"/>
    <w:pPr>
      <w:numPr>
        <w:numId w:val="12"/>
      </w:numPr>
    </w:pPr>
  </w:style>
  <w:style w:type="paragraph" w:customStyle="1" w:styleId="TableTextNumbered2">
    <w:name w:val="Table Text Numbered 2"/>
    <w:basedOn w:val="TableTextNumbered1"/>
    <w:qFormat/>
    <w:rsid w:val="00F84D40"/>
    <w:pPr>
      <w:numPr>
        <w:ilvl w:val="1"/>
      </w:numPr>
    </w:pPr>
  </w:style>
  <w:style w:type="paragraph" w:customStyle="1" w:styleId="TableTextNumbered3">
    <w:name w:val="Table Text Numbered 3"/>
    <w:basedOn w:val="TableTextNumbered2"/>
    <w:qFormat/>
    <w:rsid w:val="00F84D40"/>
    <w:pPr>
      <w:numPr>
        <w:ilvl w:val="2"/>
      </w:numPr>
    </w:pPr>
  </w:style>
  <w:style w:type="paragraph" w:customStyle="1" w:styleId="TableTextBullet3">
    <w:name w:val="Table Text Bullet 3"/>
    <w:basedOn w:val="TableTextBullet2"/>
    <w:qFormat/>
    <w:rsid w:val="00F84D40"/>
    <w:pPr>
      <w:numPr>
        <w:ilvl w:val="2"/>
      </w:numPr>
    </w:pPr>
  </w:style>
  <w:style w:type="paragraph" w:styleId="Quote">
    <w:name w:val="Quote"/>
    <w:basedOn w:val="Normal"/>
    <w:next w:val="Normal"/>
    <w:link w:val="QuoteChar"/>
    <w:qFormat/>
    <w:rsid w:val="00896F15"/>
    <w:pPr>
      <w:pBdr>
        <w:top w:val="single" w:sz="4" w:space="10" w:color="FF9E1B" w:themeColor="accent2"/>
      </w:pBdr>
      <w:spacing w:before="200" w:after="160"/>
      <w:ind w:left="284" w:right="284"/>
    </w:pPr>
    <w:rPr>
      <w:iCs/>
      <w:color w:val="232222" w:themeColor="text1"/>
    </w:rPr>
  </w:style>
  <w:style w:type="character" w:customStyle="1" w:styleId="QuoteChar">
    <w:name w:val="Quote Char"/>
    <w:basedOn w:val="DefaultParagraphFont"/>
    <w:link w:val="Quote"/>
    <w:rsid w:val="00896F15"/>
    <w:rPr>
      <w:iCs/>
      <w:color w:val="232222" w:themeColor="text1"/>
    </w:rPr>
  </w:style>
  <w:style w:type="paragraph" w:styleId="TableofFigures">
    <w:name w:val="table of figures"/>
    <w:basedOn w:val="Normal"/>
    <w:next w:val="Normal"/>
    <w:uiPriority w:val="99"/>
    <w:rsid w:val="00166FB5"/>
    <w:pPr>
      <w:tabs>
        <w:tab w:val="right" w:leader="dot" w:pos="9582"/>
      </w:tabs>
      <w:spacing w:before="60" w:after="60"/>
      <w:ind w:right="851"/>
    </w:pPr>
    <w:rPr>
      <w:rFonts w:cs="Arial"/>
      <w:color w:val="232222" w:themeColor="text1"/>
    </w:rPr>
  </w:style>
  <w:style w:type="paragraph" w:customStyle="1" w:styleId="xInLineShape">
    <w:name w:val="xInLineShape"/>
    <w:basedOn w:val="Normal"/>
    <w:next w:val="BodyText"/>
    <w:rsid w:val="0049351D"/>
    <w:pPr>
      <w:spacing w:before="100" w:after="100"/>
    </w:pPr>
  </w:style>
  <w:style w:type="paragraph" w:customStyle="1" w:styleId="FootnoteSeparator">
    <w:name w:val="Footnote Separator"/>
    <w:rsid w:val="005D764F"/>
    <w:pPr>
      <w:pBdr>
        <w:top w:val="dotted" w:sz="4" w:space="1" w:color="auto"/>
      </w:pBdr>
      <w:spacing w:after="0" w:line="120" w:lineRule="exact"/>
    </w:pPr>
    <w:rPr>
      <w:bCs/>
      <w:sz w:val="16"/>
    </w:rPr>
  </w:style>
  <w:style w:type="paragraph" w:customStyle="1" w:styleId="xCoverStatus">
    <w:name w:val="xCoverStatus"/>
    <w:basedOn w:val="Normal"/>
    <w:next w:val="Normal"/>
    <w:uiPriority w:val="99"/>
    <w:semiHidden/>
    <w:rsid w:val="00C33BEC"/>
    <w:pPr>
      <w:framePr w:wrap="around" w:vAnchor="page" w:hAnchor="page" w:x="937" w:y="11931"/>
      <w:pBdr>
        <w:top w:val="single" w:sz="4" w:space="1" w:color="ED2124"/>
        <w:left w:val="single" w:sz="4" w:space="4" w:color="ED2124"/>
        <w:bottom w:val="single" w:sz="4" w:space="1" w:color="ED2124"/>
        <w:right w:val="single" w:sz="4" w:space="4" w:color="ED2124"/>
      </w:pBdr>
      <w:shd w:val="clear" w:color="auto" w:fill="ED2124"/>
      <w:spacing w:before="0" w:after="0"/>
    </w:pPr>
    <w:rPr>
      <w:b/>
      <w:color w:val="FFFFFF" w:themeColor="background1"/>
      <w:sz w:val="48"/>
    </w:rPr>
  </w:style>
  <w:style w:type="paragraph" w:styleId="TOC4">
    <w:name w:val="toc 4"/>
    <w:basedOn w:val="Normal"/>
    <w:uiPriority w:val="39"/>
    <w:rsid w:val="006816E7"/>
    <w:pPr>
      <w:tabs>
        <w:tab w:val="right" w:leader="dot" w:pos="9582"/>
      </w:tabs>
      <w:spacing w:before="60" w:after="60"/>
      <w:ind w:left="454" w:right="851"/>
    </w:pPr>
    <w:rPr>
      <w:rFonts w:cs="Arial"/>
      <w:noProof/>
      <w:color w:val="232222"/>
    </w:rPr>
  </w:style>
  <w:style w:type="paragraph" w:customStyle="1" w:styleId="ListAlpha2">
    <w:name w:val="List Alpha 2"/>
    <w:basedOn w:val="ListAlpha"/>
    <w:qFormat/>
    <w:rsid w:val="007F0D3C"/>
    <w:pPr>
      <w:numPr>
        <w:ilvl w:val="1"/>
      </w:numPr>
    </w:pPr>
  </w:style>
  <w:style w:type="character" w:customStyle="1" w:styleId="SectionTitle">
    <w:name w:val="Section Title"/>
    <w:uiPriority w:val="3"/>
    <w:rsid w:val="00A1606D"/>
    <w:rPr>
      <w:color w:val="FFFFFF" w:themeColor="background1"/>
      <w:bdr w:val="none" w:sz="0" w:space="0" w:color="auto"/>
      <w:shd w:val="clear" w:color="auto" w:fill="auto"/>
    </w:rPr>
  </w:style>
  <w:style w:type="paragraph" w:customStyle="1" w:styleId="BoldBodyText">
    <w:name w:val="Bold Body Text"/>
    <w:basedOn w:val="BodyText"/>
    <w:qFormat/>
    <w:rsid w:val="006614E4"/>
    <w:rPr>
      <w:rFonts w:ascii="Arial Bold" w:hAnsi="Arial Bold"/>
      <w:bCs/>
    </w:rPr>
  </w:style>
  <w:style w:type="table" w:styleId="TableGridLight">
    <w:name w:val="Grid Table Light"/>
    <w:basedOn w:val="TableNormal"/>
    <w:uiPriority w:val="40"/>
    <w:semiHidden/>
    <w:rsid w:val="00924B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xPartnerLogosInsideCover">
    <w:name w:val="xPartnerLogos_InsideCover"/>
    <w:basedOn w:val="NoSpacing"/>
    <w:next w:val="BodyText"/>
    <w:uiPriority w:val="99"/>
    <w:rsid w:val="00EE4D70"/>
    <w:pPr>
      <w:tabs>
        <w:tab w:val="left" w:pos="2948"/>
        <w:tab w:val="left" w:pos="5897"/>
      </w:tabs>
      <w:spacing w:before="200" w:after="200"/>
    </w:pPr>
  </w:style>
  <w:style w:type="character" w:customStyle="1" w:styleId="NoSpacingChar">
    <w:name w:val="No Spacing Char"/>
    <w:basedOn w:val="DefaultParagraphFont"/>
    <w:link w:val="NoSpacing"/>
    <w:rsid w:val="00D81F03"/>
  </w:style>
  <w:style w:type="paragraph" w:customStyle="1" w:styleId="HighlightBoxBullet">
    <w:name w:val="Highlight Box Bullet"/>
    <w:basedOn w:val="HighlightBoxText"/>
    <w:qFormat/>
    <w:rsid w:val="004B4954"/>
    <w:pPr>
      <w:numPr>
        <w:numId w:val="13"/>
      </w:numPr>
    </w:pPr>
  </w:style>
  <w:style w:type="paragraph" w:customStyle="1" w:styleId="HighlightBoxHeading">
    <w:name w:val="Highlight Box Heading"/>
    <w:basedOn w:val="HighlightBoxText"/>
    <w:next w:val="HighlightBoxText"/>
    <w:qFormat/>
    <w:rsid w:val="003E7083"/>
    <w:rPr>
      <w:b/>
    </w:rPr>
  </w:style>
  <w:style w:type="paragraph" w:customStyle="1" w:styleId="FooterOdd">
    <w:name w:val="Footer Odd"/>
    <w:next w:val="Footer"/>
    <w:uiPriority w:val="99"/>
    <w:rsid w:val="00376EF3"/>
    <w:pPr>
      <w:spacing w:before="0" w:after="0" w:line="200" w:lineRule="atLeast"/>
      <w:jc w:val="right"/>
    </w:pPr>
    <w:rPr>
      <w:rFonts w:cs="Arial"/>
      <w:color w:val="232222" w:themeColor="text1"/>
      <w:spacing w:val="2"/>
      <w:sz w:val="16"/>
    </w:rPr>
  </w:style>
  <w:style w:type="paragraph" w:customStyle="1" w:styleId="FooterOddPageNumber">
    <w:name w:val="Footer Odd Page Number"/>
    <w:basedOn w:val="FooterOdd"/>
    <w:uiPriority w:val="99"/>
    <w:rsid w:val="00E915C8"/>
    <w:pPr>
      <w:ind w:right="28"/>
    </w:pPr>
    <w:rPr>
      <w:b/>
    </w:rPr>
  </w:style>
  <w:style w:type="table" w:customStyle="1" w:styleId="TableAsPlaceholder">
    <w:name w:val="Table As Placeholder"/>
    <w:basedOn w:val="TableNormal"/>
    <w:uiPriority w:val="99"/>
    <w:qFormat/>
    <w:rsid w:val="00376EF3"/>
    <w:pPr>
      <w:spacing w:before="0" w:after="0"/>
    </w:pPr>
    <w:rPr>
      <w:rFonts w:cs="Arial"/>
      <w:color w:val="232222" w:themeColor="text1"/>
    </w:rPr>
    <w:tblPr>
      <w:tblCellMar>
        <w:left w:w="0" w:type="dxa"/>
        <w:right w:w="0" w:type="dxa"/>
      </w:tblCellMar>
    </w:tblPr>
  </w:style>
  <w:style w:type="paragraph" w:customStyle="1" w:styleId="FooterEven">
    <w:name w:val="Footer Even"/>
    <w:next w:val="Footer"/>
    <w:uiPriority w:val="99"/>
    <w:rsid w:val="00376EF3"/>
    <w:pPr>
      <w:spacing w:before="0" w:after="0" w:line="200" w:lineRule="atLeast"/>
    </w:pPr>
    <w:rPr>
      <w:rFonts w:cs="Arial"/>
      <w:color w:val="232222" w:themeColor="text1"/>
      <w:sz w:val="16"/>
    </w:rPr>
  </w:style>
  <w:style w:type="paragraph" w:customStyle="1" w:styleId="FooterEvenPageNumber">
    <w:name w:val="Footer Even Page Number"/>
    <w:basedOn w:val="FooterEven"/>
    <w:uiPriority w:val="99"/>
    <w:rsid w:val="00E915C8"/>
    <w:pPr>
      <w:framePr w:wrap="around" w:vAnchor="page" w:hAnchor="margin" w:yAlign="bottom"/>
    </w:pPr>
    <w:rPr>
      <w:b/>
    </w:rPr>
  </w:style>
  <w:style w:type="paragraph" w:customStyle="1" w:styleId="xDisclaimerText">
    <w:name w:val="xDisclaimer Text"/>
    <w:basedOn w:val="Normal"/>
    <w:rsid w:val="006614E4"/>
    <w:pPr>
      <w:spacing w:after="0" w:line="175" w:lineRule="atLeast"/>
    </w:pPr>
    <w:rPr>
      <w:rFonts w:cs="Arial"/>
      <w:color w:val="232222" w:themeColor="text1"/>
      <w:sz w:val="16"/>
    </w:rPr>
  </w:style>
  <w:style w:type="table" w:customStyle="1" w:styleId="LogoPlaceholder">
    <w:name w:val="Logo Placeholder"/>
    <w:basedOn w:val="TableNormal"/>
    <w:uiPriority w:val="99"/>
    <w:rsid w:val="006614E4"/>
    <w:pPr>
      <w:spacing w:before="0" w:after="0" w:line="240" w:lineRule="auto"/>
    </w:pPr>
    <w:rPr>
      <w:rFonts w:cs="Arial"/>
      <w:color w:val="232222" w:themeColor="text1"/>
    </w:rPr>
    <w:tblPr>
      <w:tblCellSpacing w:w="142" w:type="dxa"/>
      <w:tblCellMar>
        <w:left w:w="0" w:type="dxa"/>
        <w:right w:w="0" w:type="dxa"/>
      </w:tblCellMar>
    </w:tblPr>
    <w:trPr>
      <w:tblCellSpacing w:w="142" w:type="dxa"/>
    </w:trPr>
  </w:style>
  <w:style w:type="paragraph" w:customStyle="1" w:styleId="DisclaimerText">
    <w:name w:val="Disclaimer Text"/>
    <w:basedOn w:val="Normal"/>
    <w:uiPriority w:val="99"/>
    <w:semiHidden/>
    <w:rsid w:val="002A4F2A"/>
    <w:pPr>
      <w:framePr w:hSpace="181" w:wrap="around" w:hAnchor="margin" w:yAlign="bottom"/>
      <w:spacing w:before="0" w:after="90"/>
      <w:suppressOverlap/>
    </w:pPr>
    <w:rPr>
      <w:rFonts w:cs="Arial"/>
      <w:color w:val="232222" w:themeColor="text1"/>
    </w:rPr>
  </w:style>
  <w:style w:type="paragraph" w:customStyle="1" w:styleId="SmallBodyText">
    <w:name w:val="Small Body Text"/>
    <w:basedOn w:val="Normal"/>
    <w:qFormat/>
    <w:rsid w:val="000D04F8"/>
    <w:pPr>
      <w:spacing w:before="80" w:after="80" w:line="245" w:lineRule="auto"/>
    </w:pPr>
    <w:rPr>
      <w:sz w:val="18"/>
    </w:rPr>
  </w:style>
  <w:style w:type="paragraph" w:customStyle="1" w:styleId="ListAlpha3">
    <w:name w:val="List Alpha 3"/>
    <w:basedOn w:val="ListAlpha2"/>
    <w:qFormat/>
    <w:rsid w:val="009569CB"/>
    <w:pPr>
      <w:numPr>
        <w:ilvl w:val="2"/>
      </w:numPr>
    </w:pPr>
  </w:style>
  <w:style w:type="paragraph" w:customStyle="1" w:styleId="NoteNumbered2">
    <w:name w:val="Note Numbered 2"/>
    <w:basedOn w:val="NoteNumbered"/>
    <w:qFormat/>
    <w:rsid w:val="00F72BF1"/>
    <w:pPr>
      <w:numPr>
        <w:ilvl w:val="1"/>
      </w:numPr>
    </w:pPr>
  </w:style>
  <w:style w:type="paragraph" w:customStyle="1" w:styleId="HighlightBoxText">
    <w:name w:val="Highlight Box Text"/>
    <w:basedOn w:val="BodyText"/>
    <w:qFormat/>
    <w:rsid w:val="0053503C"/>
    <w:pPr>
      <w:pBdr>
        <w:top w:val="single" w:sz="4" w:space="14" w:color="FF9E1B" w:themeColor="accent2"/>
        <w:left w:val="single" w:sz="4" w:space="12" w:color="FF9E1B" w:themeColor="accent2"/>
        <w:bottom w:val="single" w:sz="4" w:space="14" w:color="FF9E1B" w:themeColor="accent2"/>
        <w:right w:val="single" w:sz="4" w:space="12" w:color="FF9E1B" w:themeColor="accent2"/>
      </w:pBdr>
      <w:shd w:val="clear" w:color="auto" w:fill="FF9E1B" w:themeFill="accent2"/>
      <w:tabs>
        <w:tab w:val="left" w:pos="2268"/>
        <w:tab w:val="left" w:pos="4536"/>
        <w:tab w:val="left" w:pos="6804"/>
        <w:tab w:val="right" w:pos="9638"/>
      </w:tabs>
      <w:spacing w:line="300" w:lineRule="exact"/>
      <w:ind w:left="227" w:right="227"/>
    </w:pPr>
    <w:rPr>
      <w:color w:val="201547" w:themeColor="text2"/>
      <w:spacing w:val="2"/>
      <w:kern w:val="20"/>
      <w:sz w:val="24"/>
      <w:lang w:eastAsia="fr-CA"/>
    </w:rPr>
  </w:style>
  <w:style w:type="paragraph" w:customStyle="1" w:styleId="BodyText12ptBefore">
    <w:name w:val="Body Text 12pt Before"/>
    <w:basedOn w:val="BodyText"/>
    <w:next w:val="BodyText"/>
    <w:qFormat/>
    <w:rsid w:val="00BB6F0D"/>
    <w:pPr>
      <w:spacing w:before="240"/>
    </w:pPr>
  </w:style>
  <w:style w:type="paragraph" w:customStyle="1" w:styleId="QuoteBullet">
    <w:name w:val="Quote Bullet"/>
    <w:basedOn w:val="Quote"/>
    <w:qFormat/>
    <w:rsid w:val="00AA7DC2"/>
    <w:pPr>
      <w:numPr>
        <w:numId w:val="14"/>
      </w:numPr>
      <w:tabs>
        <w:tab w:val="left" w:pos="1134"/>
      </w:tabs>
      <w:spacing w:before="120" w:after="120"/>
    </w:pPr>
    <w:rPr>
      <w:rFonts w:cs="Arial"/>
    </w:rPr>
  </w:style>
  <w:style w:type="paragraph" w:customStyle="1" w:styleId="QuoteBullet2">
    <w:name w:val="Quote Bullet 2"/>
    <w:basedOn w:val="Quote"/>
    <w:qFormat/>
    <w:rsid w:val="00AC1C83"/>
    <w:pPr>
      <w:numPr>
        <w:ilvl w:val="1"/>
        <w:numId w:val="14"/>
      </w:numPr>
      <w:pBdr>
        <w:top w:val="none" w:sz="0" w:space="0" w:color="auto"/>
      </w:pBdr>
      <w:spacing w:before="120" w:after="120"/>
    </w:pPr>
    <w:rPr>
      <w:rFonts w:cs="Arial"/>
    </w:rPr>
  </w:style>
  <w:style w:type="paragraph" w:customStyle="1" w:styleId="TableHeadingLeft">
    <w:name w:val="Table Heading Left"/>
    <w:basedOn w:val="TableTextLeft"/>
    <w:qFormat/>
    <w:rsid w:val="00D05BC2"/>
    <w:pPr>
      <w:keepNext/>
    </w:pPr>
    <w:rPr>
      <w:b/>
      <w:color w:val="201547" w:themeColor="text2"/>
    </w:rPr>
  </w:style>
  <w:style w:type="paragraph" w:customStyle="1" w:styleId="TableHeadingCentre">
    <w:name w:val="Table Heading Centre"/>
    <w:basedOn w:val="TableTextCentre"/>
    <w:qFormat/>
    <w:rsid w:val="00D05BC2"/>
    <w:pPr>
      <w:keepNext/>
    </w:pPr>
    <w:rPr>
      <w:b/>
      <w:color w:val="201547" w:themeColor="text2"/>
    </w:rPr>
  </w:style>
  <w:style w:type="paragraph" w:customStyle="1" w:styleId="TableHeadingRight">
    <w:name w:val="Table Heading Right"/>
    <w:basedOn w:val="TableTextRight"/>
    <w:qFormat/>
    <w:rsid w:val="00D05BC2"/>
    <w:pPr>
      <w:keepNext/>
    </w:pPr>
    <w:rPr>
      <w:b/>
      <w:color w:val="201547" w:themeColor="text2"/>
    </w:rPr>
  </w:style>
  <w:style w:type="paragraph" w:customStyle="1" w:styleId="xDisclaimerHeading">
    <w:name w:val="xDisclaimer Heading"/>
    <w:basedOn w:val="NoSpacing"/>
    <w:semiHidden/>
    <w:rsid w:val="00064813"/>
    <w:pPr>
      <w:spacing w:before="120" w:after="120"/>
    </w:pPr>
    <w:rPr>
      <w:b/>
    </w:rPr>
  </w:style>
  <w:style w:type="paragraph" w:customStyle="1" w:styleId="DisclaimerTextLeftBold">
    <w:name w:val="Disclaimer Text Left Bold"/>
    <w:basedOn w:val="DisclaimerTextLeft"/>
    <w:next w:val="DisclaimerTextLeft"/>
    <w:uiPriority w:val="99"/>
    <w:semiHidden/>
    <w:rsid w:val="00740ECE"/>
    <w:pPr>
      <w:framePr w:wrap="around"/>
    </w:pPr>
    <w:rPr>
      <w:b/>
    </w:rPr>
  </w:style>
  <w:style w:type="paragraph" w:customStyle="1" w:styleId="DisclaimerTextLeft">
    <w:name w:val="Disclaimer Text Left"/>
    <w:basedOn w:val="DisclaimerText"/>
    <w:uiPriority w:val="99"/>
    <w:semiHidden/>
    <w:rsid w:val="00740ECE"/>
    <w:pPr>
      <w:framePr w:wrap="around"/>
    </w:pPr>
  </w:style>
  <w:style w:type="paragraph" w:customStyle="1" w:styleId="DisclaimerTextRightBold">
    <w:name w:val="Disclaimer Text Right Bold"/>
    <w:basedOn w:val="Normal"/>
    <w:uiPriority w:val="99"/>
    <w:semiHidden/>
    <w:rsid w:val="00740ECE"/>
    <w:pPr>
      <w:framePr w:hSpace="181" w:wrap="around" w:hAnchor="margin" w:yAlign="bottom"/>
      <w:spacing w:before="0" w:after="90"/>
      <w:suppressOverlap/>
    </w:pPr>
    <w:rPr>
      <w:rFonts w:ascii="Arial Bold" w:hAnsi="Arial Bold" w:cs="Arial"/>
      <w:color w:val="232222" w:themeColor="text1"/>
    </w:rPr>
  </w:style>
  <w:style w:type="paragraph" w:customStyle="1" w:styleId="DisclaimerTextRight12pt">
    <w:name w:val="Disclaimer Text Right 12pt"/>
    <w:basedOn w:val="Normal"/>
    <w:uiPriority w:val="99"/>
    <w:semiHidden/>
    <w:rsid w:val="00740ECE"/>
    <w:pPr>
      <w:framePr w:hSpace="181" w:wrap="around" w:hAnchor="margin" w:yAlign="bottom"/>
      <w:spacing w:before="0" w:after="90"/>
      <w:suppressOverlap/>
    </w:pPr>
    <w:rPr>
      <w:rFonts w:cs="Arial"/>
      <w:color w:val="232222" w:themeColor="text1"/>
      <w:sz w:val="24"/>
    </w:rPr>
  </w:style>
  <w:style w:type="paragraph" w:customStyle="1" w:styleId="DisclaimerTextRightBold12pt">
    <w:name w:val="Disclaimer Text Right Bold 12 pt"/>
    <w:basedOn w:val="DisclaimerTextRightBold"/>
    <w:next w:val="DisclaimerTextRight12pt"/>
    <w:uiPriority w:val="99"/>
    <w:semiHidden/>
    <w:rsid w:val="00E4201F"/>
    <w:pPr>
      <w:framePr w:wrap="around"/>
    </w:pPr>
    <w:rPr>
      <w:sz w:val="24"/>
    </w:rPr>
  </w:style>
  <w:style w:type="paragraph" w:customStyle="1" w:styleId="DisclaimerTextRight">
    <w:name w:val="Disclaimer Text Right"/>
    <w:basedOn w:val="DisclaimerText"/>
    <w:uiPriority w:val="99"/>
    <w:semiHidden/>
    <w:rsid w:val="000957C3"/>
    <w:pPr>
      <w:framePr w:wrap="around"/>
    </w:pPr>
  </w:style>
  <w:style w:type="paragraph" w:customStyle="1" w:styleId="xWebBackCover">
    <w:name w:val="xWebBackCover"/>
    <w:basedOn w:val="NoSpacing"/>
    <w:semiHidden/>
    <w:rsid w:val="00E97B47"/>
    <w:pPr>
      <w:shd w:val="clear" w:color="auto" w:fill="201547" w:themeFill="text2"/>
    </w:pPr>
    <w:rPr>
      <w:b/>
      <w:bCs/>
      <w:color w:val="FFFFFF" w:themeColor="background1"/>
      <w:sz w:val="21"/>
      <w:szCs w:val="21"/>
      <w:lang w:val="en-US"/>
    </w:rPr>
  </w:style>
  <w:style w:type="paragraph" w:customStyle="1" w:styleId="paragraph">
    <w:name w:val="paragraph"/>
    <w:basedOn w:val="Normal"/>
    <w:rsid w:val="003F4354"/>
    <w:pPr>
      <w:spacing w:before="100" w:beforeAutospacing="1" w:after="100" w:afterAutospacing="1" w:line="240" w:lineRule="auto"/>
    </w:pPr>
    <w:rPr>
      <w:rFonts w:ascii="Times New Roman" w:hAnsi="Times New Roman"/>
      <w:sz w:val="24"/>
      <w:szCs w:val="24"/>
      <w:lang w:eastAsia="en-GB"/>
    </w:rPr>
  </w:style>
  <w:style w:type="character" w:customStyle="1" w:styleId="eop">
    <w:name w:val="eop"/>
    <w:basedOn w:val="DefaultParagraphFont"/>
    <w:rsid w:val="003F4354"/>
  </w:style>
  <w:style w:type="paragraph" w:customStyle="1" w:styleId="Default">
    <w:name w:val="Default"/>
    <w:rsid w:val="003F4354"/>
    <w:pPr>
      <w:autoSpaceDE w:val="0"/>
      <w:autoSpaceDN w:val="0"/>
      <w:adjustRightInd w:val="0"/>
      <w:spacing w:before="0" w:after="0" w:line="240" w:lineRule="auto"/>
    </w:pPr>
    <w:rPr>
      <w:rFonts w:ascii="Times New Roman" w:eastAsiaTheme="minorHAnsi" w:hAnsi="Times New Roman"/>
      <w:color w:val="000000"/>
      <w:sz w:val="24"/>
      <w:szCs w:val="24"/>
      <w:lang w:val="en-GB" w:eastAsia="en-US"/>
    </w:rPr>
  </w:style>
  <w:style w:type="character" w:customStyle="1" w:styleId="UnresolvedMention1">
    <w:name w:val="Unresolved Mention1"/>
    <w:basedOn w:val="DefaultParagraphFont"/>
    <w:uiPriority w:val="99"/>
    <w:unhideWhenUsed/>
    <w:rsid w:val="003F4354"/>
    <w:rPr>
      <w:color w:val="605E5C"/>
      <w:shd w:val="clear" w:color="auto" w:fill="E1DFDD"/>
    </w:rPr>
  </w:style>
  <w:style w:type="character" w:styleId="Mention">
    <w:name w:val="Mention"/>
    <w:basedOn w:val="DefaultParagraphFont"/>
    <w:uiPriority w:val="99"/>
    <w:unhideWhenUsed/>
    <w:rsid w:val="003F4354"/>
    <w:rPr>
      <w:color w:val="2B579A"/>
      <w:shd w:val="clear" w:color="auto" w:fill="E1DFDD"/>
    </w:rPr>
  </w:style>
  <w:style w:type="character" w:styleId="PageNumber">
    <w:name w:val="page number"/>
    <w:basedOn w:val="DefaultParagraphFont"/>
    <w:uiPriority w:val="99"/>
    <w:semiHidden/>
    <w:unhideWhenUsed/>
    <w:rsid w:val="003F4354"/>
  </w:style>
  <w:style w:type="character" w:customStyle="1" w:styleId="normaltextrun">
    <w:name w:val="normaltextrun"/>
    <w:basedOn w:val="DefaultParagraphFont"/>
    <w:rsid w:val="00E938DC"/>
  </w:style>
  <w:style w:type="character" w:customStyle="1" w:styleId="ui-provider">
    <w:name w:val="ui-provider"/>
    <w:basedOn w:val="DefaultParagraphFont"/>
    <w:rsid w:val="00BC19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7784">
      <w:bodyDiv w:val="1"/>
      <w:marLeft w:val="0"/>
      <w:marRight w:val="0"/>
      <w:marTop w:val="0"/>
      <w:marBottom w:val="0"/>
      <w:divBdr>
        <w:top w:val="none" w:sz="0" w:space="0" w:color="auto"/>
        <w:left w:val="none" w:sz="0" w:space="0" w:color="auto"/>
        <w:bottom w:val="none" w:sz="0" w:space="0" w:color="auto"/>
        <w:right w:val="none" w:sz="0" w:space="0" w:color="auto"/>
      </w:divBdr>
    </w:div>
    <w:div w:id="248658202">
      <w:bodyDiv w:val="1"/>
      <w:marLeft w:val="0"/>
      <w:marRight w:val="0"/>
      <w:marTop w:val="0"/>
      <w:marBottom w:val="0"/>
      <w:divBdr>
        <w:top w:val="none" w:sz="0" w:space="0" w:color="auto"/>
        <w:left w:val="none" w:sz="0" w:space="0" w:color="auto"/>
        <w:bottom w:val="none" w:sz="0" w:space="0" w:color="auto"/>
        <w:right w:val="none" w:sz="0" w:space="0" w:color="auto"/>
      </w:divBdr>
    </w:div>
    <w:div w:id="318269988">
      <w:bodyDiv w:val="1"/>
      <w:marLeft w:val="0"/>
      <w:marRight w:val="0"/>
      <w:marTop w:val="0"/>
      <w:marBottom w:val="0"/>
      <w:divBdr>
        <w:top w:val="none" w:sz="0" w:space="0" w:color="auto"/>
        <w:left w:val="none" w:sz="0" w:space="0" w:color="auto"/>
        <w:bottom w:val="none" w:sz="0" w:space="0" w:color="auto"/>
        <w:right w:val="none" w:sz="0" w:space="0" w:color="auto"/>
      </w:divBdr>
    </w:div>
    <w:div w:id="425200457">
      <w:bodyDiv w:val="1"/>
      <w:marLeft w:val="0"/>
      <w:marRight w:val="0"/>
      <w:marTop w:val="0"/>
      <w:marBottom w:val="0"/>
      <w:divBdr>
        <w:top w:val="none" w:sz="0" w:space="0" w:color="auto"/>
        <w:left w:val="none" w:sz="0" w:space="0" w:color="auto"/>
        <w:bottom w:val="none" w:sz="0" w:space="0" w:color="auto"/>
        <w:right w:val="none" w:sz="0" w:space="0" w:color="auto"/>
      </w:divBdr>
    </w:div>
    <w:div w:id="1161194644">
      <w:bodyDiv w:val="1"/>
      <w:marLeft w:val="0"/>
      <w:marRight w:val="0"/>
      <w:marTop w:val="0"/>
      <w:marBottom w:val="0"/>
      <w:divBdr>
        <w:top w:val="none" w:sz="0" w:space="0" w:color="auto"/>
        <w:left w:val="none" w:sz="0" w:space="0" w:color="auto"/>
        <w:bottom w:val="none" w:sz="0" w:space="0" w:color="auto"/>
        <w:right w:val="none" w:sz="0" w:space="0" w:color="auto"/>
      </w:divBdr>
    </w:div>
    <w:div w:id="1227497397">
      <w:bodyDiv w:val="1"/>
      <w:marLeft w:val="0"/>
      <w:marRight w:val="0"/>
      <w:marTop w:val="0"/>
      <w:marBottom w:val="0"/>
      <w:divBdr>
        <w:top w:val="none" w:sz="0" w:space="0" w:color="auto"/>
        <w:left w:val="none" w:sz="0" w:space="0" w:color="auto"/>
        <w:bottom w:val="none" w:sz="0" w:space="0" w:color="auto"/>
        <w:right w:val="none" w:sz="0" w:space="0" w:color="auto"/>
      </w:divBdr>
      <w:divsChild>
        <w:div w:id="1221670904">
          <w:marLeft w:val="288"/>
          <w:marRight w:val="0"/>
          <w:marTop w:val="120"/>
          <w:marBottom w:val="80"/>
          <w:divBdr>
            <w:top w:val="none" w:sz="0" w:space="0" w:color="auto"/>
            <w:left w:val="none" w:sz="0" w:space="0" w:color="auto"/>
            <w:bottom w:val="none" w:sz="0" w:space="0" w:color="auto"/>
            <w:right w:val="none" w:sz="0" w:space="0" w:color="auto"/>
          </w:divBdr>
        </w:div>
      </w:divsChild>
    </w:div>
    <w:div w:id="1680160028">
      <w:bodyDiv w:val="1"/>
      <w:marLeft w:val="0"/>
      <w:marRight w:val="0"/>
      <w:marTop w:val="0"/>
      <w:marBottom w:val="0"/>
      <w:divBdr>
        <w:top w:val="none" w:sz="0" w:space="0" w:color="auto"/>
        <w:left w:val="none" w:sz="0" w:space="0" w:color="auto"/>
        <w:bottom w:val="none" w:sz="0" w:space="0" w:color="auto"/>
        <w:right w:val="none" w:sz="0" w:space="0" w:color="auto"/>
      </w:divBdr>
    </w:div>
    <w:div w:id="2015185588">
      <w:bodyDiv w:val="1"/>
      <w:marLeft w:val="0"/>
      <w:marRight w:val="0"/>
      <w:marTop w:val="0"/>
      <w:marBottom w:val="0"/>
      <w:divBdr>
        <w:top w:val="none" w:sz="0" w:space="0" w:color="auto"/>
        <w:left w:val="none" w:sz="0" w:space="0" w:color="auto"/>
        <w:bottom w:val="none" w:sz="0" w:space="0" w:color="auto"/>
        <w:right w:val="none" w:sz="0" w:space="0" w:color="auto"/>
      </w:divBdr>
    </w:div>
    <w:div w:id="2045591460">
      <w:bodyDiv w:val="1"/>
      <w:marLeft w:val="0"/>
      <w:marRight w:val="0"/>
      <w:marTop w:val="0"/>
      <w:marBottom w:val="0"/>
      <w:divBdr>
        <w:top w:val="none" w:sz="0" w:space="0" w:color="auto"/>
        <w:left w:val="none" w:sz="0" w:space="0" w:color="auto"/>
        <w:bottom w:val="none" w:sz="0" w:space="0" w:color="auto"/>
        <w:right w:val="none" w:sz="0" w:space="0" w:color="auto"/>
      </w:divBdr>
    </w:div>
    <w:div w:id="2050034503">
      <w:bodyDiv w:val="1"/>
      <w:marLeft w:val="0"/>
      <w:marRight w:val="0"/>
      <w:marTop w:val="0"/>
      <w:marBottom w:val="0"/>
      <w:divBdr>
        <w:top w:val="none" w:sz="0" w:space="0" w:color="auto"/>
        <w:left w:val="none" w:sz="0" w:space="0" w:color="auto"/>
        <w:bottom w:val="none" w:sz="0" w:space="0" w:color="auto"/>
        <w:right w:val="none" w:sz="0" w:space="0" w:color="auto"/>
      </w:divBdr>
    </w:div>
    <w:div w:id="2079666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footer" Target="footer3.xml"/><Relationship Id="rId21" Type="http://schemas.openxmlformats.org/officeDocument/2006/relationships/image" Target="media/image10.png"/><Relationship Id="rId34" Type="http://schemas.openxmlformats.org/officeDocument/2006/relationships/header" Target="header1.xml"/><Relationship Id="rId42" Type="http://schemas.openxmlformats.org/officeDocument/2006/relationships/hyperlink" Target="http://creativecommons.org/licenses/by/4.0/" TargetMode="External"/><Relationship Id="rId47" Type="http://schemas.openxmlformats.org/officeDocument/2006/relationships/chart" Target="charts/chart1.xml"/><Relationship Id="rId50" Type="http://schemas.openxmlformats.org/officeDocument/2006/relationships/image" Target="media/image27.jpeg"/><Relationship Id="rId55" Type="http://schemas.openxmlformats.org/officeDocument/2006/relationships/diagramQuickStyle" Target="diagrams/quickStyle1.xml"/><Relationship Id="rId63" Type="http://schemas.openxmlformats.org/officeDocument/2006/relationships/image" Target="media/image35.jpeg"/><Relationship Id="rId68" Type="http://schemas.openxmlformats.org/officeDocument/2006/relationships/image" Target="media/image40.jpeg"/><Relationship Id="rId76" Type="http://schemas.openxmlformats.org/officeDocument/2006/relationships/hyperlink" Target="https://www.planning.vic.gov.au/__data/assets/pdf_file/0031/595273/PPN89-Extractive-Industry-and-Resources-September-2022.pdf" TargetMode="External"/><Relationship Id="rId84" Type="http://schemas.openxmlformats.org/officeDocument/2006/relationships/theme" Target="theme/theme1.xml"/><Relationship Id="rId7" Type="http://schemas.openxmlformats.org/officeDocument/2006/relationships/styles" Target="styles.xml"/><Relationship Id="rId71" Type="http://schemas.openxmlformats.org/officeDocument/2006/relationships/image" Target="media/image43.jpe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6.svg"/><Relationship Id="rId11" Type="http://schemas.openxmlformats.org/officeDocument/2006/relationships/endnotes" Target="endnotes.xml"/><Relationship Id="rId24" Type="http://schemas.openxmlformats.org/officeDocument/2006/relationships/hyperlink" Target="file:///C:/Users/fionadurante/Downloads/deeca.vic.gov.au" TargetMode="External"/><Relationship Id="rId32" Type="http://schemas.openxmlformats.org/officeDocument/2006/relationships/image" Target="media/image19.png"/><Relationship Id="rId37" Type="http://schemas.openxmlformats.org/officeDocument/2006/relationships/footer" Target="footer2.xml"/><Relationship Id="rId40" Type="http://schemas.openxmlformats.org/officeDocument/2006/relationships/image" Target="media/image21.png"/><Relationship Id="rId45" Type="http://schemas.openxmlformats.org/officeDocument/2006/relationships/image" Target="media/image24.png"/><Relationship Id="rId53" Type="http://schemas.openxmlformats.org/officeDocument/2006/relationships/diagramData" Target="diagrams/data1.xml"/><Relationship Id="rId58" Type="http://schemas.openxmlformats.org/officeDocument/2006/relationships/image" Target="media/image30.jpeg"/><Relationship Id="rId66" Type="http://schemas.openxmlformats.org/officeDocument/2006/relationships/image" Target="media/image38.png"/><Relationship Id="rId74" Type="http://schemas.openxmlformats.org/officeDocument/2006/relationships/hyperlink" Target="https://www.planning.vic.gov.au/__data/assets/pdf_file/0031/595273/PPN89-Extractive-Industry-and-Resources-September-2022.pdf" TargetMode="External"/><Relationship Id="rId79" Type="http://schemas.openxmlformats.org/officeDocument/2006/relationships/header" Target="header5.xml"/><Relationship Id="rId5" Type="http://schemas.openxmlformats.org/officeDocument/2006/relationships/customXml" Target="../customXml/item5.xml"/><Relationship Id="rId61" Type="http://schemas.openxmlformats.org/officeDocument/2006/relationships/image" Target="media/image33.png"/><Relationship Id="rId82"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8.svg"/><Relationship Id="rId44" Type="http://schemas.openxmlformats.org/officeDocument/2006/relationships/image" Target="media/image23.png"/><Relationship Id="rId52" Type="http://schemas.openxmlformats.org/officeDocument/2006/relationships/image" Target="media/image29.png"/><Relationship Id="rId60" Type="http://schemas.openxmlformats.org/officeDocument/2006/relationships/image" Target="media/image32.jpeg"/><Relationship Id="rId65" Type="http://schemas.openxmlformats.org/officeDocument/2006/relationships/image" Target="media/image37.jpg"/><Relationship Id="rId73" Type="http://schemas.openxmlformats.org/officeDocument/2006/relationships/hyperlink" Target="https://www.planning.vic.gov.au/__data/assets/pdf_file/0031/595273/PPN89-Extractive-Industry-and-Resources-September-2022.pdf" TargetMode="External"/><Relationship Id="rId78" Type="http://schemas.openxmlformats.org/officeDocument/2006/relationships/header" Target="header4.xml"/><Relationship Id="rId8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svg"/><Relationship Id="rId22" Type="http://schemas.openxmlformats.org/officeDocument/2006/relationships/image" Target="media/image11.png"/><Relationship Id="rId27" Type="http://schemas.openxmlformats.org/officeDocument/2006/relationships/image" Target="media/image14.svg"/><Relationship Id="rId30" Type="http://schemas.openxmlformats.org/officeDocument/2006/relationships/image" Target="media/image17.png"/><Relationship Id="rId35" Type="http://schemas.openxmlformats.org/officeDocument/2006/relationships/header" Target="header2.xml"/><Relationship Id="rId43" Type="http://schemas.openxmlformats.org/officeDocument/2006/relationships/image" Target="media/image22.jpeg"/><Relationship Id="rId48" Type="http://schemas.openxmlformats.org/officeDocument/2006/relationships/chart" Target="charts/chart2.xml"/><Relationship Id="rId56" Type="http://schemas.openxmlformats.org/officeDocument/2006/relationships/diagramColors" Target="diagrams/colors1.xml"/><Relationship Id="rId64" Type="http://schemas.openxmlformats.org/officeDocument/2006/relationships/image" Target="media/image36.jpg"/><Relationship Id="rId69" Type="http://schemas.openxmlformats.org/officeDocument/2006/relationships/image" Target="media/image41.jpeg"/><Relationship Id="rId77" Type="http://schemas.openxmlformats.org/officeDocument/2006/relationships/hyperlink" Target="https://www.homes.vic.gov.au/big-housing-build" TargetMode="External"/><Relationship Id="rId8" Type="http://schemas.openxmlformats.org/officeDocument/2006/relationships/settings" Target="settings.xml"/><Relationship Id="rId51" Type="http://schemas.openxmlformats.org/officeDocument/2006/relationships/image" Target="media/image28.jpeg"/><Relationship Id="rId72" Type="http://schemas.openxmlformats.org/officeDocument/2006/relationships/image" Target="media/image44.jpeg"/><Relationship Id="rId80"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hyperlink" Target="file:///C:/Users/fionadurante/Downloads/deeca.vic.gov.au" TargetMode="External"/><Relationship Id="rId33" Type="http://schemas.openxmlformats.org/officeDocument/2006/relationships/image" Target="media/image20.svg"/><Relationship Id="rId38" Type="http://schemas.openxmlformats.org/officeDocument/2006/relationships/header" Target="header3.xml"/><Relationship Id="rId46" Type="http://schemas.openxmlformats.org/officeDocument/2006/relationships/image" Target="media/image25.jpeg"/><Relationship Id="rId59" Type="http://schemas.openxmlformats.org/officeDocument/2006/relationships/image" Target="media/image31.jpeg"/><Relationship Id="rId67" Type="http://schemas.openxmlformats.org/officeDocument/2006/relationships/image" Target="media/image39.jpeg"/><Relationship Id="rId20" Type="http://schemas.openxmlformats.org/officeDocument/2006/relationships/image" Target="media/image9.png"/><Relationship Id="rId41" Type="http://schemas.openxmlformats.org/officeDocument/2006/relationships/hyperlink" Target="http://creativecommons.org/licenses/by/4.0/" TargetMode="External"/><Relationship Id="rId54" Type="http://schemas.openxmlformats.org/officeDocument/2006/relationships/diagramLayout" Target="diagrams/layout1.xml"/><Relationship Id="rId62" Type="http://schemas.openxmlformats.org/officeDocument/2006/relationships/image" Target="media/image34.jpeg"/><Relationship Id="rId70" Type="http://schemas.openxmlformats.org/officeDocument/2006/relationships/image" Target="media/image42.jpeg"/><Relationship Id="rId75" Type="http://schemas.openxmlformats.org/officeDocument/2006/relationships/hyperlink" Target="https://www.planning.vic.gov.au/__data/assets/pdf_file/0031/595273/PPN89-Extractive-Industry-and-Resources-September-2022.pdf" TargetMode="External"/><Relationship Id="rId83"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footer" Target="footer1.xml"/><Relationship Id="rId49" Type="http://schemas.openxmlformats.org/officeDocument/2006/relationships/image" Target="media/image26.jpeg"/><Relationship Id="rId57" Type="http://schemas.microsoft.com/office/2007/relationships/diagramDrawing" Target="diagrams/drawing1.xml"/></Relationships>
</file>

<file path=word/_rels/footnotes.xml.rels><?xml version="1.0" encoding="UTF-8" standalone="yes"?>
<Relationships xmlns="http://schemas.openxmlformats.org/package/2006/relationships"><Relationship Id="rId8" Type="http://schemas.openxmlformats.org/officeDocument/2006/relationships/hyperlink" Target="https://liveinmelbourne.vic.gov.au/discover/melbourne-victoria/metropolitan-melbourne" TargetMode="External"/><Relationship Id="rId3" Type="http://schemas.openxmlformats.org/officeDocument/2006/relationships/hyperlink" Target="https://earthresources.vic.gov.au/__data/assets/pdf_file/0014/821300/RRV-Strategic-Extractive-Resources-Roadmap.pdf" TargetMode="External"/><Relationship Id="rId7" Type="http://schemas.openxmlformats.org/officeDocument/2006/relationships/hyperlink" Target="https://www.vic.gov.au/victorias-plan-circular-economy" TargetMode="External"/><Relationship Id="rId2" Type="http://schemas.openxmlformats.org/officeDocument/2006/relationships/hyperlink" Target="https://treasury.gov.au/coronavirus/homebuilder" TargetMode="External"/><Relationship Id="rId1" Type="http://schemas.openxmlformats.org/officeDocument/2006/relationships/hyperlink" Target="https://www.sustainability.vic.gov.au/research-data-and-insights/waste-data/annual-waste-data-reports" TargetMode="External"/><Relationship Id="rId6" Type="http://schemas.openxmlformats.org/officeDocument/2006/relationships/hyperlink" Target="https://www.rdv.vic.gov.au/regional-partnerships/partnerships" TargetMode="External"/><Relationship Id="rId5" Type="http://schemas.openxmlformats.org/officeDocument/2006/relationships/hyperlink" Target="https://earthresources.vic.gov.au/legislation-and-regulations/regulation-review-and-reform/better-approvals" TargetMode="External"/><Relationship Id="rId4" Type="http://schemas.openxmlformats.org/officeDocument/2006/relationships/hyperlink" Target="https://earthresources.vic.gov.au/projects/extractive-industry-priority-project-lis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cbr3c\Downloads\DEECA%20Report%20A4%20Portrait_with%20macros.dotm"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61434\VicGov\Extractive%20Resources%20Strategy%20-%20Extractives\Supply%20and%20Demand\Demand%20Model%20-%20Macro\Demand%20Model%20Review\Results\Interim%20forecasts\hard%20rock%20and%20total%20forecast%20-%20interim%20update.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61434\VicGov\Extractive%20Resources%20Strategy%20-%20Extractives\Supply%20and%20Demand\Demand%20Model%20-%20Macro\2021%20Model\State-wide%20demand%20forecasts_final.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442791873237995E-2"/>
          <c:y val="4.5905052447426098E-2"/>
          <c:w val="0.87739671429960098"/>
          <c:h val="0.69730464722115104"/>
        </c:manualLayout>
      </c:layout>
      <c:lineChart>
        <c:grouping val="standard"/>
        <c:varyColors val="0"/>
        <c:ser>
          <c:idx val="1"/>
          <c:order val="0"/>
          <c:tx>
            <c:strRef>
              <c:f>'EY Comparison'!$B$1</c:f>
              <c:strCache>
                <c:ptCount val="1"/>
                <c:pt idx="0">
                  <c:v>Actual</c:v>
                </c:pt>
              </c:strCache>
            </c:strRef>
          </c:tx>
          <c:spPr>
            <a:ln w="28575" cap="rnd">
              <a:solidFill>
                <a:sysClr val="windowText" lastClr="000000"/>
              </a:solidFill>
              <a:round/>
            </a:ln>
            <a:effectLst/>
          </c:spPr>
          <c:marker>
            <c:symbol val="none"/>
          </c:marker>
          <c:cat>
            <c:numRef>
              <c:f>'EY Comparison'!$A$2:$A$31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'EY Comparison'!$B$2:$B$31</c:f>
              <c:numCache>
                <c:formatCode>General</c:formatCode>
                <c:ptCount val="30"/>
                <c:pt idx="0">
                  <c:v>22.911984</c:v>
                </c:pt>
                <c:pt idx="1">
                  <c:v>23.153089999999999</c:v>
                </c:pt>
                <c:pt idx="2">
                  <c:v>22.359143</c:v>
                </c:pt>
                <c:pt idx="3">
                  <c:v>23.742743999999981</c:v>
                </c:pt>
                <c:pt idx="4">
                  <c:v>25.762063000000001</c:v>
                </c:pt>
                <c:pt idx="5">
                  <c:v>28.442996000000001</c:v>
                </c:pt>
                <c:pt idx="6">
                  <c:v>32.738544000000012</c:v>
                </c:pt>
                <c:pt idx="7">
                  <c:v>33.194068000000001</c:v>
                </c:pt>
                <c:pt idx="8">
                  <c:v>29.579547000000002</c:v>
                </c:pt>
                <c:pt idx="9">
                  <c:v>29.202525000000001</c:v>
                </c:pt>
                <c:pt idx="10">
                  <c:v>32.074618000000001</c:v>
                </c:pt>
                <c:pt idx="11">
                  <c:v>38.047128000000001</c:v>
                </c:pt>
                <c:pt idx="12">
                  <c:v>28.012328749999991</c:v>
                </c:pt>
                <c:pt idx="13">
                  <c:v>26.395629192000001</c:v>
                </c:pt>
                <c:pt idx="14">
                  <c:v>50.716929</c:v>
                </c:pt>
                <c:pt idx="15">
                  <c:v>54.098263000000003</c:v>
                </c:pt>
                <c:pt idx="16">
                  <c:v>58.061891000000003</c:v>
                </c:pt>
                <c:pt idx="17">
                  <c:v>61.172893000000002</c:v>
                </c:pt>
                <c:pt idx="18">
                  <c:v>62.883203999999999</c:v>
                </c:pt>
                <c:pt idx="19">
                  <c:v>64.537034000000006</c:v>
                </c:pt>
                <c:pt idx="20" formatCode="_-* #,##0.00000_-;\-* #,##0.00000_-;_-* &quot;-&quot;??_-;_-@_-">
                  <c:v>63.68</c:v>
                </c:pt>
              </c:numCache>
            </c:numRef>
          </c:val>
          <c:smooth val="0"/>
          <c:extLst>
            <c:ext xmlns:c16="http://schemas.microsoft.com/office/drawing/2014/chart" uri="{C3380CC4-5D6E-409C-BE32-E72D297353CC}">
              <c16:uniqueId val="{00000000-BBA1-4A66-BC9B-E4A64643C891}"/>
            </c:ext>
          </c:extLst>
        </c:ser>
        <c:ser>
          <c:idx val="2"/>
          <c:order val="1"/>
          <c:tx>
            <c:strRef>
              <c:f>'EY Comparison'!$C$1</c:f>
              <c:strCache>
                <c:ptCount val="1"/>
                <c:pt idx="0">
                  <c:v>Base Case</c:v>
                </c:pt>
              </c:strCache>
            </c:strRef>
          </c:tx>
          <c:spPr>
            <a:ln w="28575" cap="rnd">
              <a:solidFill>
                <a:schemeClr val="accent1">
                  <a:lumMod val="50000"/>
                </a:schemeClr>
              </a:solidFill>
              <a:round/>
            </a:ln>
            <a:effectLst/>
          </c:spPr>
          <c:marker>
            <c:symbol val="none"/>
          </c:marker>
          <c:cat>
            <c:numRef>
              <c:f>'EY Comparison'!$A$2:$A$31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'EY Comparison'!$C$2:$C$31</c:f>
              <c:numCache>
                <c:formatCode>General</c:formatCode>
                <c:ptCount val="30"/>
                <c:pt idx="14">
                  <c:v>46.432826630000001</c:v>
                </c:pt>
                <c:pt idx="15">
                  <c:v>47.609398959436859</c:v>
                </c:pt>
                <c:pt idx="16">
                  <c:v>48.873038569695019</c:v>
                </c:pt>
                <c:pt idx="17">
                  <c:v>50.174859645880012</c:v>
                </c:pt>
                <c:pt idx="18">
                  <c:v>51.516127766673399</c:v>
                </c:pt>
                <c:pt idx="19">
                  <c:v>52.89815362130031</c:v>
                </c:pt>
                <c:pt idx="20">
                  <c:v>54.343200805481352</c:v>
                </c:pt>
                <c:pt idx="21">
                  <c:v>50.66635337014025</c:v>
                </c:pt>
                <c:pt idx="22">
                  <c:v>51.90215306724653</c:v>
                </c:pt>
                <c:pt idx="23">
                  <c:v>53.171846286808403</c:v>
                </c:pt>
                <c:pt idx="24">
                  <c:v>54.476440732446193</c:v>
                </c:pt>
                <c:pt idx="25">
                  <c:v>55.816976373649972</c:v>
                </c:pt>
                <c:pt idx="26">
                  <c:v>57.194526563921961</c:v>
                </c:pt>
                <c:pt idx="27">
                  <c:v>58.61019920099146</c:v>
                </c:pt>
                <c:pt idx="28">
                  <c:v>60.065137930804298</c:v>
                </c:pt>
                <c:pt idx="29">
                  <c:v>61.56052339709975</c:v>
                </c:pt>
              </c:numCache>
            </c:numRef>
          </c:val>
          <c:smooth val="0"/>
          <c:extLst>
            <c:ext xmlns:c16="http://schemas.microsoft.com/office/drawing/2014/chart" uri="{C3380CC4-5D6E-409C-BE32-E72D297353CC}">
              <c16:uniqueId val="{00000001-BBA1-4A66-BC9B-E4A64643C891}"/>
            </c:ext>
          </c:extLst>
        </c:ser>
        <c:ser>
          <c:idx val="3"/>
          <c:order val="2"/>
          <c:tx>
            <c:strRef>
              <c:f>'EY Comparison'!$D$1</c:f>
              <c:strCache>
                <c:ptCount val="1"/>
                <c:pt idx="0">
                  <c:v>High Demand Scenario</c:v>
                </c:pt>
              </c:strCache>
            </c:strRef>
          </c:tx>
          <c:spPr>
            <a:ln w="28575" cap="rnd">
              <a:solidFill>
                <a:schemeClr val="accent2">
                  <a:lumMod val="75000"/>
                </a:schemeClr>
              </a:solidFill>
              <a:round/>
            </a:ln>
            <a:effectLst/>
          </c:spPr>
          <c:marker>
            <c:symbol val="none"/>
          </c:marker>
          <c:cat>
            <c:numRef>
              <c:f>'EY Comparison'!$A$2:$A$31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'EY Comparison'!$D$2:$D$31</c:f>
              <c:numCache>
                <c:formatCode>General</c:formatCode>
                <c:ptCount val="30"/>
                <c:pt idx="14">
                  <c:v>55.71939195599996</c:v>
                </c:pt>
                <c:pt idx="15">
                  <c:v>57.131278751324302</c:v>
                </c:pt>
                <c:pt idx="16">
                  <c:v>58.647646283634039</c:v>
                </c:pt>
                <c:pt idx="17">
                  <c:v>60.209831575056022</c:v>
                </c:pt>
                <c:pt idx="18">
                  <c:v>61.819353320008048</c:v>
                </c:pt>
                <c:pt idx="19">
                  <c:v>63.477784345560288</c:v>
                </c:pt>
                <c:pt idx="20">
                  <c:v>65.211840966577796</c:v>
                </c:pt>
                <c:pt idx="21">
                  <c:v>60.799624044168311</c:v>
                </c:pt>
                <c:pt idx="22">
                  <c:v>62.282583680695858</c:v>
                </c:pt>
                <c:pt idx="23">
                  <c:v>63.806215544170072</c:v>
                </c:pt>
                <c:pt idx="24">
                  <c:v>65.371728878935414</c:v>
                </c:pt>
                <c:pt idx="25">
                  <c:v>66.980371648380071</c:v>
                </c:pt>
                <c:pt idx="26">
                  <c:v>68.633431876706297</c:v>
                </c:pt>
                <c:pt idx="27">
                  <c:v>70.332239041189752</c:v>
                </c:pt>
                <c:pt idx="28">
                  <c:v>72.078165516965072</c:v>
                </c:pt>
                <c:pt idx="29">
                  <c:v>73.872628076519646</c:v>
                </c:pt>
              </c:numCache>
            </c:numRef>
          </c:val>
          <c:smooth val="0"/>
          <c:extLst>
            <c:ext xmlns:c16="http://schemas.microsoft.com/office/drawing/2014/chart" uri="{C3380CC4-5D6E-409C-BE32-E72D297353CC}">
              <c16:uniqueId val="{00000002-BBA1-4A66-BC9B-E4A64643C891}"/>
            </c:ext>
          </c:extLst>
        </c:ser>
        <c:dLbls>
          <c:showLegendKey val="0"/>
          <c:showVal val="0"/>
          <c:showCatName val="0"/>
          <c:showSerName val="0"/>
          <c:showPercent val="0"/>
          <c:showBubbleSize val="0"/>
        </c:dLbls>
        <c:smooth val="0"/>
        <c:axId val="-57581472"/>
        <c:axId val="99185280"/>
      </c:lineChart>
      <c:catAx>
        <c:axId val="-575814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End of 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99185280"/>
        <c:crosses val="autoZero"/>
        <c:auto val="1"/>
        <c:lblAlgn val="ctr"/>
        <c:lblOffset val="100"/>
        <c:noMultiLvlLbl val="0"/>
      </c:catAx>
      <c:valAx>
        <c:axId val="99185280"/>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Quantity Demanded (tonnes)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7581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8884275196458912E-2"/>
          <c:y val="3.7376826367652057E-2"/>
          <c:w val="0.87680901836226388"/>
          <c:h val="0.62708736331505965"/>
        </c:manualLayout>
      </c:layout>
      <c:lineChart>
        <c:grouping val="standard"/>
        <c:varyColors val="0"/>
        <c:ser>
          <c:idx val="0"/>
          <c:order val="0"/>
          <c:tx>
            <c:strRef>
              <c:f>'All forecasts'!$B$1</c:f>
              <c:strCache>
                <c:ptCount val="1"/>
                <c:pt idx="0">
                  <c:v>Actual - Total</c:v>
                </c:pt>
              </c:strCache>
            </c:strRef>
          </c:tx>
          <c:spPr>
            <a:ln w="38100" cap="rnd">
              <a:solidFill>
                <a:schemeClr val="tx1"/>
              </a:solidFill>
              <a:round/>
            </a:ln>
            <a:effectLst/>
          </c:spPr>
          <c:marker>
            <c:symbol val="none"/>
          </c:marker>
          <c:cat>
            <c:numRef>
              <c:f>'All forecasts'!$A$2:$A$31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'All forecasts'!$B$2:$B$31</c:f>
              <c:numCache>
                <c:formatCode>0.00</c:formatCode>
                <c:ptCount val="30"/>
                <c:pt idx="0">
                  <c:v>37.441457999999997</c:v>
                </c:pt>
                <c:pt idx="1">
                  <c:v>38.302264000000001</c:v>
                </c:pt>
                <c:pt idx="2">
                  <c:v>37.521901</c:v>
                </c:pt>
                <c:pt idx="3">
                  <c:v>38.830948999999997</c:v>
                </c:pt>
                <c:pt idx="4">
                  <c:v>41.699672</c:v>
                </c:pt>
                <c:pt idx="5">
                  <c:v>46.207414</c:v>
                </c:pt>
                <c:pt idx="6">
                  <c:v>52.294360000000012</c:v>
                </c:pt>
                <c:pt idx="7">
                  <c:v>53.909064999999998</c:v>
                </c:pt>
                <c:pt idx="8">
                  <c:v>48.687241999999998</c:v>
                </c:pt>
                <c:pt idx="9">
                  <c:v>46.142321000000003</c:v>
                </c:pt>
                <c:pt idx="10">
                  <c:v>52.239466999999998</c:v>
                </c:pt>
                <c:pt idx="11">
                  <c:v>58.161144</c:v>
                </c:pt>
                <c:pt idx="12">
                  <c:v>47.427898659999997</c:v>
                </c:pt>
                <c:pt idx="13">
                  <c:v>40.325838294</c:v>
                </c:pt>
                <c:pt idx="14">
                  <c:v>50.716929</c:v>
                </c:pt>
                <c:pt idx="15">
                  <c:v>54.098263000000003</c:v>
                </c:pt>
                <c:pt idx="16">
                  <c:v>58.061891000000003</c:v>
                </c:pt>
                <c:pt idx="17">
                  <c:v>61.172893000000002</c:v>
                </c:pt>
                <c:pt idx="18">
                  <c:v>62.883203999999999</c:v>
                </c:pt>
                <c:pt idx="19">
                  <c:v>64.537034000000006</c:v>
                </c:pt>
                <c:pt idx="20">
                  <c:v>63.68</c:v>
                </c:pt>
              </c:numCache>
            </c:numRef>
          </c:val>
          <c:smooth val="0"/>
          <c:extLst>
            <c:ext xmlns:c16="http://schemas.microsoft.com/office/drawing/2014/chart" uri="{C3380CC4-5D6E-409C-BE32-E72D297353CC}">
              <c16:uniqueId val="{00000000-3167-414A-8DA9-0BBB8ABA6421}"/>
            </c:ext>
          </c:extLst>
        </c:ser>
        <c:ser>
          <c:idx val="1"/>
          <c:order val="1"/>
          <c:tx>
            <c:strRef>
              <c:f>'All forecasts'!$C$1</c:f>
              <c:strCache>
                <c:ptCount val="1"/>
                <c:pt idx="0">
                  <c:v>Forecast - Total</c:v>
                </c:pt>
              </c:strCache>
            </c:strRef>
          </c:tx>
          <c:spPr>
            <a:ln w="38100" cap="rnd">
              <a:solidFill>
                <a:srgbClr val="7030A0"/>
              </a:solidFill>
              <a:round/>
            </a:ln>
            <a:effectLst/>
          </c:spPr>
          <c:marker>
            <c:symbol val="none"/>
          </c:marker>
          <c:cat>
            <c:numRef>
              <c:f>'All forecasts'!$A$2:$A$31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'All forecasts'!$C$2:$C$31</c:f>
              <c:numCache>
                <c:formatCode>General</c:formatCode>
                <c:ptCount val="30"/>
                <c:pt idx="20" formatCode="0.00">
                  <c:v>63.68</c:v>
                </c:pt>
                <c:pt idx="21" formatCode="0.00">
                  <c:v>65.860151760373</c:v>
                </c:pt>
                <c:pt idx="22" formatCode="0.00">
                  <c:v>69.307579779673915</c:v>
                </c:pt>
                <c:pt idx="23" formatCode="0.00">
                  <c:v>74.764163562789975</c:v>
                </c:pt>
                <c:pt idx="24" formatCode="0.00">
                  <c:v>76.380966230679206</c:v>
                </c:pt>
                <c:pt idx="25" formatCode="0.00">
                  <c:v>71.945527834036682</c:v>
                </c:pt>
                <c:pt idx="26" formatCode="0.00">
                  <c:v>73.769594667290804</c:v>
                </c:pt>
                <c:pt idx="27" formatCode="0.00">
                  <c:v>75.639907874883122</c:v>
                </c:pt>
                <c:pt idx="28" formatCode="0.00">
                  <c:v>77.557639961625824</c:v>
                </c:pt>
                <c:pt idx="29" formatCode="0.00">
                  <c:v>79.523993159364608</c:v>
                </c:pt>
              </c:numCache>
            </c:numRef>
          </c:val>
          <c:smooth val="0"/>
          <c:extLst>
            <c:ext xmlns:c16="http://schemas.microsoft.com/office/drawing/2014/chart" uri="{C3380CC4-5D6E-409C-BE32-E72D297353CC}">
              <c16:uniqueId val="{00000001-3167-414A-8DA9-0BBB8ABA6421}"/>
            </c:ext>
          </c:extLst>
        </c:ser>
        <c:ser>
          <c:idx val="2"/>
          <c:order val="2"/>
          <c:tx>
            <c:strRef>
              <c:f>'All forecasts'!$E$1</c:f>
              <c:strCache>
                <c:ptCount val="1"/>
                <c:pt idx="0">
                  <c:v>Actual - Hard rock</c:v>
                </c:pt>
              </c:strCache>
            </c:strRef>
          </c:tx>
          <c:spPr>
            <a:ln w="38100" cap="rnd">
              <a:solidFill>
                <a:schemeClr val="tx1"/>
              </a:solidFill>
              <a:round/>
            </a:ln>
            <a:effectLst/>
          </c:spPr>
          <c:marker>
            <c:symbol val="square"/>
            <c:size val="5"/>
            <c:spPr>
              <a:solidFill>
                <a:schemeClr val="tx1"/>
              </a:solidFill>
              <a:ln w="38100">
                <a:solidFill>
                  <a:schemeClr val="tx1"/>
                </a:solidFill>
              </a:ln>
              <a:effectLst/>
            </c:spPr>
          </c:marker>
          <c:cat>
            <c:numRef>
              <c:f>'All forecasts'!$A$2:$A$31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'All forecasts'!$E$2:$E$31</c:f>
              <c:numCache>
                <c:formatCode>0.00</c:formatCode>
                <c:ptCount val="30"/>
                <c:pt idx="0">
                  <c:v>22.911984</c:v>
                </c:pt>
                <c:pt idx="1">
                  <c:v>23.153089999999999</c:v>
                </c:pt>
                <c:pt idx="2">
                  <c:v>22.359143</c:v>
                </c:pt>
                <c:pt idx="3">
                  <c:v>23.742743999999981</c:v>
                </c:pt>
                <c:pt idx="4">
                  <c:v>25.762063000000001</c:v>
                </c:pt>
                <c:pt idx="5">
                  <c:v>28.442996000000001</c:v>
                </c:pt>
                <c:pt idx="6">
                  <c:v>32.738544000000012</c:v>
                </c:pt>
                <c:pt idx="7">
                  <c:v>33.194068000000001</c:v>
                </c:pt>
                <c:pt idx="8">
                  <c:v>29.579547000000002</c:v>
                </c:pt>
                <c:pt idx="9">
                  <c:v>29.202525000000001</c:v>
                </c:pt>
                <c:pt idx="10">
                  <c:v>32.074618000000001</c:v>
                </c:pt>
                <c:pt idx="11">
                  <c:v>38.047128000000001</c:v>
                </c:pt>
                <c:pt idx="12">
                  <c:v>28.012328750000009</c:v>
                </c:pt>
                <c:pt idx="13">
                  <c:v>26.395629192000001</c:v>
                </c:pt>
                <c:pt idx="14">
                  <c:v>31.356570999999999</c:v>
                </c:pt>
                <c:pt idx="15">
                  <c:v>32.804338000000001</c:v>
                </c:pt>
                <c:pt idx="16">
                  <c:v>36.836838999999998</c:v>
                </c:pt>
                <c:pt idx="17">
                  <c:v>39.212057000000001</c:v>
                </c:pt>
                <c:pt idx="18">
                  <c:v>41.884971</c:v>
                </c:pt>
                <c:pt idx="19">
                  <c:v>43.824579999999997</c:v>
                </c:pt>
                <c:pt idx="20">
                  <c:v>42.68</c:v>
                </c:pt>
              </c:numCache>
            </c:numRef>
          </c:val>
          <c:smooth val="0"/>
          <c:extLst>
            <c:ext xmlns:c16="http://schemas.microsoft.com/office/drawing/2014/chart" uri="{C3380CC4-5D6E-409C-BE32-E72D297353CC}">
              <c16:uniqueId val="{00000002-3167-414A-8DA9-0BBB8ABA6421}"/>
            </c:ext>
          </c:extLst>
        </c:ser>
        <c:ser>
          <c:idx val="3"/>
          <c:order val="3"/>
          <c:tx>
            <c:strRef>
              <c:f>'All forecasts'!$F$1</c:f>
              <c:strCache>
                <c:ptCount val="1"/>
                <c:pt idx="0">
                  <c:v>Forecast - Hard rock</c:v>
                </c:pt>
              </c:strCache>
            </c:strRef>
          </c:tx>
          <c:spPr>
            <a:ln w="38100" cap="rnd">
              <a:solidFill>
                <a:srgbClr val="FFC000"/>
              </a:solidFill>
              <a:round/>
            </a:ln>
            <a:effectLst/>
          </c:spPr>
          <c:marker>
            <c:symbol val="square"/>
            <c:size val="5"/>
            <c:spPr>
              <a:solidFill>
                <a:schemeClr val="accent4"/>
              </a:solidFill>
              <a:ln w="38100">
                <a:solidFill>
                  <a:srgbClr val="FFC000"/>
                </a:solidFill>
              </a:ln>
              <a:effectLst/>
            </c:spPr>
          </c:marker>
          <c:cat>
            <c:numRef>
              <c:f>'All forecasts'!$A$2:$A$31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'All forecasts'!$F$2:$F$31</c:f>
              <c:numCache>
                <c:formatCode>General</c:formatCode>
                <c:ptCount val="30"/>
                <c:pt idx="20" formatCode="0.00">
                  <c:v>42.68</c:v>
                </c:pt>
                <c:pt idx="21" formatCode="0.00">
                  <c:v>44.311692187968923</c:v>
                </c:pt>
                <c:pt idx="22" formatCode="0.00">
                  <c:v>46.863169868758497</c:v>
                </c:pt>
                <c:pt idx="23" formatCode="0.00">
                  <c:v>50.639572120667921</c:v>
                </c:pt>
                <c:pt idx="24" formatCode="0.00">
                  <c:v>52.040948946733778</c:v>
                </c:pt>
                <c:pt idx="25" formatCode="0.00">
                  <c:v>48.857331327695462</c:v>
                </c:pt>
                <c:pt idx="26" formatCode="0.00">
                  <c:v>49.578330262092571</c:v>
                </c:pt>
                <c:pt idx="27" formatCode="0.00">
                  <c:v>51.058454233723587</c:v>
                </c:pt>
                <c:pt idx="28" formatCode="0.00">
                  <c:v>52.58276619958162</c:v>
                </c:pt>
                <c:pt idx="29" formatCode="0.00">
                  <c:v>54.152585359187078</c:v>
                </c:pt>
              </c:numCache>
            </c:numRef>
          </c:val>
          <c:smooth val="0"/>
          <c:extLst>
            <c:ext xmlns:c16="http://schemas.microsoft.com/office/drawing/2014/chart" uri="{C3380CC4-5D6E-409C-BE32-E72D297353CC}">
              <c16:uniqueId val="{00000003-3167-414A-8DA9-0BBB8ABA6421}"/>
            </c:ext>
          </c:extLst>
        </c:ser>
        <c:ser>
          <c:idx val="4"/>
          <c:order val="4"/>
          <c:tx>
            <c:strRef>
              <c:f>'All forecasts'!$H$1</c:f>
              <c:strCache>
                <c:ptCount val="1"/>
                <c:pt idx="0">
                  <c:v>Actual - Sand and gravel</c:v>
                </c:pt>
              </c:strCache>
            </c:strRef>
          </c:tx>
          <c:spPr>
            <a:ln w="38100" cap="rnd">
              <a:solidFill>
                <a:schemeClr val="tx1"/>
              </a:solidFill>
              <a:round/>
            </a:ln>
            <a:effectLst/>
          </c:spPr>
          <c:marker>
            <c:symbol val="circle"/>
            <c:size val="5"/>
            <c:spPr>
              <a:solidFill>
                <a:schemeClr val="tx1"/>
              </a:solidFill>
              <a:ln w="38100">
                <a:solidFill>
                  <a:schemeClr val="tx1"/>
                </a:solidFill>
              </a:ln>
              <a:effectLst/>
            </c:spPr>
          </c:marker>
          <c:cat>
            <c:numRef>
              <c:f>'All forecasts'!$A$2:$A$31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'All forecasts'!$H$2:$H$31</c:f>
              <c:numCache>
                <c:formatCode>0.00</c:formatCode>
                <c:ptCount val="30"/>
                <c:pt idx="0">
                  <c:v>9.5370100000000004</c:v>
                </c:pt>
                <c:pt idx="1">
                  <c:v>10.839980000000001</c:v>
                </c:pt>
                <c:pt idx="2">
                  <c:v>10.913831</c:v>
                </c:pt>
                <c:pt idx="3">
                  <c:v>10.425385</c:v>
                </c:pt>
                <c:pt idx="4">
                  <c:v>11.493575</c:v>
                </c:pt>
                <c:pt idx="5">
                  <c:v>12.910149000000001</c:v>
                </c:pt>
                <c:pt idx="6">
                  <c:v>13.070237000000001</c:v>
                </c:pt>
                <c:pt idx="7">
                  <c:v>14.150403000000001</c:v>
                </c:pt>
                <c:pt idx="8">
                  <c:v>13.491070000000001</c:v>
                </c:pt>
                <c:pt idx="9">
                  <c:v>11.902571999999999</c:v>
                </c:pt>
                <c:pt idx="10">
                  <c:v>14.097906999999999</c:v>
                </c:pt>
                <c:pt idx="11">
                  <c:v>14.115869</c:v>
                </c:pt>
                <c:pt idx="12">
                  <c:v>14.04993915</c:v>
                </c:pt>
                <c:pt idx="13">
                  <c:v>10.813889249000001</c:v>
                </c:pt>
                <c:pt idx="14">
                  <c:v>14.693284</c:v>
                </c:pt>
                <c:pt idx="15">
                  <c:v>16.498666</c:v>
                </c:pt>
                <c:pt idx="16">
                  <c:v>16.630192000000001</c:v>
                </c:pt>
                <c:pt idx="17">
                  <c:v>16.896228000000001</c:v>
                </c:pt>
                <c:pt idx="18">
                  <c:v>16.679262000000001</c:v>
                </c:pt>
                <c:pt idx="19">
                  <c:v>15.72174</c:v>
                </c:pt>
                <c:pt idx="20">
                  <c:v>16.14</c:v>
                </c:pt>
              </c:numCache>
            </c:numRef>
          </c:val>
          <c:smooth val="0"/>
          <c:extLst>
            <c:ext xmlns:c16="http://schemas.microsoft.com/office/drawing/2014/chart" uri="{C3380CC4-5D6E-409C-BE32-E72D297353CC}">
              <c16:uniqueId val="{00000004-3167-414A-8DA9-0BBB8ABA6421}"/>
            </c:ext>
          </c:extLst>
        </c:ser>
        <c:ser>
          <c:idx val="5"/>
          <c:order val="5"/>
          <c:tx>
            <c:strRef>
              <c:f>'All forecasts'!$I$1</c:f>
              <c:strCache>
                <c:ptCount val="1"/>
                <c:pt idx="0">
                  <c:v>Forecast - Sand and gravel</c:v>
                </c:pt>
              </c:strCache>
            </c:strRef>
          </c:tx>
          <c:spPr>
            <a:ln w="38100" cap="rnd">
              <a:solidFill>
                <a:srgbClr val="FF9933"/>
              </a:solidFill>
              <a:round/>
            </a:ln>
            <a:effectLst/>
          </c:spPr>
          <c:marker>
            <c:symbol val="circle"/>
            <c:size val="5"/>
            <c:spPr>
              <a:solidFill>
                <a:srgbClr val="FF9933"/>
              </a:solidFill>
              <a:ln w="38100">
                <a:solidFill>
                  <a:srgbClr val="FF9933"/>
                </a:solidFill>
              </a:ln>
              <a:effectLst/>
            </c:spPr>
          </c:marker>
          <c:cat>
            <c:numRef>
              <c:f>'All forecasts'!$A$2:$A$31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'All forecasts'!$I$2:$I$31</c:f>
              <c:numCache>
                <c:formatCode>General</c:formatCode>
                <c:ptCount val="30"/>
                <c:pt idx="20" formatCode="0.00">
                  <c:v>16.14</c:v>
                </c:pt>
                <c:pt idx="21" formatCode="0.00">
                  <c:v>17.18215906965273</c:v>
                </c:pt>
                <c:pt idx="22" formatCode="0.00">
                  <c:v>17.461798774004421</c:v>
                </c:pt>
                <c:pt idx="23" formatCode="0.00">
                  <c:v>18.920671586510739</c:v>
                </c:pt>
                <c:pt idx="24" formatCode="0.00">
                  <c:v>19.524538715987031</c:v>
                </c:pt>
                <c:pt idx="25" formatCode="0.00">
                  <c:v>19.272796592652082</c:v>
                </c:pt>
                <c:pt idx="26" formatCode="0.00">
                  <c:v>19.747517767518779</c:v>
                </c:pt>
                <c:pt idx="27" formatCode="0.00">
                  <c:v>21.721011258050879</c:v>
                </c:pt>
                <c:pt idx="28" formatCode="0.00">
                  <c:v>22.201743874446809</c:v>
                </c:pt>
                <c:pt idx="29" formatCode="0.00">
                  <c:v>22.682713397255679</c:v>
                </c:pt>
              </c:numCache>
            </c:numRef>
          </c:val>
          <c:smooth val="0"/>
          <c:extLst>
            <c:ext xmlns:c16="http://schemas.microsoft.com/office/drawing/2014/chart" uri="{C3380CC4-5D6E-409C-BE32-E72D297353CC}">
              <c16:uniqueId val="{00000005-3167-414A-8DA9-0BBB8ABA6421}"/>
            </c:ext>
          </c:extLst>
        </c:ser>
        <c:ser>
          <c:idx val="6"/>
          <c:order val="6"/>
          <c:tx>
            <c:strRef>
              <c:f>'All forecasts'!$K$1</c:f>
              <c:strCache>
                <c:ptCount val="1"/>
                <c:pt idx="0">
                  <c:v>Actual - Clay and clay shale</c:v>
                </c:pt>
              </c:strCache>
            </c:strRef>
          </c:tx>
          <c:spPr>
            <a:ln w="38100" cap="rnd">
              <a:solidFill>
                <a:schemeClr val="tx1"/>
              </a:solidFill>
              <a:round/>
            </a:ln>
            <a:effectLst/>
          </c:spPr>
          <c:marker>
            <c:symbol val="star"/>
            <c:size val="5"/>
            <c:spPr>
              <a:noFill/>
              <a:ln w="38100">
                <a:solidFill>
                  <a:schemeClr val="tx1"/>
                </a:solidFill>
              </a:ln>
              <a:effectLst/>
            </c:spPr>
          </c:marker>
          <c:cat>
            <c:numRef>
              <c:f>'All forecasts'!$A$2:$A$31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'All forecasts'!$K$2:$K$31</c:f>
              <c:numCache>
                <c:formatCode>0.00</c:formatCode>
                <c:ptCount val="30"/>
                <c:pt idx="0">
                  <c:v>1.2811170000000001</c:v>
                </c:pt>
                <c:pt idx="1">
                  <c:v>1.2830429999999999</c:v>
                </c:pt>
                <c:pt idx="2">
                  <c:v>1.0914520000000001</c:v>
                </c:pt>
                <c:pt idx="3">
                  <c:v>1.5264530000000001</c:v>
                </c:pt>
                <c:pt idx="4">
                  <c:v>1.425921</c:v>
                </c:pt>
                <c:pt idx="5">
                  <c:v>1.5470919999999999</c:v>
                </c:pt>
                <c:pt idx="6">
                  <c:v>2.4869270000000001</c:v>
                </c:pt>
                <c:pt idx="7">
                  <c:v>1.6762840000000001</c:v>
                </c:pt>
                <c:pt idx="8">
                  <c:v>1.268715</c:v>
                </c:pt>
                <c:pt idx="9">
                  <c:v>1.505412</c:v>
                </c:pt>
                <c:pt idx="10">
                  <c:v>1.8951579999999999</c:v>
                </c:pt>
                <c:pt idx="11">
                  <c:v>1.8015479999999999</c:v>
                </c:pt>
                <c:pt idx="12">
                  <c:v>1.55052133</c:v>
                </c:pt>
                <c:pt idx="13">
                  <c:v>0.60849584000000001</c:v>
                </c:pt>
                <c:pt idx="14">
                  <c:v>1.23482</c:v>
                </c:pt>
                <c:pt idx="15">
                  <c:v>1.8486940000000001</c:v>
                </c:pt>
                <c:pt idx="16">
                  <c:v>1.3719440000000001</c:v>
                </c:pt>
                <c:pt idx="17">
                  <c:v>1.4833689999999999</c:v>
                </c:pt>
                <c:pt idx="18">
                  <c:v>1.1956059999999999</c:v>
                </c:pt>
                <c:pt idx="19">
                  <c:v>1.4711700000000001</c:v>
                </c:pt>
                <c:pt idx="20">
                  <c:v>1.3</c:v>
                </c:pt>
              </c:numCache>
            </c:numRef>
          </c:val>
          <c:smooth val="0"/>
          <c:extLst>
            <c:ext xmlns:c16="http://schemas.microsoft.com/office/drawing/2014/chart" uri="{C3380CC4-5D6E-409C-BE32-E72D297353CC}">
              <c16:uniqueId val="{00000006-3167-414A-8DA9-0BBB8ABA6421}"/>
            </c:ext>
          </c:extLst>
        </c:ser>
        <c:ser>
          <c:idx val="7"/>
          <c:order val="7"/>
          <c:tx>
            <c:strRef>
              <c:f>'All forecasts'!$L$1</c:f>
              <c:strCache>
                <c:ptCount val="1"/>
                <c:pt idx="0">
                  <c:v>Forecast - Clay and clay shale</c:v>
                </c:pt>
              </c:strCache>
            </c:strRef>
          </c:tx>
          <c:spPr>
            <a:ln w="38100" cap="rnd">
              <a:solidFill>
                <a:schemeClr val="bg2">
                  <a:lumMod val="50000"/>
                </a:schemeClr>
              </a:solidFill>
              <a:round/>
            </a:ln>
            <a:effectLst/>
          </c:spPr>
          <c:marker>
            <c:symbol val="star"/>
            <c:size val="5"/>
            <c:spPr>
              <a:noFill/>
              <a:ln w="38100">
                <a:solidFill>
                  <a:schemeClr val="bg2">
                    <a:lumMod val="50000"/>
                  </a:schemeClr>
                </a:solidFill>
              </a:ln>
              <a:effectLst/>
            </c:spPr>
          </c:marker>
          <c:cat>
            <c:numRef>
              <c:f>'All forecasts'!$A$2:$A$31</c:f>
              <c:numCache>
                <c:formatCode>General</c:formatCode>
                <c:ptCount val="3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pt idx="20">
                  <c:v>2021</c:v>
                </c:pt>
                <c:pt idx="21">
                  <c:v>2022</c:v>
                </c:pt>
                <c:pt idx="22">
                  <c:v>2023</c:v>
                </c:pt>
                <c:pt idx="23">
                  <c:v>2024</c:v>
                </c:pt>
                <c:pt idx="24">
                  <c:v>2025</c:v>
                </c:pt>
                <c:pt idx="25">
                  <c:v>2026</c:v>
                </c:pt>
                <c:pt idx="26">
                  <c:v>2027</c:v>
                </c:pt>
                <c:pt idx="27">
                  <c:v>2028</c:v>
                </c:pt>
                <c:pt idx="28">
                  <c:v>2029</c:v>
                </c:pt>
                <c:pt idx="29">
                  <c:v>2030</c:v>
                </c:pt>
              </c:numCache>
            </c:numRef>
          </c:cat>
          <c:val>
            <c:numRef>
              <c:f>'All forecasts'!$L$2:$L$31</c:f>
              <c:numCache>
                <c:formatCode>General</c:formatCode>
                <c:ptCount val="30"/>
                <c:pt idx="20" formatCode="0.00">
                  <c:v>1.3</c:v>
                </c:pt>
                <c:pt idx="21" formatCode="0.00">
                  <c:v>1.3009514221895699</c:v>
                </c:pt>
                <c:pt idx="22" formatCode="0.00">
                  <c:v>1.301903540690047</c:v>
                </c:pt>
                <c:pt idx="23" formatCode="0.00">
                  <c:v>1.30285635601104</c:v>
                </c:pt>
                <c:pt idx="24" formatCode="0.00">
                  <c:v>1.3038098686625239</c:v>
                </c:pt>
                <c:pt idx="25" formatCode="0.00">
                  <c:v>1.30476407915485</c:v>
                </c:pt>
                <c:pt idx="26" formatCode="0.00">
                  <c:v>1.3057189879987421</c:v>
                </c:pt>
                <c:pt idx="27" formatCode="0.00">
                  <c:v>1.3066745957052981</c:v>
                </c:pt>
                <c:pt idx="28" formatCode="0.00">
                  <c:v>1.30763090278599</c:v>
                </c:pt>
                <c:pt idx="29" formatCode="0.00">
                  <c:v>1.3085879097526649</c:v>
                </c:pt>
              </c:numCache>
            </c:numRef>
          </c:val>
          <c:smooth val="0"/>
          <c:extLst>
            <c:ext xmlns:c16="http://schemas.microsoft.com/office/drawing/2014/chart" uri="{C3380CC4-5D6E-409C-BE32-E72D297353CC}">
              <c16:uniqueId val="{00000007-3167-414A-8DA9-0BBB8ABA6421}"/>
            </c:ext>
          </c:extLst>
        </c:ser>
        <c:dLbls>
          <c:showLegendKey val="0"/>
          <c:showVal val="0"/>
          <c:showCatName val="0"/>
          <c:showSerName val="0"/>
          <c:showPercent val="0"/>
          <c:showBubbleSize val="0"/>
        </c:dLbls>
        <c:smooth val="0"/>
        <c:axId val="130405888"/>
        <c:axId val="130574544"/>
      </c:lineChart>
      <c:catAx>
        <c:axId val="1304058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End of financial year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574544"/>
        <c:crosses val="autoZero"/>
        <c:auto val="1"/>
        <c:lblAlgn val="ctr"/>
        <c:lblOffset val="100"/>
        <c:noMultiLvlLbl val="0"/>
      </c:catAx>
      <c:valAx>
        <c:axId val="13057454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Quantity</a:t>
                </a:r>
                <a:r>
                  <a:rPr lang="en-AU" baseline="0"/>
                  <a:t> demanded (million tonnes)</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0405888"/>
        <c:crosses val="autoZero"/>
        <c:crossBetween val="between"/>
      </c:valAx>
      <c:spPr>
        <a:noFill/>
        <a:ln>
          <a:noFill/>
        </a:ln>
        <a:effectLst/>
      </c:spPr>
    </c:plotArea>
    <c:legend>
      <c:legendPos val="b"/>
      <c:layout>
        <c:manualLayout>
          <c:xMode val="edge"/>
          <c:yMode val="edge"/>
          <c:x val="0.15958927407855922"/>
          <c:y val="0.82415982405868993"/>
          <c:w val="0.74016543386622102"/>
          <c:h val="0.1506450608117410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F21FB8A-1554-47A9-860D-5E395DC6DFAD}" type="doc">
      <dgm:prSet loTypeId="urn:microsoft.com/office/officeart/2005/8/layout/chevron2" loCatId="process" qsTypeId="urn:microsoft.com/office/officeart/2005/8/quickstyle/simple1" qsCatId="simple" csTypeId="urn:microsoft.com/office/officeart/2005/8/colors/colorful3" csCatId="colorful" phldr="1"/>
      <dgm:spPr/>
      <dgm:t>
        <a:bodyPr/>
        <a:lstStyle/>
        <a:p>
          <a:endParaRPr lang="en-AU"/>
        </a:p>
      </dgm:t>
    </dgm:pt>
    <dgm:pt modelId="{F6409732-0375-4702-BCD2-3D74A028A602}">
      <dgm:prSet phldrT="[Text]" custT="1"/>
      <dgm:spPr/>
      <dgm:t>
        <a:bodyPr/>
        <a:lstStyle/>
        <a:p>
          <a:r>
            <a:rPr lang="en-AU" sz="1000" dirty="0"/>
            <a:t>Hard rock</a:t>
          </a:r>
        </a:p>
      </dgm:t>
    </dgm:pt>
    <dgm:pt modelId="{64C26C79-1BD3-4A0A-BD81-8B393F17D97A}" type="parTrans" cxnId="{974B47FD-3EC8-4B65-9B76-0957D0E6F0CC}">
      <dgm:prSet/>
      <dgm:spPr/>
      <dgm:t>
        <a:bodyPr/>
        <a:lstStyle/>
        <a:p>
          <a:endParaRPr lang="en-AU" sz="1000"/>
        </a:p>
      </dgm:t>
    </dgm:pt>
    <dgm:pt modelId="{FC88EF82-C22E-4C49-9F67-B4DDD5AA83A8}" type="sibTrans" cxnId="{974B47FD-3EC8-4B65-9B76-0957D0E6F0CC}">
      <dgm:prSet/>
      <dgm:spPr/>
      <dgm:t>
        <a:bodyPr/>
        <a:lstStyle/>
        <a:p>
          <a:endParaRPr lang="en-AU" sz="1000"/>
        </a:p>
      </dgm:t>
    </dgm:pt>
    <dgm:pt modelId="{E3D9CA10-2C51-463D-BD05-65D102FA4FC7}">
      <dgm:prSet phldrT="[Text]" custT="1"/>
      <dgm:spPr/>
      <dgm:t>
        <a:bodyPr/>
        <a:lstStyle/>
        <a:p>
          <a:r>
            <a:rPr lang="en-AU" sz="1000" dirty="0"/>
            <a:t>Residential</a:t>
          </a:r>
        </a:p>
      </dgm:t>
    </dgm:pt>
    <dgm:pt modelId="{0519ACA3-F9B4-445D-B803-0656A318BE2F}" type="parTrans" cxnId="{335D624A-E537-4C26-9845-1F106EABFAD1}">
      <dgm:prSet/>
      <dgm:spPr/>
      <dgm:t>
        <a:bodyPr/>
        <a:lstStyle/>
        <a:p>
          <a:endParaRPr lang="en-AU" sz="1000"/>
        </a:p>
      </dgm:t>
    </dgm:pt>
    <dgm:pt modelId="{0F35A670-D8EB-43B9-A4F2-891E43BBE3C6}" type="sibTrans" cxnId="{335D624A-E537-4C26-9845-1F106EABFAD1}">
      <dgm:prSet/>
      <dgm:spPr/>
      <dgm:t>
        <a:bodyPr/>
        <a:lstStyle/>
        <a:p>
          <a:endParaRPr lang="en-AU" sz="1000"/>
        </a:p>
      </dgm:t>
    </dgm:pt>
    <dgm:pt modelId="{CA64DFED-D114-4F89-B756-86467319798C}">
      <dgm:prSet phldrT="[Text]" custT="1"/>
      <dgm:spPr/>
      <dgm:t>
        <a:bodyPr/>
        <a:lstStyle/>
        <a:p>
          <a:r>
            <a:rPr lang="en-AU" sz="1000" dirty="0"/>
            <a:t>Non-residential</a:t>
          </a:r>
        </a:p>
      </dgm:t>
    </dgm:pt>
    <dgm:pt modelId="{651FF861-B6A2-45EB-9DAB-3DE5095E5031}" type="parTrans" cxnId="{BF101AE5-46A0-423D-BD07-E0D9AEC63E45}">
      <dgm:prSet/>
      <dgm:spPr/>
      <dgm:t>
        <a:bodyPr/>
        <a:lstStyle/>
        <a:p>
          <a:endParaRPr lang="en-AU" sz="1000"/>
        </a:p>
      </dgm:t>
    </dgm:pt>
    <dgm:pt modelId="{DAAAF36B-9668-460C-9C04-B03BF8BA0213}" type="sibTrans" cxnId="{BF101AE5-46A0-423D-BD07-E0D9AEC63E45}">
      <dgm:prSet/>
      <dgm:spPr/>
      <dgm:t>
        <a:bodyPr/>
        <a:lstStyle/>
        <a:p>
          <a:endParaRPr lang="en-AU" sz="1000"/>
        </a:p>
      </dgm:t>
    </dgm:pt>
    <dgm:pt modelId="{9BAB5963-A4A3-454E-8F16-74A1F24B22A9}">
      <dgm:prSet phldrT="[Text]" custT="1"/>
      <dgm:spPr>
        <a:solidFill>
          <a:schemeClr val="accent1"/>
        </a:solidFill>
        <a:ln>
          <a:solidFill>
            <a:schemeClr val="accent1"/>
          </a:solidFill>
        </a:ln>
      </dgm:spPr>
      <dgm:t>
        <a:bodyPr/>
        <a:lstStyle/>
        <a:p>
          <a:r>
            <a:rPr lang="en-AU" sz="1000" dirty="0"/>
            <a:t>Sand and gravel</a:t>
          </a:r>
        </a:p>
      </dgm:t>
    </dgm:pt>
    <dgm:pt modelId="{344416BE-A077-4B74-B617-6A7764B77EA2}" type="parTrans" cxnId="{0F0E078C-F120-4C0D-A503-D78A06E9512A}">
      <dgm:prSet/>
      <dgm:spPr/>
      <dgm:t>
        <a:bodyPr/>
        <a:lstStyle/>
        <a:p>
          <a:endParaRPr lang="en-AU" sz="1000"/>
        </a:p>
      </dgm:t>
    </dgm:pt>
    <dgm:pt modelId="{2DCE29F9-3139-4705-8522-09C8B7AA279F}" type="sibTrans" cxnId="{0F0E078C-F120-4C0D-A503-D78A06E9512A}">
      <dgm:prSet/>
      <dgm:spPr/>
      <dgm:t>
        <a:bodyPr/>
        <a:lstStyle/>
        <a:p>
          <a:endParaRPr lang="en-AU" sz="1000"/>
        </a:p>
      </dgm:t>
    </dgm:pt>
    <dgm:pt modelId="{71272A91-FE58-405D-8EBF-262C500A0482}">
      <dgm:prSet phldrT="[Text]" custT="1"/>
      <dgm:spPr>
        <a:ln>
          <a:solidFill>
            <a:schemeClr val="accent1"/>
          </a:solidFill>
        </a:ln>
      </dgm:spPr>
      <dgm:t>
        <a:bodyPr/>
        <a:lstStyle/>
        <a:p>
          <a:r>
            <a:rPr lang="en-AU" sz="1000" dirty="0"/>
            <a:t>Residential</a:t>
          </a:r>
        </a:p>
      </dgm:t>
    </dgm:pt>
    <dgm:pt modelId="{14790A7F-7888-4499-BA5D-C19AACB0F896}" type="parTrans" cxnId="{5959D749-4480-430A-A767-CC7FF5E2E504}">
      <dgm:prSet/>
      <dgm:spPr/>
      <dgm:t>
        <a:bodyPr/>
        <a:lstStyle/>
        <a:p>
          <a:endParaRPr lang="en-AU" sz="1000"/>
        </a:p>
      </dgm:t>
    </dgm:pt>
    <dgm:pt modelId="{B5DF0B69-032E-4E0C-9B00-AC6A4F43A176}" type="sibTrans" cxnId="{5959D749-4480-430A-A767-CC7FF5E2E504}">
      <dgm:prSet/>
      <dgm:spPr/>
      <dgm:t>
        <a:bodyPr/>
        <a:lstStyle/>
        <a:p>
          <a:endParaRPr lang="en-AU" sz="1000"/>
        </a:p>
      </dgm:t>
    </dgm:pt>
    <dgm:pt modelId="{30A69646-8923-48FC-A909-C2B6EA0E541D}">
      <dgm:prSet phldrT="[Text]" custT="1"/>
      <dgm:spPr>
        <a:solidFill>
          <a:schemeClr val="tx2"/>
        </a:solidFill>
        <a:ln>
          <a:solidFill>
            <a:schemeClr val="tx2"/>
          </a:solidFill>
        </a:ln>
      </dgm:spPr>
      <dgm:t>
        <a:bodyPr/>
        <a:lstStyle/>
        <a:p>
          <a:r>
            <a:rPr lang="en-AU" sz="1000" dirty="0"/>
            <a:t>Clay </a:t>
          </a:r>
          <a:br>
            <a:rPr lang="en-AU" sz="1000" dirty="0"/>
          </a:br>
          <a:r>
            <a:rPr lang="en-AU" sz="1000" dirty="0"/>
            <a:t>(and clay shale)</a:t>
          </a:r>
        </a:p>
      </dgm:t>
    </dgm:pt>
    <dgm:pt modelId="{74B3F8DD-DFA0-4F25-AC64-AD691B0FB610}" type="parTrans" cxnId="{510855CF-6B14-4537-AD91-A9B4D985EC44}">
      <dgm:prSet/>
      <dgm:spPr/>
      <dgm:t>
        <a:bodyPr/>
        <a:lstStyle/>
        <a:p>
          <a:endParaRPr lang="en-AU" sz="1000"/>
        </a:p>
      </dgm:t>
    </dgm:pt>
    <dgm:pt modelId="{7CFA57B2-8A89-4181-92A3-497D8E2C62FB}" type="sibTrans" cxnId="{510855CF-6B14-4537-AD91-A9B4D985EC44}">
      <dgm:prSet/>
      <dgm:spPr/>
      <dgm:t>
        <a:bodyPr/>
        <a:lstStyle/>
        <a:p>
          <a:endParaRPr lang="en-AU" sz="1000"/>
        </a:p>
      </dgm:t>
    </dgm:pt>
    <dgm:pt modelId="{AA4A60AE-4037-4768-A749-EC8D8BF99C4C}">
      <dgm:prSet phldrT="[Text]" custT="1"/>
      <dgm:spPr>
        <a:ln>
          <a:solidFill>
            <a:schemeClr val="tx2"/>
          </a:solidFill>
        </a:ln>
      </dgm:spPr>
      <dgm:t>
        <a:bodyPr/>
        <a:lstStyle/>
        <a:p>
          <a:r>
            <a:rPr lang="en-AU" sz="1000" dirty="0"/>
            <a:t>Residential</a:t>
          </a:r>
        </a:p>
      </dgm:t>
    </dgm:pt>
    <dgm:pt modelId="{94AB7523-A580-4116-9DB6-823BAB137B65}" type="parTrans" cxnId="{CDDBCB02-24DE-4288-B996-D25F12443323}">
      <dgm:prSet/>
      <dgm:spPr/>
      <dgm:t>
        <a:bodyPr/>
        <a:lstStyle/>
        <a:p>
          <a:endParaRPr lang="en-AU" sz="1000"/>
        </a:p>
      </dgm:t>
    </dgm:pt>
    <dgm:pt modelId="{12B692C0-6CD1-4DE7-953A-F42B51D02049}" type="sibTrans" cxnId="{CDDBCB02-24DE-4288-B996-D25F12443323}">
      <dgm:prSet/>
      <dgm:spPr/>
      <dgm:t>
        <a:bodyPr/>
        <a:lstStyle/>
        <a:p>
          <a:endParaRPr lang="en-AU" sz="1000"/>
        </a:p>
      </dgm:t>
    </dgm:pt>
    <dgm:pt modelId="{B195953E-488B-42DF-A588-DFA97867117D}">
      <dgm:prSet phldrT="[Text]" custT="1"/>
      <dgm:spPr/>
      <dgm:t>
        <a:bodyPr/>
        <a:lstStyle/>
        <a:p>
          <a:r>
            <a:rPr lang="en-AU" sz="1000" dirty="0"/>
            <a:t>Transport</a:t>
          </a:r>
        </a:p>
      </dgm:t>
    </dgm:pt>
    <dgm:pt modelId="{7505D234-7BB5-4BAC-9F38-BBCA8F1E4089}" type="parTrans" cxnId="{78DEA2B6-8ACF-4500-8AB6-F653BFA35EC6}">
      <dgm:prSet/>
      <dgm:spPr/>
      <dgm:t>
        <a:bodyPr/>
        <a:lstStyle/>
        <a:p>
          <a:endParaRPr lang="en-AU" sz="1000"/>
        </a:p>
      </dgm:t>
    </dgm:pt>
    <dgm:pt modelId="{8CA979F1-5427-4C2E-BA3C-8CCF633901A4}" type="sibTrans" cxnId="{78DEA2B6-8ACF-4500-8AB6-F653BFA35EC6}">
      <dgm:prSet/>
      <dgm:spPr/>
      <dgm:t>
        <a:bodyPr/>
        <a:lstStyle/>
        <a:p>
          <a:endParaRPr lang="en-AU" sz="1000"/>
        </a:p>
      </dgm:t>
    </dgm:pt>
    <dgm:pt modelId="{E84A229C-09D7-410C-B0E6-F7B31B0E3371}">
      <dgm:prSet phldrT="[Text]" custT="1"/>
      <dgm:spPr/>
      <dgm:t>
        <a:bodyPr/>
        <a:lstStyle/>
        <a:p>
          <a:r>
            <a:rPr lang="en-AU" sz="1000" dirty="0"/>
            <a:t>Energy and Utilities</a:t>
          </a:r>
        </a:p>
      </dgm:t>
    </dgm:pt>
    <dgm:pt modelId="{B8DBD1CB-5554-4A5E-AA57-FC6A74606898}" type="parTrans" cxnId="{F2F9008F-986F-4882-918B-7FB335812CD2}">
      <dgm:prSet/>
      <dgm:spPr/>
      <dgm:t>
        <a:bodyPr/>
        <a:lstStyle/>
        <a:p>
          <a:endParaRPr lang="en-AU" sz="1000"/>
        </a:p>
      </dgm:t>
    </dgm:pt>
    <dgm:pt modelId="{E478A8F0-982F-45AB-90F7-23DDC97964B8}" type="sibTrans" cxnId="{F2F9008F-986F-4882-918B-7FB335812CD2}">
      <dgm:prSet/>
      <dgm:spPr/>
      <dgm:t>
        <a:bodyPr/>
        <a:lstStyle/>
        <a:p>
          <a:endParaRPr lang="en-AU" sz="1000"/>
        </a:p>
      </dgm:t>
    </dgm:pt>
    <dgm:pt modelId="{AF1D0D7C-96C1-4F89-8CC0-1BADB2615AE3}">
      <dgm:prSet custT="1"/>
      <dgm:spPr>
        <a:ln>
          <a:solidFill>
            <a:schemeClr val="accent1"/>
          </a:solidFill>
        </a:ln>
      </dgm:spPr>
      <dgm:t>
        <a:bodyPr/>
        <a:lstStyle/>
        <a:p>
          <a:r>
            <a:rPr lang="en-AU" sz="1000"/>
            <a:t>Non-residential</a:t>
          </a:r>
          <a:endParaRPr lang="en-AU" sz="1000" dirty="0"/>
        </a:p>
      </dgm:t>
    </dgm:pt>
    <dgm:pt modelId="{572E68FF-0E6E-449A-A57C-18117B7142B4}" type="parTrans" cxnId="{515ABD0D-3155-42EA-8250-DB6DFAF7A5C5}">
      <dgm:prSet/>
      <dgm:spPr/>
      <dgm:t>
        <a:bodyPr/>
        <a:lstStyle/>
        <a:p>
          <a:endParaRPr lang="en-AU" sz="1000"/>
        </a:p>
      </dgm:t>
    </dgm:pt>
    <dgm:pt modelId="{550B921C-5E4D-418B-B081-CF13D31EBE9C}" type="sibTrans" cxnId="{515ABD0D-3155-42EA-8250-DB6DFAF7A5C5}">
      <dgm:prSet/>
      <dgm:spPr/>
      <dgm:t>
        <a:bodyPr/>
        <a:lstStyle/>
        <a:p>
          <a:endParaRPr lang="en-AU" sz="1000"/>
        </a:p>
      </dgm:t>
    </dgm:pt>
    <dgm:pt modelId="{3E63CD8D-70CE-4482-84C7-044CE3E8C765}">
      <dgm:prSet custT="1"/>
      <dgm:spPr>
        <a:ln>
          <a:solidFill>
            <a:schemeClr val="accent1"/>
          </a:solidFill>
        </a:ln>
      </dgm:spPr>
      <dgm:t>
        <a:bodyPr/>
        <a:lstStyle/>
        <a:p>
          <a:r>
            <a:rPr lang="en-AU" sz="1000"/>
            <a:t>Transport</a:t>
          </a:r>
          <a:endParaRPr lang="en-AU" sz="1000" dirty="0"/>
        </a:p>
      </dgm:t>
    </dgm:pt>
    <dgm:pt modelId="{4EEEAE2B-BF95-4B47-8417-B95C949B59B9}" type="parTrans" cxnId="{02320084-2CB0-4BA1-A506-48FA635F5F5F}">
      <dgm:prSet/>
      <dgm:spPr/>
      <dgm:t>
        <a:bodyPr/>
        <a:lstStyle/>
        <a:p>
          <a:endParaRPr lang="en-AU" sz="1000"/>
        </a:p>
      </dgm:t>
    </dgm:pt>
    <dgm:pt modelId="{E1AA0A33-0A4C-41D0-B113-CC4E5AAE53D7}" type="sibTrans" cxnId="{02320084-2CB0-4BA1-A506-48FA635F5F5F}">
      <dgm:prSet/>
      <dgm:spPr/>
      <dgm:t>
        <a:bodyPr/>
        <a:lstStyle/>
        <a:p>
          <a:endParaRPr lang="en-AU" sz="1000"/>
        </a:p>
      </dgm:t>
    </dgm:pt>
    <dgm:pt modelId="{CF03F4FF-A0BA-4AD2-A6C9-BBFED0AAE311}">
      <dgm:prSet custT="1"/>
      <dgm:spPr>
        <a:ln>
          <a:solidFill>
            <a:schemeClr val="accent1"/>
          </a:solidFill>
        </a:ln>
      </dgm:spPr>
      <dgm:t>
        <a:bodyPr/>
        <a:lstStyle/>
        <a:p>
          <a:r>
            <a:rPr lang="en-AU" sz="1000" dirty="0"/>
            <a:t>Energy and Utilities</a:t>
          </a:r>
        </a:p>
      </dgm:t>
    </dgm:pt>
    <dgm:pt modelId="{F0C82973-0F43-4FF9-9C26-BCFA1DB71960}" type="parTrans" cxnId="{BDCAE418-D10C-4DCB-A866-D6D9A5509CC7}">
      <dgm:prSet/>
      <dgm:spPr/>
      <dgm:t>
        <a:bodyPr/>
        <a:lstStyle/>
        <a:p>
          <a:endParaRPr lang="en-AU" sz="1000"/>
        </a:p>
      </dgm:t>
    </dgm:pt>
    <dgm:pt modelId="{0BE426E9-4FF2-438A-A217-4B0F2AB24279}" type="sibTrans" cxnId="{BDCAE418-D10C-4DCB-A866-D6D9A5509CC7}">
      <dgm:prSet/>
      <dgm:spPr/>
      <dgm:t>
        <a:bodyPr/>
        <a:lstStyle/>
        <a:p>
          <a:endParaRPr lang="en-AU" sz="1000"/>
        </a:p>
      </dgm:t>
    </dgm:pt>
    <dgm:pt modelId="{A00763EB-BC54-4D8C-B744-2710383AE777}" type="pres">
      <dgm:prSet presAssocID="{2F21FB8A-1554-47A9-860D-5E395DC6DFAD}" presName="linearFlow" presStyleCnt="0">
        <dgm:presLayoutVars>
          <dgm:dir/>
          <dgm:animLvl val="lvl"/>
          <dgm:resizeHandles val="exact"/>
        </dgm:presLayoutVars>
      </dgm:prSet>
      <dgm:spPr/>
    </dgm:pt>
    <dgm:pt modelId="{3470567C-C8D8-4B41-84BA-ADBE4270B5E6}" type="pres">
      <dgm:prSet presAssocID="{F6409732-0375-4702-BCD2-3D74A028A602}" presName="composite" presStyleCnt="0"/>
      <dgm:spPr/>
    </dgm:pt>
    <dgm:pt modelId="{B4BFCFC8-DCFD-4369-8735-9AFF8862CC39}" type="pres">
      <dgm:prSet presAssocID="{F6409732-0375-4702-BCD2-3D74A028A602}" presName="parentText" presStyleLbl="alignNode1" presStyleIdx="0" presStyleCnt="3">
        <dgm:presLayoutVars>
          <dgm:chMax val="1"/>
          <dgm:bulletEnabled val="1"/>
        </dgm:presLayoutVars>
      </dgm:prSet>
      <dgm:spPr/>
    </dgm:pt>
    <dgm:pt modelId="{C45424DF-782C-4FC0-8938-0B86238421F8}" type="pres">
      <dgm:prSet presAssocID="{F6409732-0375-4702-BCD2-3D74A028A602}" presName="descendantText" presStyleLbl="alignAcc1" presStyleIdx="0" presStyleCnt="3">
        <dgm:presLayoutVars>
          <dgm:bulletEnabled val="1"/>
        </dgm:presLayoutVars>
      </dgm:prSet>
      <dgm:spPr/>
    </dgm:pt>
    <dgm:pt modelId="{D645EC25-769C-4B76-B3CC-59AAF0A054BE}" type="pres">
      <dgm:prSet presAssocID="{FC88EF82-C22E-4C49-9F67-B4DDD5AA83A8}" presName="sp" presStyleCnt="0"/>
      <dgm:spPr/>
    </dgm:pt>
    <dgm:pt modelId="{3C6CA72C-A586-4F61-A8B3-6FBAEB499464}" type="pres">
      <dgm:prSet presAssocID="{9BAB5963-A4A3-454E-8F16-74A1F24B22A9}" presName="composite" presStyleCnt="0"/>
      <dgm:spPr/>
    </dgm:pt>
    <dgm:pt modelId="{5F3C7148-F81F-4DD2-8DB4-20D89E142CEF}" type="pres">
      <dgm:prSet presAssocID="{9BAB5963-A4A3-454E-8F16-74A1F24B22A9}" presName="parentText" presStyleLbl="alignNode1" presStyleIdx="1" presStyleCnt="3">
        <dgm:presLayoutVars>
          <dgm:chMax val="1"/>
          <dgm:bulletEnabled val="1"/>
        </dgm:presLayoutVars>
      </dgm:prSet>
      <dgm:spPr/>
    </dgm:pt>
    <dgm:pt modelId="{0102E230-EC22-4662-85F6-09ABBCC9F85A}" type="pres">
      <dgm:prSet presAssocID="{9BAB5963-A4A3-454E-8F16-74A1F24B22A9}" presName="descendantText" presStyleLbl="alignAcc1" presStyleIdx="1" presStyleCnt="3">
        <dgm:presLayoutVars>
          <dgm:bulletEnabled val="1"/>
        </dgm:presLayoutVars>
      </dgm:prSet>
      <dgm:spPr/>
    </dgm:pt>
    <dgm:pt modelId="{9F43AD96-1F36-43EB-AE80-1BC9C63D9AD3}" type="pres">
      <dgm:prSet presAssocID="{2DCE29F9-3139-4705-8522-09C8B7AA279F}" presName="sp" presStyleCnt="0"/>
      <dgm:spPr/>
    </dgm:pt>
    <dgm:pt modelId="{209B3B90-C806-4146-93FF-B819F9E2855C}" type="pres">
      <dgm:prSet presAssocID="{30A69646-8923-48FC-A909-C2B6EA0E541D}" presName="composite" presStyleCnt="0"/>
      <dgm:spPr/>
    </dgm:pt>
    <dgm:pt modelId="{ABE1F9A8-254F-4736-8B49-2F17EFEC402A}" type="pres">
      <dgm:prSet presAssocID="{30A69646-8923-48FC-A909-C2B6EA0E541D}" presName="parentText" presStyleLbl="alignNode1" presStyleIdx="2" presStyleCnt="3">
        <dgm:presLayoutVars>
          <dgm:chMax val="1"/>
          <dgm:bulletEnabled val="1"/>
        </dgm:presLayoutVars>
      </dgm:prSet>
      <dgm:spPr/>
    </dgm:pt>
    <dgm:pt modelId="{EA803978-421D-4C3C-AF08-44F451114A30}" type="pres">
      <dgm:prSet presAssocID="{30A69646-8923-48FC-A909-C2B6EA0E541D}" presName="descendantText" presStyleLbl="alignAcc1" presStyleIdx="2" presStyleCnt="3">
        <dgm:presLayoutVars>
          <dgm:bulletEnabled val="1"/>
        </dgm:presLayoutVars>
      </dgm:prSet>
      <dgm:spPr/>
    </dgm:pt>
  </dgm:ptLst>
  <dgm:cxnLst>
    <dgm:cxn modelId="{CDDBCB02-24DE-4288-B996-D25F12443323}" srcId="{30A69646-8923-48FC-A909-C2B6EA0E541D}" destId="{AA4A60AE-4037-4768-A749-EC8D8BF99C4C}" srcOrd="0" destOrd="0" parTransId="{94AB7523-A580-4116-9DB6-823BAB137B65}" sibTransId="{12B692C0-6CD1-4DE7-953A-F42B51D02049}"/>
    <dgm:cxn modelId="{515ABD0D-3155-42EA-8250-DB6DFAF7A5C5}" srcId="{9BAB5963-A4A3-454E-8F16-74A1F24B22A9}" destId="{AF1D0D7C-96C1-4F89-8CC0-1BADB2615AE3}" srcOrd="1" destOrd="0" parTransId="{572E68FF-0E6E-449A-A57C-18117B7142B4}" sibTransId="{550B921C-5E4D-418B-B081-CF13D31EBE9C}"/>
    <dgm:cxn modelId="{BDCAE418-D10C-4DCB-A866-D6D9A5509CC7}" srcId="{9BAB5963-A4A3-454E-8F16-74A1F24B22A9}" destId="{CF03F4FF-A0BA-4AD2-A6C9-BBFED0AAE311}" srcOrd="3" destOrd="0" parTransId="{F0C82973-0F43-4FF9-9C26-BCFA1DB71960}" sibTransId="{0BE426E9-4FF2-438A-A217-4B0F2AB24279}"/>
    <dgm:cxn modelId="{A229BC31-77D1-F649-8880-6E1006649A9D}" type="presOf" srcId="{AA4A60AE-4037-4768-A749-EC8D8BF99C4C}" destId="{EA803978-421D-4C3C-AF08-44F451114A30}" srcOrd="0" destOrd="0" presId="urn:microsoft.com/office/officeart/2005/8/layout/chevron2"/>
    <dgm:cxn modelId="{20DADA63-2D57-F442-A9C1-F80A8AAB24D8}" type="presOf" srcId="{9BAB5963-A4A3-454E-8F16-74A1F24B22A9}" destId="{5F3C7148-F81F-4DD2-8DB4-20D89E142CEF}" srcOrd="0" destOrd="0" presId="urn:microsoft.com/office/officeart/2005/8/layout/chevron2"/>
    <dgm:cxn modelId="{D54F1C45-9BCE-DD45-83C2-8F314F1893B0}" type="presOf" srcId="{F6409732-0375-4702-BCD2-3D74A028A602}" destId="{B4BFCFC8-DCFD-4369-8735-9AFF8862CC39}" srcOrd="0" destOrd="0" presId="urn:microsoft.com/office/officeart/2005/8/layout/chevron2"/>
    <dgm:cxn modelId="{5959D749-4480-430A-A767-CC7FF5E2E504}" srcId="{9BAB5963-A4A3-454E-8F16-74A1F24B22A9}" destId="{71272A91-FE58-405D-8EBF-262C500A0482}" srcOrd="0" destOrd="0" parTransId="{14790A7F-7888-4499-BA5D-C19AACB0F896}" sibTransId="{B5DF0B69-032E-4E0C-9B00-AC6A4F43A176}"/>
    <dgm:cxn modelId="{4D02C769-41A0-A74F-B06D-0ED8B2923AB9}" type="presOf" srcId="{E84A229C-09D7-410C-B0E6-F7B31B0E3371}" destId="{C45424DF-782C-4FC0-8938-0B86238421F8}" srcOrd="0" destOrd="3" presId="urn:microsoft.com/office/officeart/2005/8/layout/chevron2"/>
    <dgm:cxn modelId="{335D624A-E537-4C26-9845-1F106EABFAD1}" srcId="{F6409732-0375-4702-BCD2-3D74A028A602}" destId="{E3D9CA10-2C51-463D-BD05-65D102FA4FC7}" srcOrd="0" destOrd="0" parTransId="{0519ACA3-F9B4-445D-B803-0656A318BE2F}" sibTransId="{0F35A670-D8EB-43B9-A4F2-891E43BBE3C6}"/>
    <dgm:cxn modelId="{4617E251-82CC-D847-863B-54C6F8726BB4}" type="presOf" srcId="{AF1D0D7C-96C1-4F89-8CC0-1BADB2615AE3}" destId="{0102E230-EC22-4662-85F6-09ABBCC9F85A}" srcOrd="0" destOrd="1" presId="urn:microsoft.com/office/officeart/2005/8/layout/chevron2"/>
    <dgm:cxn modelId="{C44E2556-2CAF-B742-AE41-3C88B53ABB78}" type="presOf" srcId="{E3D9CA10-2C51-463D-BD05-65D102FA4FC7}" destId="{C45424DF-782C-4FC0-8938-0B86238421F8}" srcOrd="0" destOrd="0" presId="urn:microsoft.com/office/officeart/2005/8/layout/chevron2"/>
    <dgm:cxn modelId="{02320084-2CB0-4BA1-A506-48FA635F5F5F}" srcId="{9BAB5963-A4A3-454E-8F16-74A1F24B22A9}" destId="{3E63CD8D-70CE-4482-84C7-044CE3E8C765}" srcOrd="2" destOrd="0" parTransId="{4EEEAE2B-BF95-4B47-8417-B95C949B59B9}" sibTransId="{E1AA0A33-0A4C-41D0-B113-CC4E5AAE53D7}"/>
    <dgm:cxn modelId="{68EF3A88-AD16-F24B-B26C-1AB022D2361C}" type="presOf" srcId="{3E63CD8D-70CE-4482-84C7-044CE3E8C765}" destId="{0102E230-EC22-4662-85F6-09ABBCC9F85A}" srcOrd="0" destOrd="2" presId="urn:microsoft.com/office/officeart/2005/8/layout/chevron2"/>
    <dgm:cxn modelId="{F2F9008F-986F-4882-918B-7FB335812CD2}" srcId="{F6409732-0375-4702-BCD2-3D74A028A602}" destId="{E84A229C-09D7-410C-B0E6-F7B31B0E3371}" srcOrd="3" destOrd="0" parTransId="{B8DBD1CB-5554-4A5E-AA57-FC6A74606898}" sibTransId="{E478A8F0-982F-45AB-90F7-23DDC97964B8}"/>
    <dgm:cxn modelId="{0F0E078C-F120-4C0D-A503-D78A06E9512A}" srcId="{2F21FB8A-1554-47A9-860D-5E395DC6DFAD}" destId="{9BAB5963-A4A3-454E-8F16-74A1F24B22A9}" srcOrd="1" destOrd="0" parTransId="{344416BE-A077-4B74-B617-6A7764B77EA2}" sibTransId="{2DCE29F9-3139-4705-8522-09C8B7AA279F}"/>
    <dgm:cxn modelId="{A188CD8E-C3AF-1642-8334-A1E8B383AC2D}" type="presOf" srcId="{B195953E-488B-42DF-A588-DFA97867117D}" destId="{C45424DF-782C-4FC0-8938-0B86238421F8}" srcOrd="0" destOrd="2" presId="urn:microsoft.com/office/officeart/2005/8/layout/chevron2"/>
    <dgm:cxn modelId="{5F2035A3-AA60-DB48-BD58-302400112D29}" type="presOf" srcId="{30A69646-8923-48FC-A909-C2B6EA0E541D}" destId="{ABE1F9A8-254F-4736-8B49-2F17EFEC402A}" srcOrd="0" destOrd="0" presId="urn:microsoft.com/office/officeart/2005/8/layout/chevron2"/>
    <dgm:cxn modelId="{78DEA2B6-8ACF-4500-8AB6-F653BFA35EC6}" srcId="{F6409732-0375-4702-BCD2-3D74A028A602}" destId="{B195953E-488B-42DF-A588-DFA97867117D}" srcOrd="2" destOrd="0" parTransId="{7505D234-7BB5-4BAC-9F38-BBCA8F1E4089}" sibTransId="{8CA979F1-5427-4C2E-BA3C-8CCF633901A4}"/>
    <dgm:cxn modelId="{9EF310BC-B929-FB4A-A2D1-60F40B53089E}" type="presOf" srcId="{71272A91-FE58-405D-8EBF-262C500A0482}" destId="{0102E230-EC22-4662-85F6-09ABBCC9F85A}" srcOrd="0" destOrd="0" presId="urn:microsoft.com/office/officeart/2005/8/layout/chevron2"/>
    <dgm:cxn modelId="{F26F2AE4-5007-074A-AAF6-A42B19A4B9A8}" type="presOf" srcId="{2F21FB8A-1554-47A9-860D-5E395DC6DFAD}" destId="{A00763EB-BC54-4D8C-B744-2710383AE777}" srcOrd="0" destOrd="0" presId="urn:microsoft.com/office/officeart/2005/8/layout/chevron2"/>
    <dgm:cxn modelId="{FEB1EAE4-8F07-FD4F-93E9-63C7F97A2FBC}" type="presOf" srcId="{CF03F4FF-A0BA-4AD2-A6C9-BBFED0AAE311}" destId="{0102E230-EC22-4662-85F6-09ABBCC9F85A}" srcOrd="0" destOrd="3" presId="urn:microsoft.com/office/officeart/2005/8/layout/chevron2"/>
    <dgm:cxn modelId="{BF101AE5-46A0-423D-BD07-E0D9AEC63E45}" srcId="{F6409732-0375-4702-BCD2-3D74A028A602}" destId="{CA64DFED-D114-4F89-B756-86467319798C}" srcOrd="1" destOrd="0" parTransId="{651FF861-B6A2-45EB-9DAB-3DE5095E5031}" sibTransId="{DAAAF36B-9668-460C-9C04-B03BF8BA0213}"/>
    <dgm:cxn modelId="{F474BDC7-2F5B-D64D-A145-B09B3F22DDDB}" type="presOf" srcId="{CA64DFED-D114-4F89-B756-86467319798C}" destId="{C45424DF-782C-4FC0-8938-0B86238421F8}" srcOrd="0" destOrd="1" presId="urn:microsoft.com/office/officeart/2005/8/layout/chevron2"/>
    <dgm:cxn modelId="{510855CF-6B14-4537-AD91-A9B4D985EC44}" srcId="{2F21FB8A-1554-47A9-860D-5E395DC6DFAD}" destId="{30A69646-8923-48FC-A909-C2B6EA0E541D}" srcOrd="2" destOrd="0" parTransId="{74B3F8DD-DFA0-4F25-AC64-AD691B0FB610}" sibTransId="{7CFA57B2-8A89-4181-92A3-497D8E2C62FB}"/>
    <dgm:cxn modelId="{974B47FD-3EC8-4B65-9B76-0957D0E6F0CC}" srcId="{2F21FB8A-1554-47A9-860D-5E395DC6DFAD}" destId="{F6409732-0375-4702-BCD2-3D74A028A602}" srcOrd="0" destOrd="0" parTransId="{64C26C79-1BD3-4A0A-BD81-8B393F17D97A}" sibTransId="{FC88EF82-C22E-4C49-9F67-B4DDD5AA83A8}"/>
    <dgm:cxn modelId="{0B609DE1-BF2A-2449-9DAB-8D68602A3169}" type="presParOf" srcId="{A00763EB-BC54-4D8C-B744-2710383AE777}" destId="{3470567C-C8D8-4B41-84BA-ADBE4270B5E6}" srcOrd="0" destOrd="0" presId="urn:microsoft.com/office/officeart/2005/8/layout/chevron2"/>
    <dgm:cxn modelId="{1BC31131-9C50-AB4E-B758-0231C3D45B3D}" type="presParOf" srcId="{3470567C-C8D8-4B41-84BA-ADBE4270B5E6}" destId="{B4BFCFC8-DCFD-4369-8735-9AFF8862CC39}" srcOrd="0" destOrd="0" presId="urn:microsoft.com/office/officeart/2005/8/layout/chevron2"/>
    <dgm:cxn modelId="{9888CF96-AE73-964F-95C3-04AE40A095DF}" type="presParOf" srcId="{3470567C-C8D8-4B41-84BA-ADBE4270B5E6}" destId="{C45424DF-782C-4FC0-8938-0B86238421F8}" srcOrd="1" destOrd="0" presId="urn:microsoft.com/office/officeart/2005/8/layout/chevron2"/>
    <dgm:cxn modelId="{78C3667A-6C72-044A-A94B-86F028E901D2}" type="presParOf" srcId="{A00763EB-BC54-4D8C-B744-2710383AE777}" destId="{D645EC25-769C-4B76-B3CC-59AAF0A054BE}" srcOrd="1" destOrd="0" presId="urn:microsoft.com/office/officeart/2005/8/layout/chevron2"/>
    <dgm:cxn modelId="{1D945F50-C594-E747-8A52-768834521392}" type="presParOf" srcId="{A00763EB-BC54-4D8C-B744-2710383AE777}" destId="{3C6CA72C-A586-4F61-A8B3-6FBAEB499464}" srcOrd="2" destOrd="0" presId="urn:microsoft.com/office/officeart/2005/8/layout/chevron2"/>
    <dgm:cxn modelId="{23B74956-974A-9F47-AEBB-FA1E3CE9FA44}" type="presParOf" srcId="{3C6CA72C-A586-4F61-A8B3-6FBAEB499464}" destId="{5F3C7148-F81F-4DD2-8DB4-20D89E142CEF}" srcOrd="0" destOrd="0" presId="urn:microsoft.com/office/officeart/2005/8/layout/chevron2"/>
    <dgm:cxn modelId="{5EB35A85-457D-B943-8F0F-A29C15864BB6}" type="presParOf" srcId="{3C6CA72C-A586-4F61-A8B3-6FBAEB499464}" destId="{0102E230-EC22-4662-85F6-09ABBCC9F85A}" srcOrd="1" destOrd="0" presId="urn:microsoft.com/office/officeart/2005/8/layout/chevron2"/>
    <dgm:cxn modelId="{759D6907-486B-8345-B672-234821A24263}" type="presParOf" srcId="{A00763EB-BC54-4D8C-B744-2710383AE777}" destId="{9F43AD96-1F36-43EB-AE80-1BC9C63D9AD3}" srcOrd="3" destOrd="0" presId="urn:microsoft.com/office/officeart/2005/8/layout/chevron2"/>
    <dgm:cxn modelId="{90F48E92-E390-244C-8DAD-BC27A93BFB43}" type="presParOf" srcId="{A00763EB-BC54-4D8C-B744-2710383AE777}" destId="{209B3B90-C806-4146-93FF-B819F9E2855C}" srcOrd="4" destOrd="0" presId="urn:microsoft.com/office/officeart/2005/8/layout/chevron2"/>
    <dgm:cxn modelId="{C7EDF9A1-9D26-9C4F-B16E-18FA12E021E9}" type="presParOf" srcId="{209B3B90-C806-4146-93FF-B819F9E2855C}" destId="{ABE1F9A8-254F-4736-8B49-2F17EFEC402A}" srcOrd="0" destOrd="0" presId="urn:microsoft.com/office/officeart/2005/8/layout/chevron2"/>
    <dgm:cxn modelId="{F903A3F0-F7B6-4C40-9B81-82A56859C862}" type="presParOf" srcId="{209B3B90-C806-4146-93FF-B819F9E2855C}" destId="{EA803978-421D-4C3C-AF08-44F451114A30}" srcOrd="1" destOrd="0" presId="urn:microsoft.com/office/officeart/2005/8/layout/chevron2"/>
  </dgm:cxnLst>
  <dgm:bg/>
  <dgm:whole/>
  <dgm:extLst>
    <a:ext uri="http://schemas.microsoft.com/office/drawing/2008/diagram">
      <dsp:dataModelExt xmlns:dsp="http://schemas.microsoft.com/office/drawing/2008/diagram" relId="rId57"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4BFCFC8-DCFD-4369-8735-9AFF8862CC39}">
      <dsp:nvSpPr>
        <dsp:cNvPr id="0" name=""/>
        <dsp:cNvSpPr/>
      </dsp:nvSpPr>
      <dsp:spPr>
        <a:xfrm rot="5400000">
          <a:off x="-194170" y="196236"/>
          <a:ext cx="1294471" cy="906130"/>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dirty="0"/>
            <a:t>Hard rock</a:t>
          </a:r>
        </a:p>
      </dsp:txBody>
      <dsp:txXfrm rot="-5400000">
        <a:off x="1" y="455130"/>
        <a:ext cx="906130" cy="388341"/>
      </dsp:txXfrm>
    </dsp:sp>
    <dsp:sp modelId="{C45424DF-782C-4FC0-8938-0B86238421F8}">
      <dsp:nvSpPr>
        <dsp:cNvPr id="0" name=""/>
        <dsp:cNvSpPr/>
      </dsp:nvSpPr>
      <dsp:spPr>
        <a:xfrm rot="5400000">
          <a:off x="1313584" y="-405388"/>
          <a:ext cx="841406" cy="1656315"/>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dirty="0"/>
            <a:t>Residential</a:t>
          </a:r>
        </a:p>
        <a:p>
          <a:pPr marL="57150" lvl="1" indent="-57150" algn="l" defTabSz="444500">
            <a:lnSpc>
              <a:spcPct val="90000"/>
            </a:lnSpc>
            <a:spcBef>
              <a:spcPct val="0"/>
            </a:spcBef>
            <a:spcAft>
              <a:spcPct val="15000"/>
            </a:spcAft>
            <a:buChar char="•"/>
          </a:pPr>
          <a:r>
            <a:rPr lang="en-AU" sz="1000" kern="1200" dirty="0"/>
            <a:t>Non-residential</a:t>
          </a:r>
        </a:p>
        <a:p>
          <a:pPr marL="57150" lvl="1" indent="-57150" algn="l" defTabSz="444500">
            <a:lnSpc>
              <a:spcPct val="90000"/>
            </a:lnSpc>
            <a:spcBef>
              <a:spcPct val="0"/>
            </a:spcBef>
            <a:spcAft>
              <a:spcPct val="15000"/>
            </a:spcAft>
            <a:buChar char="•"/>
          </a:pPr>
          <a:r>
            <a:rPr lang="en-AU" sz="1000" kern="1200" dirty="0"/>
            <a:t>Transport</a:t>
          </a:r>
        </a:p>
        <a:p>
          <a:pPr marL="57150" lvl="1" indent="-57150" algn="l" defTabSz="444500">
            <a:lnSpc>
              <a:spcPct val="90000"/>
            </a:lnSpc>
            <a:spcBef>
              <a:spcPct val="0"/>
            </a:spcBef>
            <a:spcAft>
              <a:spcPct val="15000"/>
            </a:spcAft>
            <a:buChar char="•"/>
          </a:pPr>
          <a:r>
            <a:rPr lang="en-AU" sz="1000" kern="1200" dirty="0"/>
            <a:t>Energy and Utilities</a:t>
          </a:r>
        </a:p>
      </dsp:txBody>
      <dsp:txXfrm rot="-5400000">
        <a:off x="906130" y="43140"/>
        <a:ext cx="1615241" cy="759258"/>
      </dsp:txXfrm>
    </dsp:sp>
    <dsp:sp modelId="{5F3C7148-F81F-4DD2-8DB4-20D89E142CEF}">
      <dsp:nvSpPr>
        <dsp:cNvPr id="0" name=""/>
        <dsp:cNvSpPr/>
      </dsp:nvSpPr>
      <dsp:spPr>
        <a:xfrm rot="5400000">
          <a:off x="-194170" y="1265200"/>
          <a:ext cx="1294471" cy="906130"/>
        </a:xfrm>
        <a:prstGeom prst="chevron">
          <a:avLst/>
        </a:prstGeom>
        <a:solidFill>
          <a:schemeClr val="accent1"/>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dirty="0"/>
            <a:t>Sand and gravel</a:t>
          </a:r>
        </a:p>
      </dsp:txBody>
      <dsp:txXfrm rot="-5400000">
        <a:off x="1" y="1524094"/>
        <a:ext cx="906130" cy="388341"/>
      </dsp:txXfrm>
    </dsp:sp>
    <dsp:sp modelId="{0102E230-EC22-4662-85F6-09ABBCC9F85A}">
      <dsp:nvSpPr>
        <dsp:cNvPr id="0" name=""/>
        <dsp:cNvSpPr/>
      </dsp:nvSpPr>
      <dsp:spPr>
        <a:xfrm rot="5400000">
          <a:off x="1313584" y="663575"/>
          <a:ext cx="841406" cy="1656315"/>
        </a:xfrm>
        <a:prstGeom prst="round2SameRect">
          <a:avLst/>
        </a:prstGeom>
        <a:solidFill>
          <a:schemeClr val="lt1">
            <a:alpha val="90000"/>
            <a:hueOff val="0"/>
            <a:satOff val="0"/>
            <a:lumOff val="0"/>
            <a:alphaOff val="0"/>
          </a:schemeClr>
        </a:solidFill>
        <a:ln w="25400" cap="flat" cmpd="sng" algn="ctr">
          <a:solidFill>
            <a:schemeClr val="accent1"/>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dirty="0"/>
            <a:t>Residential</a:t>
          </a:r>
        </a:p>
        <a:p>
          <a:pPr marL="57150" lvl="1" indent="-57150" algn="l" defTabSz="444500">
            <a:lnSpc>
              <a:spcPct val="90000"/>
            </a:lnSpc>
            <a:spcBef>
              <a:spcPct val="0"/>
            </a:spcBef>
            <a:spcAft>
              <a:spcPct val="15000"/>
            </a:spcAft>
            <a:buChar char="•"/>
          </a:pPr>
          <a:r>
            <a:rPr lang="en-AU" sz="1000" kern="1200"/>
            <a:t>Non-residential</a:t>
          </a:r>
          <a:endParaRPr lang="en-AU" sz="1000" kern="1200" dirty="0"/>
        </a:p>
        <a:p>
          <a:pPr marL="57150" lvl="1" indent="-57150" algn="l" defTabSz="444500">
            <a:lnSpc>
              <a:spcPct val="90000"/>
            </a:lnSpc>
            <a:spcBef>
              <a:spcPct val="0"/>
            </a:spcBef>
            <a:spcAft>
              <a:spcPct val="15000"/>
            </a:spcAft>
            <a:buChar char="•"/>
          </a:pPr>
          <a:r>
            <a:rPr lang="en-AU" sz="1000" kern="1200"/>
            <a:t>Transport</a:t>
          </a:r>
          <a:endParaRPr lang="en-AU" sz="1000" kern="1200" dirty="0"/>
        </a:p>
        <a:p>
          <a:pPr marL="57150" lvl="1" indent="-57150" algn="l" defTabSz="444500">
            <a:lnSpc>
              <a:spcPct val="90000"/>
            </a:lnSpc>
            <a:spcBef>
              <a:spcPct val="0"/>
            </a:spcBef>
            <a:spcAft>
              <a:spcPct val="15000"/>
            </a:spcAft>
            <a:buChar char="•"/>
          </a:pPr>
          <a:r>
            <a:rPr lang="en-AU" sz="1000" kern="1200" dirty="0"/>
            <a:t>Energy and Utilities</a:t>
          </a:r>
        </a:p>
      </dsp:txBody>
      <dsp:txXfrm rot="-5400000">
        <a:off x="906130" y="1112103"/>
        <a:ext cx="1615241" cy="759258"/>
      </dsp:txXfrm>
    </dsp:sp>
    <dsp:sp modelId="{ABE1F9A8-254F-4736-8B49-2F17EFEC402A}">
      <dsp:nvSpPr>
        <dsp:cNvPr id="0" name=""/>
        <dsp:cNvSpPr/>
      </dsp:nvSpPr>
      <dsp:spPr>
        <a:xfrm rot="5400000">
          <a:off x="-194170" y="2334163"/>
          <a:ext cx="1294471" cy="906130"/>
        </a:xfrm>
        <a:prstGeom prst="chevron">
          <a:avLst/>
        </a:prstGeom>
        <a:solidFill>
          <a:schemeClr val="tx2"/>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dirty="0"/>
            <a:t>Clay </a:t>
          </a:r>
          <a:br>
            <a:rPr lang="en-AU" sz="1000" kern="1200" dirty="0"/>
          </a:br>
          <a:r>
            <a:rPr lang="en-AU" sz="1000" kern="1200" dirty="0"/>
            <a:t>(and clay shale)</a:t>
          </a:r>
        </a:p>
      </dsp:txBody>
      <dsp:txXfrm rot="-5400000">
        <a:off x="1" y="2593057"/>
        <a:ext cx="906130" cy="388341"/>
      </dsp:txXfrm>
    </dsp:sp>
    <dsp:sp modelId="{EA803978-421D-4C3C-AF08-44F451114A30}">
      <dsp:nvSpPr>
        <dsp:cNvPr id="0" name=""/>
        <dsp:cNvSpPr/>
      </dsp:nvSpPr>
      <dsp:spPr>
        <a:xfrm rot="5400000">
          <a:off x="1313363" y="1732759"/>
          <a:ext cx="841848" cy="1656315"/>
        </a:xfrm>
        <a:prstGeom prst="round2SameRect">
          <a:avLst/>
        </a:prstGeom>
        <a:solidFill>
          <a:schemeClr val="lt1">
            <a:alpha val="90000"/>
            <a:hueOff val="0"/>
            <a:satOff val="0"/>
            <a:lumOff val="0"/>
            <a:alphaOff val="0"/>
          </a:schemeClr>
        </a:solidFill>
        <a:ln w="25400" cap="flat" cmpd="sng" algn="ctr">
          <a:solidFill>
            <a:schemeClr val="tx2"/>
          </a:solidFill>
          <a:prstDash val="solid"/>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444500">
            <a:lnSpc>
              <a:spcPct val="90000"/>
            </a:lnSpc>
            <a:spcBef>
              <a:spcPct val="0"/>
            </a:spcBef>
            <a:spcAft>
              <a:spcPct val="15000"/>
            </a:spcAft>
            <a:buChar char="•"/>
          </a:pPr>
          <a:r>
            <a:rPr lang="en-AU" sz="1000" kern="1200" dirty="0"/>
            <a:t>Residential</a:t>
          </a:r>
        </a:p>
      </dsp:txBody>
      <dsp:txXfrm rot="-5400000">
        <a:off x="906130" y="2181088"/>
        <a:ext cx="1615219" cy="75965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614E43925B242C09D4C951CB52C9CA9"/>
        <w:category>
          <w:name w:val="General"/>
          <w:gallery w:val="placeholder"/>
        </w:category>
        <w:types>
          <w:type w:val="bbPlcHdr"/>
        </w:types>
        <w:behaviors>
          <w:behavior w:val="content"/>
        </w:behaviors>
        <w:guid w:val="{EFFA1EB3-BBDD-4864-A955-B118E7B38A08}"/>
      </w:docPartPr>
      <w:docPartBody>
        <w:p w:rsidR="007F6596" w:rsidRDefault="00550810">
          <w:pPr>
            <w:pStyle w:val="0614E43925B242C09D4C951CB52C9CA9"/>
          </w:pPr>
          <w:r w:rsidRPr="000C4F86">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0810"/>
    <w:rsid w:val="000839FA"/>
    <w:rsid w:val="000E10B4"/>
    <w:rsid w:val="004350DA"/>
    <w:rsid w:val="00550810"/>
    <w:rsid w:val="0059794B"/>
    <w:rsid w:val="005A4BAE"/>
    <w:rsid w:val="007452D1"/>
    <w:rsid w:val="007A5F18"/>
    <w:rsid w:val="007C144D"/>
    <w:rsid w:val="007F6596"/>
    <w:rsid w:val="0084503F"/>
    <w:rsid w:val="009C7D96"/>
    <w:rsid w:val="00A036A2"/>
    <w:rsid w:val="00A17F3D"/>
    <w:rsid w:val="00B011A3"/>
    <w:rsid w:val="00B62AE7"/>
    <w:rsid w:val="00BD24CB"/>
    <w:rsid w:val="00C3140A"/>
    <w:rsid w:val="00C6068B"/>
    <w:rsid w:val="00D0540D"/>
    <w:rsid w:val="00D162F3"/>
    <w:rsid w:val="00F449C9"/>
    <w:rsid w:val="00F76EF9"/>
    <w:rsid w:val="00F775A3"/>
    <w:rsid w:val="00FB60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auto"/>
      <w:bdr w:val="none" w:sz="0" w:space="0" w:color="auto"/>
      <w:shd w:val="clear" w:color="auto" w:fill="FFFF00"/>
    </w:rPr>
  </w:style>
  <w:style w:type="paragraph" w:customStyle="1" w:styleId="0614E43925B242C09D4C951CB52C9CA9">
    <w:name w:val="0614E43925B242C09D4C951CB52C9CA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Nation Partners">
  <a:themeElements>
    <a:clrScheme name="Victoria">
      <a:dk1>
        <a:srgbClr val="232222"/>
      </a:dk1>
      <a:lt1>
        <a:sysClr val="window" lastClr="FFFFFF"/>
      </a:lt1>
      <a:dk2>
        <a:srgbClr val="201547"/>
      </a:dk2>
      <a:lt2>
        <a:srgbClr val="FFECD1"/>
      </a:lt2>
      <a:accent1>
        <a:srgbClr val="007B4B"/>
      </a:accent1>
      <a:accent2>
        <a:srgbClr val="FF9E1B"/>
      </a:accent2>
      <a:accent3>
        <a:srgbClr val="00B2A9"/>
      </a:accent3>
      <a:accent4>
        <a:srgbClr val="201547"/>
      </a:accent4>
      <a:accent5>
        <a:srgbClr val="66B093"/>
      </a:accent5>
      <a:accent6>
        <a:srgbClr val="FFC576"/>
      </a:accent6>
      <a:hlink>
        <a:srgbClr val="232222"/>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b6b885-2464-4e07-b8b2-dd5f7fef5603">
      <Terms xmlns="http://schemas.microsoft.com/office/infopath/2007/PartnerControls"/>
    </lcf76f155ced4ddcb4097134ff3c332f>
    <TaxCatchAll xmlns="ffc7a711-2c37-4f4e-b47e-bb49795ca05b" xsi:nil="true"/>
    <SharedWithUsers xmlns="ffc7a711-2c37-4f4e-b47e-bb49795ca05b">
      <UserInfo>
        <DisplayName>Rohanne J Turner (DEECA)</DisplayName>
        <AccountId>38</AccountId>
        <AccountType/>
      </UserInfo>
      <UserInfo>
        <DisplayName>Linda Bibby (DEECA)</DisplayName>
        <AccountId>324</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ct:contentTypeSchema xmlns:ct="http://schemas.microsoft.com/office/2006/metadata/contentType" xmlns:ma="http://schemas.microsoft.com/office/2006/metadata/properties/metaAttributes" ct:_="" ma:_="" ma:contentTypeName="Document" ma:contentTypeID="0x01010065DF1F673960D348A472E02EE17564F7" ma:contentTypeVersion="19" ma:contentTypeDescription="Create a new document." ma:contentTypeScope="" ma:versionID="cfaa67515e63b81b300effc23ca81e8f">
  <xsd:schema xmlns:xsd="http://www.w3.org/2001/XMLSchema" xmlns:xs="http://www.w3.org/2001/XMLSchema" xmlns:p="http://schemas.microsoft.com/office/2006/metadata/properties" xmlns:ns2="99b6b885-2464-4e07-b8b2-dd5f7fef5603" xmlns:ns3="ffc7a711-2c37-4f4e-b47e-bb49795ca05b" targetNamespace="http://schemas.microsoft.com/office/2006/metadata/properties" ma:root="true" ma:fieldsID="4cb269815cf38d42aba135747c462fd6" ns2:_="" ns3:_="">
    <xsd:import namespace="99b6b885-2464-4e07-b8b2-dd5f7fef5603"/>
    <xsd:import namespace="ffc7a711-2c37-4f4e-b47e-bb49795ca0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b6b885-2464-4e07-b8b2-dd5f7fef5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7a711-2c37-4f4e-b47e-bb49795ca05b"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c409bc9-c485-4de6-94d1-17f8bf51e5e5}" ma:internalName="TaxCatchAll" ma:showField="CatchAllData" ma:web="ffc7a711-2c37-4f4e-b47e-bb49795ca05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E914417-542E-4BF3-ADA8-0AB15998CB52}">
  <ds:schemaRefs>
    <ds:schemaRef ds:uri="http://schemas.microsoft.com/sharepoint/v3/contenttype/forms"/>
  </ds:schemaRefs>
</ds:datastoreItem>
</file>

<file path=customXml/itemProps3.xml><?xml version="1.0" encoding="utf-8"?>
<ds:datastoreItem xmlns:ds="http://schemas.openxmlformats.org/officeDocument/2006/customXml" ds:itemID="{BCFABBF0-0631-4425-8316-AF0A01ACFB0F}">
  <ds:schemaRefs>
    <ds:schemaRef ds:uri="http://schemas.microsoft.com/office/2006/metadata/properties"/>
    <ds:schemaRef ds:uri="http://schemas.microsoft.com/office/infopath/2007/PartnerControls"/>
    <ds:schemaRef ds:uri="99b6b885-2464-4e07-b8b2-dd5f7fef5603"/>
    <ds:schemaRef ds:uri="ffc7a711-2c37-4f4e-b47e-bb49795ca05b"/>
  </ds:schemaRefs>
</ds:datastoreItem>
</file>

<file path=customXml/itemProps4.xml><?xml version="1.0" encoding="utf-8"?>
<ds:datastoreItem xmlns:ds="http://schemas.openxmlformats.org/officeDocument/2006/customXml" ds:itemID="{10143BD9-FC3A-454C-BF23-89F66E914903}">
  <ds:schemaRefs>
    <ds:schemaRef ds:uri="http://schemas.openxmlformats.org/officeDocument/2006/bibliography"/>
  </ds:schemaRefs>
</ds:datastoreItem>
</file>

<file path=customXml/itemProps5.xml><?xml version="1.0" encoding="utf-8"?>
<ds:datastoreItem xmlns:ds="http://schemas.openxmlformats.org/officeDocument/2006/customXml" ds:itemID="{BC1D224B-64FE-4E6F-97EE-632AC92CD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b6b885-2464-4e07-b8b2-dd5f7fef5603"/>
    <ds:schemaRef ds:uri="ffc7a711-2c37-4f4e-b47e-bb49795ca0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DEECA Report A4 Portrait_with macros.dotm</Template>
  <TotalTime>6</TotalTime>
  <Pages>55</Pages>
  <Words>16659</Words>
  <Characters>94957</Characters>
  <Application>Microsoft Office Word</Application>
  <DocSecurity>0</DocSecurity>
  <Lines>791</Lines>
  <Paragraphs>222</Paragraphs>
  <ScaleCrop>false</ScaleCrop>
  <Company/>
  <LinksUpToDate>false</LinksUpToDate>
  <CharactersWithSpaces>111394</CharactersWithSpaces>
  <SharedDoc>false</SharedDoc>
  <HLinks>
    <vt:vector size="522" baseType="variant">
      <vt:variant>
        <vt:i4>6684798</vt:i4>
      </vt:variant>
      <vt:variant>
        <vt:i4>651</vt:i4>
      </vt:variant>
      <vt:variant>
        <vt:i4>0</vt:i4>
      </vt:variant>
      <vt:variant>
        <vt:i4>5</vt:i4>
      </vt:variant>
      <vt:variant>
        <vt:lpwstr>https://www.homes.vic.gov.au/big-housing-build</vt:lpwstr>
      </vt:variant>
      <vt:variant>
        <vt:lpwstr/>
      </vt:variant>
      <vt:variant>
        <vt:i4>524343</vt:i4>
      </vt:variant>
      <vt:variant>
        <vt:i4>645</vt:i4>
      </vt:variant>
      <vt:variant>
        <vt:i4>0</vt:i4>
      </vt:variant>
      <vt:variant>
        <vt:i4>5</vt:i4>
      </vt:variant>
      <vt:variant>
        <vt:lpwstr>https://www.planning.vic.gov.au/__data/assets/pdf_file/0031/595273/PPN89-Extractive-Industry-and-Resources-September-2022.pdf</vt:lpwstr>
      </vt:variant>
      <vt:variant>
        <vt:lpwstr/>
      </vt:variant>
      <vt:variant>
        <vt:i4>524343</vt:i4>
      </vt:variant>
      <vt:variant>
        <vt:i4>639</vt:i4>
      </vt:variant>
      <vt:variant>
        <vt:i4>0</vt:i4>
      </vt:variant>
      <vt:variant>
        <vt:i4>5</vt:i4>
      </vt:variant>
      <vt:variant>
        <vt:lpwstr>https://www.planning.vic.gov.au/__data/assets/pdf_file/0031/595273/PPN89-Extractive-Industry-and-Resources-September-2022.pdf</vt:lpwstr>
      </vt:variant>
      <vt:variant>
        <vt:lpwstr/>
      </vt:variant>
      <vt:variant>
        <vt:i4>524343</vt:i4>
      </vt:variant>
      <vt:variant>
        <vt:i4>633</vt:i4>
      </vt:variant>
      <vt:variant>
        <vt:i4>0</vt:i4>
      </vt:variant>
      <vt:variant>
        <vt:i4>5</vt:i4>
      </vt:variant>
      <vt:variant>
        <vt:lpwstr>https://www.planning.vic.gov.au/__data/assets/pdf_file/0031/595273/PPN89-Extractive-Industry-and-Resources-September-2022.pdf</vt:lpwstr>
      </vt:variant>
      <vt:variant>
        <vt:lpwstr/>
      </vt:variant>
      <vt:variant>
        <vt:i4>524343</vt:i4>
      </vt:variant>
      <vt:variant>
        <vt:i4>630</vt:i4>
      </vt:variant>
      <vt:variant>
        <vt:i4>0</vt:i4>
      </vt:variant>
      <vt:variant>
        <vt:i4>5</vt:i4>
      </vt:variant>
      <vt:variant>
        <vt:lpwstr>https://www.planning.vic.gov.au/__data/assets/pdf_file/0031/595273/PPN89-Extractive-Industry-and-Resources-September-2022.pdf</vt:lpwstr>
      </vt:variant>
      <vt:variant>
        <vt:lpwstr/>
      </vt:variant>
      <vt:variant>
        <vt:i4>1376312</vt:i4>
      </vt:variant>
      <vt:variant>
        <vt:i4>428</vt:i4>
      </vt:variant>
      <vt:variant>
        <vt:i4>0</vt:i4>
      </vt:variant>
      <vt:variant>
        <vt:i4>5</vt:i4>
      </vt:variant>
      <vt:variant>
        <vt:lpwstr/>
      </vt:variant>
      <vt:variant>
        <vt:lpwstr>_Toc137567831</vt:lpwstr>
      </vt:variant>
      <vt:variant>
        <vt:i4>1376312</vt:i4>
      </vt:variant>
      <vt:variant>
        <vt:i4>422</vt:i4>
      </vt:variant>
      <vt:variant>
        <vt:i4>0</vt:i4>
      </vt:variant>
      <vt:variant>
        <vt:i4>5</vt:i4>
      </vt:variant>
      <vt:variant>
        <vt:lpwstr/>
      </vt:variant>
      <vt:variant>
        <vt:lpwstr>_Toc137567830</vt:lpwstr>
      </vt:variant>
      <vt:variant>
        <vt:i4>1310776</vt:i4>
      </vt:variant>
      <vt:variant>
        <vt:i4>416</vt:i4>
      </vt:variant>
      <vt:variant>
        <vt:i4>0</vt:i4>
      </vt:variant>
      <vt:variant>
        <vt:i4>5</vt:i4>
      </vt:variant>
      <vt:variant>
        <vt:lpwstr/>
      </vt:variant>
      <vt:variant>
        <vt:lpwstr>_Toc137567829</vt:lpwstr>
      </vt:variant>
      <vt:variant>
        <vt:i4>1310776</vt:i4>
      </vt:variant>
      <vt:variant>
        <vt:i4>410</vt:i4>
      </vt:variant>
      <vt:variant>
        <vt:i4>0</vt:i4>
      </vt:variant>
      <vt:variant>
        <vt:i4>5</vt:i4>
      </vt:variant>
      <vt:variant>
        <vt:lpwstr/>
      </vt:variant>
      <vt:variant>
        <vt:lpwstr>_Toc137567828</vt:lpwstr>
      </vt:variant>
      <vt:variant>
        <vt:i4>1310776</vt:i4>
      </vt:variant>
      <vt:variant>
        <vt:i4>404</vt:i4>
      </vt:variant>
      <vt:variant>
        <vt:i4>0</vt:i4>
      </vt:variant>
      <vt:variant>
        <vt:i4>5</vt:i4>
      </vt:variant>
      <vt:variant>
        <vt:lpwstr/>
      </vt:variant>
      <vt:variant>
        <vt:lpwstr>_Toc137567827</vt:lpwstr>
      </vt:variant>
      <vt:variant>
        <vt:i4>1310776</vt:i4>
      </vt:variant>
      <vt:variant>
        <vt:i4>398</vt:i4>
      </vt:variant>
      <vt:variant>
        <vt:i4>0</vt:i4>
      </vt:variant>
      <vt:variant>
        <vt:i4>5</vt:i4>
      </vt:variant>
      <vt:variant>
        <vt:lpwstr/>
      </vt:variant>
      <vt:variant>
        <vt:lpwstr>_Toc137567826</vt:lpwstr>
      </vt:variant>
      <vt:variant>
        <vt:i4>1310776</vt:i4>
      </vt:variant>
      <vt:variant>
        <vt:i4>392</vt:i4>
      </vt:variant>
      <vt:variant>
        <vt:i4>0</vt:i4>
      </vt:variant>
      <vt:variant>
        <vt:i4>5</vt:i4>
      </vt:variant>
      <vt:variant>
        <vt:lpwstr/>
      </vt:variant>
      <vt:variant>
        <vt:lpwstr>_Toc137567825</vt:lpwstr>
      </vt:variant>
      <vt:variant>
        <vt:i4>1310776</vt:i4>
      </vt:variant>
      <vt:variant>
        <vt:i4>386</vt:i4>
      </vt:variant>
      <vt:variant>
        <vt:i4>0</vt:i4>
      </vt:variant>
      <vt:variant>
        <vt:i4>5</vt:i4>
      </vt:variant>
      <vt:variant>
        <vt:lpwstr/>
      </vt:variant>
      <vt:variant>
        <vt:lpwstr>_Toc137567824</vt:lpwstr>
      </vt:variant>
      <vt:variant>
        <vt:i4>1310776</vt:i4>
      </vt:variant>
      <vt:variant>
        <vt:i4>380</vt:i4>
      </vt:variant>
      <vt:variant>
        <vt:i4>0</vt:i4>
      </vt:variant>
      <vt:variant>
        <vt:i4>5</vt:i4>
      </vt:variant>
      <vt:variant>
        <vt:lpwstr/>
      </vt:variant>
      <vt:variant>
        <vt:lpwstr>_Toc137567823</vt:lpwstr>
      </vt:variant>
      <vt:variant>
        <vt:i4>1310776</vt:i4>
      </vt:variant>
      <vt:variant>
        <vt:i4>374</vt:i4>
      </vt:variant>
      <vt:variant>
        <vt:i4>0</vt:i4>
      </vt:variant>
      <vt:variant>
        <vt:i4>5</vt:i4>
      </vt:variant>
      <vt:variant>
        <vt:lpwstr/>
      </vt:variant>
      <vt:variant>
        <vt:lpwstr>_Toc137567822</vt:lpwstr>
      </vt:variant>
      <vt:variant>
        <vt:i4>1310776</vt:i4>
      </vt:variant>
      <vt:variant>
        <vt:i4>368</vt:i4>
      </vt:variant>
      <vt:variant>
        <vt:i4>0</vt:i4>
      </vt:variant>
      <vt:variant>
        <vt:i4>5</vt:i4>
      </vt:variant>
      <vt:variant>
        <vt:lpwstr/>
      </vt:variant>
      <vt:variant>
        <vt:lpwstr>_Toc137567821</vt:lpwstr>
      </vt:variant>
      <vt:variant>
        <vt:i4>1310776</vt:i4>
      </vt:variant>
      <vt:variant>
        <vt:i4>362</vt:i4>
      </vt:variant>
      <vt:variant>
        <vt:i4>0</vt:i4>
      </vt:variant>
      <vt:variant>
        <vt:i4>5</vt:i4>
      </vt:variant>
      <vt:variant>
        <vt:lpwstr/>
      </vt:variant>
      <vt:variant>
        <vt:lpwstr>_Toc137567820</vt:lpwstr>
      </vt:variant>
      <vt:variant>
        <vt:i4>1507384</vt:i4>
      </vt:variant>
      <vt:variant>
        <vt:i4>356</vt:i4>
      </vt:variant>
      <vt:variant>
        <vt:i4>0</vt:i4>
      </vt:variant>
      <vt:variant>
        <vt:i4>5</vt:i4>
      </vt:variant>
      <vt:variant>
        <vt:lpwstr/>
      </vt:variant>
      <vt:variant>
        <vt:lpwstr>_Toc137567819</vt:lpwstr>
      </vt:variant>
      <vt:variant>
        <vt:i4>1507384</vt:i4>
      </vt:variant>
      <vt:variant>
        <vt:i4>350</vt:i4>
      </vt:variant>
      <vt:variant>
        <vt:i4>0</vt:i4>
      </vt:variant>
      <vt:variant>
        <vt:i4>5</vt:i4>
      </vt:variant>
      <vt:variant>
        <vt:lpwstr/>
      </vt:variant>
      <vt:variant>
        <vt:lpwstr>_Toc137567818</vt:lpwstr>
      </vt:variant>
      <vt:variant>
        <vt:i4>1507384</vt:i4>
      </vt:variant>
      <vt:variant>
        <vt:i4>344</vt:i4>
      </vt:variant>
      <vt:variant>
        <vt:i4>0</vt:i4>
      </vt:variant>
      <vt:variant>
        <vt:i4>5</vt:i4>
      </vt:variant>
      <vt:variant>
        <vt:lpwstr/>
      </vt:variant>
      <vt:variant>
        <vt:lpwstr>_Toc137567817</vt:lpwstr>
      </vt:variant>
      <vt:variant>
        <vt:i4>1507384</vt:i4>
      </vt:variant>
      <vt:variant>
        <vt:i4>338</vt:i4>
      </vt:variant>
      <vt:variant>
        <vt:i4>0</vt:i4>
      </vt:variant>
      <vt:variant>
        <vt:i4>5</vt:i4>
      </vt:variant>
      <vt:variant>
        <vt:lpwstr/>
      </vt:variant>
      <vt:variant>
        <vt:lpwstr>_Toc137567816</vt:lpwstr>
      </vt:variant>
      <vt:variant>
        <vt:i4>1507384</vt:i4>
      </vt:variant>
      <vt:variant>
        <vt:i4>332</vt:i4>
      </vt:variant>
      <vt:variant>
        <vt:i4>0</vt:i4>
      </vt:variant>
      <vt:variant>
        <vt:i4>5</vt:i4>
      </vt:variant>
      <vt:variant>
        <vt:lpwstr/>
      </vt:variant>
      <vt:variant>
        <vt:lpwstr>_Toc137567815</vt:lpwstr>
      </vt:variant>
      <vt:variant>
        <vt:i4>1507384</vt:i4>
      </vt:variant>
      <vt:variant>
        <vt:i4>326</vt:i4>
      </vt:variant>
      <vt:variant>
        <vt:i4>0</vt:i4>
      </vt:variant>
      <vt:variant>
        <vt:i4>5</vt:i4>
      </vt:variant>
      <vt:variant>
        <vt:lpwstr/>
      </vt:variant>
      <vt:variant>
        <vt:lpwstr>_Toc137567814</vt:lpwstr>
      </vt:variant>
      <vt:variant>
        <vt:i4>1507384</vt:i4>
      </vt:variant>
      <vt:variant>
        <vt:i4>320</vt:i4>
      </vt:variant>
      <vt:variant>
        <vt:i4>0</vt:i4>
      </vt:variant>
      <vt:variant>
        <vt:i4>5</vt:i4>
      </vt:variant>
      <vt:variant>
        <vt:lpwstr/>
      </vt:variant>
      <vt:variant>
        <vt:lpwstr>_Toc137567813</vt:lpwstr>
      </vt:variant>
      <vt:variant>
        <vt:i4>1507384</vt:i4>
      </vt:variant>
      <vt:variant>
        <vt:i4>314</vt:i4>
      </vt:variant>
      <vt:variant>
        <vt:i4>0</vt:i4>
      </vt:variant>
      <vt:variant>
        <vt:i4>5</vt:i4>
      </vt:variant>
      <vt:variant>
        <vt:lpwstr/>
      </vt:variant>
      <vt:variant>
        <vt:lpwstr>_Toc137567812</vt:lpwstr>
      </vt:variant>
      <vt:variant>
        <vt:i4>1507384</vt:i4>
      </vt:variant>
      <vt:variant>
        <vt:i4>308</vt:i4>
      </vt:variant>
      <vt:variant>
        <vt:i4>0</vt:i4>
      </vt:variant>
      <vt:variant>
        <vt:i4>5</vt:i4>
      </vt:variant>
      <vt:variant>
        <vt:lpwstr/>
      </vt:variant>
      <vt:variant>
        <vt:lpwstr>_Toc137567811</vt:lpwstr>
      </vt:variant>
      <vt:variant>
        <vt:i4>1507384</vt:i4>
      </vt:variant>
      <vt:variant>
        <vt:i4>302</vt:i4>
      </vt:variant>
      <vt:variant>
        <vt:i4>0</vt:i4>
      </vt:variant>
      <vt:variant>
        <vt:i4>5</vt:i4>
      </vt:variant>
      <vt:variant>
        <vt:lpwstr/>
      </vt:variant>
      <vt:variant>
        <vt:lpwstr>_Toc137567810</vt:lpwstr>
      </vt:variant>
      <vt:variant>
        <vt:i4>1441848</vt:i4>
      </vt:variant>
      <vt:variant>
        <vt:i4>296</vt:i4>
      </vt:variant>
      <vt:variant>
        <vt:i4>0</vt:i4>
      </vt:variant>
      <vt:variant>
        <vt:i4>5</vt:i4>
      </vt:variant>
      <vt:variant>
        <vt:lpwstr/>
      </vt:variant>
      <vt:variant>
        <vt:lpwstr>_Toc137567809</vt:lpwstr>
      </vt:variant>
      <vt:variant>
        <vt:i4>1441848</vt:i4>
      </vt:variant>
      <vt:variant>
        <vt:i4>290</vt:i4>
      </vt:variant>
      <vt:variant>
        <vt:i4>0</vt:i4>
      </vt:variant>
      <vt:variant>
        <vt:i4>5</vt:i4>
      </vt:variant>
      <vt:variant>
        <vt:lpwstr/>
      </vt:variant>
      <vt:variant>
        <vt:lpwstr>_Toc137567808</vt:lpwstr>
      </vt:variant>
      <vt:variant>
        <vt:i4>1441848</vt:i4>
      </vt:variant>
      <vt:variant>
        <vt:i4>284</vt:i4>
      </vt:variant>
      <vt:variant>
        <vt:i4>0</vt:i4>
      </vt:variant>
      <vt:variant>
        <vt:i4>5</vt:i4>
      </vt:variant>
      <vt:variant>
        <vt:lpwstr/>
      </vt:variant>
      <vt:variant>
        <vt:lpwstr>_Toc137567807</vt:lpwstr>
      </vt:variant>
      <vt:variant>
        <vt:i4>1441848</vt:i4>
      </vt:variant>
      <vt:variant>
        <vt:i4>278</vt:i4>
      </vt:variant>
      <vt:variant>
        <vt:i4>0</vt:i4>
      </vt:variant>
      <vt:variant>
        <vt:i4>5</vt:i4>
      </vt:variant>
      <vt:variant>
        <vt:lpwstr/>
      </vt:variant>
      <vt:variant>
        <vt:lpwstr>_Toc137567806</vt:lpwstr>
      </vt:variant>
      <vt:variant>
        <vt:i4>1441848</vt:i4>
      </vt:variant>
      <vt:variant>
        <vt:i4>272</vt:i4>
      </vt:variant>
      <vt:variant>
        <vt:i4>0</vt:i4>
      </vt:variant>
      <vt:variant>
        <vt:i4>5</vt:i4>
      </vt:variant>
      <vt:variant>
        <vt:lpwstr/>
      </vt:variant>
      <vt:variant>
        <vt:lpwstr>_Toc137567805</vt:lpwstr>
      </vt:variant>
      <vt:variant>
        <vt:i4>1441848</vt:i4>
      </vt:variant>
      <vt:variant>
        <vt:i4>266</vt:i4>
      </vt:variant>
      <vt:variant>
        <vt:i4>0</vt:i4>
      </vt:variant>
      <vt:variant>
        <vt:i4>5</vt:i4>
      </vt:variant>
      <vt:variant>
        <vt:lpwstr/>
      </vt:variant>
      <vt:variant>
        <vt:lpwstr>_Toc137567804</vt:lpwstr>
      </vt:variant>
      <vt:variant>
        <vt:i4>1441848</vt:i4>
      </vt:variant>
      <vt:variant>
        <vt:i4>260</vt:i4>
      </vt:variant>
      <vt:variant>
        <vt:i4>0</vt:i4>
      </vt:variant>
      <vt:variant>
        <vt:i4>5</vt:i4>
      </vt:variant>
      <vt:variant>
        <vt:lpwstr/>
      </vt:variant>
      <vt:variant>
        <vt:lpwstr>_Toc137567803</vt:lpwstr>
      </vt:variant>
      <vt:variant>
        <vt:i4>1441848</vt:i4>
      </vt:variant>
      <vt:variant>
        <vt:i4>254</vt:i4>
      </vt:variant>
      <vt:variant>
        <vt:i4>0</vt:i4>
      </vt:variant>
      <vt:variant>
        <vt:i4>5</vt:i4>
      </vt:variant>
      <vt:variant>
        <vt:lpwstr/>
      </vt:variant>
      <vt:variant>
        <vt:lpwstr>_Toc137567802</vt:lpwstr>
      </vt:variant>
      <vt:variant>
        <vt:i4>1441848</vt:i4>
      </vt:variant>
      <vt:variant>
        <vt:i4>248</vt:i4>
      </vt:variant>
      <vt:variant>
        <vt:i4>0</vt:i4>
      </vt:variant>
      <vt:variant>
        <vt:i4>5</vt:i4>
      </vt:variant>
      <vt:variant>
        <vt:lpwstr/>
      </vt:variant>
      <vt:variant>
        <vt:lpwstr>_Toc137567801</vt:lpwstr>
      </vt:variant>
      <vt:variant>
        <vt:i4>1441848</vt:i4>
      </vt:variant>
      <vt:variant>
        <vt:i4>242</vt:i4>
      </vt:variant>
      <vt:variant>
        <vt:i4>0</vt:i4>
      </vt:variant>
      <vt:variant>
        <vt:i4>5</vt:i4>
      </vt:variant>
      <vt:variant>
        <vt:lpwstr/>
      </vt:variant>
      <vt:variant>
        <vt:lpwstr>_Toc137567800</vt:lpwstr>
      </vt:variant>
      <vt:variant>
        <vt:i4>2031671</vt:i4>
      </vt:variant>
      <vt:variant>
        <vt:i4>236</vt:i4>
      </vt:variant>
      <vt:variant>
        <vt:i4>0</vt:i4>
      </vt:variant>
      <vt:variant>
        <vt:i4>5</vt:i4>
      </vt:variant>
      <vt:variant>
        <vt:lpwstr/>
      </vt:variant>
      <vt:variant>
        <vt:lpwstr>_Toc137567799</vt:lpwstr>
      </vt:variant>
      <vt:variant>
        <vt:i4>2031671</vt:i4>
      </vt:variant>
      <vt:variant>
        <vt:i4>230</vt:i4>
      </vt:variant>
      <vt:variant>
        <vt:i4>0</vt:i4>
      </vt:variant>
      <vt:variant>
        <vt:i4>5</vt:i4>
      </vt:variant>
      <vt:variant>
        <vt:lpwstr/>
      </vt:variant>
      <vt:variant>
        <vt:lpwstr>_Toc137567798</vt:lpwstr>
      </vt:variant>
      <vt:variant>
        <vt:i4>2031671</vt:i4>
      </vt:variant>
      <vt:variant>
        <vt:i4>224</vt:i4>
      </vt:variant>
      <vt:variant>
        <vt:i4>0</vt:i4>
      </vt:variant>
      <vt:variant>
        <vt:i4>5</vt:i4>
      </vt:variant>
      <vt:variant>
        <vt:lpwstr/>
      </vt:variant>
      <vt:variant>
        <vt:lpwstr>_Toc137567797</vt:lpwstr>
      </vt:variant>
      <vt:variant>
        <vt:i4>2031671</vt:i4>
      </vt:variant>
      <vt:variant>
        <vt:i4>218</vt:i4>
      </vt:variant>
      <vt:variant>
        <vt:i4>0</vt:i4>
      </vt:variant>
      <vt:variant>
        <vt:i4>5</vt:i4>
      </vt:variant>
      <vt:variant>
        <vt:lpwstr/>
      </vt:variant>
      <vt:variant>
        <vt:lpwstr>_Toc137567796</vt:lpwstr>
      </vt:variant>
      <vt:variant>
        <vt:i4>2031671</vt:i4>
      </vt:variant>
      <vt:variant>
        <vt:i4>212</vt:i4>
      </vt:variant>
      <vt:variant>
        <vt:i4>0</vt:i4>
      </vt:variant>
      <vt:variant>
        <vt:i4>5</vt:i4>
      </vt:variant>
      <vt:variant>
        <vt:lpwstr/>
      </vt:variant>
      <vt:variant>
        <vt:lpwstr>_Toc137567795</vt:lpwstr>
      </vt:variant>
      <vt:variant>
        <vt:i4>2031671</vt:i4>
      </vt:variant>
      <vt:variant>
        <vt:i4>206</vt:i4>
      </vt:variant>
      <vt:variant>
        <vt:i4>0</vt:i4>
      </vt:variant>
      <vt:variant>
        <vt:i4>5</vt:i4>
      </vt:variant>
      <vt:variant>
        <vt:lpwstr/>
      </vt:variant>
      <vt:variant>
        <vt:lpwstr>_Toc137567794</vt:lpwstr>
      </vt:variant>
      <vt:variant>
        <vt:i4>2031671</vt:i4>
      </vt:variant>
      <vt:variant>
        <vt:i4>200</vt:i4>
      </vt:variant>
      <vt:variant>
        <vt:i4>0</vt:i4>
      </vt:variant>
      <vt:variant>
        <vt:i4>5</vt:i4>
      </vt:variant>
      <vt:variant>
        <vt:lpwstr/>
      </vt:variant>
      <vt:variant>
        <vt:lpwstr>_Toc137567793</vt:lpwstr>
      </vt:variant>
      <vt:variant>
        <vt:i4>2031671</vt:i4>
      </vt:variant>
      <vt:variant>
        <vt:i4>194</vt:i4>
      </vt:variant>
      <vt:variant>
        <vt:i4>0</vt:i4>
      </vt:variant>
      <vt:variant>
        <vt:i4>5</vt:i4>
      </vt:variant>
      <vt:variant>
        <vt:lpwstr/>
      </vt:variant>
      <vt:variant>
        <vt:lpwstr>_Toc137567792</vt:lpwstr>
      </vt:variant>
      <vt:variant>
        <vt:i4>2031671</vt:i4>
      </vt:variant>
      <vt:variant>
        <vt:i4>188</vt:i4>
      </vt:variant>
      <vt:variant>
        <vt:i4>0</vt:i4>
      </vt:variant>
      <vt:variant>
        <vt:i4>5</vt:i4>
      </vt:variant>
      <vt:variant>
        <vt:lpwstr/>
      </vt:variant>
      <vt:variant>
        <vt:lpwstr>_Toc137567791</vt:lpwstr>
      </vt:variant>
      <vt:variant>
        <vt:i4>2031671</vt:i4>
      </vt:variant>
      <vt:variant>
        <vt:i4>182</vt:i4>
      </vt:variant>
      <vt:variant>
        <vt:i4>0</vt:i4>
      </vt:variant>
      <vt:variant>
        <vt:i4>5</vt:i4>
      </vt:variant>
      <vt:variant>
        <vt:lpwstr/>
      </vt:variant>
      <vt:variant>
        <vt:lpwstr>_Toc137567790</vt:lpwstr>
      </vt:variant>
      <vt:variant>
        <vt:i4>1966135</vt:i4>
      </vt:variant>
      <vt:variant>
        <vt:i4>176</vt:i4>
      </vt:variant>
      <vt:variant>
        <vt:i4>0</vt:i4>
      </vt:variant>
      <vt:variant>
        <vt:i4>5</vt:i4>
      </vt:variant>
      <vt:variant>
        <vt:lpwstr/>
      </vt:variant>
      <vt:variant>
        <vt:lpwstr>_Toc137567789</vt:lpwstr>
      </vt:variant>
      <vt:variant>
        <vt:i4>1966135</vt:i4>
      </vt:variant>
      <vt:variant>
        <vt:i4>170</vt:i4>
      </vt:variant>
      <vt:variant>
        <vt:i4>0</vt:i4>
      </vt:variant>
      <vt:variant>
        <vt:i4>5</vt:i4>
      </vt:variant>
      <vt:variant>
        <vt:lpwstr/>
      </vt:variant>
      <vt:variant>
        <vt:lpwstr>_Toc137567788</vt:lpwstr>
      </vt:variant>
      <vt:variant>
        <vt:i4>1966135</vt:i4>
      </vt:variant>
      <vt:variant>
        <vt:i4>164</vt:i4>
      </vt:variant>
      <vt:variant>
        <vt:i4>0</vt:i4>
      </vt:variant>
      <vt:variant>
        <vt:i4>5</vt:i4>
      </vt:variant>
      <vt:variant>
        <vt:lpwstr/>
      </vt:variant>
      <vt:variant>
        <vt:lpwstr>_Toc137567787</vt:lpwstr>
      </vt:variant>
      <vt:variant>
        <vt:i4>1966135</vt:i4>
      </vt:variant>
      <vt:variant>
        <vt:i4>158</vt:i4>
      </vt:variant>
      <vt:variant>
        <vt:i4>0</vt:i4>
      </vt:variant>
      <vt:variant>
        <vt:i4>5</vt:i4>
      </vt:variant>
      <vt:variant>
        <vt:lpwstr/>
      </vt:variant>
      <vt:variant>
        <vt:lpwstr>_Toc137567786</vt:lpwstr>
      </vt:variant>
      <vt:variant>
        <vt:i4>1966135</vt:i4>
      </vt:variant>
      <vt:variant>
        <vt:i4>152</vt:i4>
      </vt:variant>
      <vt:variant>
        <vt:i4>0</vt:i4>
      </vt:variant>
      <vt:variant>
        <vt:i4>5</vt:i4>
      </vt:variant>
      <vt:variant>
        <vt:lpwstr/>
      </vt:variant>
      <vt:variant>
        <vt:lpwstr>_Toc137567785</vt:lpwstr>
      </vt:variant>
      <vt:variant>
        <vt:i4>1966135</vt:i4>
      </vt:variant>
      <vt:variant>
        <vt:i4>146</vt:i4>
      </vt:variant>
      <vt:variant>
        <vt:i4>0</vt:i4>
      </vt:variant>
      <vt:variant>
        <vt:i4>5</vt:i4>
      </vt:variant>
      <vt:variant>
        <vt:lpwstr/>
      </vt:variant>
      <vt:variant>
        <vt:lpwstr>_Toc137567784</vt:lpwstr>
      </vt:variant>
      <vt:variant>
        <vt:i4>1966135</vt:i4>
      </vt:variant>
      <vt:variant>
        <vt:i4>140</vt:i4>
      </vt:variant>
      <vt:variant>
        <vt:i4>0</vt:i4>
      </vt:variant>
      <vt:variant>
        <vt:i4>5</vt:i4>
      </vt:variant>
      <vt:variant>
        <vt:lpwstr/>
      </vt:variant>
      <vt:variant>
        <vt:lpwstr>_Toc137567783</vt:lpwstr>
      </vt:variant>
      <vt:variant>
        <vt:i4>1966135</vt:i4>
      </vt:variant>
      <vt:variant>
        <vt:i4>134</vt:i4>
      </vt:variant>
      <vt:variant>
        <vt:i4>0</vt:i4>
      </vt:variant>
      <vt:variant>
        <vt:i4>5</vt:i4>
      </vt:variant>
      <vt:variant>
        <vt:lpwstr/>
      </vt:variant>
      <vt:variant>
        <vt:lpwstr>_Toc137567782</vt:lpwstr>
      </vt:variant>
      <vt:variant>
        <vt:i4>1966135</vt:i4>
      </vt:variant>
      <vt:variant>
        <vt:i4>128</vt:i4>
      </vt:variant>
      <vt:variant>
        <vt:i4>0</vt:i4>
      </vt:variant>
      <vt:variant>
        <vt:i4>5</vt:i4>
      </vt:variant>
      <vt:variant>
        <vt:lpwstr/>
      </vt:variant>
      <vt:variant>
        <vt:lpwstr>_Toc137567781</vt:lpwstr>
      </vt:variant>
      <vt:variant>
        <vt:i4>1966135</vt:i4>
      </vt:variant>
      <vt:variant>
        <vt:i4>122</vt:i4>
      </vt:variant>
      <vt:variant>
        <vt:i4>0</vt:i4>
      </vt:variant>
      <vt:variant>
        <vt:i4>5</vt:i4>
      </vt:variant>
      <vt:variant>
        <vt:lpwstr/>
      </vt:variant>
      <vt:variant>
        <vt:lpwstr>_Toc137567780</vt:lpwstr>
      </vt:variant>
      <vt:variant>
        <vt:i4>1114167</vt:i4>
      </vt:variant>
      <vt:variant>
        <vt:i4>116</vt:i4>
      </vt:variant>
      <vt:variant>
        <vt:i4>0</vt:i4>
      </vt:variant>
      <vt:variant>
        <vt:i4>5</vt:i4>
      </vt:variant>
      <vt:variant>
        <vt:lpwstr/>
      </vt:variant>
      <vt:variant>
        <vt:lpwstr>_Toc137567779</vt:lpwstr>
      </vt:variant>
      <vt:variant>
        <vt:i4>1114167</vt:i4>
      </vt:variant>
      <vt:variant>
        <vt:i4>110</vt:i4>
      </vt:variant>
      <vt:variant>
        <vt:i4>0</vt:i4>
      </vt:variant>
      <vt:variant>
        <vt:i4>5</vt:i4>
      </vt:variant>
      <vt:variant>
        <vt:lpwstr/>
      </vt:variant>
      <vt:variant>
        <vt:lpwstr>_Toc137567778</vt:lpwstr>
      </vt:variant>
      <vt:variant>
        <vt:i4>1114167</vt:i4>
      </vt:variant>
      <vt:variant>
        <vt:i4>104</vt:i4>
      </vt:variant>
      <vt:variant>
        <vt:i4>0</vt:i4>
      </vt:variant>
      <vt:variant>
        <vt:i4>5</vt:i4>
      </vt:variant>
      <vt:variant>
        <vt:lpwstr/>
      </vt:variant>
      <vt:variant>
        <vt:lpwstr>_Toc137567777</vt:lpwstr>
      </vt:variant>
      <vt:variant>
        <vt:i4>1114167</vt:i4>
      </vt:variant>
      <vt:variant>
        <vt:i4>98</vt:i4>
      </vt:variant>
      <vt:variant>
        <vt:i4>0</vt:i4>
      </vt:variant>
      <vt:variant>
        <vt:i4>5</vt:i4>
      </vt:variant>
      <vt:variant>
        <vt:lpwstr/>
      </vt:variant>
      <vt:variant>
        <vt:lpwstr>_Toc137567776</vt:lpwstr>
      </vt:variant>
      <vt:variant>
        <vt:i4>1114167</vt:i4>
      </vt:variant>
      <vt:variant>
        <vt:i4>92</vt:i4>
      </vt:variant>
      <vt:variant>
        <vt:i4>0</vt:i4>
      </vt:variant>
      <vt:variant>
        <vt:i4>5</vt:i4>
      </vt:variant>
      <vt:variant>
        <vt:lpwstr/>
      </vt:variant>
      <vt:variant>
        <vt:lpwstr>_Toc137567775</vt:lpwstr>
      </vt:variant>
      <vt:variant>
        <vt:i4>1114167</vt:i4>
      </vt:variant>
      <vt:variant>
        <vt:i4>86</vt:i4>
      </vt:variant>
      <vt:variant>
        <vt:i4>0</vt:i4>
      </vt:variant>
      <vt:variant>
        <vt:i4>5</vt:i4>
      </vt:variant>
      <vt:variant>
        <vt:lpwstr/>
      </vt:variant>
      <vt:variant>
        <vt:lpwstr>_Toc137567774</vt:lpwstr>
      </vt:variant>
      <vt:variant>
        <vt:i4>1114167</vt:i4>
      </vt:variant>
      <vt:variant>
        <vt:i4>80</vt:i4>
      </vt:variant>
      <vt:variant>
        <vt:i4>0</vt:i4>
      </vt:variant>
      <vt:variant>
        <vt:i4>5</vt:i4>
      </vt:variant>
      <vt:variant>
        <vt:lpwstr/>
      </vt:variant>
      <vt:variant>
        <vt:lpwstr>_Toc137567773</vt:lpwstr>
      </vt:variant>
      <vt:variant>
        <vt:i4>1114167</vt:i4>
      </vt:variant>
      <vt:variant>
        <vt:i4>74</vt:i4>
      </vt:variant>
      <vt:variant>
        <vt:i4>0</vt:i4>
      </vt:variant>
      <vt:variant>
        <vt:i4>5</vt:i4>
      </vt:variant>
      <vt:variant>
        <vt:lpwstr/>
      </vt:variant>
      <vt:variant>
        <vt:lpwstr>_Toc137567772</vt:lpwstr>
      </vt:variant>
      <vt:variant>
        <vt:i4>1114167</vt:i4>
      </vt:variant>
      <vt:variant>
        <vt:i4>68</vt:i4>
      </vt:variant>
      <vt:variant>
        <vt:i4>0</vt:i4>
      </vt:variant>
      <vt:variant>
        <vt:i4>5</vt:i4>
      </vt:variant>
      <vt:variant>
        <vt:lpwstr/>
      </vt:variant>
      <vt:variant>
        <vt:lpwstr>_Toc137567771</vt:lpwstr>
      </vt:variant>
      <vt:variant>
        <vt:i4>1114167</vt:i4>
      </vt:variant>
      <vt:variant>
        <vt:i4>62</vt:i4>
      </vt:variant>
      <vt:variant>
        <vt:i4>0</vt:i4>
      </vt:variant>
      <vt:variant>
        <vt:i4>5</vt:i4>
      </vt:variant>
      <vt:variant>
        <vt:lpwstr/>
      </vt:variant>
      <vt:variant>
        <vt:lpwstr>_Toc137567770</vt:lpwstr>
      </vt:variant>
      <vt:variant>
        <vt:i4>1048631</vt:i4>
      </vt:variant>
      <vt:variant>
        <vt:i4>56</vt:i4>
      </vt:variant>
      <vt:variant>
        <vt:i4>0</vt:i4>
      </vt:variant>
      <vt:variant>
        <vt:i4>5</vt:i4>
      </vt:variant>
      <vt:variant>
        <vt:lpwstr/>
      </vt:variant>
      <vt:variant>
        <vt:lpwstr>_Toc137567769</vt:lpwstr>
      </vt:variant>
      <vt:variant>
        <vt:i4>1048631</vt:i4>
      </vt:variant>
      <vt:variant>
        <vt:i4>50</vt:i4>
      </vt:variant>
      <vt:variant>
        <vt:i4>0</vt:i4>
      </vt:variant>
      <vt:variant>
        <vt:i4>5</vt:i4>
      </vt:variant>
      <vt:variant>
        <vt:lpwstr/>
      </vt:variant>
      <vt:variant>
        <vt:lpwstr>_Toc137567768</vt:lpwstr>
      </vt:variant>
      <vt:variant>
        <vt:i4>1048631</vt:i4>
      </vt:variant>
      <vt:variant>
        <vt:i4>44</vt:i4>
      </vt:variant>
      <vt:variant>
        <vt:i4>0</vt:i4>
      </vt:variant>
      <vt:variant>
        <vt:i4>5</vt:i4>
      </vt:variant>
      <vt:variant>
        <vt:lpwstr/>
      </vt:variant>
      <vt:variant>
        <vt:lpwstr>_Toc137567767</vt:lpwstr>
      </vt:variant>
      <vt:variant>
        <vt:i4>1048631</vt:i4>
      </vt:variant>
      <vt:variant>
        <vt:i4>38</vt:i4>
      </vt:variant>
      <vt:variant>
        <vt:i4>0</vt:i4>
      </vt:variant>
      <vt:variant>
        <vt:i4>5</vt:i4>
      </vt:variant>
      <vt:variant>
        <vt:lpwstr/>
      </vt:variant>
      <vt:variant>
        <vt:lpwstr>_Toc137567766</vt:lpwstr>
      </vt:variant>
      <vt:variant>
        <vt:i4>1048631</vt:i4>
      </vt:variant>
      <vt:variant>
        <vt:i4>32</vt:i4>
      </vt:variant>
      <vt:variant>
        <vt:i4>0</vt:i4>
      </vt:variant>
      <vt:variant>
        <vt:i4>5</vt:i4>
      </vt:variant>
      <vt:variant>
        <vt:lpwstr/>
      </vt:variant>
      <vt:variant>
        <vt:lpwstr>_Toc137567765</vt:lpwstr>
      </vt:variant>
      <vt:variant>
        <vt:i4>1048631</vt:i4>
      </vt:variant>
      <vt:variant>
        <vt:i4>26</vt:i4>
      </vt:variant>
      <vt:variant>
        <vt:i4>0</vt:i4>
      </vt:variant>
      <vt:variant>
        <vt:i4>5</vt:i4>
      </vt:variant>
      <vt:variant>
        <vt:lpwstr/>
      </vt:variant>
      <vt:variant>
        <vt:lpwstr>_Toc137567764</vt:lpwstr>
      </vt:variant>
      <vt:variant>
        <vt:i4>1048631</vt:i4>
      </vt:variant>
      <vt:variant>
        <vt:i4>20</vt:i4>
      </vt:variant>
      <vt:variant>
        <vt:i4>0</vt:i4>
      </vt:variant>
      <vt:variant>
        <vt:i4>5</vt:i4>
      </vt:variant>
      <vt:variant>
        <vt:lpwstr/>
      </vt:variant>
      <vt:variant>
        <vt:lpwstr>_Toc137567763</vt:lpwstr>
      </vt:variant>
      <vt:variant>
        <vt:i4>1048631</vt:i4>
      </vt:variant>
      <vt:variant>
        <vt:i4>14</vt:i4>
      </vt:variant>
      <vt:variant>
        <vt:i4>0</vt:i4>
      </vt:variant>
      <vt:variant>
        <vt:i4>5</vt:i4>
      </vt:variant>
      <vt:variant>
        <vt:lpwstr/>
      </vt:variant>
      <vt:variant>
        <vt:lpwstr>_Toc137567762</vt:lpwstr>
      </vt:variant>
      <vt:variant>
        <vt:i4>1048631</vt:i4>
      </vt:variant>
      <vt:variant>
        <vt:i4>8</vt:i4>
      </vt:variant>
      <vt:variant>
        <vt:i4>0</vt:i4>
      </vt:variant>
      <vt:variant>
        <vt:i4>5</vt:i4>
      </vt:variant>
      <vt:variant>
        <vt:lpwstr/>
      </vt:variant>
      <vt:variant>
        <vt:lpwstr>_Toc137567761</vt:lpwstr>
      </vt:variant>
      <vt:variant>
        <vt:i4>6488166</vt:i4>
      </vt:variant>
      <vt:variant>
        <vt:i4>3</vt:i4>
      </vt:variant>
      <vt:variant>
        <vt:i4>0</vt:i4>
      </vt:variant>
      <vt:variant>
        <vt:i4>5</vt:i4>
      </vt:variant>
      <vt:variant>
        <vt:lpwstr>http://creativecommons.org/licenses/by/4.0/</vt:lpwstr>
      </vt:variant>
      <vt:variant>
        <vt:lpwstr/>
      </vt:variant>
      <vt:variant>
        <vt:i4>6488166</vt:i4>
      </vt:variant>
      <vt:variant>
        <vt:i4>0</vt:i4>
      </vt:variant>
      <vt:variant>
        <vt:i4>0</vt:i4>
      </vt:variant>
      <vt:variant>
        <vt:i4>5</vt:i4>
      </vt:variant>
      <vt:variant>
        <vt:lpwstr>http://creativecommons.org/licenses/by/4.0/</vt:lpwstr>
      </vt:variant>
      <vt:variant>
        <vt:lpwstr/>
      </vt:variant>
      <vt:variant>
        <vt:i4>2031686</vt:i4>
      </vt:variant>
      <vt:variant>
        <vt:i4>24</vt:i4>
      </vt:variant>
      <vt:variant>
        <vt:i4>0</vt:i4>
      </vt:variant>
      <vt:variant>
        <vt:i4>5</vt:i4>
      </vt:variant>
      <vt:variant>
        <vt:lpwstr>https://liveinmelbourne.vic.gov.au/discover/melbourne-victoria/metropolitan-melbourne</vt:lpwstr>
      </vt:variant>
      <vt:variant>
        <vt:lpwstr/>
      </vt:variant>
      <vt:variant>
        <vt:i4>7274595</vt:i4>
      </vt:variant>
      <vt:variant>
        <vt:i4>21</vt:i4>
      </vt:variant>
      <vt:variant>
        <vt:i4>0</vt:i4>
      </vt:variant>
      <vt:variant>
        <vt:i4>5</vt:i4>
      </vt:variant>
      <vt:variant>
        <vt:lpwstr>https://www.vic.gov.au/victorias-plan-circular-economy</vt:lpwstr>
      </vt:variant>
      <vt:variant>
        <vt:lpwstr/>
      </vt:variant>
      <vt:variant>
        <vt:i4>5767235</vt:i4>
      </vt:variant>
      <vt:variant>
        <vt:i4>18</vt:i4>
      </vt:variant>
      <vt:variant>
        <vt:i4>0</vt:i4>
      </vt:variant>
      <vt:variant>
        <vt:i4>5</vt:i4>
      </vt:variant>
      <vt:variant>
        <vt:lpwstr>https://www.rdv.vic.gov.au/regional-partnerships/partnerships</vt:lpwstr>
      </vt:variant>
      <vt:variant>
        <vt:lpwstr/>
      </vt:variant>
      <vt:variant>
        <vt:i4>2490409</vt:i4>
      </vt:variant>
      <vt:variant>
        <vt:i4>15</vt:i4>
      </vt:variant>
      <vt:variant>
        <vt:i4>0</vt:i4>
      </vt:variant>
      <vt:variant>
        <vt:i4>5</vt:i4>
      </vt:variant>
      <vt:variant>
        <vt:lpwstr>https://earthresources.vic.gov.au/legislation-and-regulations/regulation-review-and-reform/better-approvals</vt:lpwstr>
      </vt:variant>
      <vt:variant>
        <vt:lpwstr>:~:text=Better%20Approvals%20for%20Regulators%20(BAR)%20is%20a%20state%2Dwide,expected%20of%20a%20modern%20regulator</vt:lpwstr>
      </vt:variant>
      <vt:variant>
        <vt:i4>1179654</vt:i4>
      </vt:variant>
      <vt:variant>
        <vt:i4>12</vt:i4>
      </vt:variant>
      <vt:variant>
        <vt:i4>0</vt:i4>
      </vt:variant>
      <vt:variant>
        <vt:i4>5</vt:i4>
      </vt:variant>
      <vt:variant>
        <vt:lpwstr>https://earthresources.vic.gov.au/projects/extractive-industry-priority-project-list</vt:lpwstr>
      </vt:variant>
      <vt:variant>
        <vt:lpwstr/>
      </vt:variant>
      <vt:variant>
        <vt:i4>3014735</vt:i4>
      </vt:variant>
      <vt:variant>
        <vt:i4>9</vt:i4>
      </vt:variant>
      <vt:variant>
        <vt:i4>0</vt:i4>
      </vt:variant>
      <vt:variant>
        <vt:i4>5</vt:i4>
      </vt:variant>
      <vt:variant>
        <vt:lpwstr>https://earthresources.vic.gov.au/__data/assets/pdf_file/0014/821300/RRV-Strategic-Extractive-Resources-Roadmap.pdf</vt:lpwstr>
      </vt:variant>
      <vt:variant>
        <vt:lpwstr/>
      </vt:variant>
      <vt:variant>
        <vt:i4>7667752</vt:i4>
      </vt:variant>
      <vt:variant>
        <vt:i4>6</vt:i4>
      </vt:variant>
      <vt:variant>
        <vt:i4>0</vt:i4>
      </vt:variant>
      <vt:variant>
        <vt:i4>5</vt:i4>
      </vt:variant>
      <vt:variant>
        <vt:lpwstr>https://treasury.gov.au/coronavirus/homebuilder</vt:lpwstr>
      </vt:variant>
      <vt:variant>
        <vt:lpwstr/>
      </vt:variant>
      <vt:variant>
        <vt:i4>65622</vt:i4>
      </vt:variant>
      <vt:variant>
        <vt:i4>3</vt:i4>
      </vt:variant>
      <vt:variant>
        <vt:i4>0</vt:i4>
      </vt:variant>
      <vt:variant>
        <vt:i4>5</vt:i4>
      </vt:variant>
      <vt:variant>
        <vt:lpwstr>https://www.sustainability.vic.gov.au/research-data-and-insights/waste-data/annual-waste-data-reports</vt:lpwstr>
      </vt:variant>
      <vt:variant>
        <vt:lpwstr/>
      </vt:variant>
      <vt:variant>
        <vt:i4>16</vt:i4>
      </vt:variant>
      <vt:variant>
        <vt:i4>0</vt:i4>
      </vt:variant>
      <vt:variant>
        <vt:i4>0</vt:i4>
      </vt:variant>
      <vt:variant>
        <vt:i4>5</vt:i4>
      </vt:variant>
      <vt:variant>
        <vt:lpwstr>C:\Users\fionadurante\Downloads\deeca.vic.gov.au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Supply and Demand Study 2022-30</dc:title>
  <dc:subject/>
  <dc:creator>Belinda Lucas (DEDJTR)</dc:creator>
  <cp:keywords/>
  <dc:description/>
  <cp:lastModifiedBy>Richard G Hancock (DEECA)</cp:lastModifiedBy>
  <cp:revision>7</cp:revision>
  <cp:lastPrinted>2023-08-14T03:34:00Z</cp:lastPrinted>
  <dcterms:created xsi:type="dcterms:W3CDTF">2023-08-14T03:29:00Z</dcterms:created>
  <dcterms:modified xsi:type="dcterms:W3CDTF">2023-08-14T03:35:00Z</dcterms:modified>
  <cp:category>Subtitle goes here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FooterTitle">
    <vt:lpwstr>Title over three lines maximum just to see how it looks and how it will work title over three lines just to see how it looks and how it works</vt:lpwstr>
  </property>
  <property fmtid="{D5CDD505-2E9C-101B-9397-08002B2CF9AE}" pid="3" name="xFooterSubtitle">
    <vt:lpwstr>Subtitle over two lines just to see how it looks and how it works subtitle over two lines just to see how it looks and how it works.</vt:lpwstr>
  </property>
  <property fmtid="{D5CDD505-2E9C-101B-9397-08002B2CF9AE}" pid="4" name="ContentTypeId">
    <vt:lpwstr>0x01010065DF1F673960D348A472E02EE17564F7</vt:lpwstr>
  </property>
  <property fmtid="{D5CDD505-2E9C-101B-9397-08002B2CF9AE}" pid="5" name="MediaServiceImageTags">
    <vt:lpwstr/>
  </property>
  <property fmtid="{D5CDD505-2E9C-101B-9397-08002B2CF9AE}" pid="6" name="MSIP_Label_d00a4df9-c942-4b09-b23a-6c1023f6de27_Enabled">
    <vt:lpwstr>true</vt:lpwstr>
  </property>
  <property fmtid="{D5CDD505-2E9C-101B-9397-08002B2CF9AE}" pid="7" name="MSIP_Label_d00a4df9-c942-4b09-b23a-6c1023f6de27_SetDate">
    <vt:lpwstr>2023-08-14T03:29:01Z</vt:lpwstr>
  </property>
  <property fmtid="{D5CDD505-2E9C-101B-9397-08002B2CF9AE}" pid="8" name="MSIP_Label_d00a4df9-c942-4b09-b23a-6c1023f6de27_Method">
    <vt:lpwstr>Privileged</vt:lpwstr>
  </property>
  <property fmtid="{D5CDD505-2E9C-101B-9397-08002B2CF9AE}" pid="9" name="MSIP_Label_d00a4df9-c942-4b09-b23a-6c1023f6de27_Name">
    <vt:lpwstr>Official (DJPR)</vt:lpwstr>
  </property>
  <property fmtid="{D5CDD505-2E9C-101B-9397-08002B2CF9AE}" pid="10" name="MSIP_Label_d00a4df9-c942-4b09-b23a-6c1023f6de27_SiteId">
    <vt:lpwstr>722ea0be-3e1c-4b11-ad6f-9401d6856e24</vt:lpwstr>
  </property>
  <property fmtid="{D5CDD505-2E9C-101B-9397-08002B2CF9AE}" pid="11" name="MSIP_Label_d00a4df9-c942-4b09-b23a-6c1023f6de27_ActionId">
    <vt:lpwstr>faf8de24-aeb9-4e7d-a88b-5ed24d2d652e</vt:lpwstr>
  </property>
  <property fmtid="{D5CDD505-2E9C-101B-9397-08002B2CF9AE}" pid="12" name="MSIP_Label_d00a4df9-c942-4b09-b23a-6c1023f6de27_ContentBits">
    <vt:lpwstr>3</vt:lpwstr>
  </property>
</Properties>
</file>