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F17" w:rsidRPr="00D14CE9" w:rsidRDefault="00E13F17" w:rsidP="00135923"/>
    <w:p w:rsidR="007B258A" w:rsidRPr="00D14CE9" w:rsidRDefault="00464F87" w:rsidP="00173BC9">
      <w:pPr>
        <w:pStyle w:val="EYCoverTitle"/>
        <w:rPr>
          <w:lang w:val="en-AU"/>
        </w:rPr>
        <w:sectPr w:rsidR="007B258A" w:rsidRPr="00D14CE9" w:rsidSect="000B6297">
          <w:headerReference w:type="even" r:id="rId9"/>
          <w:headerReference w:type="default" r:id="rId10"/>
          <w:footerReference w:type="default" r:id="rId11"/>
          <w:headerReference w:type="first" r:id="rId12"/>
          <w:pgSz w:w="11909" w:h="16834" w:code="9"/>
          <w:pgMar w:top="11794" w:right="1051" w:bottom="2491" w:left="4507" w:header="720" w:footer="567" w:gutter="0"/>
          <w:cols w:space="720"/>
          <w:titlePg/>
          <w:docGrid w:linePitch="360"/>
        </w:sectPr>
      </w:pPr>
      <w:r w:rsidRPr="00474B05">
        <w:rPr>
          <w:noProof/>
          <w:szCs w:val="20"/>
          <w:lang w:val="en-AU" w:eastAsia="en-AU"/>
        </w:rPr>
        <mc:AlternateContent>
          <mc:Choice Requires="wps">
            <w:drawing>
              <wp:anchor distT="0" distB="0" distL="114300" distR="114300" simplePos="0" relativeHeight="251659264" behindDoc="0" locked="1" layoutInCell="1" allowOverlap="1" wp14:anchorId="519397AA" wp14:editId="262E484D">
                <wp:simplePos x="0" y="0"/>
                <wp:positionH relativeFrom="page">
                  <wp:posOffset>809625</wp:posOffset>
                </wp:positionH>
                <wp:positionV relativeFrom="page">
                  <wp:posOffset>1419225</wp:posOffset>
                </wp:positionV>
                <wp:extent cx="2700020" cy="3676650"/>
                <wp:effectExtent l="0" t="0" r="5080" b="0"/>
                <wp:wrapNone/>
                <wp:docPr id="10" name="Text Box 2" descr=" Department of Economic Development, Jobs, Transport and Resources,&#10;Demand analysis of extractive resources in Victoria, 16 May 2016&#10;" title="Repor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67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7754" w:rsidRPr="001D1C8A" w:rsidRDefault="003C7754" w:rsidP="00464F87">
                            <w:pPr>
                              <w:pStyle w:val="Headline1"/>
                              <w:rPr>
                                <w:rFonts w:ascii="EYInterstate" w:hAnsi="EYInterstate"/>
                                <w:b/>
                                <w:color w:val="404040"/>
                              </w:rPr>
                            </w:pPr>
                            <w:r>
                              <w:rPr>
                                <w:rFonts w:ascii="EYInterstate" w:hAnsi="EYInterstate"/>
                                <w:b/>
                                <w:color w:val="404040"/>
                              </w:rPr>
                              <w:t>Department of Economic Development, Jobs, Transport and Resources</w:t>
                            </w:r>
                          </w:p>
                          <w:p w:rsidR="003C7754" w:rsidRDefault="003C7754" w:rsidP="00464F87">
                            <w:pPr>
                              <w:pStyle w:val="Headline2"/>
                              <w:rPr>
                                <w:color w:val="404040"/>
                              </w:rPr>
                            </w:pPr>
                            <w:r>
                              <w:rPr>
                                <w:color w:val="404040"/>
                              </w:rPr>
                              <w:t>Demand analysis of extractive resources in Victoria</w:t>
                            </w:r>
                          </w:p>
                          <w:p w:rsidR="003C7754" w:rsidRDefault="003C7754" w:rsidP="00464F87">
                            <w:pPr>
                              <w:pStyle w:val="Headline2"/>
                              <w:rPr>
                                <w:color w:val="404040"/>
                              </w:rPr>
                            </w:pPr>
                          </w:p>
                          <w:p w:rsidR="003C7754" w:rsidRPr="00421CE7" w:rsidRDefault="003C7754" w:rsidP="00464F87">
                            <w:pPr>
                              <w:pStyle w:val="Headline2"/>
                              <w:rPr>
                                <w:color w:val="404040"/>
                                <w:sz w:val="32"/>
                              </w:rPr>
                            </w:pPr>
                            <w:r>
                              <w:rPr>
                                <w:color w:val="404040"/>
                                <w:sz w:val="32"/>
                              </w:rPr>
                              <w:t>16 May</w:t>
                            </w:r>
                            <w:r w:rsidRPr="008D7E06">
                              <w:rPr>
                                <w:color w:val="404040"/>
                                <w:sz w:val="32"/>
                              </w:rPr>
                              <w:t xml:space="preserve"> 2016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Report title - Description:  Department of Economic Development, Jobs, Transport and Resources,&#10;Demand analysis of extractive resources in Victoria, 16 May 2016&#10;" style="position:absolute;margin-left:63.75pt;margin-top:111.75pt;width:212.6pt;height:28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36JQMAAFYGAAAOAAAAZHJzL2Uyb0RvYy54bWysVU1v2zgQvS+w/4HgAj1F0Udl2VajFIll&#10;F12k7aJNe6cpyiIqcbQkbdld9L93SMV2kl4W3dVBGJHDN/Nm3lBXr/ddS3ZCGwmqoPFlRIlQHCqp&#10;NgX9fL8KZpQYy1TFWlCioAdh6Ovr33+7GvpcJNBAWwlNEESZfOgL2ljb52FoeCM6Zi6hFwo3a9Ad&#10;s/ipN2Gl2YDoXRsmUZSFA+iq18CFMbhajpv02uPXteD2Q10bYUlbUMzN+rf277V7h9dXLN9o1jeS&#10;P6TBfiGLjkmFQU9QJbOMbLX8CaqTXIOB2l5y6EKoa8mF54Bs4ugZm08N64XngsUx/alM5v+D5e93&#10;f2kiK+wdlkexDnt0L/aW3MKeJJRUwnAsFylFz7TthLIEarLkoACp4PJOtNC79QvyJ6zNBbnXTJke&#10;tCXYdfJRGNhq7M7Fiz/2N69K7CquMsXag5HGYWEwzbiVO0H00ZlIRb5IbkFLdkHijLxjB4IFyjwI&#10;tlHaFhP9KHwc/+U6OfQmR0KfeqRk98gAWfmumP4O+FdDFCwapjbiRmsYGsEqrGTsToaPjo44xoGs&#10;h3dQYSC2teCB9rXuXJuxcQTRsWSHk4pc1TguJtMoihLc4rj3Mptm2cTrLGT58XivjX0joCPOKKhG&#10;mXp4trsz1qXD8qOLi6ZgJdvWS7VVTxbQcVzB4HjU7bk0vPL+mUfz5Ww5S4M0yZZBGpVlcLNapEG2&#10;iqeT8mW5WJTxdxc3TvNGVpVQLsxxCuL036nsYR5H/Z7mwEArKwfnUjJ6s160muwYTuHKP77ouHN2&#10;C5+m4YuAXJ5RipM0uk3mwSqbTYN0lU6C+TSaBVE8v51nUTpPy9VTSndSif9OiQwFnU+Syaimc9LP&#10;uGHj8fmZG8s7afGea2VX0NnJieVOg0tV+dZaJtvRflQKl/65FNjuY6O9Yp1IR7na/XqPKE7Ga6gO&#10;qF0NqCxUIV7OaDSgv1Ey4EVXUPP3lmlBSftWof7RxR4NfTTWR4MpjkcLaikOrTMXdrw9t72WmwaR&#10;xwlTcIMzUkuv3nMWD5OFl5cn8XDRutvx8bf3Ov8Orn8AAAD//wMAUEsDBBQABgAIAAAAIQDpD0B5&#10;4AAAAAsBAAAPAAAAZHJzL2Rvd25yZXYueG1sTI/BTsMwDIbvSLxDZCRuLCGo2yhNpwnBCQnRlQPH&#10;tMnaaI1Tmmwrb485jZt/+dPvz8Vm9gM72Sm6gAruFwKYxTYYh52Cz/r1bg0sJo1GDwGtgh8bYVNe&#10;XxU6N+GMlT3tUseoBGOuFfQpjTnnse2t13ERRou024fJ60Rx6riZ9JnK/cClEEvutUO60OvRPve2&#10;PeyOXsH2C6sX9/3efFT7ytX1o8C35UGp25t5+wQs2TldYPjTJ3UoyakJRzSRDZTlKiNUgZQPNBCR&#10;ZXIFrFGwFjIDXhb8/w/lLwAAAP//AwBQSwECLQAUAAYACAAAACEAtoM4kv4AAADhAQAAEwAAAAAA&#10;AAAAAAAAAAAAAAAAW0NvbnRlbnRfVHlwZXNdLnhtbFBLAQItABQABgAIAAAAIQA4/SH/1gAAAJQB&#10;AAALAAAAAAAAAAAAAAAAAC8BAABfcmVscy8ucmVsc1BLAQItABQABgAIAAAAIQBmU136JQMAAFYG&#10;AAAOAAAAAAAAAAAAAAAAAC4CAABkcnMvZTJvRG9jLnhtbFBLAQItABQABgAIAAAAIQDpD0B54AAA&#10;AAsBAAAPAAAAAAAAAAAAAAAAAH8FAABkcnMvZG93bnJldi54bWxQSwUGAAAAAAQABADzAAAAjAYA&#10;AAAA&#10;" filled="f" stroked="f">
                <v:textbox inset="0,0,0,0">
                  <w:txbxContent>
                    <w:p w:rsidR="003C7754" w:rsidRPr="001D1C8A" w:rsidRDefault="003C7754" w:rsidP="00464F87">
                      <w:pPr>
                        <w:pStyle w:val="Headline1"/>
                        <w:rPr>
                          <w:rFonts w:ascii="EYInterstate" w:hAnsi="EYInterstate"/>
                          <w:b/>
                          <w:color w:val="404040"/>
                        </w:rPr>
                      </w:pPr>
                      <w:r>
                        <w:rPr>
                          <w:rFonts w:ascii="EYInterstate" w:hAnsi="EYInterstate"/>
                          <w:b/>
                          <w:color w:val="404040"/>
                        </w:rPr>
                        <w:t>Department of Economic Development, Jobs, Transport and Resources</w:t>
                      </w:r>
                    </w:p>
                    <w:p w:rsidR="003C7754" w:rsidRDefault="003C7754" w:rsidP="00464F87">
                      <w:pPr>
                        <w:pStyle w:val="Headline2"/>
                        <w:rPr>
                          <w:color w:val="404040"/>
                        </w:rPr>
                      </w:pPr>
                      <w:r>
                        <w:rPr>
                          <w:color w:val="404040"/>
                        </w:rPr>
                        <w:t>Demand analysis of extractive resources in Victoria</w:t>
                      </w:r>
                    </w:p>
                    <w:p w:rsidR="003C7754" w:rsidRDefault="003C7754" w:rsidP="00464F87">
                      <w:pPr>
                        <w:pStyle w:val="Headline2"/>
                        <w:rPr>
                          <w:color w:val="404040"/>
                        </w:rPr>
                      </w:pPr>
                    </w:p>
                    <w:p w:rsidR="003C7754" w:rsidRPr="00421CE7" w:rsidRDefault="003C7754" w:rsidP="00464F87">
                      <w:pPr>
                        <w:pStyle w:val="Headline2"/>
                        <w:rPr>
                          <w:color w:val="404040"/>
                          <w:sz w:val="32"/>
                        </w:rPr>
                      </w:pPr>
                      <w:r>
                        <w:rPr>
                          <w:color w:val="404040"/>
                          <w:sz w:val="32"/>
                        </w:rPr>
                        <w:t>16 May</w:t>
                      </w:r>
                      <w:r w:rsidRPr="008D7E06">
                        <w:rPr>
                          <w:color w:val="404040"/>
                          <w:sz w:val="32"/>
                        </w:rPr>
                        <w:t xml:space="preserve"> 2016</w:t>
                      </w:r>
                    </w:p>
                  </w:txbxContent>
                </v:textbox>
                <w10:wrap anchorx="page" anchory="page"/>
                <w10:anchorlock/>
              </v:shape>
            </w:pict>
          </mc:Fallback>
        </mc:AlternateContent>
      </w:r>
    </w:p>
    <w:p w:rsidR="00DD232E" w:rsidRDefault="00DD232E" w:rsidP="00E65C9D">
      <w:pPr>
        <w:pStyle w:val="EYBodytextwithparaspace"/>
        <w:numPr>
          <w:ilvl w:val="4"/>
          <w:numId w:val="45"/>
        </w:numPr>
        <w:rPr>
          <w:lang w:val="en-AU"/>
        </w:rPr>
      </w:pPr>
      <w:r>
        <w:rPr>
          <w:b/>
          <w:sz w:val="24"/>
          <w:lang w:val="en-AU"/>
        </w:rPr>
        <w:lastRenderedPageBreak/>
        <w:t>Restrictions on the use of this Report</w:t>
      </w:r>
    </w:p>
    <w:p w:rsidR="00DC5630" w:rsidRPr="00E65C9D" w:rsidRDefault="00FE337A" w:rsidP="009820ED">
      <w:pPr>
        <w:pStyle w:val="EYBodytextwithparaspace"/>
        <w:numPr>
          <w:ilvl w:val="4"/>
          <w:numId w:val="45"/>
        </w:numPr>
        <w:rPr>
          <w:lang w:val="en-AU"/>
        </w:rPr>
      </w:pPr>
      <w:r w:rsidRPr="00E65C9D">
        <w:rPr>
          <w:lang w:val="en-AU"/>
        </w:rPr>
        <w:t xml:space="preserve">The production of extractive resources grows as the demand for construction materials increases, driven by the continued increase in population and new levels of economic development. This creates heightened challenges for the Victorian Government as competing land uses, particularly in urban and regional fringe areas, have the potential to sterilise strategic extractive resources and increase the cost and complexity of future construction activity. </w:t>
      </w:r>
    </w:p>
    <w:p w:rsidR="009820ED" w:rsidRPr="00EB0C19" w:rsidRDefault="00FE337A" w:rsidP="009820ED">
      <w:pPr>
        <w:pStyle w:val="EYBodytextwithparaspace"/>
        <w:numPr>
          <w:ilvl w:val="4"/>
          <w:numId w:val="45"/>
        </w:numPr>
        <w:rPr>
          <w:lang w:val="en-AU"/>
        </w:rPr>
      </w:pPr>
      <w:r w:rsidRPr="00EB0C19">
        <w:t>Our work</w:t>
      </w:r>
      <w:r w:rsidR="009820ED" w:rsidRPr="00EB0C19">
        <w:t xml:space="preserve">, presented in this Report </w:t>
      </w:r>
      <w:r w:rsidRPr="00EB0C19">
        <w:t>consist</w:t>
      </w:r>
      <w:r w:rsidR="00EB0C19" w:rsidRPr="00E65C9D">
        <w:t>ed</w:t>
      </w:r>
      <w:r w:rsidRPr="00EB0C19">
        <w:t xml:space="preserve"> of forecasting the demand for extractive resources</w:t>
      </w:r>
      <w:r w:rsidR="009820ED" w:rsidRPr="00EB0C19">
        <w:t xml:space="preserve"> in Victoria from 2015 to 2050</w:t>
      </w:r>
      <w:r w:rsidR="00EB0C19" w:rsidRPr="00E65C9D">
        <w:t xml:space="preserve"> and </w:t>
      </w:r>
      <w:r w:rsidRPr="00EB0C19">
        <w:t>was undertaken to help inform the State’s industry and land use policies</w:t>
      </w:r>
      <w:r w:rsidR="009820ED" w:rsidRPr="00EB0C19">
        <w:t xml:space="preserve">, </w:t>
      </w:r>
      <w:r w:rsidR="009820ED" w:rsidRPr="00EB0C19">
        <w:rPr>
          <w:lang w:val="en-AU"/>
        </w:rPr>
        <w:t>collaborating closely with the Department of Economic Development, Jobs, Transport and Resources (</w:t>
      </w:r>
      <w:r w:rsidR="00B63146">
        <w:rPr>
          <w:lang w:val="en-AU"/>
        </w:rPr>
        <w:t>“</w:t>
      </w:r>
      <w:r w:rsidR="009820ED" w:rsidRPr="00EB0C19">
        <w:rPr>
          <w:lang w:val="en-AU"/>
        </w:rPr>
        <w:t>DEDJTR</w:t>
      </w:r>
      <w:r w:rsidR="00B63146">
        <w:rPr>
          <w:lang w:val="en-AU"/>
        </w:rPr>
        <w:t>” or “Client”</w:t>
      </w:r>
      <w:r w:rsidR="009820ED" w:rsidRPr="00EB0C19">
        <w:rPr>
          <w:lang w:val="en-AU"/>
        </w:rPr>
        <w:t>), the Extractive Industries Taskforce and PwC, engaged by the DEDJTR to undertake the supply analysis and the overall appraisal of an integrated demand and supply over the period of analysis.</w:t>
      </w:r>
    </w:p>
    <w:p w:rsidR="00FE337A" w:rsidRDefault="00FE337A" w:rsidP="00FE337A">
      <w:pPr>
        <w:pStyle w:val="EYBodytextwithparaspace"/>
        <w:numPr>
          <w:ilvl w:val="0"/>
          <w:numId w:val="45"/>
        </w:numPr>
        <w:rPr>
          <w:lang w:val="en-AU"/>
        </w:rPr>
      </w:pPr>
      <w:r w:rsidRPr="00EB0C19">
        <w:rPr>
          <w:lang w:val="en-AU"/>
        </w:rPr>
        <w:t xml:space="preserve">Recognising the inherent uncertainties in forecasting cyclical demand and supply factors over the longer term, this Report outlines a range of demand projections, including both high and low demand profiles around a central estimate. Given the potential for significant year-on-year variations in the production and use of extractive resources across the construction industry, it is considered prudent for </w:t>
      </w:r>
      <w:r w:rsidR="009820ED" w:rsidRPr="00EB0C19">
        <w:rPr>
          <w:lang w:val="en-AU"/>
        </w:rPr>
        <w:t xml:space="preserve">the </w:t>
      </w:r>
      <w:r w:rsidRPr="00EB0C19">
        <w:rPr>
          <w:lang w:val="en-AU"/>
        </w:rPr>
        <w:t xml:space="preserve">DEDJTR to consider the full range of results when informing future policy deliberations by the Extractive Industries Taskforce or more broadly across the Victorian Government. In this regard, the demand analysis of the extractive resources in Victoria is a “first of its kind” exercise, meant to be indicative only for policy making purposes in line with the requirements of the Extractive Industries Taskforce and not for use as a general industry forecast for commercial or other purposes. Our work is governed by limitations inherent to the approach and analysis that are presented in </w:t>
      </w:r>
      <w:r w:rsidRPr="00EB0C19">
        <w:rPr>
          <w:lang w:val="en-AU"/>
        </w:rPr>
        <w:fldChar w:fldCharType="begin" w:fldLock="1"/>
      </w:r>
      <w:r w:rsidRPr="00EB0C19">
        <w:rPr>
          <w:lang w:val="en-AU"/>
        </w:rPr>
        <w:instrText xml:space="preserve"> REF _Ref441829817 \r \h </w:instrText>
      </w:r>
      <w:r w:rsidR="006C5E30" w:rsidRPr="00E65C9D">
        <w:rPr>
          <w:lang w:val="en-AU"/>
        </w:rPr>
        <w:instrText xml:space="preserve"> \* MERGEFORMAT </w:instrText>
      </w:r>
      <w:r w:rsidRPr="00EB0C19">
        <w:rPr>
          <w:lang w:val="en-AU"/>
        </w:rPr>
      </w:r>
      <w:r w:rsidRPr="00EB0C19">
        <w:rPr>
          <w:lang w:val="en-AU"/>
        </w:rPr>
        <w:fldChar w:fldCharType="separate"/>
      </w:r>
      <w:r w:rsidR="00895089">
        <w:rPr>
          <w:lang w:val="en-AU"/>
        </w:rPr>
        <w:t>Appendix A</w:t>
      </w:r>
      <w:r w:rsidRPr="00EB0C19">
        <w:rPr>
          <w:lang w:val="en-AU"/>
        </w:rPr>
        <w:fldChar w:fldCharType="end"/>
      </w:r>
      <w:r w:rsidRPr="00EB0C19">
        <w:rPr>
          <w:lang w:val="en-AU"/>
        </w:rPr>
        <w:t xml:space="preserve"> of the Report. </w:t>
      </w:r>
    </w:p>
    <w:p w:rsidR="00B63146" w:rsidRPr="00567ACB" w:rsidRDefault="00B63146" w:rsidP="00B63146">
      <w:pPr>
        <w:pStyle w:val="ListParagraph"/>
        <w:numPr>
          <w:ilvl w:val="0"/>
          <w:numId w:val="45"/>
        </w:numPr>
        <w:spacing w:line="0" w:lineRule="atLeast"/>
        <w:rPr>
          <w:rFonts w:ascii="EYInterstate Light" w:hAnsi="EYInterstate Light" w:cs="Times New Roman"/>
          <w:spacing w:val="-2"/>
          <w:kern w:val="12"/>
          <w:szCs w:val="24"/>
        </w:rPr>
      </w:pPr>
      <w:r w:rsidRPr="00B63146">
        <w:rPr>
          <w:rFonts w:ascii="EYInterstate Light" w:hAnsi="EYInterstate Light" w:cs="Times New Roman"/>
          <w:spacing w:val="-2"/>
          <w:kern w:val="12"/>
          <w:szCs w:val="24"/>
        </w:rPr>
        <w:t>Ernst &amp; Young ("</w:t>
      </w:r>
      <w:r w:rsidRPr="00567ACB">
        <w:rPr>
          <w:rFonts w:ascii="EYInterstate Light" w:hAnsi="EYInterstate Light" w:cs="Times New Roman"/>
          <w:spacing w:val="-2"/>
          <w:kern w:val="12"/>
          <w:szCs w:val="24"/>
        </w:rPr>
        <w:t xml:space="preserve">Consultant") was engaged on the instructions of </w:t>
      </w:r>
      <w:r>
        <w:rPr>
          <w:rFonts w:ascii="EYInterstate Light" w:hAnsi="EYInterstate Light" w:cs="Times New Roman"/>
          <w:spacing w:val="-2"/>
          <w:kern w:val="12"/>
          <w:szCs w:val="24"/>
        </w:rPr>
        <w:t>the DEDJTR</w:t>
      </w:r>
      <w:r w:rsidRPr="00567ACB">
        <w:rPr>
          <w:rFonts w:ascii="EYInterstate Light" w:hAnsi="EYInterstate Light" w:cs="Times New Roman"/>
          <w:spacing w:val="-2"/>
          <w:kern w:val="12"/>
          <w:szCs w:val="24"/>
        </w:rPr>
        <w:t xml:space="preserve"> solely for the purpose of assessing the demand of extractive resources in Victoria</w:t>
      </w:r>
      <w:r>
        <w:rPr>
          <w:rFonts w:ascii="EYInterstate Light" w:hAnsi="EYInterstate Light" w:cs="Times New Roman"/>
          <w:spacing w:val="-2"/>
          <w:kern w:val="12"/>
          <w:szCs w:val="24"/>
        </w:rPr>
        <w:t xml:space="preserve"> </w:t>
      </w:r>
      <w:r w:rsidRPr="00567ACB">
        <w:rPr>
          <w:rFonts w:ascii="EYInterstate Light" w:hAnsi="EYInterstate Light" w:cs="Times New Roman"/>
          <w:spacing w:val="-2"/>
          <w:kern w:val="12"/>
          <w:szCs w:val="24"/>
        </w:rPr>
        <w:t xml:space="preserve">("Project"), in accordance with the engagement agreement dated </w:t>
      </w:r>
      <w:r w:rsidR="006B74BE">
        <w:rPr>
          <w:rFonts w:ascii="EYInterstate Light" w:hAnsi="EYInterstate Light" w:cs="Times New Roman"/>
          <w:spacing w:val="-2"/>
          <w:kern w:val="12"/>
          <w:szCs w:val="24"/>
        </w:rPr>
        <w:t>13 May 2015</w:t>
      </w:r>
      <w:r w:rsidRPr="00567ACB">
        <w:rPr>
          <w:rFonts w:ascii="EYInterstate Light" w:hAnsi="EYInterstate Light" w:cs="Times New Roman"/>
          <w:spacing w:val="-2"/>
          <w:kern w:val="12"/>
          <w:szCs w:val="24"/>
        </w:rPr>
        <w:t xml:space="preserve"> including the General Terms and Conditions (“the Engagement Agreement”).</w:t>
      </w:r>
    </w:p>
    <w:p w:rsidR="00B63146" w:rsidRPr="00567ACB" w:rsidRDefault="00B63146" w:rsidP="00B63146">
      <w:pPr>
        <w:pStyle w:val="ListParagraph"/>
        <w:numPr>
          <w:ilvl w:val="0"/>
          <w:numId w:val="45"/>
        </w:numPr>
        <w:spacing w:line="0" w:lineRule="atLeast"/>
        <w:rPr>
          <w:rFonts w:ascii="EYInterstate Light" w:hAnsi="EYInterstate Light" w:cs="Times New Roman"/>
          <w:spacing w:val="-2"/>
          <w:kern w:val="12"/>
          <w:szCs w:val="24"/>
        </w:rPr>
      </w:pPr>
    </w:p>
    <w:p w:rsidR="00B63146" w:rsidRPr="00567ACB" w:rsidRDefault="00B63146" w:rsidP="00B63146">
      <w:pPr>
        <w:pStyle w:val="ListParagraph"/>
        <w:numPr>
          <w:ilvl w:val="0"/>
          <w:numId w:val="45"/>
        </w:numPr>
        <w:spacing w:line="0" w:lineRule="atLeast"/>
        <w:rPr>
          <w:rFonts w:ascii="EYInterstate Light" w:hAnsi="EYInterstate Light" w:cs="Times New Roman"/>
          <w:spacing w:val="-2"/>
          <w:kern w:val="12"/>
          <w:szCs w:val="24"/>
        </w:rPr>
      </w:pPr>
      <w:r w:rsidRPr="00567ACB">
        <w:rPr>
          <w:rFonts w:ascii="EYInterstate Light" w:hAnsi="EYInterstate Light" w:cs="Times New Roman"/>
          <w:spacing w:val="-2"/>
          <w:kern w:val="12"/>
          <w:szCs w:val="24"/>
        </w:rPr>
        <w:t xml:space="preserve">The results of the Consultant’s work, including the assumptions and qualifications made in preparing the report, are set out in the Consultant's report dated </w:t>
      </w:r>
      <w:r w:rsidR="006B74BE">
        <w:rPr>
          <w:rFonts w:ascii="EYInterstate Light" w:hAnsi="EYInterstate Light" w:cs="Times New Roman"/>
          <w:spacing w:val="-2"/>
          <w:kern w:val="12"/>
          <w:szCs w:val="24"/>
        </w:rPr>
        <w:t>16 May 2016</w:t>
      </w:r>
      <w:r w:rsidRPr="00567ACB">
        <w:rPr>
          <w:rFonts w:ascii="EYInterstate Light" w:hAnsi="EYInterstate Light" w:cs="Times New Roman"/>
          <w:spacing w:val="-2"/>
          <w:kern w:val="12"/>
          <w:szCs w:val="24"/>
        </w:rPr>
        <w:t xml:space="preserve"> ("Report").  You should read the Report in its entirety including any disclaimers and attachments.  A reference to the Report includes any part of the Report.  No further work has been undertaken by the Consultant since the date of the Report to update it.</w:t>
      </w:r>
    </w:p>
    <w:p w:rsidR="00B63146" w:rsidRPr="00567ACB" w:rsidRDefault="00B63146" w:rsidP="00B63146">
      <w:pPr>
        <w:pStyle w:val="ListParagraph"/>
        <w:numPr>
          <w:ilvl w:val="0"/>
          <w:numId w:val="45"/>
        </w:numPr>
        <w:spacing w:line="0" w:lineRule="atLeast"/>
        <w:rPr>
          <w:rFonts w:ascii="EYInterstate Light" w:hAnsi="EYInterstate Light" w:cs="Times New Roman"/>
          <w:spacing w:val="-2"/>
          <w:kern w:val="12"/>
          <w:szCs w:val="24"/>
        </w:rPr>
      </w:pPr>
    </w:p>
    <w:p w:rsidR="00B63146" w:rsidRPr="00567ACB" w:rsidRDefault="00B63146" w:rsidP="00B63146">
      <w:pPr>
        <w:pStyle w:val="ListParagraph"/>
        <w:numPr>
          <w:ilvl w:val="0"/>
          <w:numId w:val="45"/>
        </w:numPr>
        <w:spacing w:line="0" w:lineRule="atLeast"/>
        <w:rPr>
          <w:rFonts w:ascii="EYInterstate Light" w:hAnsi="EYInterstate Light" w:cs="Times New Roman"/>
          <w:spacing w:val="-2"/>
          <w:kern w:val="12"/>
          <w:szCs w:val="24"/>
        </w:rPr>
      </w:pPr>
      <w:r w:rsidRPr="00567ACB">
        <w:rPr>
          <w:rFonts w:ascii="EYInterstate Light" w:hAnsi="EYInterstate Light" w:cs="Times New Roman"/>
          <w:spacing w:val="-2"/>
          <w:kern w:val="12"/>
          <w:szCs w:val="24"/>
        </w:rPr>
        <w:t xml:space="preserve">Unless otherwise agreed in writing with the Consultant, access to the Report is made only on the following basis and in either accessing the Report or obtaining a copy of the Report the recipient agrees to the following terms: </w:t>
      </w:r>
    </w:p>
    <w:p w:rsidR="00B63146" w:rsidRPr="00567ACB" w:rsidRDefault="00B63146" w:rsidP="00B63146">
      <w:pPr>
        <w:pStyle w:val="ListParagraph"/>
        <w:numPr>
          <w:ilvl w:val="0"/>
          <w:numId w:val="45"/>
        </w:numPr>
        <w:spacing w:line="0" w:lineRule="atLeast"/>
        <w:rPr>
          <w:rFonts w:ascii="EYInterstate Light" w:hAnsi="EYInterstate Light" w:cs="Times New Roman"/>
          <w:spacing w:val="-2"/>
          <w:kern w:val="12"/>
          <w:szCs w:val="24"/>
        </w:rPr>
      </w:pPr>
    </w:p>
    <w:p w:rsidR="00B63146" w:rsidRPr="00BB6A30" w:rsidRDefault="00B63146" w:rsidP="00BB6A30">
      <w:pPr>
        <w:spacing w:line="0" w:lineRule="atLeast"/>
        <w:ind w:left="567" w:hanging="567"/>
        <w:rPr>
          <w:spacing w:val="-2"/>
          <w:kern w:val="12"/>
          <w:szCs w:val="24"/>
        </w:rPr>
      </w:pPr>
      <w:r w:rsidRPr="00BB6A30">
        <w:rPr>
          <w:spacing w:val="-2"/>
          <w:kern w:val="12"/>
          <w:szCs w:val="24"/>
        </w:rPr>
        <w:t>1.</w:t>
      </w:r>
      <w:r w:rsidRPr="00BB6A30">
        <w:rPr>
          <w:spacing w:val="-2"/>
          <w:kern w:val="12"/>
          <w:szCs w:val="24"/>
        </w:rPr>
        <w:tab/>
        <w:t>Subject to the provisions of this notice, the Report has been prepared for the Client and may not be disclosed to any other party or used by any other party or relied upon by any other party without the prior written consent of the Consultant.</w:t>
      </w:r>
    </w:p>
    <w:p w:rsidR="00B63146" w:rsidRPr="00567ACB" w:rsidRDefault="00B63146" w:rsidP="00BB6A30">
      <w:pPr>
        <w:spacing w:line="0" w:lineRule="atLeast"/>
        <w:ind w:left="567" w:hanging="567"/>
        <w:rPr>
          <w:spacing w:val="-2"/>
          <w:kern w:val="12"/>
          <w:szCs w:val="24"/>
        </w:rPr>
      </w:pPr>
    </w:p>
    <w:p w:rsidR="00B63146" w:rsidRPr="00567ACB" w:rsidRDefault="00B63146" w:rsidP="00BB6A30">
      <w:pPr>
        <w:spacing w:line="0" w:lineRule="atLeast"/>
        <w:ind w:left="567" w:hanging="567"/>
        <w:rPr>
          <w:spacing w:val="-2"/>
          <w:kern w:val="12"/>
          <w:szCs w:val="24"/>
        </w:rPr>
      </w:pPr>
      <w:r w:rsidRPr="00567ACB">
        <w:rPr>
          <w:spacing w:val="-2"/>
          <w:kern w:val="12"/>
          <w:szCs w:val="24"/>
        </w:rPr>
        <w:t>2.</w:t>
      </w:r>
      <w:r w:rsidRPr="00567ACB">
        <w:rPr>
          <w:spacing w:val="-2"/>
          <w:kern w:val="12"/>
          <w:szCs w:val="24"/>
        </w:rPr>
        <w:tab/>
        <w:t>The Consultant disclaims all liability in relation to any other party who seeks to rely upon the Report or any of its contents.</w:t>
      </w:r>
    </w:p>
    <w:p w:rsidR="00B63146" w:rsidRPr="00567ACB" w:rsidRDefault="00B63146" w:rsidP="00BB6A30">
      <w:pPr>
        <w:spacing w:line="0" w:lineRule="atLeast"/>
        <w:ind w:left="567" w:hanging="567"/>
        <w:rPr>
          <w:spacing w:val="-2"/>
          <w:kern w:val="12"/>
          <w:szCs w:val="24"/>
        </w:rPr>
      </w:pPr>
    </w:p>
    <w:p w:rsidR="00B63146" w:rsidRPr="00567ACB" w:rsidRDefault="00B63146" w:rsidP="00BB6A30">
      <w:pPr>
        <w:spacing w:line="0" w:lineRule="atLeast"/>
        <w:ind w:left="567" w:hanging="567"/>
        <w:rPr>
          <w:spacing w:val="-2"/>
          <w:kern w:val="12"/>
          <w:szCs w:val="24"/>
        </w:rPr>
      </w:pPr>
      <w:r w:rsidRPr="00567ACB">
        <w:rPr>
          <w:spacing w:val="-2"/>
          <w:kern w:val="12"/>
          <w:szCs w:val="24"/>
        </w:rPr>
        <w:t>3.</w:t>
      </w:r>
      <w:r w:rsidRPr="00567ACB">
        <w:rPr>
          <w:spacing w:val="-2"/>
          <w:kern w:val="12"/>
          <w:szCs w:val="24"/>
        </w:rPr>
        <w:tab/>
        <w:t xml:space="preserve">The Consultant has acted in accordance with the instructions of the Client in conducting its work and preparing the Report, and, in doing so, has prepared the Report for the benefit of the Client, and has considered only the interests of the Client.  The Consultant has not been engaged to act, and has not acted, as advisor to any other party.  Accordingly, the Consultant makes no representations as to the appropriateness, accuracy or completeness of the Report for any other party's purposes. </w:t>
      </w:r>
    </w:p>
    <w:p w:rsidR="00B63146" w:rsidRPr="006B74BE" w:rsidRDefault="00B63146" w:rsidP="00BB6A30">
      <w:pPr>
        <w:spacing w:line="0" w:lineRule="atLeast"/>
        <w:ind w:left="567" w:hanging="567"/>
        <w:rPr>
          <w:spacing w:val="-2"/>
          <w:kern w:val="12"/>
          <w:szCs w:val="24"/>
        </w:rPr>
      </w:pPr>
    </w:p>
    <w:p w:rsidR="00B63146" w:rsidRPr="00567ACB" w:rsidRDefault="00B63146" w:rsidP="00525C82">
      <w:pPr>
        <w:keepNext/>
        <w:keepLines/>
        <w:widowControl/>
        <w:spacing w:line="0" w:lineRule="atLeast"/>
        <w:ind w:left="567" w:hanging="567"/>
        <w:rPr>
          <w:spacing w:val="-2"/>
          <w:kern w:val="12"/>
          <w:szCs w:val="24"/>
        </w:rPr>
      </w:pPr>
      <w:r w:rsidRPr="00567ACB">
        <w:rPr>
          <w:spacing w:val="-2"/>
          <w:kern w:val="12"/>
          <w:szCs w:val="24"/>
        </w:rPr>
        <w:t>4.</w:t>
      </w:r>
      <w:r w:rsidRPr="00567ACB">
        <w:rPr>
          <w:spacing w:val="-2"/>
          <w:kern w:val="12"/>
          <w:szCs w:val="24"/>
        </w:rPr>
        <w:tab/>
        <w:t>No reliance may be placed upon the Report or any of its contents by any recipient of the Report for any purpose and any party receiving a copy of the Report must make and rely on their own enquiries in relation to the issues to which the Report relates, the contents of the Report and all matters arising from or relating to or in any way connected with the Report or its contents.</w:t>
      </w:r>
    </w:p>
    <w:p w:rsidR="00B63146" w:rsidRPr="00567ACB" w:rsidRDefault="00B63146" w:rsidP="00BB6A30">
      <w:pPr>
        <w:spacing w:line="0" w:lineRule="atLeast"/>
        <w:ind w:left="567" w:hanging="567"/>
        <w:rPr>
          <w:spacing w:val="-2"/>
          <w:kern w:val="12"/>
          <w:szCs w:val="24"/>
        </w:rPr>
      </w:pPr>
    </w:p>
    <w:p w:rsidR="00B63146" w:rsidRPr="00567ACB" w:rsidRDefault="00B63146" w:rsidP="00BB6A30">
      <w:pPr>
        <w:spacing w:line="0" w:lineRule="atLeast"/>
        <w:ind w:left="567" w:hanging="567"/>
        <w:rPr>
          <w:spacing w:val="-2"/>
          <w:kern w:val="12"/>
          <w:szCs w:val="24"/>
        </w:rPr>
      </w:pPr>
      <w:r w:rsidRPr="00567ACB">
        <w:rPr>
          <w:spacing w:val="-2"/>
          <w:kern w:val="12"/>
          <w:szCs w:val="24"/>
        </w:rPr>
        <w:t>5.</w:t>
      </w:r>
      <w:r w:rsidRPr="00567ACB">
        <w:rPr>
          <w:spacing w:val="-2"/>
          <w:kern w:val="12"/>
          <w:szCs w:val="24"/>
        </w:rPr>
        <w:tab/>
        <w:t>Subject to clause 6 below, the Report is confidential and must be maintained in the strictest confidence and must not be disclosed to any party for any purpose without the prior written consent of the Consultant.</w:t>
      </w:r>
    </w:p>
    <w:p w:rsidR="00B63146" w:rsidRPr="00567ACB" w:rsidRDefault="00B63146" w:rsidP="00BB6A30">
      <w:pPr>
        <w:spacing w:line="0" w:lineRule="atLeast"/>
        <w:ind w:left="567" w:hanging="567"/>
        <w:rPr>
          <w:spacing w:val="-2"/>
          <w:kern w:val="12"/>
          <w:szCs w:val="24"/>
        </w:rPr>
      </w:pPr>
    </w:p>
    <w:p w:rsidR="00B63146" w:rsidRPr="00567ACB" w:rsidRDefault="00B63146" w:rsidP="00BB6A30">
      <w:pPr>
        <w:spacing w:line="0" w:lineRule="atLeast"/>
        <w:ind w:left="567" w:hanging="567"/>
        <w:rPr>
          <w:spacing w:val="-2"/>
          <w:kern w:val="12"/>
          <w:szCs w:val="24"/>
        </w:rPr>
      </w:pPr>
      <w:r w:rsidRPr="00567ACB">
        <w:rPr>
          <w:spacing w:val="-2"/>
          <w:kern w:val="12"/>
          <w:szCs w:val="24"/>
        </w:rPr>
        <w:t>6.</w:t>
      </w:r>
      <w:r w:rsidRPr="00567ACB">
        <w:rPr>
          <w:spacing w:val="-2"/>
          <w:kern w:val="12"/>
          <w:szCs w:val="24"/>
        </w:rPr>
        <w:tab/>
        <w:t xml:space="preserve">All tax advice, tax opinions, tax returns or advice relating to the tax treatment or tax structure of any transaction to which the Consultant’s services relate (“Tax Advice”) is provided solely for the information and internal use of Client and may not be relied upon by anyone else (other than tax authorities who may rely on the information provided to them) for any purpose without the Consultant’s prior written consent.  If the recipient wishes to disclose Tax Advice (or portion or summary thereof) to any other third party, they shall first obtain the written consent of the Client before making such </w:t>
      </w:r>
      <w:r w:rsidRPr="00567ACB">
        <w:rPr>
          <w:spacing w:val="-2"/>
          <w:kern w:val="12"/>
          <w:szCs w:val="24"/>
        </w:rPr>
        <w:lastRenderedPageBreak/>
        <w:t>disclosure.  The recipient must also inform the third party that it cannot rely on the Tax Advice (or portion or summary thereof) for any purpose whatsoever without the Consultant’s prior written consent.</w:t>
      </w:r>
    </w:p>
    <w:p w:rsidR="00B63146" w:rsidRPr="00567ACB" w:rsidRDefault="00B63146" w:rsidP="00BB6A30">
      <w:pPr>
        <w:spacing w:line="0" w:lineRule="atLeast"/>
        <w:ind w:left="567" w:hanging="567"/>
        <w:rPr>
          <w:spacing w:val="-2"/>
          <w:kern w:val="12"/>
          <w:szCs w:val="24"/>
        </w:rPr>
      </w:pPr>
    </w:p>
    <w:p w:rsidR="00B63146" w:rsidRPr="00567ACB" w:rsidRDefault="00B63146" w:rsidP="00BB6A30">
      <w:pPr>
        <w:spacing w:line="0" w:lineRule="atLeast"/>
        <w:ind w:left="567" w:hanging="567"/>
        <w:rPr>
          <w:spacing w:val="-2"/>
          <w:kern w:val="12"/>
          <w:szCs w:val="24"/>
        </w:rPr>
      </w:pPr>
      <w:r w:rsidRPr="00567ACB">
        <w:rPr>
          <w:spacing w:val="-2"/>
          <w:kern w:val="12"/>
          <w:szCs w:val="24"/>
        </w:rPr>
        <w:t>7.</w:t>
      </w:r>
      <w:r w:rsidRPr="00567ACB">
        <w:rPr>
          <w:spacing w:val="-2"/>
          <w:kern w:val="12"/>
          <w:szCs w:val="24"/>
        </w:rPr>
        <w:tab/>
        <w:t>No duty of care is owed by the Consultant to any recipient of the Report in respect of any use that the recipient may make of the Report.</w:t>
      </w:r>
    </w:p>
    <w:p w:rsidR="00B63146" w:rsidRPr="00567ACB" w:rsidRDefault="00B63146" w:rsidP="00BB6A30">
      <w:pPr>
        <w:spacing w:line="0" w:lineRule="atLeast"/>
        <w:ind w:left="567" w:hanging="567"/>
        <w:rPr>
          <w:spacing w:val="-2"/>
          <w:kern w:val="12"/>
          <w:szCs w:val="24"/>
        </w:rPr>
      </w:pPr>
    </w:p>
    <w:p w:rsidR="00B63146" w:rsidRPr="00567ACB" w:rsidRDefault="00B63146" w:rsidP="00BB6A30">
      <w:pPr>
        <w:spacing w:line="0" w:lineRule="atLeast"/>
        <w:ind w:left="567" w:hanging="567"/>
        <w:rPr>
          <w:spacing w:val="-2"/>
          <w:kern w:val="12"/>
          <w:szCs w:val="24"/>
        </w:rPr>
      </w:pPr>
      <w:r w:rsidRPr="00567ACB">
        <w:rPr>
          <w:spacing w:val="-2"/>
          <w:kern w:val="12"/>
          <w:szCs w:val="24"/>
        </w:rPr>
        <w:t>8.</w:t>
      </w:r>
      <w:r w:rsidRPr="00567ACB">
        <w:rPr>
          <w:spacing w:val="-2"/>
          <w:kern w:val="12"/>
          <w:szCs w:val="24"/>
        </w:rPr>
        <w:tab/>
        <w:t>The Consultant disclaims all liability, and takes no responsibility, for any document issued by any other party in connection with the Project.</w:t>
      </w:r>
    </w:p>
    <w:p w:rsidR="00B63146" w:rsidRPr="00567ACB" w:rsidRDefault="00B63146" w:rsidP="00BB6A30">
      <w:pPr>
        <w:spacing w:line="0" w:lineRule="atLeast"/>
        <w:ind w:left="567" w:hanging="567"/>
        <w:rPr>
          <w:spacing w:val="-2"/>
          <w:kern w:val="12"/>
          <w:szCs w:val="24"/>
        </w:rPr>
      </w:pPr>
    </w:p>
    <w:p w:rsidR="00B63146" w:rsidRPr="00567ACB" w:rsidRDefault="00B63146" w:rsidP="00BB6A30">
      <w:pPr>
        <w:spacing w:line="0" w:lineRule="atLeast"/>
        <w:ind w:left="567" w:hanging="567"/>
        <w:rPr>
          <w:spacing w:val="-2"/>
          <w:kern w:val="12"/>
          <w:szCs w:val="24"/>
        </w:rPr>
      </w:pPr>
      <w:r w:rsidRPr="00567ACB">
        <w:rPr>
          <w:spacing w:val="-2"/>
          <w:kern w:val="12"/>
          <w:szCs w:val="24"/>
        </w:rPr>
        <w:t>9.</w:t>
      </w:r>
      <w:r w:rsidRPr="00567ACB">
        <w:rPr>
          <w:spacing w:val="-2"/>
          <w:kern w:val="12"/>
          <w:szCs w:val="24"/>
        </w:rPr>
        <w:tab/>
        <w:t>No claim or demand or any actions or proceedings may be brought against the Consultant arising from or connected with the contents of the Report or the provision of the Report to any recipient.  The Consultant will be released and forever discharged from any such claims, demands, actions or proceedings.</w:t>
      </w:r>
    </w:p>
    <w:p w:rsidR="00B63146" w:rsidRPr="00567ACB" w:rsidRDefault="00B63146" w:rsidP="00BB6A30">
      <w:pPr>
        <w:spacing w:line="0" w:lineRule="atLeast"/>
        <w:ind w:left="567" w:hanging="567"/>
        <w:rPr>
          <w:spacing w:val="-2"/>
          <w:kern w:val="12"/>
          <w:szCs w:val="24"/>
        </w:rPr>
      </w:pPr>
    </w:p>
    <w:p w:rsidR="00B63146" w:rsidRPr="00567ACB" w:rsidRDefault="00B63146" w:rsidP="00BB6A30">
      <w:pPr>
        <w:spacing w:line="0" w:lineRule="atLeast"/>
        <w:ind w:left="567" w:hanging="567"/>
        <w:rPr>
          <w:spacing w:val="-2"/>
          <w:kern w:val="12"/>
          <w:szCs w:val="24"/>
        </w:rPr>
      </w:pPr>
      <w:r w:rsidRPr="00567ACB">
        <w:rPr>
          <w:spacing w:val="-2"/>
          <w:kern w:val="12"/>
          <w:szCs w:val="24"/>
        </w:rPr>
        <w:t>10.</w:t>
      </w:r>
      <w:r w:rsidRPr="00567ACB">
        <w:rPr>
          <w:spacing w:val="-2"/>
          <w:kern w:val="12"/>
          <w:szCs w:val="24"/>
        </w:rPr>
        <w:tab/>
        <w:t>To the fullest extent permitted by law, the recipient of the Report shall be liable for all claims, demands, actions, proceedings, costs, expenses, loss, damage and liability made against or brought against or incurred by the Consultant arising from or connected with the Report, the contents of the Report or the provision of the Report to the recipient.</w:t>
      </w:r>
    </w:p>
    <w:p w:rsidR="00B63146" w:rsidRPr="00567ACB" w:rsidRDefault="00B63146" w:rsidP="00BB6A30">
      <w:pPr>
        <w:spacing w:line="0" w:lineRule="atLeast"/>
        <w:ind w:left="567" w:hanging="567"/>
        <w:rPr>
          <w:spacing w:val="-2"/>
          <w:kern w:val="12"/>
          <w:szCs w:val="24"/>
        </w:rPr>
      </w:pPr>
    </w:p>
    <w:p w:rsidR="00B63146" w:rsidRPr="00BB6A30" w:rsidRDefault="00B63146" w:rsidP="00BB6A30">
      <w:pPr>
        <w:spacing w:line="0" w:lineRule="atLeast"/>
        <w:ind w:left="567" w:hanging="567"/>
        <w:rPr>
          <w:spacing w:val="-2"/>
          <w:kern w:val="12"/>
          <w:szCs w:val="24"/>
        </w:rPr>
      </w:pPr>
      <w:r w:rsidRPr="00567ACB">
        <w:rPr>
          <w:spacing w:val="-2"/>
          <w:kern w:val="12"/>
          <w:szCs w:val="24"/>
        </w:rPr>
        <w:t>11.</w:t>
      </w:r>
      <w:r w:rsidRPr="00567ACB">
        <w:rPr>
          <w:spacing w:val="-2"/>
          <w:kern w:val="12"/>
          <w:szCs w:val="24"/>
        </w:rPr>
        <w:tab/>
        <w:t>In the event that a recipient wishes to rely upon the Report that party must inform the Consultant and, if the Consultant so agrees, sign and return to the Consultant a standard form of the Consultant’s reliance letter.  A copy of the reliance letter can be obtained from the Consultant.  The recipient’s reliance upon the Report will be governed by the terms of that reliance letter.</w:t>
      </w:r>
      <w:bookmarkStart w:id="0" w:name="Subject"/>
      <w:bookmarkEnd w:id="0"/>
    </w:p>
    <w:p w:rsidR="00B63146" w:rsidRPr="00525C82" w:rsidRDefault="00B63146" w:rsidP="00525C82"/>
    <w:p w:rsidR="004C6662" w:rsidRPr="00EB0C19" w:rsidRDefault="004C6662" w:rsidP="00ED3765">
      <w:pPr>
        <w:pStyle w:val="EYBodytextwithparaspace"/>
        <w:numPr>
          <w:ilvl w:val="4"/>
          <w:numId w:val="45"/>
        </w:numPr>
        <w:rPr>
          <w:lang w:val="en-AU"/>
        </w:rPr>
      </w:pPr>
      <w:r>
        <w:rPr>
          <w:lang w:val="en-AU"/>
        </w:rPr>
        <w:t>The contents of this Report are provided for information purposes only. No claim is made as to the accuracy or currency of the content of this Report and the DEDJTR has not independently verified the contents of the Report.  The DEDJTR does not accept any liability or responsibility to any person for relying on the information or advice (or the use of such information or advice) which is provided in the Report or incorporated into it by reference.</w:t>
      </w:r>
    </w:p>
    <w:p w:rsidR="00C24E3C" w:rsidRDefault="00C24E3C" w:rsidP="00E65C9D">
      <w:r>
        <w:br w:type="page"/>
      </w:r>
    </w:p>
    <w:p w:rsidR="00B264BF" w:rsidRPr="00D14CE9" w:rsidRDefault="00D7603F" w:rsidP="00B264BF">
      <w:pPr>
        <w:pStyle w:val="EYContents"/>
        <w:rPr>
          <w:lang w:val="en-AU"/>
        </w:rPr>
      </w:pPr>
      <w:r w:rsidRPr="00D14CE9">
        <w:rPr>
          <w:lang w:val="en-AU"/>
        </w:rPr>
        <w:lastRenderedPageBreak/>
        <w:t>C</w:t>
      </w:r>
      <w:r w:rsidR="00B264BF" w:rsidRPr="00D14CE9">
        <w:rPr>
          <w:lang w:val="en-AU"/>
        </w:rPr>
        <w:t>ontents</w:t>
      </w:r>
    </w:p>
    <w:p w:rsidR="00732521" w:rsidRDefault="00732521">
      <w:pPr>
        <w:pStyle w:val="TOC1"/>
        <w:rPr>
          <w:rFonts w:asciiTheme="minorHAnsi" w:eastAsiaTheme="minorEastAsia" w:hAnsiTheme="minorHAnsi" w:cstheme="minorBidi"/>
          <w:kern w:val="0"/>
          <w:sz w:val="22"/>
          <w:szCs w:val="22"/>
          <w:lang w:val="en-AU" w:eastAsia="en-AU"/>
        </w:rPr>
      </w:pPr>
      <w:r>
        <w:rPr>
          <w:lang w:val="en-AU"/>
        </w:rPr>
        <w:fldChar w:fldCharType="begin"/>
      </w:r>
      <w:r>
        <w:rPr>
          <w:lang w:val="en-AU"/>
        </w:rPr>
        <w:instrText xml:space="preserve"> TOC \h \z \t "EY Appendix,1,EY Heading 1,1,EY Heading 2,2" </w:instrText>
      </w:r>
      <w:r>
        <w:rPr>
          <w:lang w:val="en-AU"/>
        </w:rPr>
        <w:fldChar w:fldCharType="separate"/>
      </w:r>
      <w:hyperlink w:anchor="_Toc451847066" w:history="1">
        <w:r w:rsidRPr="00FC5E5A">
          <w:rPr>
            <w:rStyle w:val="Hyperlink"/>
          </w:rPr>
          <w:t>Executive summary</w:t>
        </w:r>
        <w:r>
          <w:rPr>
            <w:webHidden/>
          </w:rPr>
          <w:tab/>
        </w:r>
        <w:r>
          <w:rPr>
            <w:webHidden/>
          </w:rPr>
          <w:fldChar w:fldCharType="begin"/>
        </w:r>
        <w:r>
          <w:rPr>
            <w:webHidden/>
          </w:rPr>
          <w:instrText xml:space="preserve"> PAGEREF _Toc451847066 \h </w:instrText>
        </w:r>
        <w:r>
          <w:rPr>
            <w:webHidden/>
          </w:rPr>
        </w:r>
        <w:r>
          <w:rPr>
            <w:webHidden/>
          </w:rPr>
          <w:fldChar w:fldCharType="separate"/>
        </w:r>
        <w:r w:rsidR="00525C82">
          <w:rPr>
            <w:webHidden/>
          </w:rPr>
          <w:t>1</w:t>
        </w:r>
        <w:r>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67" w:history="1">
        <w:r w:rsidR="00732521" w:rsidRPr="00FC5E5A">
          <w:rPr>
            <w:rStyle w:val="Hyperlink"/>
          </w:rPr>
          <w:t>1.</w:t>
        </w:r>
        <w:r w:rsidR="00732521">
          <w:rPr>
            <w:rFonts w:asciiTheme="minorHAnsi" w:eastAsiaTheme="minorEastAsia" w:hAnsiTheme="minorHAnsi" w:cstheme="minorBidi"/>
            <w:kern w:val="0"/>
            <w:sz w:val="22"/>
            <w:szCs w:val="22"/>
            <w:lang w:val="en-AU" w:eastAsia="en-AU"/>
          </w:rPr>
          <w:tab/>
        </w:r>
        <w:r w:rsidR="00732521" w:rsidRPr="00FC5E5A">
          <w:rPr>
            <w:rStyle w:val="Hyperlink"/>
          </w:rPr>
          <w:t>Introduction</w:t>
        </w:r>
        <w:r w:rsidR="00732521">
          <w:rPr>
            <w:webHidden/>
          </w:rPr>
          <w:tab/>
        </w:r>
        <w:r w:rsidR="00732521">
          <w:rPr>
            <w:webHidden/>
          </w:rPr>
          <w:fldChar w:fldCharType="begin"/>
        </w:r>
        <w:r w:rsidR="00732521">
          <w:rPr>
            <w:webHidden/>
          </w:rPr>
          <w:instrText xml:space="preserve"> PAGEREF _Toc451847067 \h </w:instrText>
        </w:r>
        <w:r w:rsidR="00732521">
          <w:rPr>
            <w:webHidden/>
          </w:rPr>
        </w:r>
        <w:r w:rsidR="00732521">
          <w:rPr>
            <w:webHidden/>
          </w:rPr>
          <w:fldChar w:fldCharType="separate"/>
        </w:r>
        <w:r w:rsidR="00525C82">
          <w:rPr>
            <w:webHidden/>
          </w:rPr>
          <w:t>7</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68" w:history="1">
        <w:r w:rsidR="00732521" w:rsidRPr="00FC5E5A">
          <w:rPr>
            <w:rStyle w:val="Hyperlink"/>
          </w:rPr>
          <w:t>1.1</w:t>
        </w:r>
        <w:r w:rsidR="00732521">
          <w:rPr>
            <w:rFonts w:asciiTheme="minorHAnsi" w:eastAsiaTheme="minorEastAsia" w:hAnsiTheme="minorHAnsi" w:cstheme="minorBidi"/>
            <w:kern w:val="0"/>
            <w:sz w:val="22"/>
            <w:szCs w:val="22"/>
            <w:lang w:val="en-AU" w:eastAsia="en-AU"/>
          </w:rPr>
          <w:tab/>
        </w:r>
        <w:r w:rsidR="00732521" w:rsidRPr="00FC5E5A">
          <w:rPr>
            <w:rStyle w:val="Hyperlink"/>
          </w:rPr>
          <w:t>Project background</w:t>
        </w:r>
        <w:r w:rsidR="00732521">
          <w:rPr>
            <w:webHidden/>
          </w:rPr>
          <w:tab/>
        </w:r>
        <w:r w:rsidR="00732521">
          <w:rPr>
            <w:webHidden/>
          </w:rPr>
          <w:fldChar w:fldCharType="begin"/>
        </w:r>
        <w:r w:rsidR="00732521">
          <w:rPr>
            <w:webHidden/>
          </w:rPr>
          <w:instrText xml:space="preserve"> PAGEREF _Toc451847068 \h </w:instrText>
        </w:r>
        <w:r w:rsidR="00732521">
          <w:rPr>
            <w:webHidden/>
          </w:rPr>
        </w:r>
        <w:r w:rsidR="00732521">
          <w:rPr>
            <w:webHidden/>
          </w:rPr>
          <w:fldChar w:fldCharType="separate"/>
        </w:r>
        <w:r w:rsidR="00525C82">
          <w:rPr>
            <w:webHidden/>
          </w:rPr>
          <w:t>7</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69" w:history="1">
        <w:r w:rsidR="00732521" w:rsidRPr="00FC5E5A">
          <w:rPr>
            <w:rStyle w:val="Hyperlink"/>
          </w:rPr>
          <w:t>1.2</w:t>
        </w:r>
        <w:r w:rsidR="00732521">
          <w:rPr>
            <w:rFonts w:asciiTheme="minorHAnsi" w:eastAsiaTheme="minorEastAsia" w:hAnsiTheme="minorHAnsi" w:cstheme="minorBidi"/>
            <w:kern w:val="0"/>
            <w:sz w:val="22"/>
            <w:szCs w:val="22"/>
            <w:lang w:val="en-AU" w:eastAsia="en-AU"/>
          </w:rPr>
          <w:tab/>
        </w:r>
        <w:r w:rsidR="00732521" w:rsidRPr="00FC5E5A">
          <w:rPr>
            <w:rStyle w:val="Hyperlink"/>
          </w:rPr>
          <w:t>Purpose of this Report</w:t>
        </w:r>
        <w:r w:rsidR="00732521">
          <w:rPr>
            <w:webHidden/>
          </w:rPr>
          <w:tab/>
        </w:r>
        <w:r w:rsidR="00732521">
          <w:rPr>
            <w:webHidden/>
          </w:rPr>
          <w:fldChar w:fldCharType="begin"/>
        </w:r>
        <w:r w:rsidR="00732521">
          <w:rPr>
            <w:webHidden/>
          </w:rPr>
          <w:instrText xml:space="preserve"> PAGEREF _Toc451847069 \h </w:instrText>
        </w:r>
        <w:r w:rsidR="00732521">
          <w:rPr>
            <w:webHidden/>
          </w:rPr>
        </w:r>
        <w:r w:rsidR="00732521">
          <w:rPr>
            <w:webHidden/>
          </w:rPr>
          <w:fldChar w:fldCharType="separate"/>
        </w:r>
        <w:r w:rsidR="00525C82">
          <w:rPr>
            <w:webHidden/>
          </w:rPr>
          <w:t>8</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70" w:history="1">
        <w:r w:rsidR="00732521" w:rsidRPr="00FC5E5A">
          <w:rPr>
            <w:rStyle w:val="Hyperlink"/>
          </w:rPr>
          <w:t>1.3</w:t>
        </w:r>
        <w:r w:rsidR="00732521">
          <w:rPr>
            <w:rFonts w:asciiTheme="minorHAnsi" w:eastAsiaTheme="minorEastAsia" w:hAnsiTheme="minorHAnsi" w:cstheme="minorBidi"/>
            <w:kern w:val="0"/>
            <w:sz w:val="22"/>
            <w:szCs w:val="22"/>
            <w:lang w:val="en-AU" w:eastAsia="en-AU"/>
          </w:rPr>
          <w:tab/>
        </w:r>
        <w:r w:rsidR="00732521" w:rsidRPr="00FC5E5A">
          <w:rPr>
            <w:rStyle w:val="Hyperlink"/>
          </w:rPr>
          <w:t>Methodology</w:t>
        </w:r>
        <w:r w:rsidR="00732521">
          <w:rPr>
            <w:webHidden/>
          </w:rPr>
          <w:tab/>
        </w:r>
        <w:r w:rsidR="00732521">
          <w:rPr>
            <w:webHidden/>
          </w:rPr>
          <w:fldChar w:fldCharType="begin"/>
        </w:r>
        <w:r w:rsidR="00732521">
          <w:rPr>
            <w:webHidden/>
          </w:rPr>
          <w:instrText xml:space="preserve"> PAGEREF _Toc451847070 \h </w:instrText>
        </w:r>
        <w:r w:rsidR="00732521">
          <w:rPr>
            <w:webHidden/>
          </w:rPr>
        </w:r>
        <w:r w:rsidR="00732521">
          <w:rPr>
            <w:webHidden/>
          </w:rPr>
          <w:fldChar w:fldCharType="separate"/>
        </w:r>
        <w:r w:rsidR="00525C82">
          <w:rPr>
            <w:webHidden/>
          </w:rPr>
          <w:t>8</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71" w:history="1">
        <w:r w:rsidR="00732521" w:rsidRPr="00FC5E5A">
          <w:rPr>
            <w:rStyle w:val="Hyperlink"/>
          </w:rPr>
          <w:t>1.4</w:t>
        </w:r>
        <w:r w:rsidR="00732521">
          <w:rPr>
            <w:rFonts w:asciiTheme="minorHAnsi" w:eastAsiaTheme="minorEastAsia" w:hAnsiTheme="minorHAnsi" w:cstheme="minorBidi"/>
            <w:kern w:val="0"/>
            <w:sz w:val="22"/>
            <w:szCs w:val="22"/>
            <w:lang w:val="en-AU" w:eastAsia="en-AU"/>
          </w:rPr>
          <w:tab/>
        </w:r>
        <w:r w:rsidR="00732521" w:rsidRPr="00FC5E5A">
          <w:rPr>
            <w:rStyle w:val="Hyperlink"/>
          </w:rPr>
          <w:t>Key assumptions and parameters of scope</w:t>
        </w:r>
        <w:r w:rsidR="00732521">
          <w:rPr>
            <w:webHidden/>
          </w:rPr>
          <w:tab/>
        </w:r>
        <w:r w:rsidR="00732521">
          <w:rPr>
            <w:webHidden/>
          </w:rPr>
          <w:fldChar w:fldCharType="begin"/>
        </w:r>
        <w:r w:rsidR="00732521">
          <w:rPr>
            <w:webHidden/>
          </w:rPr>
          <w:instrText xml:space="preserve"> PAGEREF _Toc451847071 \h </w:instrText>
        </w:r>
        <w:r w:rsidR="00732521">
          <w:rPr>
            <w:webHidden/>
          </w:rPr>
        </w:r>
        <w:r w:rsidR="00732521">
          <w:rPr>
            <w:webHidden/>
          </w:rPr>
          <w:fldChar w:fldCharType="separate"/>
        </w:r>
        <w:r w:rsidR="00525C82">
          <w:rPr>
            <w:webHidden/>
          </w:rPr>
          <w:t>11</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72" w:history="1">
        <w:r w:rsidR="00732521" w:rsidRPr="00FC5E5A">
          <w:rPr>
            <w:rStyle w:val="Hyperlink"/>
          </w:rPr>
          <w:t>1.5</w:t>
        </w:r>
        <w:r w:rsidR="00732521">
          <w:rPr>
            <w:rFonts w:asciiTheme="minorHAnsi" w:eastAsiaTheme="minorEastAsia" w:hAnsiTheme="minorHAnsi" w:cstheme="minorBidi"/>
            <w:kern w:val="0"/>
            <w:sz w:val="22"/>
            <w:szCs w:val="22"/>
            <w:lang w:val="en-AU" w:eastAsia="en-AU"/>
          </w:rPr>
          <w:tab/>
        </w:r>
        <w:r w:rsidR="00732521" w:rsidRPr="00FC5E5A">
          <w:rPr>
            <w:rStyle w:val="Hyperlink"/>
          </w:rPr>
          <w:t>Structure of the Report</w:t>
        </w:r>
        <w:r w:rsidR="00732521">
          <w:rPr>
            <w:webHidden/>
          </w:rPr>
          <w:tab/>
        </w:r>
        <w:r w:rsidR="00732521">
          <w:rPr>
            <w:webHidden/>
          </w:rPr>
          <w:fldChar w:fldCharType="begin"/>
        </w:r>
        <w:r w:rsidR="00732521">
          <w:rPr>
            <w:webHidden/>
          </w:rPr>
          <w:instrText xml:space="preserve"> PAGEREF _Toc451847072 \h </w:instrText>
        </w:r>
        <w:r w:rsidR="00732521">
          <w:rPr>
            <w:webHidden/>
          </w:rPr>
        </w:r>
        <w:r w:rsidR="00732521">
          <w:rPr>
            <w:webHidden/>
          </w:rPr>
          <w:fldChar w:fldCharType="separate"/>
        </w:r>
        <w:r w:rsidR="00525C82">
          <w:rPr>
            <w:webHidden/>
          </w:rPr>
          <w:t>12</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73" w:history="1">
        <w:r w:rsidR="00732521" w:rsidRPr="00FC5E5A">
          <w:rPr>
            <w:rStyle w:val="Hyperlink"/>
          </w:rPr>
          <w:t>2.</w:t>
        </w:r>
        <w:r w:rsidR="00732521">
          <w:rPr>
            <w:rFonts w:asciiTheme="minorHAnsi" w:eastAsiaTheme="minorEastAsia" w:hAnsiTheme="minorHAnsi" w:cstheme="minorBidi"/>
            <w:kern w:val="0"/>
            <w:sz w:val="22"/>
            <w:szCs w:val="22"/>
            <w:lang w:val="en-AU" w:eastAsia="en-AU"/>
          </w:rPr>
          <w:tab/>
        </w:r>
        <w:r w:rsidR="00732521" w:rsidRPr="00FC5E5A">
          <w:rPr>
            <w:rStyle w:val="Hyperlink"/>
          </w:rPr>
          <w:t>Overview of the extractive industry sector in Victoria</w:t>
        </w:r>
        <w:r w:rsidR="00732521">
          <w:rPr>
            <w:webHidden/>
          </w:rPr>
          <w:tab/>
        </w:r>
        <w:r w:rsidR="00732521">
          <w:rPr>
            <w:webHidden/>
          </w:rPr>
          <w:fldChar w:fldCharType="begin"/>
        </w:r>
        <w:r w:rsidR="00732521">
          <w:rPr>
            <w:webHidden/>
          </w:rPr>
          <w:instrText xml:space="preserve"> PAGEREF _Toc451847073 \h </w:instrText>
        </w:r>
        <w:r w:rsidR="00732521">
          <w:rPr>
            <w:webHidden/>
          </w:rPr>
        </w:r>
        <w:r w:rsidR="00732521">
          <w:rPr>
            <w:webHidden/>
          </w:rPr>
          <w:fldChar w:fldCharType="separate"/>
        </w:r>
        <w:r w:rsidR="00525C82">
          <w:rPr>
            <w:webHidden/>
          </w:rPr>
          <w:t>14</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74" w:history="1">
        <w:r w:rsidR="00732521" w:rsidRPr="00FC5E5A">
          <w:rPr>
            <w:rStyle w:val="Hyperlink"/>
          </w:rPr>
          <w:t>2.1</w:t>
        </w:r>
        <w:r w:rsidR="00732521">
          <w:rPr>
            <w:rFonts w:asciiTheme="minorHAnsi" w:eastAsiaTheme="minorEastAsia" w:hAnsiTheme="minorHAnsi" w:cstheme="minorBidi"/>
            <w:kern w:val="0"/>
            <w:sz w:val="22"/>
            <w:szCs w:val="22"/>
            <w:lang w:val="en-AU" w:eastAsia="en-AU"/>
          </w:rPr>
          <w:tab/>
        </w:r>
        <w:r w:rsidR="00732521" w:rsidRPr="00FC5E5A">
          <w:rPr>
            <w:rStyle w:val="Hyperlink"/>
          </w:rPr>
          <w:t>Supply and demand value chain</w:t>
        </w:r>
        <w:r w:rsidR="00732521">
          <w:rPr>
            <w:webHidden/>
          </w:rPr>
          <w:tab/>
        </w:r>
        <w:r w:rsidR="00732521">
          <w:rPr>
            <w:webHidden/>
          </w:rPr>
          <w:fldChar w:fldCharType="begin"/>
        </w:r>
        <w:r w:rsidR="00732521">
          <w:rPr>
            <w:webHidden/>
          </w:rPr>
          <w:instrText xml:space="preserve"> PAGEREF _Toc451847074 \h </w:instrText>
        </w:r>
        <w:r w:rsidR="00732521">
          <w:rPr>
            <w:webHidden/>
          </w:rPr>
        </w:r>
        <w:r w:rsidR="00732521">
          <w:rPr>
            <w:webHidden/>
          </w:rPr>
          <w:fldChar w:fldCharType="separate"/>
        </w:r>
        <w:r w:rsidR="00525C82">
          <w:rPr>
            <w:webHidden/>
          </w:rPr>
          <w:t>14</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75" w:history="1">
        <w:r w:rsidR="00732521" w:rsidRPr="00FC5E5A">
          <w:rPr>
            <w:rStyle w:val="Hyperlink"/>
          </w:rPr>
          <w:t>2.2</w:t>
        </w:r>
        <w:r w:rsidR="00732521">
          <w:rPr>
            <w:rFonts w:asciiTheme="minorHAnsi" w:eastAsiaTheme="minorEastAsia" w:hAnsiTheme="minorHAnsi" w:cstheme="minorBidi"/>
            <w:kern w:val="0"/>
            <w:sz w:val="22"/>
            <w:szCs w:val="22"/>
            <w:lang w:val="en-AU" w:eastAsia="en-AU"/>
          </w:rPr>
          <w:tab/>
        </w:r>
        <w:r w:rsidR="00732521" w:rsidRPr="00FC5E5A">
          <w:rPr>
            <w:rStyle w:val="Hyperlink"/>
          </w:rPr>
          <w:t>Uses of extractive resources in Victoria</w:t>
        </w:r>
        <w:r w:rsidR="00732521">
          <w:rPr>
            <w:webHidden/>
          </w:rPr>
          <w:tab/>
        </w:r>
        <w:r w:rsidR="00732521">
          <w:rPr>
            <w:webHidden/>
          </w:rPr>
          <w:fldChar w:fldCharType="begin"/>
        </w:r>
        <w:r w:rsidR="00732521">
          <w:rPr>
            <w:webHidden/>
          </w:rPr>
          <w:instrText xml:space="preserve"> PAGEREF _Toc451847075 \h </w:instrText>
        </w:r>
        <w:r w:rsidR="00732521">
          <w:rPr>
            <w:webHidden/>
          </w:rPr>
        </w:r>
        <w:r w:rsidR="00732521">
          <w:rPr>
            <w:webHidden/>
          </w:rPr>
          <w:fldChar w:fldCharType="separate"/>
        </w:r>
        <w:r w:rsidR="00525C82">
          <w:rPr>
            <w:webHidden/>
          </w:rPr>
          <w:t>17</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76" w:history="1">
        <w:r w:rsidR="00732521" w:rsidRPr="00FC5E5A">
          <w:rPr>
            <w:rStyle w:val="Hyperlink"/>
          </w:rPr>
          <w:t>3.</w:t>
        </w:r>
        <w:r w:rsidR="00732521">
          <w:rPr>
            <w:rFonts w:asciiTheme="minorHAnsi" w:eastAsiaTheme="minorEastAsia" w:hAnsiTheme="minorHAnsi" w:cstheme="minorBidi"/>
            <w:kern w:val="0"/>
            <w:sz w:val="22"/>
            <w:szCs w:val="22"/>
            <w:lang w:val="en-AU" w:eastAsia="en-AU"/>
          </w:rPr>
          <w:tab/>
        </w:r>
        <w:r w:rsidR="00732521" w:rsidRPr="00FC5E5A">
          <w:rPr>
            <w:rStyle w:val="Hyperlink"/>
          </w:rPr>
          <w:t>Historic analysis</w:t>
        </w:r>
        <w:r w:rsidR="00732521">
          <w:rPr>
            <w:webHidden/>
          </w:rPr>
          <w:tab/>
        </w:r>
        <w:r w:rsidR="00732521">
          <w:rPr>
            <w:webHidden/>
          </w:rPr>
          <w:fldChar w:fldCharType="begin"/>
        </w:r>
        <w:r w:rsidR="00732521">
          <w:rPr>
            <w:webHidden/>
          </w:rPr>
          <w:instrText xml:space="preserve"> PAGEREF _Toc451847076 \h </w:instrText>
        </w:r>
        <w:r w:rsidR="00732521">
          <w:rPr>
            <w:webHidden/>
          </w:rPr>
        </w:r>
        <w:r w:rsidR="00732521">
          <w:rPr>
            <w:webHidden/>
          </w:rPr>
          <w:fldChar w:fldCharType="separate"/>
        </w:r>
        <w:r w:rsidR="00525C82">
          <w:rPr>
            <w:webHidden/>
          </w:rPr>
          <w:t>24</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77" w:history="1">
        <w:r w:rsidR="00732521" w:rsidRPr="00FC5E5A">
          <w:rPr>
            <w:rStyle w:val="Hyperlink"/>
          </w:rPr>
          <w:t>3.1</w:t>
        </w:r>
        <w:r w:rsidR="00732521">
          <w:rPr>
            <w:rFonts w:asciiTheme="minorHAnsi" w:eastAsiaTheme="minorEastAsia" w:hAnsiTheme="minorHAnsi" w:cstheme="minorBidi"/>
            <w:kern w:val="0"/>
            <w:sz w:val="22"/>
            <w:szCs w:val="22"/>
            <w:lang w:val="en-AU" w:eastAsia="en-AU"/>
          </w:rPr>
          <w:tab/>
        </w:r>
        <w:r w:rsidR="00732521" w:rsidRPr="00FC5E5A">
          <w:rPr>
            <w:rStyle w:val="Hyperlink"/>
          </w:rPr>
          <w:t>Historic  relationships between macro-economic demand drivers and construction activities</w:t>
        </w:r>
        <w:r w:rsidR="00732521">
          <w:rPr>
            <w:webHidden/>
          </w:rPr>
          <w:tab/>
        </w:r>
        <w:r w:rsidR="00732521">
          <w:rPr>
            <w:webHidden/>
          </w:rPr>
          <w:fldChar w:fldCharType="begin"/>
        </w:r>
        <w:r w:rsidR="00732521">
          <w:rPr>
            <w:webHidden/>
          </w:rPr>
          <w:instrText xml:space="preserve"> PAGEREF _Toc451847077 \h </w:instrText>
        </w:r>
        <w:r w:rsidR="00732521">
          <w:rPr>
            <w:webHidden/>
          </w:rPr>
        </w:r>
        <w:r w:rsidR="00732521">
          <w:rPr>
            <w:webHidden/>
          </w:rPr>
          <w:fldChar w:fldCharType="separate"/>
        </w:r>
        <w:r w:rsidR="00525C82">
          <w:rPr>
            <w:webHidden/>
          </w:rPr>
          <w:t>24</w:t>
        </w:r>
        <w:r w:rsidR="00732521">
          <w:rPr>
            <w:webHidden/>
          </w:rPr>
          <w:fldChar w:fldCharType="end"/>
        </w:r>
      </w:hyperlink>
    </w:p>
    <w:p w:rsidR="00732521" w:rsidRDefault="000701D2" w:rsidP="00732521">
      <w:pPr>
        <w:pStyle w:val="TOC2"/>
        <w:rPr>
          <w:rFonts w:asciiTheme="minorHAnsi" w:eastAsiaTheme="minorEastAsia" w:hAnsiTheme="minorHAnsi" w:cstheme="minorBidi"/>
          <w:kern w:val="0"/>
          <w:sz w:val="22"/>
          <w:szCs w:val="22"/>
          <w:lang w:val="en-AU" w:eastAsia="en-AU"/>
        </w:rPr>
      </w:pPr>
      <w:hyperlink w:anchor="_Toc451847078" w:history="1">
        <w:r w:rsidR="00732521" w:rsidRPr="00FC5E5A">
          <w:rPr>
            <w:rStyle w:val="Hyperlink"/>
          </w:rPr>
          <w:t>3.2</w:t>
        </w:r>
        <w:r w:rsidR="00732521">
          <w:rPr>
            <w:rFonts w:asciiTheme="minorHAnsi" w:eastAsiaTheme="minorEastAsia" w:hAnsiTheme="minorHAnsi" w:cstheme="minorBidi"/>
            <w:kern w:val="0"/>
            <w:sz w:val="22"/>
            <w:szCs w:val="22"/>
            <w:lang w:val="en-AU" w:eastAsia="en-AU"/>
          </w:rPr>
          <w:tab/>
        </w:r>
        <w:r w:rsidR="00732521" w:rsidRPr="00FC5E5A">
          <w:rPr>
            <w:rStyle w:val="Hyperlink"/>
          </w:rPr>
          <w:t xml:space="preserve">Historic relationships between construction activities and the total production of extractive </w:t>
        </w:r>
        <w:r w:rsidR="00732521">
          <w:rPr>
            <w:rStyle w:val="Hyperlink"/>
          </w:rPr>
          <w:br/>
        </w:r>
        <w:r w:rsidR="00732521">
          <w:rPr>
            <w:rStyle w:val="Hyperlink"/>
          </w:rPr>
          <w:tab/>
        </w:r>
        <w:r w:rsidR="00732521" w:rsidRPr="00FC5E5A">
          <w:rPr>
            <w:rStyle w:val="Hyperlink"/>
          </w:rPr>
          <w:t>resources</w:t>
        </w:r>
        <w:r w:rsidR="00732521">
          <w:rPr>
            <w:webHidden/>
          </w:rPr>
          <w:tab/>
        </w:r>
        <w:r w:rsidR="00732521">
          <w:rPr>
            <w:webHidden/>
          </w:rPr>
          <w:fldChar w:fldCharType="begin"/>
        </w:r>
        <w:r w:rsidR="00732521">
          <w:rPr>
            <w:webHidden/>
          </w:rPr>
          <w:instrText xml:space="preserve"> PAGEREF _Toc451847078 \h </w:instrText>
        </w:r>
        <w:r w:rsidR="00732521">
          <w:rPr>
            <w:webHidden/>
          </w:rPr>
        </w:r>
        <w:r w:rsidR="00732521">
          <w:rPr>
            <w:webHidden/>
          </w:rPr>
          <w:fldChar w:fldCharType="separate"/>
        </w:r>
        <w:r w:rsidR="00525C82">
          <w:rPr>
            <w:webHidden/>
          </w:rPr>
          <w:t>28</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79" w:history="1">
        <w:r w:rsidR="00732521" w:rsidRPr="00FC5E5A">
          <w:rPr>
            <w:rStyle w:val="Hyperlink"/>
          </w:rPr>
          <w:t>4.</w:t>
        </w:r>
        <w:r w:rsidR="00732521">
          <w:rPr>
            <w:rFonts w:asciiTheme="minorHAnsi" w:eastAsiaTheme="minorEastAsia" w:hAnsiTheme="minorHAnsi" w:cstheme="minorBidi"/>
            <w:kern w:val="0"/>
            <w:sz w:val="22"/>
            <w:szCs w:val="22"/>
            <w:lang w:val="en-AU" w:eastAsia="en-AU"/>
          </w:rPr>
          <w:tab/>
        </w:r>
        <w:r w:rsidR="00732521" w:rsidRPr="00FC5E5A">
          <w:rPr>
            <w:rStyle w:val="Hyperlink"/>
          </w:rPr>
          <w:t>Future construction activities</w:t>
        </w:r>
        <w:r w:rsidR="00732521">
          <w:rPr>
            <w:webHidden/>
          </w:rPr>
          <w:tab/>
        </w:r>
        <w:r w:rsidR="00732521">
          <w:rPr>
            <w:webHidden/>
          </w:rPr>
          <w:fldChar w:fldCharType="begin"/>
        </w:r>
        <w:r w:rsidR="00732521">
          <w:rPr>
            <w:webHidden/>
          </w:rPr>
          <w:instrText xml:space="preserve"> PAGEREF _Toc451847079 \h </w:instrText>
        </w:r>
        <w:r w:rsidR="00732521">
          <w:rPr>
            <w:webHidden/>
          </w:rPr>
        </w:r>
        <w:r w:rsidR="00732521">
          <w:rPr>
            <w:webHidden/>
          </w:rPr>
          <w:fldChar w:fldCharType="separate"/>
        </w:r>
        <w:r w:rsidR="00525C82">
          <w:rPr>
            <w:webHidden/>
          </w:rPr>
          <w:t>32</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80" w:history="1">
        <w:r w:rsidR="00732521" w:rsidRPr="00FC5E5A">
          <w:rPr>
            <w:rStyle w:val="Hyperlink"/>
          </w:rPr>
          <w:t>4.1</w:t>
        </w:r>
        <w:r w:rsidR="00732521">
          <w:rPr>
            <w:rFonts w:asciiTheme="minorHAnsi" w:eastAsiaTheme="minorEastAsia" w:hAnsiTheme="minorHAnsi" w:cstheme="minorBidi"/>
            <w:kern w:val="0"/>
            <w:sz w:val="22"/>
            <w:szCs w:val="22"/>
            <w:lang w:val="en-AU" w:eastAsia="en-AU"/>
          </w:rPr>
          <w:tab/>
        </w:r>
        <w:r w:rsidR="00732521" w:rsidRPr="00FC5E5A">
          <w:rPr>
            <w:rStyle w:val="Hyperlink"/>
          </w:rPr>
          <w:t>Forecast of macro-economic demand drivers</w:t>
        </w:r>
        <w:r w:rsidR="00732521">
          <w:rPr>
            <w:webHidden/>
          </w:rPr>
          <w:tab/>
        </w:r>
        <w:r w:rsidR="00732521">
          <w:rPr>
            <w:webHidden/>
          </w:rPr>
          <w:fldChar w:fldCharType="begin"/>
        </w:r>
        <w:r w:rsidR="00732521">
          <w:rPr>
            <w:webHidden/>
          </w:rPr>
          <w:instrText xml:space="preserve"> PAGEREF _Toc451847080 \h </w:instrText>
        </w:r>
        <w:r w:rsidR="00732521">
          <w:rPr>
            <w:webHidden/>
          </w:rPr>
        </w:r>
        <w:r w:rsidR="00732521">
          <w:rPr>
            <w:webHidden/>
          </w:rPr>
          <w:fldChar w:fldCharType="separate"/>
        </w:r>
        <w:r w:rsidR="00525C82">
          <w:rPr>
            <w:webHidden/>
          </w:rPr>
          <w:t>32</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81" w:history="1">
        <w:r w:rsidR="00732521" w:rsidRPr="00FC5E5A">
          <w:rPr>
            <w:rStyle w:val="Hyperlink"/>
          </w:rPr>
          <w:t>4.2</w:t>
        </w:r>
        <w:r w:rsidR="00732521">
          <w:rPr>
            <w:rFonts w:asciiTheme="minorHAnsi" w:eastAsiaTheme="minorEastAsia" w:hAnsiTheme="minorHAnsi" w:cstheme="minorBidi"/>
            <w:kern w:val="0"/>
            <w:sz w:val="22"/>
            <w:szCs w:val="22"/>
            <w:lang w:val="en-AU" w:eastAsia="en-AU"/>
          </w:rPr>
          <w:tab/>
        </w:r>
        <w:r w:rsidR="00732521" w:rsidRPr="00FC5E5A">
          <w:rPr>
            <w:rStyle w:val="Hyperlink"/>
          </w:rPr>
          <w:t>Forecast of construction activities</w:t>
        </w:r>
        <w:r w:rsidR="00732521">
          <w:rPr>
            <w:webHidden/>
          </w:rPr>
          <w:tab/>
        </w:r>
        <w:r w:rsidR="00732521">
          <w:rPr>
            <w:webHidden/>
          </w:rPr>
          <w:fldChar w:fldCharType="begin"/>
        </w:r>
        <w:r w:rsidR="00732521">
          <w:rPr>
            <w:webHidden/>
          </w:rPr>
          <w:instrText xml:space="preserve"> PAGEREF _Toc451847081 \h </w:instrText>
        </w:r>
        <w:r w:rsidR="00732521">
          <w:rPr>
            <w:webHidden/>
          </w:rPr>
        </w:r>
        <w:r w:rsidR="00732521">
          <w:rPr>
            <w:webHidden/>
          </w:rPr>
          <w:fldChar w:fldCharType="separate"/>
        </w:r>
        <w:r w:rsidR="00525C82">
          <w:rPr>
            <w:webHidden/>
          </w:rPr>
          <w:t>34</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82" w:history="1">
        <w:r w:rsidR="00732521" w:rsidRPr="00FC5E5A">
          <w:rPr>
            <w:rStyle w:val="Hyperlink"/>
          </w:rPr>
          <w:t>5.</w:t>
        </w:r>
        <w:r w:rsidR="00732521">
          <w:rPr>
            <w:rFonts w:asciiTheme="minorHAnsi" w:eastAsiaTheme="minorEastAsia" w:hAnsiTheme="minorHAnsi" w:cstheme="minorBidi"/>
            <w:kern w:val="0"/>
            <w:sz w:val="22"/>
            <w:szCs w:val="22"/>
            <w:lang w:val="en-AU" w:eastAsia="en-AU"/>
          </w:rPr>
          <w:tab/>
        </w:r>
        <w:r w:rsidR="00732521" w:rsidRPr="00FC5E5A">
          <w:rPr>
            <w:rStyle w:val="Hyperlink"/>
          </w:rPr>
          <w:t>Forecast demand for extractive resources</w:t>
        </w:r>
        <w:r w:rsidR="00732521">
          <w:rPr>
            <w:webHidden/>
          </w:rPr>
          <w:tab/>
        </w:r>
        <w:r w:rsidR="00732521">
          <w:rPr>
            <w:webHidden/>
          </w:rPr>
          <w:fldChar w:fldCharType="begin"/>
        </w:r>
        <w:r w:rsidR="00732521">
          <w:rPr>
            <w:webHidden/>
          </w:rPr>
          <w:instrText xml:space="preserve"> PAGEREF _Toc451847082 \h </w:instrText>
        </w:r>
        <w:r w:rsidR="00732521">
          <w:rPr>
            <w:webHidden/>
          </w:rPr>
        </w:r>
        <w:r w:rsidR="00732521">
          <w:rPr>
            <w:webHidden/>
          </w:rPr>
          <w:fldChar w:fldCharType="separate"/>
        </w:r>
        <w:r w:rsidR="00525C82">
          <w:rPr>
            <w:webHidden/>
          </w:rPr>
          <w:t>37</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83" w:history="1">
        <w:r w:rsidR="00732521" w:rsidRPr="00FC5E5A">
          <w:rPr>
            <w:rStyle w:val="Hyperlink"/>
          </w:rPr>
          <w:t>5.1</w:t>
        </w:r>
        <w:r w:rsidR="00732521">
          <w:rPr>
            <w:rFonts w:asciiTheme="minorHAnsi" w:eastAsiaTheme="minorEastAsia" w:hAnsiTheme="minorHAnsi" w:cstheme="minorBidi"/>
            <w:kern w:val="0"/>
            <w:sz w:val="22"/>
            <w:szCs w:val="22"/>
            <w:lang w:val="en-AU" w:eastAsia="en-AU"/>
          </w:rPr>
          <w:tab/>
        </w:r>
        <w:r w:rsidR="00732521" w:rsidRPr="00FC5E5A">
          <w:rPr>
            <w:rStyle w:val="Hyperlink"/>
          </w:rPr>
          <w:t>Forecast Demand Process</w:t>
        </w:r>
        <w:r w:rsidR="00732521">
          <w:rPr>
            <w:webHidden/>
          </w:rPr>
          <w:tab/>
        </w:r>
        <w:r w:rsidR="00732521">
          <w:rPr>
            <w:webHidden/>
          </w:rPr>
          <w:fldChar w:fldCharType="begin"/>
        </w:r>
        <w:r w:rsidR="00732521">
          <w:rPr>
            <w:webHidden/>
          </w:rPr>
          <w:instrText xml:space="preserve"> PAGEREF _Toc451847083 \h </w:instrText>
        </w:r>
        <w:r w:rsidR="00732521">
          <w:rPr>
            <w:webHidden/>
          </w:rPr>
        </w:r>
        <w:r w:rsidR="00732521">
          <w:rPr>
            <w:webHidden/>
          </w:rPr>
          <w:fldChar w:fldCharType="separate"/>
        </w:r>
        <w:r w:rsidR="00525C82">
          <w:rPr>
            <w:webHidden/>
          </w:rPr>
          <w:t>37</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84" w:history="1">
        <w:r w:rsidR="00732521" w:rsidRPr="00FC5E5A">
          <w:rPr>
            <w:rStyle w:val="Hyperlink"/>
          </w:rPr>
          <w:t>5.2</w:t>
        </w:r>
        <w:r w:rsidR="00732521">
          <w:rPr>
            <w:rFonts w:asciiTheme="minorHAnsi" w:eastAsiaTheme="minorEastAsia" w:hAnsiTheme="minorHAnsi" w:cstheme="minorBidi"/>
            <w:kern w:val="0"/>
            <w:sz w:val="22"/>
            <w:szCs w:val="22"/>
            <w:lang w:val="en-AU" w:eastAsia="en-AU"/>
          </w:rPr>
          <w:tab/>
        </w:r>
        <w:r w:rsidR="00732521" w:rsidRPr="00FC5E5A">
          <w:rPr>
            <w:rStyle w:val="Hyperlink"/>
          </w:rPr>
          <w:t>Results</w:t>
        </w:r>
        <w:r w:rsidR="00732521">
          <w:rPr>
            <w:webHidden/>
          </w:rPr>
          <w:tab/>
        </w:r>
        <w:r w:rsidR="00732521">
          <w:rPr>
            <w:webHidden/>
          </w:rPr>
          <w:fldChar w:fldCharType="begin"/>
        </w:r>
        <w:r w:rsidR="00732521">
          <w:rPr>
            <w:webHidden/>
          </w:rPr>
          <w:instrText xml:space="preserve"> PAGEREF _Toc451847084 \h </w:instrText>
        </w:r>
        <w:r w:rsidR="00732521">
          <w:rPr>
            <w:webHidden/>
          </w:rPr>
        </w:r>
        <w:r w:rsidR="00732521">
          <w:rPr>
            <w:webHidden/>
          </w:rPr>
          <w:fldChar w:fldCharType="separate"/>
        </w:r>
        <w:r w:rsidR="00525C82">
          <w:rPr>
            <w:webHidden/>
          </w:rPr>
          <w:t>38</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85" w:history="1">
        <w:r w:rsidR="00732521" w:rsidRPr="00FC5E5A">
          <w:rPr>
            <w:rStyle w:val="Hyperlink"/>
          </w:rPr>
          <w:t>5.3</w:t>
        </w:r>
        <w:r w:rsidR="00732521">
          <w:rPr>
            <w:rFonts w:asciiTheme="minorHAnsi" w:eastAsiaTheme="minorEastAsia" w:hAnsiTheme="minorHAnsi" w:cstheme="minorBidi"/>
            <w:kern w:val="0"/>
            <w:sz w:val="22"/>
            <w:szCs w:val="22"/>
            <w:lang w:val="en-AU" w:eastAsia="en-AU"/>
          </w:rPr>
          <w:tab/>
        </w:r>
        <w:r w:rsidR="00732521" w:rsidRPr="00FC5E5A">
          <w:rPr>
            <w:rStyle w:val="Hyperlink"/>
          </w:rPr>
          <w:t>Validation of results</w:t>
        </w:r>
        <w:r w:rsidR="00732521">
          <w:rPr>
            <w:webHidden/>
          </w:rPr>
          <w:tab/>
        </w:r>
        <w:r w:rsidR="00732521">
          <w:rPr>
            <w:webHidden/>
          </w:rPr>
          <w:fldChar w:fldCharType="begin"/>
        </w:r>
        <w:r w:rsidR="00732521">
          <w:rPr>
            <w:webHidden/>
          </w:rPr>
          <w:instrText xml:space="preserve"> PAGEREF _Toc451847085 \h </w:instrText>
        </w:r>
        <w:r w:rsidR="00732521">
          <w:rPr>
            <w:webHidden/>
          </w:rPr>
        </w:r>
        <w:r w:rsidR="00732521">
          <w:rPr>
            <w:webHidden/>
          </w:rPr>
          <w:fldChar w:fldCharType="separate"/>
        </w:r>
        <w:r w:rsidR="00525C82">
          <w:rPr>
            <w:webHidden/>
          </w:rPr>
          <w:t>46</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86" w:history="1">
        <w:r w:rsidR="00732521" w:rsidRPr="00FC5E5A">
          <w:rPr>
            <w:rStyle w:val="Hyperlink"/>
          </w:rPr>
          <w:t>6.</w:t>
        </w:r>
        <w:r w:rsidR="00732521">
          <w:rPr>
            <w:rFonts w:asciiTheme="minorHAnsi" w:eastAsiaTheme="minorEastAsia" w:hAnsiTheme="minorHAnsi" w:cstheme="minorBidi"/>
            <w:kern w:val="0"/>
            <w:sz w:val="22"/>
            <w:szCs w:val="22"/>
            <w:lang w:val="en-AU" w:eastAsia="en-AU"/>
          </w:rPr>
          <w:tab/>
        </w:r>
        <w:r w:rsidR="00732521" w:rsidRPr="00FC5E5A">
          <w:rPr>
            <w:rStyle w:val="Hyperlink"/>
          </w:rPr>
          <w:t>Scenarios analysis</w:t>
        </w:r>
        <w:r w:rsidR="00732521">
          <w:rPr>
            <w:webHidden/>
          </w:rPr>
          <w:tab/>
        </w:r>
        <w:r w:rsidR="00732521">
          <w:rPr>
            <w:webHidden/>
          </w:rPr>
          <w:fldChar w:fldCharType="begin"/>
        </w:r>
        <w:r w:rsidR="00732521">
          <w:rPr>
            <w:webHidden/>
          </w:rPr>
          <w:instrText xml:space="preserve"> PAGEREF _Toc451847086 \h </w:instrText>
        </w:r>
        <w:r w:rsidR="00732521">
          <w:rPr>
            <w:webHidden/>
          </w:rPr>
        </w:r>
        <w:r w:rsidR="00732521">
          <w:rPr>
            <w:webHidden/>
          </w:rPr>
          <w:fldChar w:fldCharType="separate"/>
        </w:r>
        <w:r w:rsidR="00525C82">
          <w:rPr>
            <w:webHidden/>
          </w:rPr>
          <w:t>49</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87" w:history="1">
        <w:r w:rsidR="00732521" w:rsidRPr="00FC5E5A">
          <w:rPr>
            <w:rStyle w:val="Hyperlink"/>
          </w:rPr>
          <w:t>6.1</w:t>
        </w:r>
        <w:r w:rsidR="00732521">
          <w:rPr>
            <w:rFonts w:asciiTheme="minorHAnsi" w:eastAsiaTheme="minorEastAsia" w:hAnsiTheme="minorHAnsi" w:cstheme="minorBidi"/>
            <w:kern w:val="0"/>
            <w:sz w:val="22"/>
            <w:szCs w:val="22"/>
            <w:lang w:val="en-AU" w:eastAsia="en-AU"/>
          </w:rPr>
          <w:tab/>
        </w:r>
        <w:r w:rsidR="00732521" w:rsidRPr="00FC5E5A">
          <w:rPr>
            <w:rStyle w:val="Hyperlink"/>
          </w:rPr>
          <w:t>High demand</w:t>
        </w:r>
        <w:r w:rsidR="00732521">
          <w:rPr>
            <w:webHidden/>
          </w:rPr>
          <w:tab/>
        </w:r>
        <w:r w:rsidR="00732521">
          <w:rPr>
            <w:webHidden/>
          </w:rPr>
          <w:fldChar w:fldCharType="begin"/>
        </w:r>
        <w:r w:rsidR="00732521">
          <w:rPr>
            <w:webHidden/>
          </w:rPr>
          <w:instrText xml:space="preserve"> PAGEREF _Toc451847087 \h </w:instrText>
        </w:r>
        <w:r w:rsidR="00732521">
          <w:rPr>
            <w:webHidden/>
          </w:rPr>
        </w:r>
        <w:r w:rsidR="00732521">
          <w:rPr>
            <w:webHidden/>
          </w:rPr>
          <w:fldChar w:fldCharType="separate"/>
        </w:r>
        <w:r w:rsidR="00525C82">
          <w:rPr>
            <w:webHidden/>
          </w:rPr>
          <w:t>49</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88" w:history="1">
        <w:r w:rsidR="00732521" w:rsidRPr="00FC5E5A">
          <w:rPr>
            <w:rStyle w:val="Hyperlink"/>
          </w:rPr>
          <w:t>6.2</w:t>
        </w:r>
        <w:r w:rsidR="00732521">
          <w:rPr>
            <w:rFonts w:asciiTheme="minorHAnsi" w:eastAsiaTheme="minorEastAsia" w:hAnsiTheme="minorHAnsi" w:cstheme="minorBidi"/>
            <w:kern w:val="0"/>
            <w:sz w:val="22"/>
            <w:szCs w:val="22"/>
            <w:lang w:val="en-AU" w:eastAsia="en-AU"/>
          </w:rPr>
          <w:tab/>
        </w:r>
        <w:r w:rsidR="00732521" w:rsidRPr="00FC5E5A">
          <w:rPr>
            <w:rStyle w:val="Hyperlink"/>
          </w:rPr>
          <w:t>Scenario 2A: low demand</w:t>
        </w:r>
        <w:r w:rsidR="00732521">
          <w:rPr>
            <w:webHidden/>
          </w:rPr>
          <w:tab/>
        </w:r>
        <w:r w:rsidR="00732521">
          <w:rPr>
            <w:webHidden/>
          </w:rPr>
          <w:fldChar w:fldCharType="begin"/>
        </w:r>
        <w:r w:rsidR="00732521">
          <w:rPr>
            <w:webHidden/>
          </w:rPr>
          <w:instrText xml:space="preserve"> PAGEREF _Toc451847088 \h </w:instrText>
        </w:r>
        <w:r w:rsidR="00732521">
          <w:rPr>
            <w:webHidden/>
          </w:rPr>
        </w:r>
        <w:r w:rsidR="00732521">
          <w:rPr>
            <w:webHidden/>
          </w:rPr>
          <w:fldChar w:fldCharType="separate"/>
        </w:r>
        <w:r w:rsidR="00525C82">
          <w:rPr>
            <w:webHidden/>
          </w:rPr>
          <w:t>51</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89" w:history="1">
        <w:r w:rsidR="00732521" w:rsidRPr="00FC5E5A">
          <w:rPr>
            <w:rStyle w:val="Hyperlink"/>
          </w:rPr>
          <w:t>6.3</w:t>
        </w:r>
        <w:r w:rsidR="00732521">
          <w:rPr>
            <w:rFonts w:asciiTheme="minorHAnsi" w:eastAsiaTheme="minorEastAsia" w:hAnsiTheme="minorHAnsi" w:cstheme="minorBidi"/>
            <w:kern w:val="0"/>
            <w:sz w:val="22"/>
            <w:szCs w:val="22"/>
            <w:lang w:val="en-AU" w:eastAsia="en-AU"/>
          </w:rPr>
          <w:tab/>
        </w:r>
        <w:r w:rsidR="00732521" w:rsidRPr="00FC5E5A">
          <w:rPr>
            <w:rStyle w:val="Hyperlink"/>
          </w:rPr>
          <w:t>Scenario 3: redistribution of demand</w:t>
        </w:r>
        <w:r w:rsidR="00732521">
          <w:rPr>
            <w:webHidden/>
          </w:rPr>
          <w:tab/>
        </w:r>
        <w:r w:rsidR="00732521">
          <w:rPr>
            <w:webHidden/>
          </w:rPr>
          <w:fldChar w:fldCharType="begin"/>
        </w:r>
        <w:r w:rsidR="00732521">
          <w:rPr>
            <w:webHidden/>
          </w:rPr>
          <w:instrText xml:space="preserve"> PAGEREF _Toc451847089 \h </w:instrText>
        </w:r>
        <w:r w:rsidR="00732521">
          <w:rPr>
            <w:webHidden/>
          </w:rPr>
        </w:r>
        <w:r w:rsidR="00732521">
          <w:rPr>
            <w:webHidden/>
          </w:rPr>
          <w:fldChar w:fldCharType="separate"/>
        </w:r>
        <w:r w:rsidR="00525C82">
          <w:rPr>
            <w:webHidden/>
          </w:rPr>
          <w:t>52</w:t>
        </w:r>
        <w:r w:rsidR="00732521">
          <w:rPr>
            <w:webHidden/>
          </w:rPr>
          <w:fldChar w:fldCharType="end"/>
        </w:r>
      </w:hyperlink>
    </w:p>
    <w:p w:rsidR="00732521" w:rsidRDefault="000701D2">
      <w:pPr>
        <w:pStyle w:val="TOC2"/>
        <w:rPr>
          <w:rFonts w:asciiTheme="minorHAnsi" w:eastAsiaTheme="minorEastAsia" w:hAnsiTheme="minorHAnsi" w:cstheme="minorBidi"/>
          <w:kern w:val="0"/>
          <w:sz w:val="22"/>
          <w:szCs w:val="22"/>
          <w:lang w:val="en-AU" w:eastAsia="en-AU"/>
        </w:rPr>
      </w:pPr>
      <w:hyperlink w:anchor="_Toc451847090" w:history="1">
        <w:r w:rsidR="00732521" w:rsidRPr="00FC5E5A">
          <w:rPr>
            <w:rStyle w:val="Hyperlink"/>
          </w:rPr>
          <w:t>6.4</w:t>
        </w:r>
        <w:r w:rsidR="00732521">
          <w:rPr>
            <w:rFonts w:asciiTheme="minorHAnsi" w:eastAsiaTheme="minorEastAsia" w:hAnsiTheme="minorHAnsi" w:cstheme="minorBidi"/>
            <w:kern w:val="0"/>
            <w:sz w:val="22"/>
            <w:szCs w:val="22"/>
            <w:lang w:val="en-AU" w:eastAsia="en-AU"/>
          </w:rPr>
          <w:tab/>
        </w:r>
        <w:r w:rsidR="00732521" w:rsidRPr="00FC5E5A">
          <w:rPr>
            <w:rStyle w:val="Hyperlink"/>
          </w:rPr>
          <w:t>Overview of scenarios results</w:t>
        </w:r>
        <w:r w:rsidR="00732521">
          <w:rPr>
            <w:webHidden/>
          </w:rPr>
          <w:tab/>
        </w:r>
        <w:r w:rsidR="00732521">
          <w:rPr>
            <w:webHidden/>
          </w:rPr>
          <w:fldChar w:fldCharType="begin"/>
        </w:r>
        <w:r w:rsidR="00732521">
          <w:rPr>
            <w:webHidden/>
          </w:rPr>
          <w:instrText xml:space="preserve"> PAGEREF _Toc451847090 \h </w:instrText>
        </w:r>
        <w:r w:rsidR="00732521">
          <w:rPr>
            <w:webHidden/>
          </w:rPr>
        </w:r>
        <w:r w:rsidR="00732521">
          <w:rPr>
            <w:webHidden/>
          </w:rPr>
          <w:fldChar w:fldCharType="separate"/>
        </w:r>
        <w:r w:rsidR="00525C82">
          <w:rPr>
            <w:webHidden/>
          </w:rPr>
          <w:t>55</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91" w:history="1">
        <w:r w:rsidR="00732521" w:rsidRPr="00FC5E5A">
          <w:rPr>
            <w:rStyle w:val="Hyperlink"/>
          </w:rPr>
          <w:t>7.</w:t>
        </w:r>
        <w:r w:rsidR="00732521">
          <w:rPr>
            <w:rFonts w:asciiTheme="minorHAnsi" w:eastAsiaTheme="minorEastAsia" w:hAnsiTheme="minorHAnsi" w:cstheme="minorBidi"/>
            <w:kern w:val="0"/>
            <w:sz w:val="22"/>
            <w:szCs w:val="22"/>
            <w:lang w:val="en-AU" w:eastAsia="en-AU"/>
          </w:rPr>
          <w:tab/>
        </w:r>
        <w:r w:rsidR="00732521" w:rsidRPr="00FC5E5A">
          <w:rPr>
            <w:rStyle w:val="Hyperlink"/>
          </w:rPr>
          <w:t>Broader insights for Government</w:t>
        </w:r>
        <w:r w:rsidR="00732521">
          <w:rPr>
            <w:webHidden/>
          </w:rPr>
          <w:tab/>
        </w:r>
        <w:r w:rsidR="00732521">
          <w:rPr>
            <w:webHidden/>
          </w:rPr>
          <w:fldChar w:fldCharType="begin"/>
        </w:r>
        <w:r w:rsidR="00732521">
          <w:rPr>
            <w:webHidden/>
          </w:rPr>
          <w:instrText xml:space="preserve"> PAGEREF _Toc451847091 \h </w:instrText>
        </w:r>
        <w:r w:rsidR="00732521">
          <w:rPr>
            <w:webHidden/>
          </w:rPr>
        </w:r>
        <w:r w:rsidR="00732521">
          <w:rPr>
            <w:webHidden/>
          </w:rPr>
          <w:fldChar w:fldCharType="separate"/>
        </w:r>
        <w:r w:rsidR="00525C82">
          <w:rPr>
            <w:webHidden/>
          </w:rPr>
          <w:t>57</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92" w:history="1">
        <w:r w:rsidR="00732521" w:rsidRPr="00FC5E5A">
          <w:rPr>
            <w:rStyle w:val="Hyperlink"/>
          </w:rPr>
          <w:t>8.</w:t>
        </w:r>
        <w:r w:rsidR="00732521">
          <w:rPr>
            <w:rFonts w:asciiTheme="minorHAnsi" w:eastAsiaTheme="minorEastAsia" w:hAnsiTheme="minorHAnsi" w:cstheme="minorBidi"/>
            <w:kern w:val="0"/>
            <w:sz w:val="22"/>
            <w:szCs w:val="22"/>
            <w:lang w:val="en-AU" w:eastAsia="en-AU"/>
          </w:rPr>
          <w:tab/>
        </w:r>
        <w:r w:rsidR="00732521" w:rsidRPr="00FC5E5A">
          <w:rPr>
            <w:rStyle w:val="Hyperlink"/>
          </w:rPr>
          <w:t>Recommended next steps</w:t>
        </w:r>
        <w:r w:rsidR="00732521">
          <w:rPr>
            <w:webHidden/>
          </w:rPr>
          <w:tab/>
        </w:r>
        <w:r w:rsidR="00732521">
          <w:rPr>
            <w:webHidden/>
          </w:rPr>
          <w:fldChar w:fldCharType="begin"/>
        </w:r>
        <w:r w:rsidR="00732521">
          <w:rPr>
            <w:webHidden/>
          </w:rPr>
          <w:instrText xml:space="preserve"> PAGEREF _Toc451847092 \h </w:instrText>
        </w:r>
        <w:r w:rsidR="00732521">
          <w:rPr>
            <w:webHidden/>
          </w:rPr>
        </w:r>
        <w:r w:rsidR="00732521">
          <w:rPr>
            <w:webHidden/>
          </w:rPr>
          <w:fldChar w:fldCharType="separate"/>
        </w:r>
        <w:r w:rsidR="00525C82">
          <w:rPr>
            <w:webHidden/>
          </w:rPr>
          <w:t>60</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93" w:history="1">
        <w:r w:rsidR="00732521" w:rsidRPr="00FC5E5A">
          <w:rPr>
            <w:rStyle w:val="Hyperlink"/>
            <w:lang w:val="en-AU"/>
          </w:rPr>
          <w:t>Appendix A</w:t>
        </w:r>
        <w:r w:rsidR="00732521">
          <w:rPr>
            <w:rFonts w:asciiTheme="minorHAnsi" w:eastAsiaTheme="minorEastAsia" w:hAnsiTheme="minorHAnsi" w:cstheme="minorBidi"/>
            <w:kern w:val="0"/>
            <w:sz w:val="22"/>
            <w:szCs w:val="22"/>
            <w:lang w:val="en-AU" w:eastAsia="en-AU"/>
          </w:rPr>
          <w:tab/>
        </w:r>
        <w:r w:rsidR="00732521" w:rsidRPr="00FC5E5A">
          <w:rPr>
            <w:rStyle w:val="Hyperlink"/>
            <w:lang w:val="en-AU"/>
          </w:rPr>
          <w:t>Limitations</w:t>
        </w:r>
        <w:r w:rsidR="00732521">
          <w:rPr>
            <w:webHidden/>
          </w:rPr>
          <w:tab/>
        </w:r>
        <w:r w:rsidR="00732521">
          <w:rPr>
            <w:webHidden/>
          </w:rPr>
          <w:fldChar w:fldCharType="begin"/>
        </w:r>
        <w:r w:rsidR="00732521">
          <w:rPr>
            <w:webHidden/>
          </w:rPr>
          <w:instrText xml:space="preserve"> PAGEREF _Toc451847093 \h </w:instrText>
        </w:r>
        <w:r w:rsidR="00732521">
          <w:rPr>
            <w:webHidden/>
          </w:rPr>
        </w:r>
        <w:r w:rsidR="00732521">
          <w:rPr>
            <w:webHidden/>
          </w:rPr>
          <w:fldChar w:fldCharType="separate"/>
        </w:r>
        <w:r w:rsidR="00525C82">
          <w:rPr>
            <w:webHidden/>
          </w:rPr>
          <w:t>62</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94" w:history="1">
        <w:r w:rsidR="00732521" w:rsidRPr="00FC5E5A">
          <w:rPr>
            <w:rStyle w:val="Hyperlink"/>
            <w:lang w:val="en-AU"/>
          </w:rPr>
          <w:t>Appendix B</w:t>
        </w:r>
        <w:r w:rsidR="00732521">
          <w:rPr>
            <w:rFonts w:asciiTheme="minorHAnsi" w:eastAsiaTheme="minorEastAsia" w:hAnsiTheme="minorHAnsi" w:cstheme="minorBidi"/>
            <w:kern w:val="0"/>
            <w:sz w:val="22"/>
            <w:szCs w:val="22"/>
            <w:lang w:val="en-AU" w:eastAsia="en-AU"/>
          </w:rPr>
          <w:tab/>
        </w:r>
        <w:r w:rsidR="00732521" w:rsidRPr="00FC5E5A">
          <w:rPr>
            <w:rStyle w:val="Hyperlink"/>
            <w:lang w:val="en-AU"/>
          </w:rPr>
          <w:t>Local Government Areas Directory</w:t>
        </w:r>
        <w:r w:rsidR="00732521">
          <w:rPr>
            <w:webHidden/>
          </w:rPr>
          <w:tab/>
        </w:r>
        <w:r w:rsidR="00732521">
          <w:rPr>
            <w:webHidden/>
          </w:rPr>
          <w:fldChar w:fldCharType="begin"/>
        </w:r>
        <w:r w:rsidR="00732521">
          <w:rPr>
            <w:webHidden/>
          </w:rPr>
          <w:instrText xml:space="preserve"> PAGEREF _Toc451847094 \h </w:instrText>
        </w:r>
        <w:r w:rsidR="00732521">
          <w:rPr>
            <w:webHidden/>
          </w:rPr>
        </w:r>
        <w:r w:rsidR="00732521">
          <w:rPr>
            <w:webHidden/>
          </w:rPr>
          <w:fldChar w:fldCharType="separate"/>
        </w:r>
        <w:r w:rsidR="00525C82">
          <w:rPr>
            <w:webHidden/>
          </w:rPr>
          <w:t>63</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95" w:history="1">
        <w:r w:rsidR="00732521" w:rsidRPr="00FC5E5A">
          <w:rPr>
            <w:rStyle w:val="Hyperlink"/>
            <w:lang w:val="en-AU"/>
          </w:rPr>
          <w:t>Appendix C</w:t>
        </w:r>
        <w:r w:rsidR="00732521">
          <w:rPr>
            <w:rFonts w:asciiTheme="minorHAnsi" w:eastAsiaTheme="minorEastAsia" w:hAnsiTheme="minorHAnsi" w:cstheme="minorBidi"/>
            <w:kern w:val="0"/>
            <w:sz w:val="22"/>
            <w:szCs w:val="22"/>
            <w:lang w:val="en-AU" w:eastAsia="en-AU"/>
          </w:rPr>
          <w:tab/>
        </w:r>
        <w:r w:rsidR="00732521" w:rsidRPr="00FC5E5A">
          <w:rPr>
            <w:rStyle w:val="Hyperlink"/>
            <w:lang w:val="en-AU"/>
          </w:rPr>
          <w:t>Assumptions Book</w:t>
        </w:r>
        <w:r w:rsidR="00732521">
          <w:rPr>
            <w:webHidden/>
          </w:rPr>
          <w:tab/>
        </w:r>
        <w:r w:rsidR="00732521">
          <w:rPr>
            <w:webHidden/>
          </w:rPr>
          <w:fldChar w:fldCharType="begin"/>
        </w:r>
        <w:r w:rsidR="00732521">
          <w:rPr>
            <w:webHidden/>
          </w:rPr>
          <w:instrText xml:space="preserve"> PAGEREF _Toc451847095 \h </w:instrText>
        </w:r>
        <w:r w:rsidR="00732521">
          <w:rPr>
            <w:webHidden/>
          </w:rPr>
        </w:r>
        <w:r w:rsidR="00732521">
          <w:rPr>
            <w:webHidden/>
          </w:rPr>
          <w:fldChar w:fldCharType="separate"/>
        </w:r>
        <w:r w:rsidR="00525C82">
          <w:rPr>
            <w:webHidden/>
          </w:rPr>
          <w:t>65</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96" w:history="1">
        <w:r w:rsidR="00732521" w:rsidRPr="00FC5E5A">
          <w:rPr>
            <w:rStyle w:val="Hyperlink"/>
            <w:lang w:val="en-AU"/>
          </w:rPr>
          <w:t>Appendix D</w:t>
        </w:r>
        <w:r w:rsidR="00732521">
          <w:rPr>
            <w:rFonts w:asciiTheme="minorHAnsi" w:eastAsiaTheme="minorEastAsia" w:hAnsiTheme="minorHAnsi" w:cstheme="minorBidi"/>
            <w:kern w:val="0"/>
            <w:sz w:val="22"/>
            <w:szCs w:val="22"/>
            <w:lang w:val="en-AU" w:eastAsia="en-AU"/>
          </w:rPr>
          <w:tab/>
        </w:r>
        <w:r w:rsidR="00732521" w:rsidRPr="00FC5E5A">
          <w:rPr>
            <w:rStyle w:val="Hyperlink"/>
            <w:lang w:val="en-AU"/>
          </w:rPr>
          <w:t>List of organizations consulted</w:t>
        </w:r>
        <w:r w:rsidR="00732521">
          <w:rPr>
            <w:webHidden/>
          </w:rPr>
          <w:tab/>
        </w:r>
        <w:r w:rsidR="00732521">
          <w:rPr>
            <w:webHidden/>
          </w:rPr>
          <w:fldChar w:fldCharType="begin"/>
        </w:r>
        <w:r w:rsidR="00732521">
          <w:rPr>
            <w:webHidden/>
          </w:rPr>
          <w:instrText xml:space="preserve"> PAGEREF _Toc451847096 \h </w:instrText>
        </w:r>
        <w:r w:rsidR="00732521">
          <w:rPr>
            <w:webHidden/>
          </w:rPr>
        </w:r>
        <w:r w:rsidR="00732521">
          <w:rPr>
            <w:webHidden/>
          </w:rPr>
          <w:fldChar w:fldCharType="separate"/>
        </w:r>
        <w:r w:rsidR="00525C82">
          <w:rPr>
            <w:webHidden/>
          </w:rPr>
          <w:t>77</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97" w:history="1">
        <w:r w:rsidR="00732521" w:rsidRPr="00FC5E5A">
          <w:rPr>
            <w:rStyle w:val="Hyperlink"/>
            <w:lang w:val="en-AU"/>
          </w:rPr>
          <w:t>Appendix E</w:t>
        </w:r>
        <w:r w:rsidR="00732521">
          <w:rPr>
            <w:rFonts w:asciiTheme="minorHAnsi" w:eastAsiaTheme="minorEastAsia" w:hAnsiTheme="minorHAnsi" w:cstheme="minorBidi"/>
            <w:kern w:val="0"/>
            <w:sz w:val="22"/>
            <w:szCs w:val="22"/>
            <w:lang w:val="en-AU" w:eastAsia="en-AU"/>
          </w:rPr>
          <w:tab/>
        </w:r>
        <w:r w:rsidR="00732521" w:rsidRPr="00FC5E5A">
          <w:rPr>
            <w:rStyle w:val="Hyperlink"/>
            <w:lang w:val="en-AU"/>
          </w:rPr>
          <w:t>Stakeholders Consultation – Key findings</w:t>
        </w:r>
        <w:r w:rsidR="00732521">
          <w:rPr>
            <w:webHidden/>
          </w:rPr>
          <w:tab/>
        </w:r>
        <w:r w:rsidR="00732521">
          <w:rPr>
            <w:webHidden/>
          </w:rPr>
          <w:fldChar w:fldCharType="begin"/>
        </w:r>
        <w:r w:rsidR="00732521">
          <w:rPr>
            <w:webHidden/>
          </w:rPr>
          <w:instrText xml:space="preserve"> PAGEREF _Toc451847097 \h </w:instrText>
        </w:r>
        <w:r w:rsidR="00732521">
          <w:rPr>
            <w:webHidden/>
          </w:rPr>
        </w:r>
        <w:r w:rsidR="00732521">
          <w:rPr>
            <w:webHidden/>
          </w:rPr>
          <w:fldChar w:fldCharType="separate"/>
        </w:r>
        <w:r w:rsidR="00525C82">
          <w:rPr>
            <w:webHidden/>
          </w:rPr>
          <w:t>78</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98" w:history="1">
        <w:r w:rsidR="00732521" w:rsidRPr="00FC5E5A">
          <w:rPr>
            <w:rStyle w:val="Hyperlink"/>
            <w:lang w:val="en-AU"/>
          </w:rPr>
          <w:t>Appendix F</w:t>
        </w:r>
        <w:r w:rsidR="00732521">
          <w:rPr>
            <w:rFonts w:asciiTheme="minorHAnsi" w:eastAsiaTheme="minorEastAsia" w:hAnsiTheme="minorHAnsi" w:cstheme="minorBidi"/>
            <w:kern w:val="0"/>
            <w:sz w:val="22"/>
            <w:szCs w:val="22"/>
            <w:lang w:val="en-AU" w:eastAsia="en-AU"/>
          </w:rPr>
          <w:tab/>
        </w:r>
        <w:r w:rsidR="00732521" w:rsidRPr="00FC5E5A">
          <w:rPr>
            <w:rStyle w:val="Hyperlink"/>
            <w:lang w:val="en-AU"/>
          </w:rPr>
          <w:t>Demand Forecast Data</w:t>
        </w:r>
        <w:r w:rsidR="00732521">
          <w:rPr>
            <w:webHidden/>
          </w:rPr>
          <w:tab/>
        </w:r>
        <w:r w:rsidR="00732521">
          <w:rPr>
            <w:webHidden/>
          </w:rPr>
          <w:fldChar w:fldCharType="begin"/>
        </w:r>
        <w:r w:rsidR="00732521">
          <w:rPr>
            <w:webHidden/>
          </w:rPr>
          <w:instrText xml:space="preserve"> PAGEREF _Toc451847098 \h </w:instrText>
        </w:r>
        <w:r w:rsidR="00732521">
          <w:rPr>
            <w:webHidden/>
          </w:rPr>
        </w:r>
        <w:r w:rsidR="00732521">
          <w:rPr>
            <w:webHidden/>
          </w:rPr>
          <w:fldChar w:fldCharType="separate"/>
        </w:r>
        <w:r w:rsidR="00525C82">
          <w:rPr>
            <w:webHidden/>
          </w:rPr>
          <w:t>89</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099" w:history="1">
        <w:r w:rsidR="00732521" w:rsidRPr="00FC5E5A">
          <w:rPr>
            <w:rStyle w:val="Hyperlink"/>
            <w:lang w:val="en-AU"/>
          </w:rPr>
          <w:t>Appendix G</w:t>
        </w:r>
        <w:r w:rsidR="00732521">
          <w:rPr>
            <w:rFonts w:asciiTheme="minorHAnsi" w:eastAsiaTheme="minorEastAsia" w:hAnsiTheme="minorHAnsi" w:cstheme="minorBidi"/>
            <w:kern w:val="0"/>
            <w:sz w:val="22"/>
            <w:szCs w:val="22"/>
            <w:lang w:val="en-AU" w:eastAsia="en-AU"/>
          </w:rPr>
          <w:tab/>
        </w:r>
        <w:r w:rsidR="00732521" w:rsidRPr="00FC5E5A">
          <w:rPr>
            <w:rStyle w:val="Hyperlink"/>
            <w:lang w:val="en-AU"/>
          </w:rPr>
          <w:t>Demand Scenarios Forecast - Maps</w:t>
        </w:r>
        <w:r w:rsidR="00732521">
          <w:rPr>
            <w:webHidden/>
          </w:rPr>
          <w:tab/>
        </w:r>
        <w:r w:rsidR="00732521">
          <w:rPr>
            <w:webHidden/>
          </w:rPr>
          <w:fldChar w:fldCharType="begin"/>
        </w:r>
        <w:r w:rsidR="00732521">
          <w:rPr>
            <w:webHidden/>
          </w:rPr>
          <w:instrText xml:space="preserve"> PAGEREF _Toc451847099 \h </w:instrText>
        </w:r>
        <w:r w:rsidR="00732521">
          <w:rPr>
            <w:webHidden/>
          </w:rPr>
        </w:r>
        <w:r w:rsidR="00732521">
          <w:rPr>
            <w:webHidden/>
          </w:rPr>
          <w:fldChar w:fldCharType="separate"/>
        </w:r>
        <w:r w:rsidR="00525C82">
          <w:rPr>
            <w:webHidden/>
          </w:rPr>
          <w:t>92</w:t>
        </w:r>
        <w:r w:rsidR="00732521">
          <w:rPr>
            <w:webHidden/>
          </w:rPr>
          <w:fldChar w:fldCharType="end"/>
        </w:r>
      </w:hyperlink>
    </w:p>
    <w:p w:rsidR="00732521" w:rsidRDefault="000701D2">
      <w:pPr>
        <w:pStyle w:val="TOC1"/>
        <w:rPr>
          <w:rFonts w:asciiTheme="minorHAnsi" w:eastAsiaTheme="minorEastAsia" w:hAnsiTheme="minorHAnsi" w:cstheme="minorBidi"/>
          <w:kern w:val="0"/>
          <w:sz w:val="22"/>
          <w:szCs w:val="22"/>
          <w:lang w:val="en-AU" w:eastAsia="en-AU"/>
        </w:rPr>
      </w:pPr>
      <w:hyperlink w:anchor="_Toc451847100" w:history="1">
        <w:r w:rsidR="00732521" w:rsidRPr="00FC5E5A">
          <w:rPr>
            <w:rStyle w:val="Hyperlink"/>
            <w:lang w:val="en-AU"/>
          </w:rPr>
          <w:t>Appendix H</w:t>
        </w:r>
        <w:r w:rsidR="00732521">
          <w:rPr>
            <w:rFonts w:asciiTheme="minorHAnsi" w:eastAsiaTheme="minorEastAsia" w:hAnsiTheme="minorHAnsi" w:cstheme="minorBidi"/>
            <w:kern w:val="0"/>
            <w:sz w:val="22"/>
            <w:szCs w:val="22"/>
            <w:lang w:val="en-AU" w:eastAsia="en-AU"/>
          </w:rPr>
          <w:tab/>
        </w:r>
        <w:r w:rsidR="00732521" w:rsidRPr="00FC5E5A">
          <w:rPr>
            <w:rStyle w:val="Hyperlink"/>
            <w:lang w:val="en-AU"/>
          </w:rPr>
          <w:t>Assessment of the economic implications of resource constraints</w:t>
        </w:r>
        <w:r w:rsidR="00732521">
          <w:rPr>
            <w:webHidden/>
          </w:rPr>
          <w:tab/>
        </w:r>
        <w:r w:rsidR="00732521">
          <w:rPr>
            <w:webHidden/>
          </w:rPr>
          <w:fldChar w:fldCharType="begin"/>
        </w:r>
        <w:r w:rsidR="00732521">
          <w:rPr>
            <w:webHidden/>
          </w:rPr>
          <w:instrText xml:space="preserve"> PAGEREF _Toc451847100 \h </w:instrText>
        </w:r>
        <w:r w:rsidR="00732521">
          <w:rPr>
            <w:webHidden/>
          </w:rPr>
        </w:r>
        <w:r w:rsidR="00732521">
          <w:rPr>
            <w:webHidden/>
          </w:rPr>
          <w:fldChar w:fldCharType="separate"/>
        </w:r>
        <w:r w:rsidR="00525C82">
          <w:rPr>
            <w:webHidden/>
          </w:rPr>
          <w:t>103</w:t>
        </w:r>
        <w:r w:rsidR="00732521">
          <w:rPr>
            <w:webHidden/>
          </w:rPr>
          <w:fldChar w:fldCharType="end"/>
        </w:r>
      </w:hyperlink>
    </w:p>
    <w:p w:rsidR="00B264BF" w:rsidRPr="00D14CE9" w:rsidRDefault="00732521" w:rsidP="00FF3F91">
      <w:pPr>
        <w:pStyle w:val="EYContentsContinued"/>
        <w:tabs>
          <w:tab w:val="right" w:leader="dot" w:pos="9450"/>
        </w:tabs>
        <w:ind w:right="-421"/>
        <w:rPr>
          <w:rFonts w:ascii="EYInterstate Light" w:hAnsi="EYInterstate Light" w:cs="Arial"/>
          <w:color w:val="auto"/>
          <w:sz w:val="20"/>
          <w:lang w:val="en-AU" w:eastAsia="en-GB"/>
        </w:rPr>
      </w:pPr>
      <w:r>
        <w:rPr>
          <w:rFonts w:ascii="EYInterstate Light" w:hAnsi="EYInterstate Light" w:cs="Arial"/>
          <w:color w:val="auto"/>
          <w:sz w:val="18"/>
          <w:lang w:val="en-AU" w:eastAsia="en-GB"/>
        </w:rPr>
        <w:fldChar w:fldCharType="end"/>
      </w:r>
    </w:p>
    <w:p w:rsidR="00135923" w:rsidRPr="00D14CE9" w:rsidRDefault="00135923">
      <w:pPr>
        <w:widowControl/>
        <w:autoSpaceDE/>
        <w:autoSpaceDN/>
        <w:adjustRightInd/>
        <w:rPr>
          <w:rFonts w:cs="Arial"/>
          <w:kern w:val="12"/>
          <w:szCs w:val="24"/>
          <w:lang w:eastAsia="en-GB"/>
        </w:rPr>
      </w:pPr>
      <w:r w:rsidRPr="00D14CE9">
        <w:br w:type="page"/>
      </w:r>
    </w:p>
    <w:p w:rsidR="00D7603F" w:rsidRPr="00D14CE9" w:rsidRDefault="00D7603F" w:rsidP="00D7603F">
      <w:pPr>
        <w:pStyle w:val="EYContents"/>
        <w:rPr>
          <w:lang w:val="en-AU"/>
        </w:rPr>
      </w:pPr>
      <w:r w:rsidRPr="00D14CE9">
        <w:rPr>
          <w:lang w:val="en-AU"/>
        </w:rPr>
        <w:lastRenderedPageBreak/>
        <w:t>Figures</w:t>
      </w:r>
    </w:p>
    <w:p w:rsidR="00AB2F47" w:rsidRDefault="001D25CA" w:rsidP="00111679">
      <w:pPr>
        <w:pStyle w:val="TOC1"/>
        <w:tabs>
          <w:tab w:val="left" w:pos="1276"/>
        </w:tabs>
        <w:ind w:left="953" w:hanging="953"/>
        <w:rPr>
          <w:rFonts w:asciiTheme="minorHAnsi" w:eastAsiaTheme="minorEastAsia" w:hAnsiTheme="minorHAnsi" w:cstheme="minorBidi"/>
          <w:kern w:val="0"/>
          <w:sz w:val="22"/>
          <w:szCs w:val="22"/>
          <w:lang w:val="en-AU" w:eastAsia="en-AU"/>
        </w:rPr>
      </w:pPr>
      <w:r w:rsidRPr="00E65C9D">
        <w:rPr>
          <w:rStyle w:val="Hyperlink"/>
          <w:noProof w:val="0"/>
          <w:lang w:val="en-AU"/>
        </w:rPr>
        <w:fldChar w:fldCharType="begin"/>
      </w:r>
      <w:r w:rsidRPr="00E65C9D">
        <w:rPr>
          <w:rStyle w:val="Hyperlink"/>
          <w:noProof w:val="0"/>
          <w:lang w:val="en-AU"/>
        </w:rPr>
        <w:instrText xml:space="preserve"> TOC \h \z \t "Heading 1,1,Heading 2,2,Heading 3,3,Caption,1" </w:instrText>
      </w:r>
      <w:r w:rsidRPr="00E65C9D">
        <w:rPr>
          <w:rStyle w:val="Hyperlink"/>
          <w:noProof w:val="0"/>
          <w:lang w:val="en-AU"/>
        </w:rPr>
        <w:fldChar w:fldCharType="separate"/>
      </w:r>
      <w:hyperlink w:anchor="_Toc448914563" w:history="1">
        <w:r w:rsidR="00AB2F47" w:rsidRPr="00911CD7">
          <w:rPr>
            <w:rStyle w:val="Hyperlink"/>
          </w:rPr>
          <w:t>Figure 1 – Total demand for extractive resources by LGA over the period (2015-2025)</w:t>
        </w:r>
        <w:r w:rsidR="00AB2F47">
          <w:rPr>
            <w:webHidden/>
          </w:rPr>
          <w:tab/>
        </w:r>
        <w:r w:rsidR="00AB2F47">
          <w:rPr>
            <w:webHidden/>
          </w:rPr>
          <w:fldChar w:fldCharType="begin"/>
        </w:r>
        <w:r w:rsidR="00AB2F47">
          <w:rPr>
            <w:webHidden/>
          </w:rPr>
          <w:instrText xml:space="preserve"> PAGEREF _Toc448914563 \h </w:instrText>
        </w:r>
        <w:r w:rsidR="00AB2F47">
          <w:rPr>
            <w:webHidden/>
          </w:rPr>
        </w:r>
        <w:r w:rsidR="00AB2F47">
          <w:rPr>
            <w:webHidden/>
          </w:rPr>
          <w:fldChar w:fldCharType="separate"/>
        </w:r>
        <w:r w:rsidR="00525C82">
          <w:rPr>
            <w:webHidden/>
          </w:rPr>
          <w:t>4</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64" w:history="1">
        <w:r w:rsidR="00AB2F47" w:rsidRPr="00911CD7">
          <w:rPr>
            <w:rStyle w:val="Hyperlink"/>
          </w:rPr>
          <w:t>Figure 2 – Construction Activities Weightings in Victoria – Average of the last 12 years</w:t>
        </w:r>
        <w:r w:rsidR="00AB2F47">
          <w:rPr>
            <w:webHidden/>
          </w:rPr>
          <w:tab/>
        </w:r>
        <w:r w:rsidR="00AB2F47">
          <w:rPr>
            <w:webHidden/>
          </w:rPr>
          <w:fldChar w:fldCharType="begin"/>
        </w:r>
        <w:r w:rsidR="00AB2F47">
          <w:rPr>
            <w:webHidden/>
          </w:rPr>
          <w:instrText xml:space="preserve"> PAGEREF _Toc448914564 \h </w:instrText>
        </w:r>
        <w:r w:rsidR="00AB2F47">
          <w:rPr>
            <w:webHidden/>
          </w:rPr>
        </w:r>
        <w:r w:rsidR="00AB2F47">
          <w:rPr>
            <w:webHidden/>
          </w:rPr>
          <w:fldChar w:fldCharType="separate"/>
        </w:r>
        <w:r w:rsidR="00525C82">
          <w:rPr>
            <w:webHidden/>
          </w:rPr>
          <w:t>15</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65" w:history="1">
        <w:r w:rsidR="00AB2F47" w:rsidRPr="00911CD7">
          <w:rPr>
            <w:rStyle w:val="Hyperlink"/>
          </w:rPr>
          <w:t>Figure 3 – Breakdown of construction spend per construction activity – 2002-2014</w:t>
        </w:r>
        <w:r w:rsidR="00AB2F47">
          <w:rPr>
            <w:webHidden/>
          </w:rPr>
          <w:tab/>
        </w:r>
        <w:r w:rsidR="00AB2F47">
          <w:rPr>
            <w:webHidden/>
          </w:rPr>
          <w:fldChar w:fldCharType="begin"/>
        </w:r>
        <w:r w:rsidR="00AB2F47">
          <w:rPr>
            <w:webHidden/>
          </w:rPr>
          <w:instrText xml:space="preserve"> PAGEREF _Toc448914565 \h </w:instrText>
        </w:r>
        <w:r w:rsidR="00AB2F47">
          <w:rPr>
            <w:webHidden/>
          </w:rPr>
        </w:r>
        <w:r w:rsidR="00AB2F47">
          <w:rPr>
            <w:webHidden/>
          </w:rPr>
          <w:fldChar w:fldCharType="separate"/>
        </w:r>
        <w:r w:rsidR="00525C82">
          <w:rPr>
            <w:webHidden/>
          </w:rPr>
          <w:t>15</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66" w:history="1">
        <w:r w:rsidR="00AB2F47" w:rsidRPr="00911CD7">
          <w:rPr>
            <w:rStyle w:val="Hyperlink"/>
          </w:rPr>
          <w:t>Figure 4 – Value Chain Flow Diagram</w:t>
        </w:r>
        <w:r w:rsidR="00AB2F47">
          <w:rPr>
            <w:webHidden/>
          </w:rPr>
          <w:tab/>
        </w:r>
        <w:r w:rsidR="00AB2F47">
          <w:rPr>
            <w:webHidden/>
          </w:rPr>
          <w:fldChar w:fldCharType="begin"/>
        </w:r>
        <w:r w:rsidR="00AB2F47">
          <w:rPr>
            <w:webHidden/>
          </w:rPr>
          <w:instrText xml:space="preserve"> PAGEREF _Toc448914566 \h </w:instrText>
        </w:r>
        <w:r w:rsidR="00AB2F47">
          <w:rPr>
            <w:webHidden/>
          </w:rPr>
        </w:r>
        <w:r w:rsidR="00AB2F47">
          <w:rPr>
            <w:webHidden/>
          </w:rPr>
          <w:fldChar w:fldCharType="separate"/>
        </w:r>
        <w:r w:rsidR="00525C82">
          <w:rPr>
            <w:webHidden/>
          </w:rPr>
          <w:t>16</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67" w:history="1">
        <w:r w:rsidR="00AB2F47" w:rsidRPr="00911CD7">
          <w:rPr>
            <w:rStyle w:val="Hyperlink"/>
          </w:rPr>
          <w:t>Figure 5 – Historic relationship between population growth and extractive resources production from 2002 to 2014</w:t>
        </w:r>
        <w:r w:rsidR="00AB2F47">
          <w:rPr>
            <w:webHidden/>
          </w:rPr>
          <w:tab/>
        </w:r>
        <w:r w:rsidR="00AB2F47">
          <w:rPr>
            <w:webHidden/>
          </w:rPr>
          <w:fldChar w:fldCharType="begin"/>
        </w:r>
        <w:r w:rsidR="00AB2F47">
          <w:rPr>
            <w:webHidden/>
          </w:rPr>
          <w:instrText xml:space="preserve"> PAGEREF _Toc448914567 \h </w:instrText>
        </w:r>
        <w:r w:rsidR="00AB2F47">
          <w:rPr>
            <w:webHidden/>
          </w:rPr>
        </w:r>
        <w:r w:rsidR="00AB2F47">
          <w:rPr>
            <w:webHidden/>
          </w:rPr>
          <w:fldChar w:fldCharType="separate"/>
        </w:r>
        <w:r w:rsidR="00525C82">
          <w:rPr>
            <w:webHidden/>
          </w:rPr>
          <w:t>24</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68" w:history="1">
        <w:r w:rsidR="00AB2F47" w:rsidRPr="00911CD7">
          <w:rPr>
            <w:rStyle w:val="Hyperlink"/>
          </w:rPr>
          <w:t>Figure 6 – Historic Relationship between residential activity and population growth</w:t>
        </w:r>
        <w:r w:rsidR="00AB2F47">
          <w:rPr>
            <w:webHidden/>
          </w:rPr>
          <w:tab/>
        </w:r>
        <w:r w:rsidR="00AB2F47">
          <w:rPr>
            <w:webHidden/>
          </w:rPr>
          <w:fldChar w:fldCharType="begin"/>
        </w:r>
        <w:r w:rsidR="00AB2F47">
          <w:rPr>
            <w:webHidden/>
          </w:rPr>
          <w:instrText xml:space="preserve"> PAGEREF _Toc448914568 \h </w:instrText>
        </w:r>
        <w:r w:rsidR="00AB2F47">
          <w:rPr>
            <w:webHidden/>
          </w:rPr>
        </w:r>
        <w:r w:rsidR="00AB2F47">
          <w:rPr>
            <w:webHidden/>
          </w:rPr>
          <w:fldChar w:fldCharType="separate"/>
        </w:r>
        <w:r w:rsidR="00525C82">
          <w:rPr>
            <w:webHidden/>
          </w:rPr>
          <w:t>25</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69" w:history="1">
        <w:r w:rsidR="00AB2F47" w:rsidRPr="00911CD7">
          <w:rPr>
            <w:rStyle w:val="Hyperlink"/>
          </w:rPr>
          <w:t>Figure 7 – Historic relationship between non-residential activity and GSP</w:t>
        </w:r>
        <w:r w:rsidR="00AB2F47">
          <w:rPr>
            <w:webHidden/>
          </w:rPr>
          <w:tab/>
        </w:r>
        <w:r w:rsidR="00AB2F47">
          <w:rPr>
            <w:webHidden/>
          </w:rPr>
          <w:fldChar w:fldCharType="begin"/>
        </w:r>
        <w:r w:rsidR="00AB2F47">
          <w:rPr>
            <w:webHidden/>
          </w:rPr>
          <w:instrText xml:space="preserve"> PAGEREF _Toc448914569 \h </w:instrText>
        </w:r>
        <w:r w:rsidR="00AB2F47">
          <w:rPr>
            <w:webHidden/>
          </w:rPr>
        </w:r>
        <w:r w:rsidR="00AB2F47">
          <w:rPr>
            <w:webHidden/>
          </w:rPr>
          <w:fldChar w:fldCharType="separate"/>
        </w:r>
        <w:r w:rsidR="00525C82">
          <w:rPr>
            <w:webHidden/>
          </w:rPr>
          <w:t>26</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70" w:history="1">
        <w:r w:rsidR="00AB2F47" w:rsidRPr="00911CD7">
          <w:rPr>
            <w:rStyle w:val="Hyperlink"/>
          </w:rPr>
          <w:t>Figure 8 – Historic relationship between transport activity and GSP</w:t>
        </w:r>
        <w:r w:rsidR="00AB2F47">
          <w:rPr>
            <w:webHidden/>
          </w:rPr>
          <w:tab/>
        </w:r>
        <w:r w:rsidR="00AB2F47">
          <w:rPr>
            <w:webHidden/>
          </w:rPr>
          <w:fldChar w:fldCharType="begin"/>
        </w:r>
        <w:r w:rsidR="00AB2F47">
          <w:rPr>
            <w:webHidden/>
          </w:rPr>
          <w:instrText xml:space="preserve"> PAGEREF _Toc448914570 \h </w:instrText>
        </w:r>
        <w:r w:rsidR="00AB2F47">
          <w:rPr>
            <w:webHidden/>
          </w:rPr>
        </w:r>
        <w:r w:rsidR="00AB2F47">
          <w:rPr>
            <w:webHidden/>
          </w:rPr>
          <w:fldChar w:fldCharType="separate"/>
        </w:r>
        <w:r w:rsidR="00525C82">
          <w:rPr>
            <w:webHidden/>
          </w:rPr>
          <w:t>26</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71" w:history="1">
        <w:r w:rsidR="00AB2F47" w:rsidRPr="00911CD7">
          <w:rPr>
            <w:rStyle w:val="Hyperlink"/>
          </w:rPr>
          <w:t>Figure 9 – Historic relationship between energy and utility activity and GSP</w:t>
        </w:r>
        <w:r w:rsidR="00AB2F47">
          <w:rPr>
            <w:webHidden/>
          </w:rPr>
          <w:tab/>
        </w:r>
        <w:r w:rsidR="00AB2F47">
          <w:rPr>
            <w:webHidden/>
          </w:rPr>
          <w:fldChar w:fldCharType="begin"/>
        </w:r>
        <w:r w:rsidR="00AB2F47">
          <w:rPr>
            <w:webHidden/>
          </w:rPr>
          <w:instrText xml:space="preserve"> PAGEREF _Toc448914571 \h </w:instrText>
        </w:r>
        <w:r w:rsidR="00AB2F47">
          <w:rPr>
            <w:webHidden/>
          </w:rPr>
        </w:r>
        <w:r w:rsidR="00AB2F47">
          <w:rPr>
            <w:webHidden/>
          </w:rPr>
          <w:fldChar w:fldCharType="separate"/>
        </w:r>
        <w:r w:rsidR="00525C82">
          <w:rPr>
            <w:webHidden/>
          </w:rPr>
          <w:t>27</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72" w:history="1">
        <w:r w:rsidR="00AB2F47" w:rsidRPr="00911CD7">
          <w:rPr>
            <w:rStyle w:val="Hyperlink"/>
          </w:rPr>
          <w:t>Figure 10 – Historic relationship between residential activity and total production of hard rock, clay and clay shale and sand and gravel</w:t>
        </w:r>
        <w:r w:rsidR="00AB2F47">
          <w:rPr>
            <w:webHidden/>
          </w:rPr>
          <w:tab/>
        </w:r>
        <w:r w:rsidR="00AB2F47">
          <w:rPr>
            <w:webHidden/>
          </w:rPr>
          <w:fldChar w:fldCharType="begin"/>
        </w:r>
        <w:r w:rsidR="00AB2F47">
          <w:rPr>
            <w:webHidden/>
          </w:rPr>
          <w:instrText xml:space="preserve"> PAGEREF _Toc448914572 \h </w:instrText>
        </w:r>
        <w:r w:rsidR="00AB2F47">
          <w:rPr>
            <w:webHidden/>
          </w:rPr>
        </w:r>
        <w:r w:rsidR="00AB2F47">
          <w:rPr>
            <w:webHidden/>
          </w:rPr>
          <w:fldChar w:fldCharType="separate"/>
        </w:r>
        <w:r w:rsidR="00525C82">
          <w:rPr>
            <w:webHidden/>
          </w:rPr>
          <w:t>29</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73" w:history="1">
        <w:r w:rsidR="00AB2F47" w:rsidRPr="00911CD7">
          <w:rPr>
            <w:rStyle w:val="Hyperlink"/>
          </w:rPr>
          <w:t>Figure 11 – Historic relationship between non-residential activity and the total production of hard rock and limestone</w:t>
        </w:r>
        <w:r w:rsidR="00AB2F47">
          <w:rPr>
            <w:webHidden/>
          </w:rPr>
          <w:tab/>
        </w:r>
        <w:r w:rsidR="00AB2F47">
          <w:rPr>
            <w:webHidden/>
          </w:rPr>
          <w:fldChar w:fldCharType="begin"/>
        </w:r>
        <w:r w:rsidR="00AB2F47">
          <w:rPr>
            <w:webHidden/>
          </w:rPr>
          <w:instrText xml:space="preserve"> PAGEREF _Toc448914573 \h </w:instrText>
        </w:r>
        <w:r w:rsidR="00AB2F47">
          <w:rPr>
            <w:webHidden/>
          </w:rPr>
        </w:r>
        <w:r w:rsidR="00AB2F47">
          <w:rPr>
            <w:webHidden/>
          </w:rPr>
          <w:fldChar w:fldCharType="separate"/>
        </w:r>
        <w:r w:rsidR="00525C82">
          <w:rPr>
            <w:webHidden/>
          </w:rPr>
          <w:t>29</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74" w:history="1">
        <w:r w:rsidR="00AB2F47" w:rsidRPr="00911CD7">
          <w:rPr>
            <w:rStyle w:val="Hyperlink"/>
          </w:rPr>
          <w:t>Figure 12 – High level analysis of historic resource production and construction activities</w:t>
        </w:r>
        <w:r w:rsidR="00AB2F47">
          <w:rPr>
            <w:webHidden/>
          </w:rPr>
          <w:tab/>
        </w:r>
        <w:r w:rsidR="00AB2F47">
          <w:rPr>
            <w:webHidden/>
          </w:rPr>
          <w:fldChar w:fldCharType="begin"/>
        </w:r>
        <w:r w:rsidR="00AB2F47">
          <w:rPr>
            <w:webHidden/>
          </w:rPr>
          <w:instrText xml:space="preserve"> PAGEREF _Toc448914574 \h </w:instrText>
        </w:r>
        <w:r w:rsidR="00AB2F47">
          <w:rPr>
            <w:webHidden/>
          </w:rPr>
        </w:r>
        <w:r w:rsidR="00AB2F47">
          <w:rPr>
            <w:webHidden/>
          </w:rPr>
          <w:fldChar w:fldCharType="separate"/>
        </w:r>
        <w:r w:rsidR="00525C82">
          <w:rPr>
            <w:webHidden/>
          </w:rPr>
          <w:t>30</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75" w:history="1">
        <w:r w:rsidR="00AB2F47" w:rsidRPr="00911CD7">
          <w:rPr>
            <w:rStyle w:val="Hyperlink"/>
          </w:rPr>
          <w:t>Figure 13 – Population growth - Historic and Forecast Trend (’000 Individuals)</w:t>
        </w:r>
        <w:r w:rsidR="00AB2F47">
          <w:rPr>
            <w:webHidden/>
          </w:rPr>
          <w:tab/>
        </w:r>
        <w:r w:rsidR="00AB2F47">
          <w:rPr>
            <w:webHidden/>
          </w:rPr>
          <w:fldChar w:fldCharType="begin"/>
        </w:r>
        <w:r w:rsidR="00AB2F47">
          <w:rPr>
            <w:webHidden/>
          </w:rPr>
          <w:instrText xml:space="preserve"> PAGEREF _Toc448914575 \h </w:instrText>
        </w:r>
        <w:r w:rsidR="00AB2F47">
          <w:rPr>
            <w:webHidden/>
          </w:rPr>
        </w:r>
        <w:r w:rsidR="00AB2F47">
          <w:rPr>
            <w:webHidden/>
          </w:rPr>
          <w:fldChar w:fldCharType="separate"/>
        </w:r>
        <w:r w:rsidR="00525C82">
          <w:rPr>
            <w:webHidden/>
          </w:rPr>
          <w:t>33</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76" w:history="1">
        <w:r w:rsidR="00AB2F47" w:rsidRPr="00911CD7">
          <w:rPr>
            <w:rStyle w:val="Hyperlink"/>
          </w:rPr>
          <w:t>Figure 14 – GSP growth - Historic and Forecast Trend ($’000 Million)</w:t>
        </w:r>
        <w:r w:rsidR="00AB2F47">
          <w:rPr>
            <w:webHidden/>
          </w:rPr>
          <w:tab/>
        </w:r>
        <w:r w:rsidR="00AB2F47">
          <w:rPr>
            <w:webHidden/>
          </w:rPr>
          <w:fldChar w:fldCharType="begin"/>
        </w:r>
        <w:r w:rsidR="00AB2F47">
          <w:rPr>
            <w:webHidden/>
          </w:rPr>
          <w:instrText xml:space="preserve"> PAGEREF _Toc448914576 \h </w:instrText>
        </w:r>
        <w:r w:rsidR="00AB2F47">
          <w:rPr>
            <w:webHidden/>
          </w:rPr>
        </w:r>
        <w:r w:rsidR="00AB2F47">
          <w:rPr>
            <w:webHidden/>
          </w:rPr>
          <w:fldChar w:fldCharType="separate"/>
        </w:r>
        <w:r w:rsidR="00525C82">
          <w:rPr>
            <w:webHidden/>
          </w:rPr>
          <w:t>34</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77" w:history="1">
        <w:r w:rsidR="00AB2F47" w:rsidRPr="00911CD7">
          <w:rPr>
            <w:rStyle w:val="Hyperlink"/>
          </w:rPr>
          <w:t>Figure 15 – Construction Activities - Historic and Forecast trend ($’000 Million)</w:t>
        </w:r>
        <w:r w:rsidR="00AB2F47">
          <w:rPr>
            <w:webHidden/>
          </w:rPr>
          <w:tab/>
        </w:r>
        <w:r w:rsidR="00AB2F47">
          <w:rPr>
            <w:webHidden/>
          </w:rPr>
          <w:fldChar w:fldCharType="begin"/>
        </w:r>
        <w:r w:rsidR="00AB2F47">
          <w:rPr>
            <w:webHidden/>
          </w:rPr>
          <w:instrText xml:space="preserve"> PAGEREF _Toc448914577 \h </w:instrText>
        </w:r>
        <w:r w:rsidR="00AB2F47">
          <w:rPr>
            <w:webHidden/>
          </w:rPr>
        </w:r>
        <w:r w:rsidR="00AB2F47">
          <w:rPr>
            <w:webHidden/>
          </w:rPr>
          <w:fldChar w:fldCharType="separate"/>
        </w:r>
        <w:r w:rsidR="00525C82">
          <w:rPr>
            <w:webHidden/>
          </w:rPr>
          <w:t>34</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78" w:history="1">
        <w:r w:rsidR="00AB2F47" w:rsidRPr="00911CD7">
          <w:rPr>
            <w:rStyle w:val="Hyperlink"/>
          </w:rPr>
          <w:t>Figure 16 – Extractive Resources Demand – Historic data and Forecast over the period 2002-2050 – million tonnes</w:t>
        </w:r>
        <w:r w:rsidR="00AB2F47">
          <w:rPr>
            <w:webHidden/>
          </w:rPr>
          <w:tab/>
        </w:r>
        <w:r w:rsidR="00AB2F47">
          <w:rPr>
            <w:webHidden/>
          </w:rPr>
          <w:fldChar w:fldCharType="begin"/>
        </w:r>
        <w:r w:rsidR="00AB2F47">
          <w:rPr>
            <w:webHidden/>
          </w:rPr>
          <w:instrText xml:space="preserve"> PAGEREF _Toc448914578 \h </w:instrText>
        </w:r>
        <w:r w:rsidR="00AB2F47">
          <w:rPr>
            <w:webHidden/>
          </w:rPr>
        </w:r>
        <w:r w:rsidR="00AB2F47">
          <w:rPr>
            <w:webHidden/>
          </w:rPr>
          <w:fldChar w:fldCharType="separate"/>
        </w:r>
        <w:r w:rsidR="00525C82">
          <w:rPr>
            <w:webHidden/>
          </w:rPr>
          <w:t>39</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79" w:history="1">
        <w:r w:rsidR="00AB2F47" w:rsidRPr="00911CD7">
          <w:rPr>
            <w:rStyle w:val="Hyperlink"/>
          </w:rPr>
          <w:t>Figure 17 – Extractive Resources Demand for Hard Rock Types – Forecast over the period 2015-2050 – million tonnes</w:t>
        </w:r>
        <w:r w:rsidR="00AB2F47">
          <w:rPr>
            <w:webHidden/>
          </w:rPr>
          <w:tab/>
        </w:r>
        <w:r w:rsidR="00AB2F47">
          <w:rPr>
            <w:webHidden/>
          </w:rPr>
          <w:fldChar w:fldCharType="begin"/>
        </w:r>
        <w:r w:rsidR="00AB2F47">
          <w:rPr>
            <w:webHidden/>
          </w:rPr>
          <w:instrText xml:space="preserve"> PAGEREF _Toc448914579 \h </w:instrText>
        </w:r>
        <w:r w:rsidR="00AB2F47">
          <w:rPr>
            <w:webHidden/>
          </w:rPr>
        </w:r>
        <w:r w:rsidR="00AB2F47">
          <w:rPr>
            <w:webHidden/>
          </w:rPr>
          <w:fldChar w:fldCharType="separate"/>
        </w:r>
        <w:r w:rsidR="00525C82">
          <w:rPr>
            <w:webHidden/>
          </w:rPr>
          <w:t>39</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80" w:history="1">
        <w:r w:rsidR="00AB2F47" w:rsidRPr="00911CD7">
          <w:rPr>
            <w:rStyle w:val="Hyperlink"/>
          </w:rPr>
          <w:t>Figure 18 – Extractive Resources Demand for Sand and Gravel over the period 2015-2050 – Indicative breakdown per type of use – million tonnes</w:t>
        </w:r>
        <w:r w:rsidR="00AB2F47">
          <w:rPr>
            <w:webHidden/>
          </w:rPr>
          <w:tab/>
        </w:r>
        <w:r w:rsidR="00AB2F47">
          <w:rPr>
            <w:webHidden/>
          </w:rPr>
          <w:fldChar w:fldCharType="begin"/>
        </w:r>
        <w:r w:rsidR="00AB2F47">
          <w:rPr>
            <w:webHidden/>
          </w:rPr>
          <w:instrText xml:space="preserve"> PAGEREF _Toc448914580 \h </w:instrText>
        </w:r>
        <w:r w:rsidR="00AB2F47">
          <w:rPr>
            <w:webHidden/>
          </w:rPr>
        </w:r>
        <w:r w:rsidR="00AB2F47">
          <w:rPr>
            <w:webHidden/>
          </w:rPr>
          <w:fldChar w:fldCharType="separate"/>
        </w:r>
        <w:r w:rsidR="00525C82">
          <w:rPr>
            <w:webHidden/>
          </w:rPr>
          <w:t>40</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81" w:history="1">
        <w:r w:rsidR="00AB2F47" w:rsidRPr="00911CD7">
          <w:rPr>
            <w:rStyle w:val="Hyperlink"/>
          </w:rPr>
          <w:t>Figure 19 – Metropolitan Melbourne – Urban Growth Zone</w:t>
        </w:r>
        <w:r w:rsidR="00AB2F47">
          <w:rPr>
            <w:webHidden/>
          </w:rPr>
          <w:tab/>
        </w:r>
        <w:r w:rsidR="00AB2F47">
          <w:rPr>
            <w:webHidden/>
          </w:rPr>
          <w:fldChar w:fldCharType="begin"/>
        </w:r>
        <w:r w:rsidR="00AB2F47">
          <w:rPr>
            <w:webHidden/>
          </w:rPr>
          <w:instrText xml:space="preserve"> PAGEREF _Toc448914581 \h </w:instrText>
        </w:r>
        <w:r w:rsidR="00AB2F47">
          <w:rPr>
            <w:webHidden/>
          </w:rPr>
        </w:r>
        <w:r w:rsidR="00AB2F47">
          <w:rPr>
            <w:webHidden/>
          </w:rPr>
          <w:fldChar w:fldCharType="separate"/>
        </w:r>
        <w:r w:rsidR="00525C82">
          <w:rPr>
            <w:webHidden/>
          </w:rPr>
          <w:t>41</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82" w:history="1">
        <w:r w:rsidR="00AB2F47" w:rsidRPr="00911CD7">
          <w:rPr>
            <w:rStyle w:val="Hyperlink"/>
          </w:rPr>
          <w:t>Figure 20 – Spatial allocation of Extractive Resources Demand by type of LGA - Forecast over the period 2015-2050 – million tonnes</w:t>
        </w:r>
        <w:r w:rsidR="00AB2F47">
          <w:rPr>
            <w:webHidden/>
          </w:rPr>
          <w:tab/>
        </w:r>
        <w:r w:rsidR="00AB2F47">
          <w:rPr>
            <w:webHidden/>
          </w:rPr>
          <w:fldChar w:fldCharType="begin"/>
        </w:r>
        <w:r w:rsidR="00AB2F47">
          <w:rPr>
            <w:webHidden/>
          </w:rPr>
          <w:instrText xml:space="preserve"> PAGEREF _Toc448914582 \h </w:instrText>
        </w:r>
        <w:r w:rsidR="00AB2F47">
          <w:rPr>
            <w:webHidden/>
          </w:rPr>
        </w:r>
        <w:r w:rsidR="00AB2F47">
          <w:rPr>
            <w:webHidden/>
          </w:rPr>
          <w:fldChar w:fldCharType="separate"/>
        </w:r>
        <w:r w:rsidR="00525C82">
          <w:rPr>
            <w:webHidden/>
          </w:rPr>
          <w:t>42</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83" w:history="1">
        <w:r w:rsidR="00AB2F47" w:rsidRPr="00911CD7">
          <w:rPr>
            <w:rStyle w:val="Hyperlink"/>
          </w:rPr>
          <w:t>Figure 21 – Total demand for extractive resources by LGA over the period 2015-2025</w:t>
        </w:r>
        <w:r w:rsidR="00AB2F47">
          <w:rPr>
            <w:webHidden/>
          </w:rPr>
          <w:tab/>
        </w:r>
        <w:r w:rsidR="00AB2F47">
          <w:rPr>
            <w:webHidden/>
          </w:rPr>
          <w:fldChar w:fldCharType="begin"/>
        </w:r>
        <w:r w:rsidR="00AB2F47">
          <w:rPr>
            <w:webHidden/>
          </w:rPr>
          <w:instrText xml:space="preserve"> PAGEREF _Toc448914583 \h </w:instrText>
        </w:r>
        <w:r w:rsidR="00AB2F47">
          <w:rPr>
            <w:webHidden/>
          </w:rPr>
        </w:r>
        <w:r w:rsidR="00AB2F47">
          <w:rPr>
            <w:webHidden/>
          </w:rPr>
          <w:fldChar w:fldCharType="separate"/>
        </w:r>
        <w:r w:rsidR="00525C82">
          <w:rPr>
            <w:webHidden/>
          </w:rPr>
          <w:t>43</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84" w:history="1">
        <w:r w:rsidR="00AB2F47" w:rsidRPr="00911CD7">
          <w:rPr>
            <w:rStyle w:val="Hyperlink"/>
          </w:rPr>
          <w:t>Figure 22 – Total demand for extractive resources by LGA over the period 2026-2050</w:t>
        </w:r>
        <w:r w:rsidR="00AB2F47">
          <w:rPr>
            <w:webHidden/>
          </w:rPr>
          <w:tab/>
        </w:r>
        <w:r w:rsidR="00AB2F47">
          <w:rPr>
            <w:webHidden/>
          </w:rPr>
          <w:fldChar w:fldCharType="begin"/>
        </w:r>
        <w:r w:rsidR="00AB2F47">
          <w:rPr>
            <w:webHidden/>
          </w:rPr>
          <w:instrText xml:space="preserve"> PAGEREF _Toc448914584 \h </w:instrText>
        </w:r>
        <w:r w:rsidR="00AB2F47">
          <w:rPr>
            <w:webHidden/>
          </w:rPr>
        </w:r>
        <w:r w:rsidR="00AB2F47">
          <w:rPr>
            <w:webHidden/>
          </w:rPr>
          <w:fldChar w:fldCharType="separate"/>
        </w:r>
        <w:r w:rsidR="00525C82">
          <w:rPr>
            <w:webHidden/>
          </w:rPr>
          <w:t>44</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85" w:history="1">
        <w:r w:rsidR="00AB2F47" w:rsidRPr="00911CD7">
          <w:rPr>
            <w:rStyle w:val="Hyperlink"/>
          </w:rPr>
          <w:t>Figure 23 – Total demand forecast models appraisal – Demand Yearly Evolution</w:t>
        </w:r>
        <w:r w:rsidR="00AB2F47">
          <w:rPr>
            <w:webHidden/>
          </w:rPr>
          <w:tab/>
        </w:r>
        <w:r w:rsidR="00AB2F47">
          <w:rPr>
            <w:webHidden/>
          </w:rPr>
          <w:fldChar w:fldCharType="begin"/>
        </w:r>
        <w:r w:rsidR="00AB2F47">
          <w:rPr>
            <w:webHidden/>
          </w:rPr>
          <w:instrText xml:space="preserve"> PAGEREF _Toc448914585 \h </w:instrText>
        </w:r>
        <w:r w:rsidR="00AB2F47">
          <w:rPr>
            <w:webHidden/>
          </w:rPr>
        </w:r>
        <w:r w:rsidR="00AB2F47">
          <w:rPr>
            <w:webHidden/>
          </w:rPr>
          <w:fldChar w:fldCharType="separate"/>
        </w:r>
        <w:r w:rsidR="00525C82">
          <w:rPr>
            <w:webHidden/>
          </w:rPr>
          <w:t>47</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86" w:history="1">
        <w:r w:rsidR="00AB2F47" w:rsidRPr="00911CD7">
          <w:rPr>
            <w:rStyle w:val="Hyperlink"/>
          </w:rPr>
          <w:t>Figure 24 – Total demand for extractive resources over the period 2015-2050 – Baseline vs. Scenario 1A</w:t>
        </w:r>
        <w:r w:rsidR="00AB2F47">
          <w:rPr>
            <w:webHidden/>
          </w:rPr>
          <w:tab/>
        </w:r>
        <w:r w:rsidR="00AB2F47">
          <w:rPr>
            <w:webHidden/>
          </w:rPr>
          <w:fldChar w:fldCharType="begin"/>
        </w:r>
        <w:r w:rsidR="00AB2F47">
          <w:rPr>
            <w:webHidden/>
          </w:rPr>
          <w:instrText xml:space="preserve"> PAGEREF _Toc448914586 \h </w:instrText>
        </w:r>
        <w:r w:rsidR="00AB2F47">
          <w:rPr>
            <w:webHidden/>
          </w:rPr>
        </w:r>
        <w:r w:rsidR="00AB2F47">
          <w:rPr>
            <w:webHidden/>
          </w:rPr>
          <w:fldChar w:fldCharType="separate"/>
        </w:r>
        <w:r w:rsidR="00525C82">
          <w:rPr>
            <w:webHidden/>
          </w:rPr>
          <w:t>50</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87" w:history="1">
        <w:r w:rsidR="00AB2F47" w:rsidRPr="00911CD7">
          <w:rPr>
            <w:rStyle w:val="Hyperlink"/>
          </w:rPr>
          <w:t>Figure 25 – Total demand for extractive resources over the period 2015-2050 – Baseline vs. Scenario 2A</w:t>
        </w:r>
        <w:r w:rsidR="00AB2F47">
          <w:rPr>
            <w:webHidden/>
          </w:rPr>
          <w:tab/>
        </w:r>
        <w:r w:rsidR="00AB2F47">
          <w:rPr>
            <w:webHidden/>
          </w:rPr>
          <w:fldChar w:fldCharType="begin"/>
        </w:r>
        <w:r w:rsidR="00AB2F47">
          <w:rPr>
            <w:webHidden/>
          </w:rPr>
          <w:instrText xml:space="preserve"> PAGEREF _Toc448914587 \h </w:instrText>
        </w:r>
        <w:r w:rsidR="00AB2F47">
          <w:rPr>
            <w:webHidden/>
          </w:rPr>
        </w:r>
        <w:r w:rsidR="00AB2F47">
          <w:rPr>
            <w:webHidden/>
          </w:rPr>
          <w:fldChar w:fldCharType="separate"/>
        </w:r>
        <w:r w:rsidR="00525C82">
          <w:rPr>
            <w:webHidden/>
          </w:rPr>
          <w:t>51</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88" w:history="1">
        <w:r w:rsidR="00AB2F47" w:rsidRPr="00911CD7">
          <w:rPr>
            <w:rStyle w:val="Hyperlink"/>
          </w:rPr>
          <w:t>Figure 26 – Total demand for extractive resources over the period 2015-2050 – Baseline vs. Scenario 3A</w:t>
        </w:r>
        <w:r w:rsidR="00AB2F47">
          <w:rPr>
            <w:webHidden/>
          </w:rPr>
          <w:tab/>
        </w:r>
        <w:r w:rsidR="00AB2F47">
          <w:rPr>
            <w:webHidden/>
          </w:rPr>
          <w:fldChar w:fldCharType="begin"/>
        </w:r>
        <w:r w:rsidR="00AB2F47">
          <w:rPr>
            <w:webHidden/>
          </w:rPr>
          <w:instrText xml:space="preserve"> PAGEREF _Toc448914588 \h </w:instrText>
        </w:r>
        <w:r w:rsidR="00AB2F47">
          <w:rPr>
            <w:webHidden/>
          </w:rPr>
        </w:r>
        <w:r w:rsidR="00AB2F47">
          <w:rPr>
            <w:webHidden/>
          </w:rPr>
          <w:fldChar w:fldCharType="separate"/>
        </w:r>
        <w:r w:rsidR="00525C82">
          <w:rPr>
            <w:webHidden/>
          </w:rPr>
          <w:t>53</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89" w:history="1">
        <w:r w:rsidR="00AB2F47" w:rsidRPr="00911CD7">
          <w:rPr>
            <w:rStyle w:val="Hyperlink"/>
          </w:rPr>
          <w:t>Figure 27 – Total demand for extractive resources over the period 2015-2050 – Baseline vs. Scenario 3B</w:t>
        </w:r>
        <w:r w:rsidR="00AB2F47">
          <w:rPr>
            <w:webHidden/>
          </w:rPr>
          <w:tab/>
        </w:r>
        <w:r w:rsidR="00AB2F47">
          <w:rPr>
            <w:webHidden/>
          </w:rPr>
          <w:fldChar w:fldCharType="begin"/>
        </w:r>
        <w:r w:rsidR="00AB2F47">
          <w:rPr>
            <w:webHidden/>
          </w:rPr>
          <w:instrText xml:space="preserve"> PAGEREF _Toc448914589 \h </w:instrText>
        </w:r>
        <w:r w:rsidR="00AB2F47">
          <w:rPr>
            <w:webHidden/>
          </w:rPr>
        </w:r>
        <w:r w:rsidR="00AB2F47">
          <w:rPr>
            <w:webHidden/>
          </w:rPr>
          <w:fldChar w:fldCharType="separate"/>
        </w:r>
        <w:r w:rsidR="00525C82">
          <w:rPr>
            <w:webHidden/>
          </w:rPr>
          <w:t>54</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90" w:history="1">
        <w:r w:rsidR="00AB2F47" w:rsidRPr="00911CD7">
          <w:rPr>
            <w:rStyle w:val="Hyperlink"/>
          </w:rPr>
          <w:t>Figure 28 – Scenarios analysis - Total demand for extractive resources over the period 2015-2050 – Overview of results</w:t>
        </w:r>
        <w:r w:rsidR="00AB2F47">
          <w:rPr>
            <w:webHidden/>
          </w:rPr>
          <w:tab/>
        </w:r>
        <w:r w:rsidR="00AB2F47">
          <w:rPr>
            <w:webHidden/>
          </w:rPr>
          <w:fldChar w:fldCharType="begin"/>
        </w:r>
        <w:r w:rsidR="00AB2F47">
          <w:rPr>
            <w:webHidden/>
          </w:rPr>
          <w:instrText xml:space="preserve"> PAGEREF _Toc448914590 \h </w:instrText>
        </w:r>
        <w:r w:rsidR="00AB2F47">
          <w:rPr>
            <w:webHidden/>
          </w:rPr>
        </w:r>
        <w:r w:rsidR="00AB2F47">
          <w:rPr>
            <w:webHidden/>
          </w:rPr>
          <w:fldChar w:fldCharType="separate"/>
        </w:r>
        <w:r w:rsidR="00525C82">
          <w:rPr>
            <w:webHidden/>
          </w:rPr>
          <w:t>55</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91" w:history="1">
        <w:r w:rsidR="00AB2F47" w:rsidRPr="00911CD7">
          <w:rPr>
            <w:rStyle w:val="Hyperlink"/>
          </w:rPr>
          <w:t>Figure 29 – Scenario 1A - Total demand for extractive resources by LGA over the period 2015-2025</w:t>
        </w:r>
        <w:r w:rsidR="00AB2F47">
          <w:rPr>
            <w:webHidden/>
          </w:rPr>
          <w:tab/>
        </w:r>
        <w:r w:rsidR="00AB2F47">
          <w:rPr>
            <w:webHidden/>
          </w:rPr>
          <w:fldChar w:fldCharType="begin"/>
        </w:r>
        <w:r w:rsidR="00AB2F47">
          <w:rPr>
            <w:webHidden/>
          </w:rPr>
          <w:instrText xml:space="preserve"> PAGEREF _Toc448914591 \h </w:instrText>
        </w:r>
        <w:r w:rsidR="00AB2F47">
          <w:rPr>
            <w:webHidden/>
          </w:rPr>
        </w:r>
        <w:r w:rsidR="00AB2F47">
          <w:rPr>
            <w:webHidden/>
          </w:rPr>
          <w:fldChar w:fldCharType="separate"/>
        </w:r>
        <w:r w:rsidR="00525C82">
          <w:rPr>
            <w:webHidden/>
          </w:rPr>
          <w:t>93</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92" w:history="1">
        <w:r w:rsidR="00AB2F47" w:rsidRPr="00911CD7">
          <w:rPr>
            <w:rStyle w:val="Hyperlink"/>
          </w:rPr>
          <w:t>Figure 30 – Scenario 1A - Total demand for extractive resources by LGA over the period 2026-2050</w:t>
        </w:r>
        <w:r w:rsidR="00AB2F47">
          <w:rPr>
            <w:webHidden/>
          </w:rPr>
          <w:tab/>
        </w:r>
        <w:r w:rsidR="00AB2F47">
          <w:rPr>
            <w:webHidden/>
          </w:rPr>
          <w:fldChar w:fldCharType="begin"/>
        </w:r>
        <w:r w:rsidR="00AB2F47">
          <w:rPr>
            <w:webHidden/>
          </w:rPr>
          <w:instrText xml:space="preserve"> PAGEREF _Toc448914592 \h </w:instrText>
        </w:r>
        <w:r w:rsidR="00AB2F47">
          <w:rPr>
            <w:webHidden/>
          </w:rPr>
        </w:r>
        <w:r w:rsidR="00AB2F47">
          <w:rPr>
            <w:webHidden/>
          </w:rPr>
          <w:fldChar w:fldCharType="separate"/>
        </w:r>
        <w:r w:rsidR="00525C82">
          <w:rPr>
            <w:webHidden/>
          </w:rPr>
          <w:t>94</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93" w:history="1">
        <w:r w:rsidR="00AB2F47" w:rsidRPr="00911CD7">
          <w:rPr>
            <w:rStyle w:val="Hyperlink"/>
          </w:rPr>
          <w:t>Figure 31 – Scenario 1B - Total demand for extractive resources in Wyndham over the period 2015-2025</w:t>
        </w:r>
        <w:r w:rsidR="00AB2F47">
          <w:rPr>
            <w:webHidden/>
          </w:rPr>
          <w:tab/>
        </w:r>
        <w:r w:rsidR="00AB2F47">
          <w:rPr>
            <w:webHidden/>
          </w:rPr>
          <w:fldChar w:fldCharType="begin"/>
        </w:r>
        <w:r w:rsidR="00AB2F47">
          <w:rPr>
            <w:webHidden/>
          </w:rPr>
          <w:instrText xml:space="preserve"> PAGEREF _Toc448914593 \h </w:instrText>
        </w:r>
        <w:r w:rsidR="00AB2F47">
          <w:rPr>
            <w:webHidden/>
          </w:rPr>
        </w:r>
        <w:r w:rsidR="00AB2F47">
          <w:rPr>
            <w:webHidden/>
          </w:rPr>
          <w:fldChar w:fldCharType="separate"/>
        </w:r>
        <w:r w:rsidR="00525C82">
          <w:rPr>
            <w:webHidden/>
          </w:rPr>
          <w:t>95</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94" w:history="1">
        <w:r w:rsidR="00AB2F47" w:rsidRPr="00911CD7">
          <w:rPr>
            <w:rStyle w:val="Hyperlink"/>
          </w:rPr>
          <w:t>Figure 32 – Scenario 1B - Total demand for extractive resources in Wyndham over the period 2026-2050</w:t>
        </w:r>
        <w:r w:rsidR="00AB2F47">
          <w:rPr>
            <w:webHidden/>
          </w:rPr>
          <w:tab/>
        </w:r>
        <w:r w:rsidR="00AB2F47">
          <w:rPr>
            <w:webHidden/>
          </w:rPr>
          <w:fldChar w:fldCharType="begin"/>
        </w:r>
        <w:r w:rsidR="00AB2F47">
          <w:rPr>
            <w:webHidden/>
          </w:rPr>
          <w:instrText xml:space="preserve"> PAGEREF _Toc448914594 \h </w:instrText>
        </w:r>
        <w:r w:rsidR="00AB2F47">
          <w:rPr>
            <w:webHidden/>
          </w:rPr>
        </w:r>
        <w:r w:rsidR="00AB2F47">
          <w:rPr>
            <w:webHidden/>
          </w:rPr>
          <w:fldChar w:fldCharType="separate"/>
        </w:r>
        <w:r w:rsidR="00525C82">
          <w:rPr>
            <w:webHidden/>
          </w:rPr>
          <w:t>96</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95" w:history="1">
        <w:r w:rsidR="00AB2F47" w:rsidRPr="00911CD7">
          <w:rPr>
            <w:rStyle w:val="Hyperlink"/>
          </w:rPr>
          <w:t>Figure 33 – Scenario 2A - Total demand for extractive resources by LGA over the period 2015-2025</w:t>
        </w:r>
        <w:r w:rsidR="00AB2F47">
          <w:rPr>
            <w:webHidden/>
          </w:rPr>
          <w:tab/>
        </w:r>
        <w:r w:rsidR="00AB2F47">
          <w:rPr>
            <w:webHidden/>
          </w:rPr>
          <w:fldChar w:fldCharType="begin"/>
        </w:r>
        <w:r w:rsidR="00AB2F47">
          <w:rPr>
            <w:webHidden/>
          </w:rPr>
          <w:instrText xml:space="preserve"> PAGEREF _Toc448914595 \h </w:instrText>
        </w:r>
        <w:r w:rsidR="00AB2F47">
          <w:rPr>
            <w:webHidden/>
          </w:rPr>
        </w:r>
        <w:r w:rsidR="00AB2F47">
          <w:rPr>
            <w:webHidden/>
          </w:rPr>
          <w:fldChar w:fldCharType="separate"/>
        </w:r>
        <w:r w:rsidR="00525C82">
          <w:rPr>
            <w:webHidden/>
          </w:rPr>
          <w:t>97</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96" w:history="1">
        <w:r w:rsidR="00AB2F47" w:rsidRPr="00911CD7">
          <w:rPr>
            <w:rStyle w:val="Hyperlink"/>
          </w:rPr>
          <w:t>Figure 34 – Scenario 2A - Total demand for extractive resources by LGA over the period 2026-2050</w:t>
        </w:r>
        <w:r w:rsidR="00AB2F47">
          <w:rPr>
            <w:webHidden/>
          </w:rPr>
          <w:tab/>
        </w:r>
        <w:r w:rsidR="00AB2F47">
          <w:rPr>
            <w:webHidden/>
          </w:rPr>
          <w:fldChar w:fldCharType="begin"/>
        </w:r>
        <w:r w:rsidR="00AB2F47">
          <w:rPr>
            <w:webHidden/>
          </w:rPr>
          <w:instrText xml:space="preserve"> PAGEREF _Toc448914596 \h </w:instrText>
        </w:r>
        <w:r w:rsidR="00AB2F47">
          <w:rPr>
            <w:webHidden/>
          </w:rPr>
        </w:r>
        <w:r w:rsidR="00AB2F47">
          <w:rPr>
            <w:webHidden/>
          </w:rPr>
          <w:fldChar w:fldCharType="separate"/>
        </w:r>
        <w:r w:rsidR="00525C82">
          <w:rPr>
            <w:webHidden/>
          </w:rPr>
          <w:t>98</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97" w:history="1">
        <w:r w:rsidR="00AB2F47" w:rsidRPr="00911CD7">
          <w:rPr>
            <w:rStyle w:val="Hyperlink"/>
          </w:rPr>
          <w:t>Figure 35 – Scenario 3A - Total demand for extractive resources by LGA over the period 2015-2025</w:t>
        </w:r>
        <w:r w:rsidR="00AB2F47">
          <w:rPr>
            <w:webHidden/>
          </w:rPr>
          <w:tab/>
        </w:r>
        <w:r w:rsidR="00AB2F47">
          <w:rPr>
            <w:webHidden/>
          </w:rPr>
          <w:fldChar w:fldCharType="begin"/>
        </w:r>
        <w:r w:rsidR="00AB2F47">
          <w:rPr>
            <w:webHidden/>
          </w:rPr>
          <w:instrText xml:space="preserve"> PAGEREF _Toc448914597 \h </w:instrText>
        </w:r>
        <w:r w:rsidR="00AB2F47">
          <w:rPr>
            <w:webHidden/>
          </w:rPr>
        </w:r>
        <w:r w:rsidR="00AB2F47">
          <w:rPr>
            <w:webHidden/>
          </w:rPr>
          <w:fldChar w:fldCharType="separate"/>
        </w:r>
        <w:r w:rsidR="00525C82">
          <w:rPr>
            <w:webHidden/>
          </w:rPr>
          <w:t>99</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98" w:history="1">
        <w:r w:rsidR="00AB2F47" w:rsidRPr="00911CD7">
          <w:rPr>
            <w:rStyle w:val="Hyperlink"/>
          </w:rPr>
          <w:t>Figure 36 – Scenario 3A - Total demand for extractive resources by LGA over the period 2026-2050</w:t>
        </w:r>
        <w:r w:rsidR="00AB2F47">
          <w:rPr>
            <w:webHidden/>
          </w:rPr>
          <w:tab/>
        </w:r>
        <w:r w:rsidR="00AB2F47">
          <w:rPr>
            <w:webHidden/>
          </w:rPr>
          <w:fldChar w:fldCharType="begin"/>
        </w:r>
        <w:r w:rsidR="00AB2F47">
          <w:rPr>
            <w:webHidden/>
          </w:rPr>
          <w:instrText xml:space="preserve"> PAGEREF _Toc448914598 \h </w:instrText>
        </w:r>
        <w:r w:rsidR="00AB2F47">
          <w:rPr>
            <w:webHidden/>
          </w:rPr>
        </w:r>
        <w:r w:rsidR="00AB2F47">
          <w:rPr>
            <w:webHidden/>
          </w:rPr>
          <w:fldChar w:fldCharType="separate"/>
        </w:r>
        <w:r w:rsidR="00525C82">
          <w:rPr>
            <w:webHidden/>
          </w:rPr>
          <w:t>100</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599" w:history="1">
        <w:r w:rsidR="00AB2F47" w:rsidRPr="00911CD7">
          <w:rPr>
            <w:rStyle w:val="Hyperlink"/>
          </w:rPr>
          <w:t>Figure 37 – Scenario 3B - Total demand for extractive resources by LGA over the period 2015-2025</w:t>
        </w:r>
        <w:r w:rsidR="00AB2F47">
          <w:rPr>
            <w:webHidden/>
          </w:rPr>
          <w:tab/>
        </w:r>
        <w:r w:rsidR="00AB2F47">
          <w:rPr>
            <w:webHidden/>
          </w:rPr>
          <w:fldChar w:fldCharType="begin"/>
        </w:r>
        <w:r w:rsidR="00AB2F47">
          <w:rPr>
            <w:webHidden/>
          </w:rPr>
          <w:instrText xml:space="preserve"> PAGEREF _Toc448914599 \h </w:instrText>
        </w:r>
        <w:r w:rsidR="00AB2F47">
          <w:rPr>
            <w:webHidden/>
          </w:rPr>
        </w:r>
        <w:r w:rsidR="00AB2F47">
          <w:rPr>
            <w:webHidden/>
          </w:rPr>
          <w:fldChar w:fldCharType="separate"/>
        </w:r>
        <w:r w:rsidR="00525C82">
          <w:rPr>
            <w:webHidden/>
          </w:rPr>
          <w:t>101</w:t>
        </w:r>
        <w:r w:rsidR="00AB2F47">
          <w:rPr>
            <w:webHidden/>
          </w:rPr>
          <w:fldChar w:fldCharType="end"/>
        </w:r>
      </w:hyperlink>
    </w:p>
    <w:p w:rsidR="00AB2F47" w:rsidRDefault="000701D2" w:rsidP="00111679">
      <w:pPr>
        <w:pStyle w:val="TOC1"/>
        <w:tabs>
          <w:tab w:val="left" w:pos="1276"/>
        </w:tabs>
        <w:ind w:left="952" w:hanging="952"/>
        <w:rPr>
          <w:rFonts w:asciiTheme="minorHAnsi" w:eastAsiaTheme="minorEastAsia" w:hAnsiTheme="minorHAnsi" w:cstheme="minorBidi"/>
          <w:kern w:val="0"/>
          <w:sz w:val="22"/>
          <w:szCs w:val="22"/>
          <w:lang w:val="en-AU" w:eastAsia="en-AU"/>
        </w:rPr>
      </w:pPr>
      <w:hyperlink w:anchor="_Toc448914600" w:history="1">
        <w:r w:rsidR="00AB2F47" w:rsidRPr="00911CD7">
          <w:rPr>
            <w:rStyle w:val="Hyperlink"/>
          </w:rPr>
          <w:t>Figure 38 – Scenario 3B - Total demand for extractive resources by LGA over the period 2026-2050</w:t>
        </w:r>
        <w:r w:rsidR="00AB2F47">
          <w:rPr>
            <w:webHidden/>
          </w:rPr>
          <w:tab/>
        </w:r>
        <w:r w:rsidR="00AB2F47">
          <w:rPr>
            <w:webHidden/>
          </w:rPr>
          <w:fldChar w:fldCharType="begin"/>
        </w:r>
        <w:r w:rsidR="00AB2F47">
          <w:rPr>
            <w:webHidden/>
          </w:rPr>
          <w:instrText xml:space="preserve"> PAGEREF _Toc448914600 \h </w:instrText>
        </w:r>
        <w:r w:rsidR="00AB2F47">
          <w:rPr>
            <w:webHidden/>
          </w:rPr>
        </w:r>
        <w:r w:rsidR="00AB2F47">
          <w:rPr>
            <w:webHidden/>
          </w:rPr>
          <w:fldChar w:fldCharType="separate"/>
        </w:r>
        <w:r w:rsidR="00525C82">
          <w:rPr>
            <w:webHidden/>
          </w:rPr>
          <w:t>102</w:t>
        </w:r>
        <w:r w:rsidR="00AB2F47">
          <w:rPr>
            <w:webHidden/>
          </w:rPr>
          <w:fldChar w:fldCharType="end"/>
        </w:r>
      </w:hyperlink>
    </w:p>
    <w:p w:rsidR="001D25CA" w:rsidRPr="00E65C9D" w:rsidRDefault="001D25CA" w:rsidP="00111679">
      <w:pPr>
        <w:pStyle w:val="TOC1"/>
        <w:tabs>
          <w:tab w:val="left" w:pos="1276"/>
        </w:tabs>
        <w:ind w:left="952" w:hanging="952"/>
        <w:rPr>
          <w:rStyle w:val="Hyperlink"/>
          <w:rFonts w:cs="Times New Roman"/>
          <w:noProof w:val="0"/>
          <w:kern w:val="0"/>
          <w:sz w:val="20"/>
          <w:szCs w:val="20"/>
          <w:lang w:val="en-AU" w:eastAsia="en-US"/>
        </w:rPr>
      </w:pPr>
      <w:r w:rsidRPr="00E65C9D">
        <w:rPr>
          <w:rStyle w:val="Hyperlink"/>
          <w:noProof w:val="0"/>
          <w:lang w:val="en-AU"/>
        </w:rPr>
        <w:fldChar w:fldCharType="end"/>
      </w:r>
    </w:p>
    <w:p w:rsidR="00015954" w:rsidRDefault="00015954" w:rsidP="00D7603F">
      <w:pPr>
        <w:pStyle w:val="EYContents"/>
        <w:rPr>
          <w:lang w:val="en-AU"/>
        </w:rPr>
      </w:pPr>
      <w:r>
        <w:rPr>
          <w:lang w:val="en-AU"/>
        </w:rPr>
        <w:br w:type="page"/>
      </w:r>
    </w:p>
    <w:p w:rsidR="00D7603F" w:rsidRPr="00D14CE9" w:rsidRDefault="00D7603F" w:rsidP="00D7603F">
      <w:pPr>
        <w:pStyle w:val="EYContents"/>
        <w:rPr>
          <w:lang w:val="en-AU"/>
        </w:rPr>
      </w:pPr>
      <w:r w:rsidRPr="00D14CE9">
        <w:rPr>
          <w:lang w:val="en-AU"/>
        </w:rPr>
        <w:lastRenderedPageBreak/>
        <w:t>Tables</w:t>
      </w:r>
    </w:p>
    <w:p w:rsidR="00836FC5" w:rsidRDefault="00836FC5"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448920445" w:history="1">
        <w:r w:rsidRPr="00C12852">
          <w:rPr>
            <w:rStyle w:val="Hyperlink"/>
            <w:noProof/>
          </w:rPr>
          <w:t>Table 1 – Demand Forecast per type of LGAs– Total in 2015, 2026 and 2050 (million tonnes)</w:t>
        </w:r>
        <w:r>
          <w:rPr>
            <w:noProof/>
            <w:webHidden/>
          </w:rPr>
          <w:tab/>
        </w:r>
        <w:r>
          <w:rPr>
            <w:noProof/>
            <w:webHidden/>
          </w:rPr>
          <w:fldChar w:fldCharType="begin"/>
        </w:r>
        <w:r>
          <w:rPr>
            <w:noProof/>
            <w:webHidden/>
          </w:rPr>
          <w:instrText xml:space="preserve"> PAGEREF _Toc448920445 \h </w:instrText>
        </w:r>
        <w:r>
          <w:rPr>
            <w:noProof/>
            <w:webHidden/>
          </w:rPr>
        </w:r>
        <w:r>
          <w:rPr>
            <w:noProof/>
            <w:webHidden/>
          </w:rPr>
          <w:fldChar w:fldCharType="separate"/>
        </w:r>
        <w:r w:rsidR="00525C82">
          <w:rPr>
            <w:noProof/>
            <w:webHidden/>
          </w:rPr>
          <w:t>3</w:t>
        </w:r>
        <w:r>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46" w:history="1">
        <w:r w:rsidR="00836FC5" w:rsidRPr="00C12852">
          <w:rPr>
            <w:rStyle w:val="Hyperlink"/>
            <w:noProof/>
          </w:rPr>
          <w:t>Table 2 – Scenarios analysis results – Total in 2015, 2026 and 2050 (million tonnes)</w:t>
        </w:r>
        <w:r w:rsidR="00836FC5">
          <w:rPr>
            <w:noProof/>
            <w:webHidden/>
          </w:rPr>
          <w:tab/>
        </w:r>
        <w:r w:rsidR="00836FC5">
          <w:rPr>
            <w:noProof/>
            <w:webHidden/>
          </w:rPr>
          <w:fldChar w:fldCharType="begin"/>
        </w:r>
        <w:r w:rsidR="00836FC5">
          <w:rPr>
            <w:noProof/>
            <w:webHidden/>
          </w:rPr>
          <w:instrText xml:space="preserve"> PAGEREF _Toc448920446 \h </w:instrText>
        </w:r>
        <w:r w:rsidR="00836FC5">
          <w:rPr>
            <w:noProof/>
            <w:webHidden/>
          </w:rPr>
        </w:r>
        <w:r w:rsidR="00836FC5">
          <w:rPr>
            <w:noProof/>
            <w:webHidden/>
          </w:rPr>
          <w:fldChar w:fldCharType="separate"/>
        </w:r>
        <w:r w:rsidR="00525C82">
          <w:rPr>
            <w:noProof/>
            <w:webHidden/>
          </w:rPr>
          <w:t>5</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47" w:history="1">
        <w:r w:rsidR="00836FC5" w:rsidRPr="00C12852">
          <w:rPr>
            <w:rStyle w:val="Hyperlink"/>
            <w:noProof/>
          </w:rPr>
          <w:t>Table 3 – Materials and commodity products extracted in Victoria</w:t>
        </w:r>
        <w:r w:rsidR="00836FC5">
          <w:rPr>
            <w:noProof/>
            <w:webHidden/>
          </w:rPr>
          <w:tab/>
        </w:r>
        <w:r w:rsidR="00836FC5">
          <w:rPr>
            <w:noProof/>
            <w:webHidden/>
          </w:rPr>
          <w:fldChar w:fldCharType="begin"/>
        </w:r>
        <w:r w:rsidR="00836FC5">
          <w:rPr>
            <w:noProof/>
            <w:webHidden/>
          </w:rPr>
          <w:instrText xml:space="preserve"> PAGEREF _Toc448920447 \h </w:instrText>
        </w:r>
        <w:r w:rsidR="00836FC5">
          <w:rPr>
            <w:noProof/>
            <w:webHidden/>
          </w:rPr>
        </w:r>
        <w:r w:rsidR="00836FC5">
          <w:rPr>
            <w:noProof/>
            <w:webHidden/>
          </w:rPr>
          <w:fldChar w:fldCharType="separate"/>
        </w:r>
        <w:r w:rsidR="00525C82">
          <w:rPr>
            <w:noProof/>
            <w:webHidden/>
          </w:rPr>
          <w:t>18</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48" w:history="1">
        <w:r w:rsidR="00836FC5" w:rsidRPr="00C12852">
          <w:rPr>
            <w:rStyle w:val="Hyperlink"/>
            <w:noProof/>
          </w:rPr>
          <w:t>Table 4 – Uses of commodity products in Victoria per type of construction activities</w:t>
        </w:r>
        <w:r w:rsidR="00836FC5">
          <w:rPr>
            <w:noProof/>
            <w:webHidden/>
          </w:rPr>
          <w:tab/>
        </w:r>
        <w:r w:rsidR="00836FC5">
          <w:rPr>
            <w:noProof/>
            <w:webHidden/>
          </w:rPr>
          <w:fldChar w:fldCharType="begin"/>
        </w:r>
        <w:r w:rsidR="00836FC5">
          <w:rPr>
            <w:noProof/>
            <w:webHidden/>
          </w:rPr>
          <w:instrText xml:space="preserve"> PAGEREF _Toc448920448 \h </w:instrText>
        </w:r>
        <w:r w:rsidR="00836FC5">
          <w:rPr>
            <w:noProof/>
            <w:webHidden/>
          </w:rPr>
        </w:r>
        <w:r w:rsidR="00836FC5">
          <w:rPr>
            <w:noProof/>
            <w:webHidden/>
          </w:rPr>
          <w:fldChar w:fldCharType="separate"/>
        </w:r>
        <w:r w:rsidR="00525C82">
          <w:rPr>
            <w:noProof/>
            <w:webHidden/>
          </w:rPr>
          <w:t>19</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49" w:history="1">
        <w:r w:rsidR="00836FC5" w:rsidRPr="00C12852">
          <w:rPr>
            <w:rStyle w:val="Hyperlink"/>
            <w:noProof/>
          </w:rPr>
          <w:t>Table 5 – Uses of extractive materials in the manufacture of commodity products</w:t>
        </w:r>
        <w:r w:rsidR="00836FC5">
          <w:rPr>
            <w:noProof/>
            <w:webHidden/>
          </w:rPr>
          <w:tab/>
        </w:r>
        <w:r w:rsidR="00836FC5">
          <w:rPr>
            <w:noProof/>
            <w:webHidden/>
          </w:rPr>
          <w:fldChar w:fldCharType="begin"/>
        </w:r>
        <w:r w:rsidR="00836FC5">
          <w:rPr>
            <w:noProof/>
            <w:webHidden/>
          </w:rPr>
          <w:instrText xml:space="preserve"> PAGEREF _Toc448920449 \h </w:instrText>
        </w:r>
        <w:r w:rsidR="00836FC5">
          <w:rPr>
            <w:noProof/>
            <w:webHidden/>
          </w:rPr>
        </w:r>
        <w:r w:rsidR="00836FC5">
          <w:rPr>
            <w:noProof/>
            <w:webHidden/>
          </w:rPr>
          <w:fldChar w:fldCharType="separate"/>
        </w:r>
        <w:r w:rsidR="00525C82">
          <w:rPr>
            <w:noProof/>
            <w:webHidden/>
          </w:rPr>
          <w:t>19</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50" w:history="1">
        <w:r w:rsidR="00836FC5" w:rsidRPr="00C12852">
          <w:rPr>
            <w:rStyle w:val="Hyperlink"/>
            <w:noProof/>
          </w:rPr>
          <w:t>Table 6 – Breakdown of Sand and Gravel uses per type of construction activities in Victoria</w:t>
        </w:r>
        <w:r w:rsidR="00836FC5">
          <w:rPr>
            <w:noProof/>
            <w:webHidden/>
          </w:rPr>
          <w:tab/>
        </w:r>
        <w:r w:rsidR="00836FC5">
          <w:rPr>
            <w:noProof/>
            <w:webHidden/>
          </w:rPr>
          <w:fldChar w:fldCharType="begin"/>
        </w:r>
        <w:r w:rsidR="00836FC5">
          <w:rPr>
            <w:noProof/>
            <w:webHidden/>
          </w:rPr>
          <w:instrText xml:space="preserve"> PAGEREF _Toc448920450 \h </w:instrText>
        </w:r>
        <w:r w:rsidR="00836FC5">
          <w:rPr>
            <w:noProof/>
            <w:webHidden/>
          </w:rPr>
        </w:r>
        <w:r w:rsidR="00836FC5">
          <w:rPr>
            <w:noProof/>
            <w:webHidden/>
          </w:rPr>
          <w:fldChar w:fldCharType="separate"/>
        </w:r>
        <w:r w:rsidR="00525C82">
          <w:rPr>
            <w:noProof/>
            <w:webHidden/>
          </w:rPr>
          <w:t>20</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51" w:history="1">
        <w:r w:rsidR="00836FC5" w:rsidRPr="00C12852">
          <w:rPr>
            <w:rStyle w:val="Hyperlink"/>
            <w:noProof/>
          </w:rPr>
          <w:t>Table 7 – Spatial allocation of hard rocks in Victoria</w:t>
        </w:r>
        <w:r w:rsidR="00836FC5">
          <w:rPr>
            <w:noProof/>
            <w:webHidden/>
          </w:rPr>
          <w:tab/>
        </w:r>
        <w:r w:rsidR="00836FC5">
          <w:rPr>
            <w:noProof/>
            <w:webHidden/>
          </w:rPr>
          <w:fldChar w:fldCharType="begin"/>
        </w:r>
        <w:r w:rsidR="00836FC5">
          <w:rPr>
            <w:noProof/>
            <w:webHidden/>
          </w:rPr>
          <w:instrText xml:space="preserve"> PAGEREF _Toc448920451 \h </w:instrText>
        </w:r>
        <w:r w:rsidR="00836FC5">
          <w:rPr>
            <w:noProof/>
            <w:webHidden/>
          </w:rPr>
        </w:r>
        <w:r w:rsidR="00836FC5">
          <w:rPr>
            <w:noProof/>
            <w:webHidden/>
          </w:rPr>
          <w:fldChar w:fldCharType="separate"/>
        </w:r>
        <w:r w:rsidR="00525C82">
          <w:rPr>
            <w:noProof/>
            <w:webHidden/>
          </w:rPr>
          <w:t>21</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52" w:history="1">
        <w:r w:rsidR="00836FC5" w:rsidRPr="00C12852">
          <w:rPr>
            <w:rStyle w:val="Hyperlink"/>
            <w:noProof/>
          </w:rPr>
          <w:t>Table 8 – Production of Extractive Resources 2002 – 2014 (in million tonnes)</w:t>
        </w:r>
        <w:r w:rsidR="00836FC5">
          <w:rPr>
            <w:noProof/>
            <w:webHidden/>
          </w:rPr>
          <w:tab/>
        </w:r>
        <w:r w:rsidR="00836FC5">
          <w:rPr>
            <w:noProof/>
            <w:webHidden/>
          </w:rPr>
          <w:fldChar w:fldCharType="begin"/>
        </w:r>
        <w:r w:rsidR="00836FC5">
          <w:rPr>
            <w:noProof/>
            <w:webHidden/>
          </w:rPr>
          <w:instrText xml:space="preserve"> PAGEREF _Toc448920452 \h </w:instrText>
        </w:r>
        <w:r w:rsidR="00836FC5">
          <w:rPr>
            <w:noProof/>
            <w:webHidden/>
          </w:rPr>
        </w:r>
        <w:r w:rsidR="00836FC5">
          <w:rPr>
            <w:noProof/>
            <w:webHidden/>
          </w:rPr>
          <w:fldChar w:fldCharType="separate"/>
        </w:r>
        <w:r w:rsidR="00525C82">
          <w:rPr>
            <w:noProof/>
            <w:webHidden/>
          </w:rPr>
          <w:t>28</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53" w:history="1">
        <w:r w:rsidR="00836FC5" w:rsidRPr="00C12852">
          <w:rPr>
            <w:rStyle w:val="Hyperlink"/>
            <w:noProof/>
          </w:rPr>
          <w:t>Table 9 – GSP Projections</w:t>
        </w:r>
        <w:r w:rsidR="00836FC5">
          <w:rPr>
            <w:noProof/>
            <w:webHidden/>
          </w:rPr>
          <w:tab/>
        </w:r>
        <w:r w:rsidR="00836FC5">
          <w:rPr>
            <w:noProof/>
            <w:webHidden/>
          </w:rPr>
          <w:fldChar w:fldCharType="begin"/>
        </w:r>
        <w:r w:rsidR="00836FC5">
          <w:rPr>
            <w:noProof/>
            <w:webHidden/>
          </w:rPr>
          <w:instrText xml:space="preserve"> PAGEREF _Toc448920453 \h </w:instrText>
        </w:r>
        <w:r w:rsidR="00836FC5">
          <w:rPr>
            <w:noProof/>
            <w:webHidden/>
          </w:rPr>
        </w:r>
        <w:r w:rsidR="00836FC5">
          <w:rPr>
            <w:noProof/>
            <w:webHidden/>
          </w:rPr>
          <w:fldChar w:fldCharType="separate"/>
        </w:r>
        <w:r w:rsidR="00525C82">
          <w:rPr>
            <w:noProof/>
            <w:webHidden/>
          </w:rPr>
          <w:t>33</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54" w:history="1">
        <w:r w:rsidR="00836FC5" w:rsidRPr="00C12852">
          <w:rPr>
            <w:rStyle w:val="Hyperlink"/>
            <w:noProof/>
          </w:rPr>
          <w:t>Table 10 – Construction Activities Forecast – Weightings in 2015, 2026 and 2050 (%)</w:t>
        </w:r>
        <w:r w:rsidR="00836FC5">
          <w:rPr>
            <w:noProof/>
            <w:webHidden/>
          </w:rPr>
          <w:tab/>
        </w:r>
        <w:r w:rsidR="00836FC5">
          <w:rPr>
            <w:noProof/>
            <w:webHidden/>
          </w:rPr>
          <w:fldChar w:fldCharType="begin"/>
        </w:r>
        <w:r w:rsidR="00836FC5">
          <w:rPr>
            <w:noProof/>
            <w:webHidden/>
          </w:rPr>
          <w:instrText xml:space="preserve"> PAGEREF _Toc448920454 \h </w:instrText>
        </w:r>
        <w:r w:rsidR="00836FC5">
          <w:rPr>
            <w:noProof/>
            <w:webHidden/>
          </w:rPr>
        </w:r>
        <w:r w:rsidR="00836FC5">
          <w:rPr>
            <w:noProof/>
            <w:webHidden/>
          </w:rPr>
          <w:fldChar w:fldCharType="separate"/>
        </w:r>
        <w:r w:rsidR="00525C82">
          <w:rPr>
            <w:noProof/>
            <w:webHidden/>
          </w:rPr>
          <w:t>35</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55" w:history="1">
        <w:r w:rsidR="00836FC5" w:rsidRPr="00C12852">
          <w:rPr>
            <w:rStyle w:val="Hyperlink"/>
            <w:noProof/>
          </w:rPr>
          <w:t>Table 11 – Spatial allocation of extractive resources per construction activity in Victoria</w:t>
        </w:r>
        <w:r w:rsidR="00836FC5">
          <w:rPr>
            <w:noProof/>
            <w:webHidden/>
          </w:rPr>
          <w:tab/>
        </w:r>
        <w:r w:rsidR="00836FC5">
          <w:rPr>
            <w:noProof/>
            <w:webHidden/>
          </w:rPr>
          <w:fldChar w:fldCharType="begin"/>
        </w:r>
        <w:r w:rsidR="00836FC5">
          <w:rPr>
            <w:noProof/>
            <w:webHidden/>
          </w:rPr>
          <w:instrText xml:space="preserve"> PAGEREF _Toc448920455 \h </w:instrText>
        </w:r>
        <w:r w:rsidR="00836FC5">
          <w:rPr>
            <w:noProof/>
            <w:webHidden/>
          </w:rPr>
        </w:r>
        <w:r w:rsidR="00836FC5">
          <w:rPr>
            <w:noProof/>
            <w:webHidden/>
          </w:rPr>
          <w:fldChar w:fldCharType="separate"/>
        </w:r>
        <w:r w:rsidR="00525C82">
          <w:rPr>
            <w:noProof/>
            <w:webHidden/>
          </w:rPr>
          <w:t>37</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56" w:history="1">
        <w:r w:rsidR="00836FC5" w:rsidRPr="00C12852">
          <w:rPr>
            <w:rStyle w:val="Hyperlink"/>
            <w:noProof/>
          </w:rPr>
          <w:t>Table 12 – Demand Forecast – Total in 2015, 2026 and 2050 (million tonnes)</w:t>
        </w:r>
        <w:r w:rsidR="00836FC5">
          <w:rPr>
            <w:noProof/>
            <w:webHidden/>
          </w:rPr>
          <w:tab/>
        </w:r>
        <w:r w:rsidR="00836FC5">
          <w:rPr>
            <w:noProof/>
            <w:webHidden/>
          </w:rPr>
          <w:fldChar w:fldCharType="begin"/>
        </w:r>
        <w:r w:rsidR="00836FC5">
          <w:rPr>
            <w:noProof/>
            <w:webHidden/>
          </w:rPr>
          <w:instrText xml:space="preserve"> PAGEREF _Toc448920456 \h </w:instrText>
        </w:r>
        <w:r w:rsidR="00836FC5">
          <w:rPr>
            <w:noProof/>
            <w:webHidden/>
          </w:rPr>
        </w:r>
        <w:r w:rsidR="00836FC5">
          <w:rPr>
            <w:noProof/>
            <w:webHidden/>
          </w:rPr>
          <w:fldChar w:fldCharType="separate"/>
        </w:r>
        <w:r w:rsidR="00525C82">
          <w:rPr>
            <w:noProof/>
            <w:webHidden/>
          </w:rPr>
          <w:t>38</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57" w:history="1">
        <w:r w:rsidR="00836FC5" w:rsidRPr="00C12852">
          <w:rPr>
            <w:rStyle w:val="Hyperlink"/>
            <w:noProof/>
          </w:rPr>
          <w:t>Table 13 – Demand Forecast per type of LGAs– Total in 2015, 2026 and 2050 (million tonnes)</w:t>
        </w:r>
        <w:r w:rsidR="00836FC5">
          <w:rPr>
            <w:noProof/>
            <w:webHidden/>
          </w:rPr>
          <w:tab/>
        </w:r>
        <w:r w:rsidR="00836FC5">
          <w:rPr>
            <w:noProof/>
            <w:webHidden/>
          </w:rPr>
          <w:fldChar w:fldCharType="begin"/>
        </w:r>
        <w:r w:rsidR="00836FC5">
          <w:rPr>
            <w:noProof/>
            <w:webHidden/>
          </w:rPr>
          <w:instrText xml:space="preserve"> PAGEREF _Toc448920457 \h </w:instrText>
        </w:r>
        <w:r w:rsidR="00836FC5">
          <w:rPr>
            <w:noProof/>
            <w:webHidden/>
          </w:rPr>
        </w:r>
        <w:r w:rsidR="00836FC5">
          <w:rPr>
            <w:noProof/>
            <w:webHidden/>
          </w:rPr>
          <w:fldChar w:fldCharType="separate"/>
        </w:r>
        <w:r w:rsidR="00525C82">
          <w:rPr>
            <w:noProof/>
            <w:webHidden/>
          </w:rPr>
          <w:t>41</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58" w:history="1">
        <w:r w:rsidR="00836FC5" w:rsidRPr="00C12852">
          <w:rPr>
            <w:rStyle w:val="Hyperlink"/>
            <w:noProof/>
          </w:rPr>
          <w:t>Table 14 – Demand Forecast – Top 10 LGAs 2015-2025 (million tonnes)</w:t>
        </w:r>
        <w:r w:rsidR="00836FC5">
          <w:rPr>
            <w:noProof/>
            <w:webHidden/>
          </w:rPr>
          <w:tab/>
        </w:r>
        <w:r w:rsidR="00836FC5">
          <w:rPr>
            <w:noProof/>
            <w:webHidden/>
          </w:rPr>
          <w:fldChar w:fldCharType="begin"/>
        </w:r>
        <w:r w:rsidR="00836FC5">
          <w:rPr>
            <w:noProof/>
            <w:webHidden/>
          </w:rPr>
          <w:instrText xml:space="preserve"> PAGEREF _Toc448920458 \h </w:instrText>
        </w:r>
        <w:r w:rsidR="00836FC5">
          <w:rPr>
            <w:noProof/>
            <w:webHidden/>
          </w:rPr>
        </w:r>
        <w:r w:rsidR="00836FC5">
          <w:rPr>
            <w:noProof/>
            <w:webHidden/>
          </w:rPr>
          <w:fldChar w:fldCharType="separate"/>
        </w:r>
        <w:r w:rsidR="00525C82">
          <w:rPr>
            <w:noProof/>
            <w:webHidden/>
          </w:rPr>
          <w:t>45</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59" w:history="1">
        <w:r w:rsidR="00836FC5" w:rsidRPr="00C12852">
          <w:rPr>
            <w:rStyle w:val="Hyperlink"/>
            <w:noProof/>
          </w:rPr>
          <w:t>Table 15 – Demand Forecast – Top 10 LGAs 2026-2050 (million tonnes)</w:t>
        </w:r>
        <w:r w:rsidR="00836FC5">
          <w:rPr>
            <w:noProof/>
            <w:webHidden/>
          </w:rPr>
          <w:tab/>
        </w:r>
        <w:r w:rsidR="00836FC5">
          <w:rPr>
            <w:noProof/>
            <w:webHidden/>
          </w:rPr>
          <w:fldChar w:fldCharType="begin"/>
        </w:r>
        <w:r w:rsidR="00836FC5">
          <w:rPr>
            <w:noProof/>
            <w:webHidden/>
          </w:rPr>
          <w:instrText xml:space="preserve"> PAGEREF _Toc448920459 \h </w:instrText>
        </w:r>
        <w:r w:rsidR="00836FC5">
          <w:rPr>
            <w:noProof/>
            <w:webHidden/>
          </w:rPr>
        </w:r>
        <w:r w:rsidR="00836FC5">
          <w:rPr>
            <w:noProof/>
            <w:webHidden/>
          </w:rPr>
          <w:fldChar w:fldCharType="separate"/>
        </w:r>
        <w:r w:rsidR="00525C82">
          <w:rPr>
            <w:noProof/>
            <w:webHidden/>
          </w:rPr>
          <w:t>45</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60" w:history="1">
        <w:r w:rsidR="00836FC5" w:rsidRPr="00C12852">
          <w:rPr>
            <w:rStyle w:val="Hyperlink"/>
            <w:noProof/>
          </w:rPr>
          <w:t>Table 16 – Demand Forecast – Baseline vs. Scenario 1A – Total in 2015, 2026 and 2050 (million tonnes)</w:t>
        </w:r>
        <w:r w:rsidR="00836FC5">
          <w:rPr>
            <w:noProof/>
            <w:webHidden/>
          </w:rPr>
          <w:tab/>
        </w:r>
        <w:r w:rsidR="00836FC5">
          <w:rPr>
            <w:noProof/>
            <w:webHidden/>
          </w:rPr>
          <w:fldChar w:fldCharType="begin"/>
        </w:r>
        <w:r w:rsidR="00836FC5">
          <w:rPr>
            <w:noProof/>
            <w:webHidden/>
          </w:rPr>
          <w:instrText xml:space="preserve"> PAGEREF _Toc448920460 \h </w:instrText>
        </w:r>
        <w:r w:rsidR="00836FC5">
          <w:rPr>
            <w:noProof/>
            <w:webHidden/>
          </w:rPr>
        </w:r>
        <w:r w:rsidR="00836FC5">
          <w:rPr>
            <w:noProof/>
            <w:webHidden/>
          </w:rPr>
          <w:fldChar w:fldCharType="separate"/>
        </w:r>
        <w:r w:rsidR="00525C82">
          <w:rPr>
            <w:noProof/>
            <w:webHidden/>
          </w:rPr>
          <w:t>50</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61" w:history="1">
        <w:r w:rsidR="00836FC5" w:rsidRPr="00C12852">
          <w:rPr>
            <w:rStyle w:val="Hyperlink"/>
            <w:noProof/>
          </w:rPr>
          <w:t>Table 17 – Demand Forecast – Baseline vs. Scenario 2A – Total in 2015, 2026 and 2050 (million tonnes)</w:t>
        </w:r>
        <w:r w:rsidR="00836FC5">
          <w:rPr>
            <w:noProof/>
            <w:webHidden/>
          </w:rPr>
          <w:tab/>
        </w:r>
        <w:r w:rsidR="00836FC5">
          <w:rPr>
            <w:noProof/>
            <w:webHidden/>
          </w:rPr>
          <w:fldChar w:fldCharType="begin"/>
        </w:r>
        <w:r w:rsidR="00836FC5">
          <w:rPr>
            <w:noProof/>
            <w:webHidden/>
          </w:rPr>
          <w:instrText xml:space="preserve"> PAGEREF _Toc448920461 \h </w:instrText>
        </w:r>
        <w:r w:rsidR="00836FC5">
          <w:rPr>
            <w:noProof/>
            <w:webHidden/>
          </w:rPr>
        </w:r>
        <w:r w:rsidR="00836FC5">
          <w:rPr>
            <w:noProof/>
            <w:webHidden/>
          </w:rPr>
          <w:fldChar w:fldCharType="separate"/>
        </w:r>
        <w:r w:rsidR="00525C82">
          <w:rPr>
            <w:noProof/>
            <w:webHidden/>
          </w:rPr>
          <w:t>52</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62" w:history="1">
        <w:r w:rsidR="00836FC5" w:rsidRPr="00C12852">
          <w:rPr>
            <w:rStyle w:val="Hyperlink"/>
            <w:noProof/>
          </w:rPr>
          <w:t>Table 18 – Demand Forecast – Baseline vs. Scenario 3A – Total in 2015, 2026 and 2050 (million tonnes)</w:t>
        </w:r>
        <w:r w:rsidR="00836FC5">
          <w:rPr>
            <w:noProof/>
            <w:webHidden/>
          </w:rPr>
          <w:tab/>
        </w:r>
        <w:r w:rsidR="00836FC5">
          <w:rPr>
            <w:noProof/>
            <w:webHidden/>
          </w:rPr>
          <w:fldChar w:fldCharType="begin"/>
        </w:r>
        <w:r w:rsidR="00836FC5">
          <w:rPr>
            <w:noProof/>
            <w:webHidden/>
          </w:rPr>
          <w:instrText xml:space="preserve"> PAGEREF _Toc448920462 \h </w:instrText>
        </w:r>
        <w:r w:rsidR="00836FC5">
          <w:rPr>
            <w:noProof/>
            <w:webHidden/>
          </w:rPr>
        </w:r>
        <w:r w:rsidR="00836FC5">
          <w:rPr>
            <w:noProof/>
            <w:webHidden/>
          </w:rPr>
          <w:fldChar w:fldCharType="separate"/>
        </w:r>
        <w:r w:rsidR="00525C82">
          <w:rPr>
            <w:noProof/>
            <w:webHidden/>
          </w:rPr>
          <w:t>53</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63" w:history="1">
        <w:r w:rsidR="00836FC5" w:rsidRPr="00C12852">
          <w:rPr>
            <w:rStyle w:val="Hyperlink"/>
            <w:noProof/>
          </w:rPr>
          <w:t>Table 19 – Demand Forecast – Baseline vs. Scenario 3B – Total in 2015, 2026 and 2050 (million tonnes)</w:t>
        </w:r>
        <w:r w:rsidR="00836FC5">
          <w:rPr>
            <w:noProof/>
            <w:webHidden/>
          </w:rPr>
          <w:tab/>
        </w:r>
        <w:r w:rsidR="00836FC5">
          <w:rPr>
            <w:noProof/>
            <w:webHidden/>
          </w:rPr>
          <w:fldChar w:fldCharType="begin"/>
        </w:r>
        <w:r w:rsidR="00836FC5">
          <w:rPr>
            <w:noProof/>
            <w:webHidden/>
          </w:rPr>
          <w:instrText xml:space="preserve"> PAGEREF _Toc448920463 \h </w:instrText>
        </w:r>
        <w:r w:rsidR="00836FC5">
          <w:rPr>
            <w:noProof/>
            <w:webHidden/>
          </w:rPr>
        </w:r>
        <w:r w:rsidR="00836FC5">
          <w:rPr>
            <w:noProof/>
            <w:webHidden/>
          </w:rPr>
          <w:fldChar w:fldCharType="separate"/>
        </w:r>
        <w:r w:rsidR="00525C82">
          <w:rPr>
            <w:noProof/>
            <w:webHidden/>
          </w:rPr>
          <w:t>54</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64" w:history="1">
        <w:r w:rsidR="00836FC5" w:rsidRPr="00C12852">
          <w:rPr>
            <w:rStyle w:val="Hyperlink"/>
            <w:noProof/>
          </w:rPr>
          <w:t>Table 20 – LGAs Directory</w:t>
        </w:r>
        <w:r w:rsidR="00836FC5">
          <w:rPr>
            <w:noProof/>
            <w:webHidden/>
          </w:rPr>
          <w:tab/>
        </w:r>
        <w:r w:rsidR="00836FC5">
          <w:rPr>
            <w:noProof/>
            <w:webHidden/>
          </w:rPr>
          <w:fldChar w:fldCharType="begin"/>
        </w:r>
        <w:r w:rsidR="00836FC5">
          <w:rPr>
            <w:noProof/>
            <w:webHidden/>
          </w:rPr>
          <w:instrText xml:space="preserve"> PAGEREF _Toc448920464 \h </w:instrText>
        </w:r>
        <w:r w:rsidR="00836FC5">
          <w:rPr>
            <w:noProof/>
            <w:webHidden/>
          </w:rPr>
        </w:r>
        <w:r w:rsidR="00836FC5">
          <w:rPr>
            <w:noProof/>
            <w:webHidden/>
          </w:rPr>
          <w:fldChar w:fldCharType="separate"/>
        </w:r>
        <w:r w:rsidR="00525C82">
          <w:rPr>
            <w:noProof/>
            <w:webHidden/>
          </w:rPr>
          <w:t>63</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65" w:history="1">
        <w:r w:rsidR="00836FC5" w:rsidRPr="00C12852">
          <w:rPr>
            <w:rStyle w:val="Hyperlink"/>
            <w:noProof/>
          </w:rPr>
          <w:t>Table 21 – Demand Drivers Historic Data - Sources</w:t>
        </w:r>
        <w:r w:rsidR="00836FC5">
          <w:rPr>
            <w:noProof/>
            <w:webHidden/>
          </w:rPr>
          <w:tab/>
        </w:r>
        <w:r w:rsidR="00836FC5">
          <w:rPr>
            <w:noProof/>
            <w:webHidden/>
          </w:rPr>
          <w:fldChar w:fldCharType="begin"/>
        </w:r>
        <w:r w:rsidR="00836FC5">
          <w:rPr>
            <w:noProof/>
            <w:webHidden/>
          </w:rPr>
          <w:instrText xml:space="preserve"> PAGEREF _Toc448920465 \h </w:instrText>
        </w:r>
        <w:r w:rsidR="00836FC5">
          <w:rPr>
            <w:noProof/>
            <w:webHidden/>
          </w:rPr>
        </w:r>
        <w:r w:rsidR="00836FC5">
          <w:rPr>
            <w:noProof/>
            <w:webHidden/>
          </w:rPr>
          <w:fldChar w:fldCharType="separate"/>
        </w:r>
        <w:r w:rsidR="00525C82">
          <w:rPr>
            <w:noProof/>
            <w:webHidden/>
          </w:rPr>
          <w:t>65</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66" w:history="1">
        <w:r w:rsidR="00836FC5" w:rsidRPr="00C12852">
          <w:rPr>
            <w:rStyle w:val="Hyperlink"/>
            <w:noProof/>
          </w:rPr>
          <w:t>Table 22 – Construction Activities Historic Data ($) - Sources</w:t>
        </w:r>
        <w:r w:rsidR="00836FC5">
          <w:rPr>
            <w:noProof/>
            <w:webHidden/>
          </w:rPr>
          <w:tab/>
        </w:r>
        <w:r w:rsidR="00836FC5">
          <w:rPr>
            <w:noProof/>
            <w:webHidden/>
          </w:rPr>
          <w:fldChar w:fldCharType="begin"/>
        </w:r>
        <w:r w:rsidR="00836FC5">
          <w:rPr>
            <w:noProof/>
            <w:webHidden/>
          </w:rPr>
          <w:instrText xml:space="preserve"> PAGEREF _Toc448920466 \h </w:instrText>
        </w:r>
        <w:r w:rsidR="00836FC5">
          <w:rPr>
            <w:noProof/>
            <w:webHidden/>
          </w:rPr>
        </w:r>
        <w:r w:rsidR="00836FC5">
          <w:rPr>
            <w:noProof/>
            <w:webHidden/>
          </w:rPr>
          <w:fldChar w:fldCharType="separate"/>
        </w:r>
        <w:r w:rsidR="00525C82">
          <w:rPr>
            <w:noProof/>
            <w:webHidden/>
          </w:rPr>
          <w:t>65</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67" w:history="1">
        <w:r w:rsidR="00836FC5" w:rsidRPr="00C12852">
          <w:rPr>
            <w:rStyle w:val="Hyperlink"/>
            <w:noProof/>
          </w:rPr>
          <w:t>Table 23 – Production of Extractive Resources 2002 – 2014 (in million tonnes)</w:t>
        </w:r>
        <w:r w:rsidR="00836FC5">
          <w:rPr>
            <w:noProof/>
            <w:webHidden/>
          </w:rPr>
          <w:tab/>
        </w:r>
        <w:r w:rsidR="00836FC5">
          <w:rPr>
            <w:noProof/>
            <w:webHidden/>
          </w:rPr>
          <w:fldChar w:fldCharType="begin"/>
        </w:r>
        <w:r w:rsidR="00836FC5">
          <w:rPr>
            <w:noProof/>
            <w:webHidden/>
          </w:rPr>
          <w:instrText xml:space="preserve"> PAGEREF _Toc448920467 \h </w:instrText>
        </w:r>
        <w:r w:rsidR="00836FC5">
          <w:rPr>
            <w:noProof/>
            <w:webHidden/>
          </w:rPr>
        </w:r>
        <w:r w:rsidR="00836FC5">
          <w:rPr>
            <w:noProof/>
            <w:webHidden/>
          </w:rPr>
          <w:fldChar w:fldCharType="separate"/>
        </w:r>
        <w:r w:rsidR="00525C82">
          <w:rPr>
            <w:noProof/>
            <w:webHidden/>
          </w:rPr>
          <w:t>66</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68" w:history="1">
        <w:r w:rsidR="00836FC5" w:rsidRPr="00C12852">
          <w:rPr>
            <w:rStyle w:val="Hyperlink"/>
            <w:noProof/>
          </w:rPr>
          <w:t>Table 24 – GSP Projections</w:t>
        </w:r>
        <w:r w:rsidR="00836FC5">
          <w:rPr>
            <w:noProof/>
            <w:webHidden/>
          </w:rPr>
          <w:tab/>
        </w:r>
        <w:r w:rsidR="00836FC5">
          <w:rPr>
            <w:noProof/>
            <w:webHidden/>
          </w:rPr>
          <w:fldChar w:fldCharType="begin"/>
        </w:r>
        <w:r w:rsidR="00836FC5">
          <w:rPr>
            <w:noProof/>
            <w:webHidden/>
          </w:rPr>
          <w:instrText xml:space="preserve"> PAGEREF _Toc448920468 \h </w:instrText>
        </w:r>
        <w:r w:rsidR="00836FC5">
          <w:rPr>
            <w:noProof/>
            <w:webHidden/>
          </w:rPr>
        </w:r>
        <w:r w:rsidR="00836FC5">
          <w:rPr>
            <w:noProof/>
            <w:webHidden/>
          </w:rPr>
          <w:fldChar w:fldCharType="separate"/>
        </w:r>
        <w:r w:rsidR="00525C82">
          <w:rPr>
            <w:noProof/>
            <w:webHidden/>
          </w:rPr>
          <w:t>66</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69" w:history="1">
        <w:r w:rsidR="00836FC5" w:rsidRPr="00C12852">
          <w:rPr>
            <w:rStyle w:val="Hyperlink"/>
            <w:noProof/>
          </w:rPr>
          <w:t>Table 25 – Transport Major Projects 2015-2022</w:t>
        </w:r>
        <w:r w:rsidR="00836FC5">
          <w:rPr>
            <w:noProof/>
            <w:webHidden/>
          </w:rPr>
          <w:tab/>
        </w:r>
        <w:r w:rsidR="00836FC5">
          <w:rPr>
            <w:noProof/>
            <w:webHidden/>
          </w:rPr>
          <w:fldChar w:fldCharType="begin"/>
        </w:r>
        <w:r w:rsidR="00836FC5">
          <w:rPr>
            <w:noProof/>
            <w:webHidden/>
          </w:rPr>
          <w:instrText xml:space="preserve"> PAGEREF _Toc448920469 \h </w:instrText>
        </w:r>
        <w:r w:rsidR="00836FC5">
          <w:rPr>
            <w:noProof/>
            <w:webHidden/>
          </w:rPr>
        </w:r>
        <w:r w:rsidR="00836FC5">
          <w:rPr>
            <w:noProof/>
            <w:webHidden/>
          </w:rPr>
          <w:fldChar w:fldCharType="separate"/>
        </w:r>
        <w:r w:rsidR="00525C82">
          <w:rPr>
            <w:noProof/>
            <w:webHidden/>
          </w:rPr>
          <w:t>67</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70" w:history="1">
        <w:r w:rsidR="00836FC5" w:rsidRPr="00C12852">
          <w:rPr>
            <w:rStyle w:val="Hyperlink"/>
            <w:noProof/>
          </w:rPr>
          <w:t>Table 26 – Dwellings Split Forecast 2021-2050</w:t>
        </w:r>
        <w:r w:rsidR="00836FC5">
          <w:rPr>
            <w:noProof/>
            <w:webHidden/>
          </w:rPr>
          <w:tab/>
        </w:r>
        <w:r w:rsidR="00836FC5">
          <w:rPr>
            <w:noProof/>
            <w:webHidden/>
          </w:rPr>
          <w:fldChar w:fldCharType="begin"/>
        </w:r>
        <w:r w:rsidR="00836FC5">
          <w:rPr>
            <w:noProof/>
            <w:webHidden/>
          </w:rPr>
          <w:instrText xml:space="preserve"> PAGEREF _Toc448920470 \h </w:instrText>
        </w:r>
        <w:r w:rsidR="00836FC5">
          <w:rPr>
            <w:noProof/>
            <w:webHidden/>
          </w:rPr>
        </w:r>
        <w:r w:rsidR="00836FC5">
          <w:rPr>
            <w:noProof/>
            <w:webHidden/>
          </w:rPr>
          <w:fldChar w:fldCharType="separate"/>
        </w:r>
        <w:r w:rsidR="00525C82">
          <w:rPr>
            <w:noProof/>
            <w:webHidden/>
          </w:rPr>
          <w:t>68</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71" w:history="1">
        <w:r w:rsidR="00836FC5" w:rsidRPr="00C12852">
          <w:rPr>
            <w:rStyle w:val="Hyperlink"/>
            <w:noProof/>
          </w:rPr>
          <w:t>Table 27 – Estimated breakdown of extractive resources required for residential construction activity (%)</w:t>
        </w:r>
        <w:r w:rsidR="00836FC5">
          <w:rPr>
            <w:noProof/>
            <w:webHidden/>
          </w:rPr>
          <w:tab/>
        </w:r>
        <w:r w:rsidR="00836FC5">
          <w:rPr>
            <w:noProof/>
            <w:webHidden/>
          </w:rPr>
          <w:fldChar w:fldCharType="begin"/>
        </w:r>
        <w:r w:rsidR="00836FC5">
          <w:rPr>
            <w:noProof/>
            <w:webHidden/>
          </w:rPr>
          <w:instrText xml:space="preserve"> PAGEREF _Toc448920471 \h </w:instrText>
        </w:r>
        <w:r w:rsidR="00836FC5">
          <w:rPr>
            <w:noProof/>
            <w:webHidden/>
          </w:rPr>
        </w:r>
        <w:r w:rsidR="00836FC5">
          <w:rPr>
            <w:noProof/>
            <w:webHidden/>
          </w:rPr>
          <w:fldChar w:fldCharType="separate"/>
        </w:r>
        <w:r w:rsidR="00525C82">
          <w:rPr>
            <w:noProof/>
            <w:webHidden/>
          </w:rPr>
          <w:t>69</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72" w:history="1">
        <w:r w:rsidR="00836FC5" w:rsidRPr="00C12852">
          <w:rPr>
            <w:rStyle w:val="Hyperlink"/>
            <w:noProof/>
          </w:rPr>
          <w:t>Table 28 – Estimated breakdown of extractive resources required for non-residential construction activity (%)</w:t>
        </w:r>
        <w:r w:rsidR="00836FC5">
          <w:rPr>
            <w:noProof/>
            <w:webHidden/>
          </w:rPr>
          <w:tab/>
        </w:r>
        <w:r w:rsidR="00836FC5">
          <w:rPr>
            <w:noProof/>
            <w:webHidden/>
          </w:rPr>
          <w:fldChar w:fldCharType="begin"/>
        </w:r>
        <w:r w:rsidR="00836FC5">
          <w:rPr>
            <w:noProof/>
            <w:webHidden/>
          </w:rPr>
          <w:instrText xml:space="preserve"> PAGEREF _Toc448920472 \h </w:instrText>
        </w:r>
        <w:r w:rsidR="00836FC5">
          <w:rPr>
            <w:noProof/>
            <w:webHidden/>
          </w:rPr>
        </w:r>
        <w:r w:rsidR="00836FC5">
          <w:rPr>
            <w:noProof/>
            <w:webHidden/>
          </w:rPr>
          <w:fldChar w:fldCharType="separate"/>
        </w:r>
        <w:r w:rsidR="00525C82">
          <w:rPr>
            <w:noProof/>
            <w:webHidden/>
          </w:rPr>
          <w:t>71</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73" w:history="1">
        <w:r w:rsidR="00836FC5" w:rsidRPr="00C12852">
          <w:rPr>
            <w:rStyle w:val="Hyperlink"/>
            <w:noProof/>
          </w:rPr>
          <w:t>Table 29 – Estimated breakdown of extractive resources required for transport construction activity (%), excluding major projects</w:t>
        </w:r>
        <w:r w:rsidR="00836FC5">
          <w:rPr>
            <w:noProof/>
            <w:webHidden/>
          </w:rPr>
          <w:tab/>
        </w:r>
        <w:r w:rsidR="00836FC5">
          <w:rPr>
            <w:noProof/>
            <w:webHidden/>
          </w:rPr>
          <w:fldChar w:fldCharType="begin"/>
        </w:r>
        <w:r w:rsidR="00836FC5">
          <w:rPr>
            <w:noProof/>
            <w:webHidden/>
          </w:rPr>
          <w:instrText xml:space="preserve"> PAGEREF _Toc448920473 \h </w:instrText>
        </w:r>
        <w:r w:rsidR="00836FC5">
          <w:rPr>
            <w:noProof/>
            <w:webHidden/>
          </w:rPr>
        </w:r>
        <w:r w:rsidR="00836FC5">
          <w:rPr>
            <w:noProof/>
            <w:webHidden/>
          </w:rPr>
          <w:fldChar w:fldCharType="separate"/>
        </w:r>
        <w:r w:rsidR="00525C82">
          <w:rPr>
            <w:noProof/>
            <w:webHidden/>
          </w:rPr>
          <w:t>73</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74" w:history="1">
        <w:r w:rsidR="00836FC5" w:rsidRPr="00C12852">
          <w:rPr>
            <w:rStyle w:val="Hyperlink"/>
            <w:noProof/>
          </w:rPr>
          <w:t>Table 30 – Transport Major Projects</w:t>
        </w:r>
        <w:r w:rsidR="00836FC5">
          <w:rPr>
            <w:noProof/>
            <w:webHidden/>
          </w:rPr>
          <w:tab/>
        </w:r>
        <w:r w:rsidR="00836FC5">
          <w:rPr>
            <w:noProof/>
            <w:webHidden/>
          </w:rPr>
          <w:fldChar w:fldCharType="begin"/>
        </w:r>
        <w:r w:rsidR="00836FC5">
          <w:rPr>
            <w:noProof/>
            <w:webHidden/>
          </w:rPr>
          <w:instrText xml:space="preserve"> PAGEREF _Toc448920474 \h </w:instrText>
        </w:r>
        <w:r w:rsidR="00836FC5">
          <w:rPr>
            <w:noProof/>
            <w:webHidden/>
          </w:rPr>
        </w:r>
        <w:r w:rsidR="00836FC5">
          <w:rPr>
            <w:noProof/>
            <w:webHidden/>
          </w:rPr>
          <w:fldChar w:fldCharType="separate"/>
        </w:r>
        <w:r w:rsidR="00525C82">
          <w:rPr>
            <w:noProof/>
            <w:webHidden/>
          </w:rPr>
          <w:t>74</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75" w:history="1">
        <w:r w:rsidR="00836FC5" w:rsidRPr="00C12852">
          <w:rPr>
            <w:rStyle w:val="Hyperlink"/>
            <w:noProof/>
          </w:rPr>
          <w:t>Table 31 – Estimated breakdown of extractive resources required for transport major projects activity (%)</w:t>
        </w:r>
        <w:r w:rsidR="00836FC5">
          <w:rPr>
            <w:noProof/>
            <w:webHidden/>
          </w:rPr>
          <w:tab/>
        </w:r>
        <w:r w:rsidR="00836FC5">
          <w:rPr>
            <w:noProof/>
            <w:webHidden/>
          </w:rPr>
          <w:fldChar w:fldCharType="begin"/>
        </w:r>
        <w:r w:rsidR="00836FC5">
          <w:rPr>
            <w:noProof/>
            <w:webHidden/>
          </w:rPr>
          <w:instrText xml:space="preserve"> PAGEREF _Toc448920475 \h </w:instrText>
        </w:r>
        <w:r w:rsidR="00836FC5">
          <w:rPr>
            <w:noProof/>
            <w:webHidden/>
          </w:rPr>
        </w:r>
        <w:r w:rsidR="00836FC5">
          <w:rPr>
            <w:noProof/>
            <w:webHidden/>
          </w:rPr>
          <w:fldChar w:fldCharType="separate"/>
        </w:r>
        <w:r w:rsidR="00525C82">
          <w:rPr>
            <w:noProof/>
            <w:webHidden/>
          </w:rPr>
          <w:t>75</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76" w:history="1">
        <w:r w:rsidR="00836FC5" w:rsidRPr="00C12852">
          <w:rPr>
            <w:rStyle w:val="Hyperlink"/>
            <w:noProof/>
          </w:rPr>
          <w:t>Table 32 - Wind Farms - Approved and planned projects - August 2015</w:t>
        </w:r>
        <w:r w:rsidR="00836FC5">
          <w:rPr>
            <w:noProof/>
            <w:webHidden/>
          </w:rPr>
          <w:tab/>
        </w:r>
        <w:r w:rsidR="00836FC5">
          <w:rPr>
            <w:noProof/>
            <w:webHidden/>
          </w:rPr>
          <w:fldChar w:fldCharType="begin"/>
        </w:r>
        <w:r w:rsidR="00836FC5">
          <w:rPr>
            <w:noProof/>
            <w:webHidden/>
          </w:rPr>
          <w:instrText xml:space="preserve"> PAGEREF _Toc448920476 \h </w:instrText>
        </w:r>
        <w:r w:rsidR="00836FC5">
          <w:rPr>
            <w:noProof/>
            <w:webHidden/>
          </w:rPr>
        </w:r>
        <w:r w:rsidR="00836FC5">
          <w:rPr>
            <w:noProof/>
            <w:webHidden/>
          </w:rPr>
          <w:fldChar w:fldCharType="separate"/>
        </w:r>
        <w:r w:rsidR="00525C82">
          <w:rPr>
            <w:noProof/>
            <w:webHidden/>
          </w:rPr>
          <w:t>75</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77" w:history="1">
        <w:r w:rsidR="00836FC5" w:rsidRPr="00C12852">
          <w:rPr>
            <w:rStyle w:val="Hyperlink"/>
            <w:noProof/>
          </w:rPr>
          <w:t>Table 33 – Windfarms Projects – Construction Profile</w:t>
        </w:r>
        <w:r w:rsidR="00836FC5">
          <w:rPr>
            <w:noProof/>
            <w:webHidden/>
          </w:rPr>
          <w:tab/>
        </w:r>
        <w:r w:rsidR="00836FC5">
          <w:rPr>
            <w:noProof/>
            <w:webHidden/>
          </w:rPr>
          <w:fldChar w:fldCharType="begin"/>
        </w:r>
        <w:r w:rsidR="00836FC5">
          <w:rPr>
            <w:noProof/>
            <w:webHidden/>
          </w:rPr>
          <w:instrText xml:space="preserve"> PAGEREF _Toc448920477 \h </w:instrText>
        </w:r>
        <w:r w:rsidR="00836FC5">
          <w:rPr>
            <w:noProof/>
            <w:webHidden/>
          </w:rPr>
        </w:r>
        <w:r w:rsidR="00836FC5">
          <w:rPr>
            <w:noProof/>
            <w:webHidden/>
          </w:rPr>
          <w:fldChar w:fldCharType="separate"/>
        </w:r>
        <w:r w:rsidR="00525C82">
          <w:rPr>
            <w:noProof/>
            <w:webHidden/>
          </w:rPr>
          <w:t>76</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78" w:history="1">
        <w:r w:rsidR="00836FC5" w:rsidRPr="00C12852">
          <w:rPr>
            <w:rStyle w:val="Hyperlink"/>
            <w:noProof/>
          </w:rPr>
          <w:t>Table 34 – Estimated breakdown of extractive resources required for wind farm construction activity (%)</w:t>
        </w:r>
        <w:r w:rsidR="00836FC5">
          <w:rPr>
            <w:noProof/>
            <w:webHidden/>
          </w:rPr>
          <w:tab/>
        </w:r>
        <w:r w:rsidR="00836FC5">
          <w:rPr>
            <w:noProof/>
            <w:webHidden/>
          </w:rPr>
          <w:fldChar w:fldCharType="begin"/>
        </w:r>
        <w:r w:rsidR="00836FC5">
          <w:rPr>
            <w:noProof/>
            <w:webHidden/>
          </w:rPr>
          <w:instrText xml:space="preserve"> PAGEREF _Toc448920478 \h </w:instrText>
        </w:r>
        <w:r w:rsidR="00836FC5">
          <w:rPr>
            <w:noProof/>
            <w:webHidden/>
          </w:rPr>
        </w:r>
        <w:r w:rsidR="00836FC5">
          <w:rPr>
            <w:noProof/>
            <w:webHidden/>
          </w:rPr>
          <w:fldChar w:fldCharType="separate"/>
        </w:r>
        <w:r w:rsidR="00525C82">
          <w:rPr>
            <w:noProof/>
            <w:webHidden/>
          </w:rPr>
          <w:t>76</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79" w:history="1">
        <w:r w:rsidR="00836FC5" w:rsidRPr="00C12852">
          <w:rPr>
            <w:rStyle w:val="Hyperlink"/>
            <w:noProof/>
          </w:rPr>
          <w:t>Table 35 – List of industry stakeholders consulted</w:t>
        </w:r>
        <w:r w:rsidR="00836FC5">
          <w:rPr>
            <w:noProof/>
            <w:webHidden/>
          </w:rPr>
          <w:tab/>
        </w:r>
        <w:r w:rsidR="00836FC5">
          <w:rPr>
            <w:noProof/>
            <w:webHidden/>
          </w:rPr>
          <w:fldChar w:fldCharType="begin"/>
        </w:r>
        <w:r w:rsidR="00836FC5">
          <w:rPr>
            <w:noProof/>
            <w:webHidden/>
          </w:rPr>
          <w:instrText xml:space="preserve"> PAGEREF _Toc448920479 \h </w:instrText>
        </w:r>
        <w:r w:rsidR="00836FC5">
          <w:rPr>
            <w:noProof/>
            <w:webHidden/>
          </w:rPr>
        </w:r>
        <w:r w:rsidR="00836FC5">
          <w:rPr>
            <w:noProof/>
            <w:webHidden/>
          </w:rPr>
          <w:fldChar w:fldCharType="separate"/>
        </w:r>
        <w:r w:rsidR="00525C82">
          <w:rPr>
            <w:noProof/>
            <w:webHidden/>
          </w:rPr>
          <w:t>77</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80" w:history="1">
        <w:r w:rsidR="00836FC5" w:rsidRPr="00C12852">
          <w:rPr>
            <w:rStyle w:val="Hyperlink"/>
            <w:noProof/>
          </w:rPr>
          <w:t>Table 36 – Stakeholders Consultation – Construction Companies and Quantity Surveyors Key Findings</w:t>
        </w:r>
        <w:r w:rsidR="00836FC5">
          <w:rPr>
            <w:noProof/>
            <w:webHidden/>
          </w:rPr>
          <w:tab/>
        </w:r>
        <w:r w:rsidR="00836FC5">
          <w:rPr>
            <w:noProof/>
            <w:webHidden/>
          </w:rPr>
          <w:fldChar w:fldCharType="begin"/>
        </w:r>
        <w:r w:rsidR="00836FC5">
          <w:rPr>
            <w:noProof/>
            <w:webHidden/>
          </w:rPr>
          <w:instrText xml:space="preserve"> PAGEREF _Toc448920480 \h </w:instrText>
        </w:r>
        <w:r w:rsidR="00836FC5">
          <w:rPr>
            <w:noProof/>
            <w:webHidden/>
          </w:rPr>
        </w:r>
        <w:r w:rsidR="00836FC5">
          <w:rPr>
            <w:noProof/>
            <w:webHidden/>
          </w:rPr>
          <w:fldChar w:fldCharType="separate"/>
        </w:r>
        <w:r w:rsidR="00525C82">
          <w:rPr>
            <w:noProof/>
            <w:webHidden/>
          </w:rPr>
          <w:t>79</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81" w:history="1">
        <w:r w:rsidR="00836FC5" w:rsidRPr="00C12852">
          <w:rPr>
            <w:rStyle w:val="Hyperlink"/>
            <w:noProof/>
          </w:rPr>
          <w:t>Table 37 – Brookfield Multiplex - Concrete Volume Ratios</w:t>
        </w:r>
        <w:r w:rsidR="00836FC5">
          <w:rPr>
            <w:noProof/>
            <w:webHidden/>
          </w:rPr>
          <w:tab/>
        </w:r>
        <w:r w:rsidR="00836FC5">
          <w:rPr>
            <w:noProof/>
            <w:webHidden/>
          </w:rPr>
          <w:fldChar w:fldCharType="begin"/>
        </w:r>
        <w:r w:rsidR="00836FC5">
          <w:rPr>
            <w:noProof/>
            <w:webHidden/>
          </w:rPr>
          <w:instrText xml:space="preserve"> PAGEREF _Toc448920481 \h </w:instrText>
        </w:r>
        <w:r w:rsidR="00836FC5">
          <w:rPr>
            <w:noProof/>
            <w:webHidden/>
          </w:rPr>
        </w:r>
        <w:r w:rsidR="00836FC5">
          <w:rPr>
            <w:noProof/>
            <w:webHidden/>
          </w:rPr>
          <w:fldChar w:fldCharType="separate"/>
        </w:r>
        <w:r w:rsidR="00525C82">
          <w:rPr>
            <w:noProof/>
            <w:webHidden/>
          </w:rPr>
          <w:t>83</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82" w:history="1">
        <w:r w:rsidR="00836FC5" w:rsidRPr="00C12852">
          <w:rPr>
            <w:rStyle w:val="Hyperlink"/>
            <w:noProof/>
          </w:rPr>
          <w:t>Table 38 – PROBUILD Concrete and Plasterboard Quantity Ratios</w:t>
        </w:r>
        <w:r w:rsidR="00836FC5">
          <w:rPr>
            <w:noProof/>
            <w:webHidden/>
          </w:rPr>
          <w:tab/>
        </w:r>
        <w:r w:rsidR="00836FC5">
          <w:rPr>
            <w:noProof/>
            <w:webHidden/>
          </w:rPr>
          <w:fldChar w:fldCharType="begin"/>
        </w:r>
        <w:r w:rsidR="00836FC5">
          <w:rPr>
            <w:noProof/>
            <w:webHidden/>
          </w:rPr>
          <w:instrText xml:space="preserve"> PAGEREF _Toc448920482 \h </w:instrText>
        </w:r>
        <w:r w:rsidR="00836FC5">
          <w:rPr>
            <w:noProof/>
            <w:webHidden/>
          </w:rPr>
        </w:r>
        <w:r w:rsidR="00836FC5">
          <w:rPr>
            <w:noProof/>
            <w:webHidden/>
          </w:rPr>
          <w:fldChar w:fldCharType="separate"/>
        </w:r>
        <w:r w:rsidR="00525C82">
          <w:rPr>
            <w:noProof/>
            <w:webHidden/>
          </w:rPr>
          <w:t>83</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83" w:history="1">
        <w:r w:rsidR="00836FC5" w:rsidRPr="00C12852">
          <w:rPr>
            <w:rStyle w:val="Hyperlink"/>
            <w:noProof/>
          </w:rPr>
          <w:t>Table 39 – Stakeholders Consultation – VicRoads Key Findings</w:t>
        </w:r>
        <w:r w:rsidR="00836FC5">
          <w:rPr>
            <w:noProof/>
            <w:webHidden/>
          </w:rPr>
          <w:tab/>
        </w:r>
        <w:r w:rsidR="00836FC5">
          <w:rPr>
            <w:noProof/>
            <w:webHidden/>
          </w:rPr>
          <w:fldChar w:fldCharType="begin"/>
        </w:r>
        <w:r w:rsidR="00836FC5">
          <w:rPr>
            <w:noProof/>
            <w:webHidden/>
          </w:rPr>
          <w:instrText xml:space="preserve"> PAGEREF _Toc448920483 \h </w:instrText>
        </w:r>
        <w:r w:rsidR="00836FC5">
          <w:rPr>
            <w:noProof/>
            <w:webHidden/>
          </w:rPr>
        </w:r>
        <w:r w:rsidR="00836FC5">
          <w:rPr>
            <w:noProof/>
            <w:webHidden/>
          </w:rPr>
          <w:fldChar w:fldCharType="separate"/>
        </w:r>
        <w:r w:rsidR="00525C82">
          <w:rPr>
            <w:noProof/>
            <w:webHidden/>
          </w:rPr>
          <w:t>84</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84" w:history="1">
        <w:r w:rsidR="00836FC5" w:rsidRPr="00C12852">
          <w:rPr>
            <w:rStyle w:val="Hyperlink"/>
            <w:noProof/>
          </w:rPr>
          <w:t>Table 40 – Boral use of hard rocks</w:t>
        </w:r>
        <w:r w:rsidR="00836FC5">
          <w:rPr>
            <w:noProof/>
            <w:webHidden/>
          </w:rPr>
          <w:tab/>
        </w:r>
        <w:r w:rsidR="00836FC5">
          <w:rPr>
            <w:noProof/>
            <w:webHidden/>
          </w:rPr>
          <w:fldChar w:fldCharType="begin"/>
        </w:r>
        <w:r w:rsidR="00836FC5">
          <w:rPr>
            <w:noProof/>
            <w:webHidden/>
          </w:rPr>
          <w:instrText xml:space="preserve"> PAGEREF _Toc448920484 \h </w:instrText>
        </w:r>
        <w:r w:rsidR="00836FC5">
          <w:rPr>
            <w:noProof/>
            <w:webHidden/>
          </w:rPr>
        </w:r>
        <w:r w:rsidR="00836FC5">
          <w:rPr>
            <w:noProof/>
            <w:webHidden/>
          </w:rPr>
          <w:fldChar w:fldCharType="separate"/>
        </w:r>
        <w:r w:rsidR="00525C82">
          <w:rPr>
            <w:noProof/>
            <w:webHidden/>
          </w:rPr>
          <w:t>88</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85" w:history="1">
        <w:r w:rsidR="00836FC5" w:rsidRPr="00C12852">
          <w:rPr>
            <w:rStyle w:val="Hyperlink"/>
            <w:noProof/>
          </w:rPr>
          <w:t>Table 41 – Production of Extractive Resources in Victoria - 2015-2050 (in million tonnes) - Baseline</w:t>
        </w:r>
        <w:r w:rsidR="00836FC5">
          <w:rPr>
            <w:noProof/>
            <w:webHidden/>
          </w:rPr>
          <w:tab/>
        </w:r>
        <w:r w:rsidR="00836FC5">
          <w:rPr>
            <w:noProof/>
            <w:webHidden/>
          </w:rPr>
          <w:fldChar w:fldCharType="begin"/>
        </w:r>
        <w:r w:rsidR="00836FC5">
          <w:rPr>
            <w:noProof/>
            <w:webHidden/>
          </w:rPr>
          <w:instrText xml:space="preserve"> PAGEREF _Toc448920485 \h </w:instrText>
        </w:r>
        <w:r w:rsidR="00836FC5">
          <w:rPr>
            <w:noProof/>
            <w:webHidden/>
          </w:rPr>
        </w:r>
        <w:r w:rsidR="00836FC5">
          <w:rPr>
            <w:noProof/>
            <w:webHidden/>
          </w:rPr>
          <w:fldChar w:fldCharType="separate"/>
        </w:r>
        <w:r w:rsidR="00525C82">
          <w:rPr>
            <w:noProof/>
            <w:webHidden/>
          </w:rPr>
          <w:t>90</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86" w:history="1">
        <w:r w:rsidR="00836FC5" w:rsidRPr="00C12852">
          <w:rPr>
            <w:rStyle w:val="Hyperlink"/>
            <w:noProof/>
          </w:rPr>
          <w:t>Table 42 – Production of Extractive Resources in Victoria - 2015-2050 (in million tonnes) – Scenario 1A</w:t>
        </w:r>
        <w:r w:rsidR="00836FC5">
          <w:rPr>
            <w:noProof/>
            <w:webHidden/>
          </w:rPr>
          <w:tab/>
        </w:r>
        <w:r w:rsidR="00836FC5">
          <w:rPr>
            <w:noProof/>
            <w:webHidden/>
          </w:rPr>
          <w:fldChar w:fldCharType="begin"/>
        </w:r>
        <w:r w:rsidR="00836FC5">
          <w:rPr>
            <w:noProof/>
            <w:webHidden/>
          </w:rPr>
          <w:instrText xml:space="preserve"> PAGEREF _Toc448920486 \h </w:instrText>
        </w:r>
        <w:r w:rsidR="00836FC5">
          <w:rPr>
            <w:noProof/>
            <w:webHidden/>
          </w:rPr>
        </w:r>
        <w:r w:rsidR="00836FC5">
          <w:rPr>
            <w:noProof/>
            <w:webHidden/>
          </w:rPr>
          <w:fldChar w:fldCharType="separate"/>
        </w:r>
        <w:r w:rsidR="00525C82">
          <w:rPr>
            <w:noProof/>
            <w:webHidden/>
          </w:rPr>
          <w:t>90</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87" w:history="1">
        <w:r w:rsidR="00836FC5" w:rsidRPr="00C12852">
          <w:rPr>
            <w:rStyle w:val="Hyperlink"/>
            <w:noProof/>
          </w:rPr>
          <w:t>Table 43 – Production of Extractive Resources in Victoria - 2015-2050 (in million tonnes) – Scenario 1B</w:t>
        </w:r>
        <w:r w:rsidR="00836FC5">
          <w:rPr>
            <w:noProof/>
            <w:webHidden/>
          </w:rPr>
          <w:tab/>
        </w:r>
        <w:r w:rsidR="00836FC5">
          <w:rPr>
            <w:noProof/>
            <w:webHidden/>
          </w:rPr>
          <w:fldChar w:fldCharType="begin"/>
        </w:r>
        <w:r w:rsidR="00836FC5">
          <w:rPr>
            <w:noProof/>
            <w:webHidden/>
          </w:rPr>
          <w:instrText xml:space="preserve"> PAGEREF _Toc448920487 \h </w:instrText>
        </w:r>
        <w:r w:rsidR="00836FC5">
          <w:rPr>
            <w:noProof/>
            <w:webHidden/>
          </w:rPr>
        </w:r>
        <w:r w:rsidR="00836FC5">
          <w:rPr>
            <w:noProof/>
            <w:webHidden/>
          </w:rPr>
          <w:fldChar w:fldCharType="separate"/>
        </w:r>
        <w:r w:rsidR="00525C82">
          <w:rPr>
            <w:noProof/>
            <w:webHidden/>
          </w:rPr>
          <w:t>90</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88" w:history="1">
        <w:r w:rsidR="00836FC5" w:rsidRPr="00C12852">
          <w:rPr>
            <w:rStyle w:val="Hyperlink"/>
            <w:noProof/>
          </w:rPr>
          <w:t>Table 44 – Production of Extractive Resources in Victoria - 2015-2050 (in million tonnes) – Scenario 2A</w:t>
        </w:r>
        <w:r w:rsidR="00836FC5">
          <w:rPr>
            <w:noProof/>
            <w:webHidden/>
          </w:rPr>
          <w:tab/>
        </w:r>
        <w:r w:rsidR="00836FC5">
          <w:rPr>
            <w:noProof/>
            <w:webHidden/>
          </w:rPr>
          <w:fldChar w:fldCharType="begin"/>
        </w:r>
        <w:r w:rsidR="00836FC5">
          <w:rPr>
            <w:noProof/>
            <w:webHidden/>
          </w:rPr>
          <w:instrText xml:space="preserve"> PAGEREF _Toc448920488 \h </w:instrText>
        </w:r>
        <w:r w:rsidR="00836FC5">
          <w:rPr>
            <w:noProof/>
            <w:webHidden/>
          </w:rPr>
        </w:r>
        <w:r w:rsidR="00836FC5">
          <w:rPr>
            <w:noProof/>
            <w:webHidden/>
          </w:rPr>
          <w:fldChar w:fldCharType="separate"/>
        </w:r>
        <w:r w:rsidR="00525C82">
          <w:rPr>
            <w:noProof/>
            <w:webHidden/>
          </w:rPr>
          <w:t>91</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89" w:history="1">
        <w:r w:rsidR="00836FC5" w:rsidRPr="00C12852">
          <w:rPr>
            <w:rStyle w:val="Hyperlink"/>
            <w:noProof/>
          </w:rPr>
          <w:t>Table 45 – Production of Extractive Resources in Victoria - 2015-2050 (in million tonnes) – Scenario 3A</w:t>
        </w:r>
        <w:r w:rsidR="00836FC5">
          <w:rPr>
            <w:noProof/>
            <w:webHidden/>
          </w:rPr>
          <w:tab/>
        </w:r>
        <w:r w:rsidR="00836FC5">
          <w:rPr>
            <w:noProof/>
            <w:webHidden/>
          </w:rPr>
          <w:fldChar w:fldCharType="begin"/>
        </w:r>
        <w:r w:rsidR="00836FC5">
          <w:rPr>
            <w:noProof/>
            <w:webHidden/>
          </w:rPr>
          <w:instrText xml:space="preserve"> PAGEREF _Toc448920489 \h </w:instrText>
        </w:r>
        <w:r w:rsidR="00836FC5">
          <w:rPr>
            <w:noProof/>
            <w:webHidden/>
          </w:rPr>
        </w:r>
        <w:r w:rsidR="00836FC5">
          <w:rPr>
            <w:noProof/>
            <w:webHidden/>
          </w:rPr>
          <w:fldChar w:fldCharType="separate"/>
        </w:r>
        <w:r w:rsidR="00525C82">
          <w:rPr>
            <w:noProof/>
            <w:webHidden/>
          </w:rPr>
          <w:t>91</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90" w:history="1">
        <w:r w:rsidR="00836FC5" w:rsidRPr="00C12852">
          <w:rPr>
            <w:rStyle w:val="Hyperlink"/>
            <w:noProof/>
          </w:rPr>
          <w:t>Table 46 – Production of Extractive Resources in Victoria - 2015-2050 (in million tonnes) – Scenario 3B</w:t>
        </w:r>
        <w:r w:rsidR="00836FC5">
          <w:rPr>
            <w:noProof/>
            <w:webHidden/>
          </w:rPr>
          <w:tab/>
        </w:r>
        <w:r w:rsidR="00836FC5">
          <w:rPr>
            <w:noProof/>
            <w:webHidden/>
          </w:rPr>
          <w:fldChar w:fldCharType="begin"/>
        </w:r>
        <w:r w:rsidR="00836FC5">
          <w:rPr>
            <w:noProof/>
            <w:webHidden/>
          </w:rPr>
          <w:instrText xml:space="preserve"> PAGEREF _Toc448920490 \h </w:instrText>
        </w:r>
        <w:r w:rsidR="00836FC5">
          <w:rPr>
            <w:noProof/>
            <w:webHidden/>
          </w:rPr>
        </w:r>
        <w:r w:rsidR="00836FC5">
          <w:rPr>
            <w:noProof/>
            <w:webHidden/>
          </w:rPr>
          <w:fldChar w:fldCharType="separate"/>
        </w:r>
        <w:r w:rsidR="00525C82">
          <w:rPr>
            <w:noProof/>
            <w:webHidden/>
          </w:rPr>
          <w:t>91</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91" w:history="1">
        <w:r w:rsidR="00836FC5" w:rsidRPr="00C12852">
          <w:rPr>
            <w:rStyle w:val="Hyperlink"/>
            <w:noProof/>
          </w:rPr>
          <w:t>Table 47 – Cost Reckoner – Vehicle Mix</w:t>
        </w:r>
        <w:r w:rsidR="00836FC5">
          <w:rPr>
            <w:noProof/>
            <w:webHidden/>
          </w:rPr>
          <w:tab/>
        </w:r>
        <w:r w:rsidR="00836FC5">
          <w:rPr>
            <w:noProof/>
            <w:webHidden/>
          </w:rPr>
          <w:fldChar w:fldCharType="begin"/>
        </w:r>
        <w:r w:rsidR="00836FC5">
          <w:rPr>
            <w:noProof/>
            <w:webHidden/>
          </w:rPr>
          <w:instrText xml:space="preserve"> PAGEREF _Toc448920491 \h </w:instrText>
        </w:r>
        <w:r w:rsidR="00836FC5">
          <w:rPr>
            <w:noProof/>
            <w:webHidden/>
          </w:rPr>
        </w:r>
        <w:r w:rsidR="00836FC5">
          <w:rPr>
            <w:noProof/>
            <w:webHidden/>
          </w:rPr>
          <w:fldChar w:fldCharType="separate"/>
        </w:r>
        <w:r w:rsidR="00525C82">
          <w:rPr>
            <w:noProof/>
            <w:webHidden/>
          </w:rPr>
          <w:t>104</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92" w:history="1">
        <w:r w:rsidR="00836FC5" w:rsidRPr="00C12852">
          <w:rPr>
            <w:rStyle w:val="Hyperlink"/>
            <w:noProof/>
          </w:rPr>
          <w:t>Table 48 – Estimated values of externalities for freight heavy vehicles, 2011 Australian dollars</w:t>
        </w:r>
        <w:r w:rsidR="00836FC5">
          <w:rPr>
            <w:noProof/>
            <w:webHidden/>
          </w:rPr>
          <w:tab/>
        </w:r>
        <w:r w:rsidR="00836FC5">
          <w:rPr>
            <w:noProof/>
            <w:webHidden/>
          </w:rPr>
          <w:fldChar w:fldCharType="begin"/>
        </w:r>
        <w:r w:rsidR="00836FC5">
          <w:rPr>
            <w:noProof/>
            <w:webHidden/>
          </w:rPr>
          <w:instrText xml:space="preserve"> PAGEREF _Toc448920492 \h </w:instrText>
        </w:r>
        <w:r w:rsidR="00836FC5">
          <w:rPr>
            <w:noProof/>
            <w:webHidden/>
          </w:rPr>
        </w:r>
        <w:r w:rsidR="00836FC5">
          <w:rPr>
            <w:noProof/>
            <w:webHidden/>
          </w:rPr>
          <w:fldChar w:fldCharType="separate"/>
        </w:r>
        <w:r w:rsidR="00525C82">
          <w:rPr>
            <w:noProof/>
            <w:webHidden/>
          </w:rPr>
          <w:t>104</w:t>
        </w:r>
        <w:r w:rsidR="00836FC5">
          <w:rPr>
            <w:noProof/>
            <w:webHidden/>
          </w:rPr>
          <w:fldChar w:fldCharType="end"/>
        </w:r>
      </w:hyperlink>
    </w:p>
    <w:p w:rsidR="00836FC5" w:rsidRDefault="000701D2" w:rsidP="00111679">
      <w:pPr>
        <w:pStyle w:val="TableofFigures"/>
        <w:tabs>
          <w:tab w:val="right" w:leader="dot" w:pos="9019"/>
        </w:tabs>
        <w:spacing w:after="40"/>
        <w:rPr>
          <w:rFonts w:asciiTheme="minorHAnsi" w:eastAsiaTheme="minorEastAsia" w:hAnsiTheme="minorHAnsi" w:cstheme="minorBidi"/>
          <w:noProof/>
          <w:sz w:val="22"/>
          <w:szCs w:val="22"/>
          <w:lang w:eastAsia="en-AU"/>
        </w:rPr>
      </w:pPr>
      <w:hyperlink w:anchor="_Toc448920493" w:history="1">
        <w:r w:rsidR="00836FC5" w:rsidRPr="00C12852">
          <w:rPr>
            <w:rStyle w:val="Hyperlink"/>
            <w:noProof/>
          </w:rPr>
          <w:t>Table 49 – Cost Reckoner Escalation Profile - Sources</w:t>
        </w:r>
        <w:r w:rsidR="00836FC5">
          <w:rPr>
            <w:noProof/>
            <w:webHidden/>
          </w:rPr>
          <w:tab/>
        </w:r>
        <w:r w:rsidR="00836FC5">
          <w:rPr>
            <w:noProof/>
            <w:webHidden/>
          </w:rPr>
          <w:fldChar w:fldCharType="begin"/>
        </w:r>
        <w:r w:rsidR="00836FC5">
          <w:rPr>
            <w:noProof/>
            <w:webHidden/>
          </w:rPr>
          <w:instrText xml:space="preserve"> PAGEREF _Toc448920493 \h </w:instrText>
        </w:r>
        <w:r w:rsidR="00836FC5">
          <w:rPr>
            <w:noProof/>
            <w:webHidden/>
          </w:rPr>
        </w:r>
        <w:r w:rsidR="00836FC5">
          <w:rPr>
            <w:noProof/>
            <w:webHidden/>
          </w:rPr>
          <w:fldChar w:fldCharType="separate"/>
        </w:r>
        <w:r w:rsidR="00525C82">
          <w:rPr>
            <w:noProof/>
            <w:webHidden/>
          </w:rPr>
          <w:t>105</w:t>
        </w:r>
        <w:r w:rsidR="00836FC5">
          <w:rPr>
            <w:noProof/>
            <w:webHidden/>
          </w:rPr>
          <w:fldChar w:fldCharType="end"/>
        </w:r>
      </w:hyperlink>
    </w:p>
    <w:p w:rsidR="001D25CA" w:rsidRPr="00D14CE9" w:rsidRDefault="00836FC5" w:rsidP="00111679">
      <w:pPr>
        <w:pStyle w:val="EYContentsContinued"/>
        <w:tabs>
          <w:tab w:val="right" w:leader="dot" w:pos="9000"/>
        </w:tabs>
        <w:spacing w:after="40"/>
        <w:ind w:left="851" w:hanging="851"/>
        <w:rPr>
          <w:lang w:val="en-AU"/>
        </w:rPr>
      </w:pPr>
      <w:r>
        <w:rPr>
          <w:lang w:val="en-AU"/>
        </w:rPr>
        <w:fldChar w:fldCharType="end"/>
      </w:r>
    </w:p>
    <w:p w:rsidR="00D00F13" w:rsidRDefault="00D00F13">
      <w:pPr>
        <w:widowControl/>
        <w:autoSpaceDE/>
        <w:autoSpaceDN/>
        <w:adjustRightInd/>
        <w:sectPr w:rsidR="00D00F13" w:rsidSect="003637FD">
          <w:headerReference w:type="even" r:id="rId13"/>
          <w:headerReference w:type="default" r:id="rId14"/>
          <w:footerReference w:type="default" r:id="rId15"/>
          <w:pgSz w:w="11909" w:h="16834" w:code="9"/>
          <w:pgMar w:top="1440" w:right="1440" w:bottom="1135" w:left="1440" w:header="720" w:footer="567" w:gutter="0"/>
          <w:pgNumType w:fmt="lowerRoman" w:start="1"/>
          <w:cols w:space="720"/>
          <w:docGrid w:linePitch="360"/>
        </w:sectPr>
      </w:pPr>
      <w:bookmarkStart w:id="1" w:name="_Toc212886784"/>
    </w:p>
    <w:p w:rsidR="004F7635" w:rsidRPr="00D14CE9" w:rsidRDefault="00D00F13">
      <w:pPr>
        <w:widowControl/>
        <w:autoSpaceDE/>
        <w:autoSpaceDN/>
        <w:adjustRightInd/>
        <w:sectPr w:rsidR="004F7635" w:rsidRPr="00D14CE9" w:rsidSect="000B6297">
          <w:pgSz w:w="11909" w:h="16834" w:code="9"/>
          <w:pgMar w:top="1440" w:right="1440" w:bottom="1440" w:left="1440" w:header="720" w:footer="567" w:gutter="0"/>
          <w:pgNumType w:fmt="lowerRoman" w:start="1"/>
          <w:cols w:space="720"/>
          <w:docGrid w:linePitch="360"/>
        </w:sectPr>
      </w:pPr>
      <w:r>
        <w:rPr>
          <w:noProof/>
          <w:lang w:eastAsia="en-AU"/>
        </w:rPr>
        <w:lastRenderedPageBreak/>
        <mc:AlternateContent>
          <mc:Choice Requires="wps">
            <w:drawing>
              <wp:anchor distT="0" distB="0" distL="114300" distR="114300" simplePos="0" relativeHeight="251661312" behindDoc="0" locked="0" layoutInCell="1" allowOverlap="1" wp14:anchorId="5DB109D8" wp14:editId="6BD38A45">
                <wp:simplePos x="0" y="0"/>
                <wp:positionH relativeFrom="column">
                  <wp:posOffset>-259080</wp:posOffset>
                </wp:positionH>
                <wp:positionV relativeFrom="paragraph">
                  <wp:posOffset>7391400</wp:posOffset>
                </wp:positionV>
                <wp:extent cx="6385560" cy="1310640"/>
                <wp:effectExtent l="0" t="0" r="0" b="3810"/>
                <wp:wrapNone/>
                <wp:docPr id="2159" name="Text Box 2159"/>
                <wp:cNvGraphicFramePr/>
                <a:graphic xmlns:a="http://schemas.openxmlformats.org/drawingml/2006/main">
                  <a:graphicData uri="http://schemas.microsoft.com/office/word/2010/wordprocessingShape">
                    <wps:wsp>
                      <wps:cNvSpPr txBox="1"/>
                      <wps:spPr>
                        <a:xfrm>
                          <a:off x="0" y="0"/>
                          <a:ext cx="638556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754" w:rsidRDefault="003C7754" w:rsidP="00D00F13">
                            <w:pPr>
                              <w:pStyle w:val="EYCoverTitle"/>
                            </w:pPr>
                            <w: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59" o:spid="_x0000_s1027" type="#_x0000_t202" style="position:absolute;margin-left:-20.4pt;margin-top:582pt;width:502.8pt;height:103.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TsggIAAHAFAAAOAAAAZHJzL2Uyb0RvYy54bWysVEtPGzEQvlfqf7B8L5sNJIWIDUpBVJUQ&#10;oELVs+O1yaq2x7Un2U1/fcfezUO0F6pedscz37wfl1edNWyjQmzAVbw8GXGmnIS6cS8V//Z8++Gc&#10;s4jC1cKAUxXfqsiv5u/fXbZ+psawAlOrwMiIi7PWV3yF6GdFEeVKWRFPwCtHQg3BCqRneCnqIFqy&#10;bk0xHo2mRQuh9gGkipG4N72Qz7N9rZXEB62jQmYqTrFh/ob8XaZvMb8Us5cg/KqRQxjiH6KwonHk&#10;dG/qRqBg69D8Yco2MkAEjScSbAFaN1LlHCibcvQqm6eV8CrnQsWJfl+m+P/MyvvNY2BNXfFxObng&#10;zAlLXXpWHbJP0LHMpBq1Ps4I+uQJjB1JqNepdokfiZlS73Sw6U9JMZJTtbf7Cid7kpjT0/PJZEoi&#10;SbLytBxNz3IPioO6DxE/K7AsERUP1MJcWbG5i0guCbqDJG8ObhtjchuNY21yMRllhb2ENIxLWJUH&#10;YjBzCD1TuDUqYYz7qjQVJGeQGHkU1bUJbCNoiISUymFOPtsldEJpCuItigP+ENVblPs8dp7B4V7Z&#10;Ng5Czv5V2PWPXci6x1Mhj/JOJHbLLk/CvrNLqLfU8AD92kQvbxtqyp2I+CgC7Qk1knYfH+ijDVDx&#10;YaA4W0H49Td+wtP4kpSzlvau4vHnWgTFmfniaLAvyjMaCYb5cTb5OKZHOJYsjyVuba+BulLSlfEy&#10;kwmPZkfqAPY7nYhF8koi4ST5rjjuyGvsrwGdGKkWiwyi1fQC79yTl8l0alIauefuuwh+mEukkb6H&#10;3YaK2avx7LFJ08FijaCbPLupzn1Vh/rTWueRHk5QuhvH74w6HMr5bwAAAP//AwBQSwMEFAAGAAgA&#10;AAAhAL7scErjAAAADQEAAA8AAABkcnMvZG93bnJldi54bWxMj81OwzAQhO9IvIO1SNxauyWENsSp&#10;qkgVEqKHll56c+JtEuGfELtt4OlZTnDcmdHsN/lqtIZdcAiddxJmUwEMXe115xoJh/fNZAEsROW0&#10;Mt6hhC8MsCpub3KVaX91O7zsY8OoxIVMSWhj7DPOQ92iVWHqe3TknfxgVaRzaLge1JXKreFzIVJu&#10;VefoQ6t6LFusP/ZnK+G13GzVrprbxbcpX95O6/7zcHyU8v5uXD8DizjGvzD84hM6FMRU+bPTgRkJ&#10;k0QQeiRjlia0iiLLNCGpIunhSSTAi5z/X1H8AAAA//8DAFBLAQItABQABgAIAAAAIQC2gziS/gAA&#10;AOEBAAATAAAAAAAAAAAAAAAAAAAAAABbQ29udGVudF9UeXBlc10ueG1sUEsBAi0AFAAGAAgAAAAh&#10;ADj9If/WAAAAlAEAAAsAAAAAAAAAAAAAAAAALwEAAF9yZWxzLy5yZWxzUEsBAi0AFAAGAAgAAAAh&#10;AEmjNOyCAgAAcAUAAA4AAAAAAAAAAAAAAAAALgIAAGRycy9lMm9Eb2MueG1sUEsBAi0AFAAGAAgA&#10;AAAhAL7scErjAAAADQEAAA8AAAAAAAAAAAAAAAAA3AQAAGRycy9kb3ducmV2LnhtbFBLBQYAAAAA&#10;BAAEAPMAAADsBQAAAAA=&#10;" filled="f" stroked="f" strokeweight=".5pt">
                <v:textbox>
                  <w:txbxContent>
                    <w:p w:rsidR="003C7754" w:rsidRDefault="003C7754" w:rsidP="00D00F13">
                      <w:pPr>
                        <w:pStyle w:val="EYCoverTitle"/>
                      </w:pPr>
                      <w:r>
                        <w:t>Executive summary</w:t>
                      </w:r>
                    </w:p>
                  </w:txbxContent>
                </v:textbox>
              </v:shape>
            </w:pict>
          </mc:Fallback>
        </mc:AlternateContent>
      </w:r>
      <w:r>
        <w:rPr>
          <w:noProof/>
          <w:lang w:eastAsia="en-AU"/>
        </w:rPr>
        <w:drawing>
          <wp:anchor distT="0" distB="0" distL="114300" distR="114300" simplePos="0" relativeHeight="251660288" behindDoc="1" locked="1" layoutInCell="1" allowOverlap="1" wp14:anchorId="2D6C5B00" wp14:editId="30EBD210">
            <wp:simplePos x="0" y="0"/>
            <wp:positionH relativeFrom="column">
              <wp:posOffset>-944880</wp:posOffset>
            </wp:positionH>
            <wp:positionV relativeFrom="paragraph">
              <wp:posOffset>-1824355</wp:posOffset>
            </wp:positionV>
            <wp:extent cx="7604760" cy="11608435"/>
            <wp:effectExtent l="0" t="0" r="0" b="0"/>
            <wp:wrapNone/>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604760" cy="11608435"/>
                    </a:xfrm>
                    <a:prstGeom prst="rect">
                      <a:avLst/>
                    </a:prstGeom>
                  </pic:spPr>
                </pic:pic>
              </a:graphicData>
            </a:graphic>
            <wp14:sizeRelH relativeFrom="page">
              <wp14:pctWidth>0</wp14:pctWidth>
            </wp14:sizeRelH>
            <wp14:sizeRelV relativeFrom="page">
              <wp14:pctHeight>0</wp14:pctHeight>
            </wp14:sizeRelV>
          </wp:anchor>
        </w:drawing>
      </w:r>
    </w:p>
    <w:p w:rsidR="00B264BF" w:rsidRPr="00D14CE9" w:rsidRDefault="000F67A7" w:rsidP="00F92606">
      <w:pPr>
        <w:pStyle w:val="EYHeading1"/>
        <w:pageBreakBefore w:val="0"/>
        <w:numPr>
          <w:ilvl w:val="0"/>
          <w:numId w:val="0"/>
        </w:numPr>
      </w:pPr>
      <w:bookmarkStart w:id="2" w:name="_Toc451847066"/>
      <w:bookmarkEnd w:id="1"/>
      <w:r w:rsidRPr="00D14CE9">
        <w:lastRenderedPageBreak/>
        <w:t>Executive summary</w:t>
      </w:r>
      <w:bookmarkEnd w:id="2"/>
    </w:p>
    <w:p w:rsidR="00B264BF" w:rsidRPr="00D14CE9" w:rsidRDefault="00B43E74" w:rsidP="00A9654D">
      <w:pPr>
        <w:pStyle w:val="EYBodytextwithparaspace"/>
        <w:spacing w:after="120"/>
        <w:rPr>
          <w:b/>
          <w:sz w:val="28"/>
          <w:szCs w:val="28"/>
          <w:lang w:val="en-AU"/>
        </w:rPr>
      </w:pPr>
      <w:bookmarkStart w:id="3" w:name="_Toc441683095"/>
      <w:bookmarkStart w:id="4" w:name="_Toc441686081"/>
      <w:bookmarkStart w:id="5" w:name="_Toc441686178"/>
      <w:bookmarkStart w:id="6" w:name="_Toc441735860"/>
      <w:bookmarkStart w:id="7" w:name="_Toc441830029"/>
      <w:bookmarkStart w:id="8" w:name="_Toc441830823"/>
      <w:bookmarkStart w:id="9" w:name="_Toc441832223"/>
      <w:r w:rsidRPr="00D14CE9">
        <w:rPr>
          <w:b/>
          <w:sz w:val="28"/>
          <w:szCs w:val="28"/>
          <w:lang w:val="en-AU"/>
        </w:rPr>
        <w:t>Purpose</w:t>
      </w:r>
      <w:bookmarkEnd w:id="3"/>
      <w:bookmarkEnd w:id="4"/>
      <w:bookmarkEnd w:id="5"/>
      <w:bookmarkEnd w:id="6"/>
      <w:bookmarkEnd w:id="7"/>
      <w:bookmarkEnd w:id="8"/>
      <w:bookmarkEnd w:id="9"/>
    </w:p>
    <w:p w:rsidR="00BF5CCE" w:rsidRPr="00D14CE9" w:rsidRDefault="00F264D8" w:rsidP="00C200D0">
      <w:pPr>
        <w:pStyle w:val="EYBodytextwithparaspace"/>
        <w:rPr>
          <w:lang w:val="en-AU"/>
        </w:rPr>
      </w:pPr>
      <w:bookmarkStart w:id="10" w:name="_Toc212886786"/>
      <w:r w:rsidRPr="00D14CE9">
        <w:rPr>
          <w:lang w:val="en-AU"/>
        </w:rPr>
        <w:t>The production of extractive resources grow</w:t>
      </w:r>
      <w:r w:rsidR="005A5DCF" w:rsidRPr="00D14CE9">
        <w:rPr>
          <w:lang w:val="en-AU"/>
        </w:rPr>
        <w:t>s</w:t>
      </w:r>
      <w:r w:rsidRPr="00D14CE9">
        <w:rPr>
          <w:lang w:val="en-AU"/>
        </w:rPr>
        <w:t xml:space="preserve"> as the demand for construction </w:t>
      </w:r>
      <w:r w:rsidR="00CE752C" w:rsidRPr="00D14CE9">
        <w:rPr>
          <w:lang w:val="en-AU"/>
        </w:rPr>
        <w:t>materials increases</w:t>
      </w:r>
      <w:r w:rsidRPr="00D14CE9">
        <w:rPr>
          <w:lang w:val="en-AU"/>
        </w:rPr>
        <w:t xml:space="preserve">, which creates heightened challenges for the Victorian </w:t>
      </w:r>
      <w:r w:rsidR="00BF5CCE" w:rsidRPr="00D14CE9">
        <w:rPr>
          <w:lang w:val="en-AU"/>
        </w:rPr>
        <w:t>Government as</w:t>
      </w:r>
      <w:r w:rsidRPr="00D14CE9">
        <w:rPr>
          <w:lang w:val="en-AU"/>
        </w:rPr>
        <w:t xml:space="preserve"> competing land use</w:t>
      </w:r>
      <w:r w:rsidR="00BF5CCE" w:rsidRPr="00D14CE9">
        <w:rPr>
          <w:lang w:val="en-AU"/>
        </w:rPr>
        <w:t>s</w:t>
      </w:r>
      <w:r w:rsidRPr="00D14CE9">
        <w:rPr>
          <w:lang w:val="en-AU"/>
        </w:rPr>
        <w:t>, particularly in urban and regional fringe areas</w:t>
      </w:r>
      <w:r w:rsidR="00BF5CCE" w:rsidRPr="00D14CE9">
        <w:rPr>
          <w:lang w:val="en-AU"/>
        </w:rPr>
        <w:t>, have the potential to sterilise strategic extractive resources and increase the cost and complexity of future construction activity</w:t>
      </w:r>
      <w:r w:rsidRPr="00D14CE9">
        <w:rPr>
          <w:lang w:val="en-AU"/>
        </w:rPr>
        <w:t xml:space="preserve">. </w:t>
      </w:r>
    </w:p>
    <w:p w:rsidR="00F264D8" w:rsidRPr="00D14CE9" w:rsidRDefault="00BF5CCE" w:rsidP="00C200D0">
      <w:pPr>
        <w:pStyle w:val="EYBodytextwithparaspace"/>
        <w:rPr>
          <w:lang w:val="en-AU"/>
        </w:rPr>
      </w:pPr>
      <w:r w:rsidRPr="00D14CE9">
        <w:rPr>
          <w:lang w:val="en-AU"/>
        </w:rPr>
        <w:t xml:space="preserve">The Victorian Government </w:t>
      </w:r>
      <w:r w:rsidR="00346E56" w:rsidRPr="00D14CE9">
        <w:rPr>
          <w:lang w:val="en-AU"/>
        </w:rPr>
        <w:t xml:space="preserve">recognises </w:t>
      </w:r>
      <w:r w:rsidRPr="00D14CE9">
        <w:rPr>
          <w:lang w:val="en-AU"/>
        </w:rPr>
        <w:t xml:space="preserve">these challenges and </w:t>
      </w:r>
      <w:r w:rsidR="00DD232E">
        <w:rPr>
          <w:lang w:val="en-AU"/>
        </w:rPr>
        <w:t xml:space="preserve">to that end established </w:t>
      </w:r>
      <w:r w:rsidRPr="00D14CE9">
        <w:rPr>
          <w:lang w:val="en-AU"/>
        </w:rPr>
        <w:t>the Extractive Industries Taskforce</w:t>
      </w:r>
      <w:r w:rsidR="00C63021" w:rsidRPr="00D14CE9">
        <w:rPr>
          <w:lang w:val="en-AU"/>
        </w:rPr>
        <w:t>, following the recommendations from the Victorian Parliament’s Economic Development and Infrastructure Committee’s inquiry into greenfield mineral exploration and project development in Victoria, released in May 2012. The purpose of the Extractive Industries Taskforce is</w:t>
      </w:r>
      <w:r w:rsidRPr="00D14CE9">
        <w:rPr>
          <w:lang w:val="en-AU"/>
        </w:rPr>
        <w:t xml:space="preserve"> to identify </w:t>
      </w:r>
      <w:r w:rsidR="00761431" w:rsidRPr="00D14CE9">
        <w:rPr>
          <w:lang w:val="en-AU"/>
        </w:rPr>
        <w:t>which resources (and their location) are likely to be of strategic value</w:t>
      </w:r>
      <w:r w:rsidR="00CE752C" w:rsidRPr="00D14CE9">
        <w:rPr>
          <w:lang w:val="en-AU"/>
        </w:rPr>
        <w:t>, so as to appropriately inform the Victorian Government’s</w:t>
      </w:r>
      <w:r w:rsidR="00FB334C" w:rsidRPr="00D14CE9">
        <w:rPr>
          <w:lang w:val="en-AU"/>
        </w:rPr>
        <w:t xml:space="preserve"> industry and</w:t>
      </w:r>
      <w:r w:rsidR="00CE752C" w:rsidRPr="00D14CE9">
        <w:rPr>
          <w:lang w:val="en-AU"/>
        </w:rPr>
        <w:t xml:space="preserve"> land use </w:t>
      </w:r>
      <w:r w:rsidR="00FB334C" w:rsidRPr="00D14CE9">
        <w:rPr>
          <w:lang w:val="en-AU"/>
        </w:rPr>
        <w:t>policies</w:t>
      </w:r>
      <w:r w:rsidR="00761431" w:rsidRPr="00D14CE9">
        <w:rPr>
          <w:lang w:val="en-AU"/>
        </w:rPr>
        <w:t xml:space="preserve"> and enable planning for the supply of Victoria’s extractive resources to be secured and for the delivery of public infrastructure, housing and private sector development</w:t>
      </w:r>
      <w:r w:rsidRPr="00D14CE9">
        <w:rPr>
          <w:lang w:val="en-AU"/>
        </w:rPr>
        <w:t>.</w:t>
      </w:r>
      <w:r w:rsidR="00F264D8" w:rsidRPr="00D14CE9">
        <w:rPr>
          <w:lang w:val="en-AU"/>
        </w:rPr>
        <w:t xml:space="preserve"> </w:t>
      </w:r>
      <w:r w:rsidR="007B7368" w:rsidRPr="00D14CE9">
        <w:rPr>
          <w:lang w:val="en-AU"/>
        </w:rPr>
        <w:t>To support the Taskforce,</w:t>
      </w:r>
      <w:r w:rsidR="00F264D8" w:rsidRPr="00D14CE9">
        <w:rPr>
          <w:lang w:val="en-AU"/>
        </w:rPr>
        <w:t xml:space="preserve"> the Department of Economic Development, Jobs, Transport and Resources (DEDJTR) commission</w:t>
      </w:r>
      <w:r w:rsidR="00C17BBE" w:rsidRPr="00D14CE9">
        <w:rPr>
          <w:lang w:val="en-AU"/>
        </w:rPr>
        <w:t>ed</w:t>
      </w:r>
      <w:r w:rsidR="00F264D8" w:rsidRPr="00D14CE9">
        <w:rPr>
          <w:lang w:val="en-AU"/>
        </w:rPr>
        <w:t xml:space="preserve"> an independent </w:t>
      </w:r>
      <w:r w:rsidR="00346E56" w:rsidRPr="00D14CE9">
        <w:rPr>
          <w:lang w:val="en-AU"/>
        </w:rPr>
        <w:t>d</w:t>
      </w:r>
      <w:r w:rsidR="00914262" w:rsidRPr="00D14CE9">
        <w:rPr>
          <w:lang w:val="en-AU"/>
        </w:rPr>
        <w:t xml:space="preserve">emand </w:t>
      </w:r>
      <w:r w:rsidR="00F264D8" w:rsidRPr="00D14CE9">
        <w:rPr>
          <w:lang w:val="en-AU"/>
        </w:rPr>
        <w:t>research project to:</w:t>
      </w:r>
    </w:p>
    <w:p w:rsidR="00F264D8" w:rsidRPr="00D14CE9" w:rsidRDefault="00F264D8" w:rsidP="00C200D0">
      <w:pPr>
        <w:pStyle w:val="EYBulletedList1"/>
        <w:spacing w:after="120"/>
        <w:rPr>
          <w:lang w:val="en-AU"/>
        </w:rPr>
      </w:pPr>
      <w:r w:rsidRPr="00D14CE9">
        <w:rPr>
          <w:lang w:val="en-AU"/>
        </w:rPr>
        <w:t>Develop consolidated and regional views of the projected demand for extractive resources from 2015 to 2050, through the assessment of the needs for extractive resources from the public and private sectors.</w:t>
      </w:r>
      <w:r w:rsidR="00620572" w:rsidRPr="00D14CE9">
        <w:rPr>
          <w:lang w:val="en-AU"/>
        </w:rPr>
        <w:t xml:space="preserve"> </w:t>
      </w:r>
      <w:r w:rsidR="000C7C35" w:rsidRPr="00D14CE9">
        <w:rPr>
          <w:lang w:val="en-AU"/>
        </w:rPr>
        <w:t>EY</w:t>
      </w:r>
      <w:r w:rsidR="004D204F" w:rsidRPr="00D14CE9">
        <w:rPr>
          <w:lang w:val="en-AU"/>
        </w:rPr>
        <w:t xml:space="preserve"> was appointed by the DEDJTR to undertake the demand analysis</w:t>
      </w:r>
      <w:r w:rsidR="000C7C35" w:rsidRPr="00D14CE9">
        <w:rPr>
          <w:lang w:val="en-AU"/>
        </w:rPr>
        <w:t>.</w:t>
      </w:r>
    </w:p>
    <w:p w:rsidR="00F264D8" w:rsidRPr="00D14CE9" w:rsidRDefault="00F264D8" w:rsidP="00C200D0">
      <w:pPr>
        <w:pStyle w:val="EYBulletedList1"/>
        <w:spacing w:after="120"/>
        <w:rPr>
          <w:lang w:val="en-AU"/>
        </w:rPr>
      </w:pPr>
      <w:r w:rsidRPr="00D14CE9">
        <w:rPr>
          <w:lang w:val="en-AU"/>
        </w:rPr>
        <w:t xml:space="preserve">Solicit the various perspectives held by industry across the supply chain in relation to available capacity and potential capacity constraints.   </w:t>
      </w:r>
    </w:p>
    <w:p w:rsidR="00F264D8" w:rsidRPr="00D14CE9" w:rsidRDefault="00F264D8" w:rsidP="00C200D0">
      <w:pPr>
        <w:pStyle w:val="EYBulletedList1"/>
        <w:spacing w:after="120"/>
        <w:rPr>
          <w:lang w:val="en-AU"/>
        </w:rPr>
      </w:pPr>
      <w:r w:rsidRPr="00D14CE9">
        <w:rPr>
          <w:lang w:val="en-AU"/>
        </w:rPr>
        <w:t xml:space="preserve">Form an assessment on any regional gaps in the available capacity of the supply chain and the needs for extractive resources that may adversely impact the Victorian economy and lead to identify mitigating actions which could involve revisiting the </w:t>
      </w:r>
      <w:r w:rsidR="00AE70FA" w:rsidRPr="00D14CE9">
        <w:rPr>
          <w:lang w:val="en-AU"/>
        </w:rPr>
        <w:t xml:space="preserve">Victorian Government </w:t>
      </w:r>
      <w:r w:rsidRPr="00D14CE9">
        <w:rPr>
          <w:lang w:val="en-AU"/>
        </w:rPr>
        <w:t>land use policy.</w:t>
      </w:r>
      <w:r w:rsidR="000C7C35" w:rsidRPr="00D14CE9">
        <w:rPr>
          <w:lang w:val="en-AU"/>
        </w:rPr>
        <w:t xml:space="preserve"> </w:t>
      </w:r>
      <w:r w:rsidR="004D204F" w:rsidRPr="00D14CE9">
        <w:rPr>
          <w:lang w:val="en-AU"/>
        </w:rPr>
        <w:t xml:space="preserve">PwC was appointed by the DEDJTR to undertake the </w:t>
      </w:r>
      <w:r w:rsidR="000C7C35" w:rsidRPr="00D14CE9">
        <w:rPr>
          <w:lang w:val="en-AU"/>
        </w:rPr>
        <w:t xml:space="preserve">supply analysis as well as </w:t>
      </w:r>
      <w:r w:rsidR="00346E56" w:rsidRPr="00D14CE9">
        <w:rPr>
          <w:lang w:val="en-AU"/>
        </w:rPr>
        <w:t>present a combined view</w:t>
      </w:r>
      <w:r w:rsidR="004D204F" w:rsidRPr="00D14CE9">
        <w:rPr>
          <w:lang w:val="en-AU"/>
        </w:rPr>
        <w:t xml:space="preserve"> of the demand and supply of extractive resources</w:t>
      </w:r>
      <w:r w:rsidR="000C7C35" w:rsidRPr="00D14CE9">
        <w:rPr>
          <w:lang w:val="en-AU"/>
        </w:rPr>
        <w:t>.</w:t>
      </w:r>
    </w:p>
    <w:p w:rsidR="00F264D8" w:rsidRPr="00D14CE9" w:rsidRDefault="00F264D8" w:rsidP="00C200D0">
      <w:pPr>
        <w:pStyle w:val="EYBodytextwithparaspace"/>
        <w:rPr>
          <w:lang w:val="en-AU"/>
        </w:rPr>
      </w:pPr>
      <w:r w:rsidRPr="00D14CE9">
        <w:rPr>
          <w:lang w:val="en-AU"/>
        </w:rPr>
        <w:t>This Report has been prepared to inform the</w:t>
      </w:r>
      <w:r w:rsidR="007B7368" w:rsidRPr="00D14CE9">
        <w:rPr>
          <w:lang w:val="en-AU"/>
        </w:rPr>
        <w:t xml:space="preserve"> </w:t>
      </w:r>
      <w:r w:rsidR="00ED3917" w:rsidRPr="00D14CE9">
        <w:rPr>
          <w:lang w:val="en-AU"/>
        </w:rPr>
        <w:t>Extractive Industries Taskforce</w:t>
      </w:r>
      <w:r w:rsidR="007B7368" w:rsidRPr="00D14CE9">
        <w:rPr>
          <w:lang w:val="en-AU"/>
        </w:rPr>
        <w:t>’s understanding of the</w:t>
      </w:r>
      <w:r w:rsidRPr="00D14CE9">
        <w:rPr>
          <w:lang w:val="en-AU"/>
        </w:rPr>
        <w:t xml:space="preserve"> </w:t>
      </w:r>
      <w:r w:rsidR="000C7C35" w:rsidRPr="00D14CE9">
        <w:rPr>
          <w:lang w:val="en-AU"/>
        </w:rPr>
        <w:t xml:space="preserve">total and regional </w:t>
      </w:r>
      <w:r w:rsidRPr="00D14CE9">
        <w:rPr>
          <w:lang w:val="en-AU"/>
        </w:rPr>
        <w:t>demand requirements for extractive resources in Victoria</w:t>
      </w:r>
      <w:r w:rsidR="000C7C35" w:rsidRPr="00D14CE9">
        <w:rPr>
          <w:lang w:val="en-AU"/>
        </w:rPr>
        <w:t xml:space="preserve"> from 2015 to 2050</w:t>
      </w:r>
      <w:r w:rsidRPr="00D14CE9">
        <w:rPr>
          <w:lang w:val="en-AU"/>
        </w:rPr>
        <w:t xml:space="preserve">. </w:t>
      </w:r>
      <w:r w:rsidR="007B7368" w:rsidRPr="00D14CE9">
        <w:rPr>
          <w:lang w:val="en-AU"/>
        </w:rPr>
        <w:t xml:space="preserve">These projections </w:t>
      </w:r>
      <w:r w:rsidR="000C7C35" w:rsidRPr="00D14CE9">
        <w:rPr>
          <w:lang w:val="en-AU"/>
        </w:rPr>
        <w:t>are to be</w:t>
      </w:r>
      <w:r w:rsidR="007B7368" w:rsidRPr="00D14CE9">
        <w:rPr>
          <w:lang w:val="en-AU"/>
        </w:rPr>
        <w:t xml:space="preserve"> used as an input to </w:t>
      </w:r>
      <w:r w:rsidR="000C7C35" w:rsidRPr="00D14CE9">
        <w:rPr>
          <w:lang w:val="en-AU"/>
        </w:rPr>
        <w:t xml:space="preserve">the </w:t>
      </w:r>
      <w:r w:rsidR="007B7368" w:rsidRPr="00D14CE9">
        <w:rPr>
          <w:lang w:val="en-AU"/>
        </w:rPr>
        <w:t>integrated demand and supply analysis of the industry in order to identify strategic resources and inform the Taskforce in recommending future policy directions aimed at ensuring the longer term sustainability of the extractive resources and construction industries.</w:t>
      </w:r>
    </w:p>
    <w:p w:rsidR="00F264D8" w:rsidRPr="00D14CE9" w:rsidRDefault="00F264D8" w:rsidP="00A9654D">
      <w:pPr>
        <w:pStyle w:val="EYBodytextwithparaspace"/>
        <w:spacing w:after="120"/>
        <w:rPr>
          <w:b/>
          <w:sz w:val="28"/>
          <w:szCs w:val="28"/>
          <w:lang w:val="en-AU"/>
        </w:rPr>
      </w:pPr>
      <w:bookmarkStart w:id="11" w:name="_Toc441672401"/>
      <w:bookmarkStart w:id="12" w:name="_Toc441675255"/>
      <w:bookmarkStart w:id="13" w:name="_Toc441675491"/>
      <w:bookmarkStart w:id="14" w:name="_Toc441675732"/>
      <w:bookmarkStart w:id="15" w:name="_Toc441672402"/>
      <w:bookmarkStart w:id="16" w:name="_Toc441675256"/>
      <w:bookmarkStart w:id="17" w:name="_Toc441675492"/>
      <w:bookmarkStart w:id="18" w:name="_Toc441675733"/>
      <w:bookmarkStart w:id="19" w:name="_Toc441683096"/>
      <w:bookmarkStart w:id="20" w:name="_Toc441686082"/>
      <w:bookmarkStart w:id="21" w:name="_Toc441686179"/>
      <w:bookmarkStart w:id="22" w:name="_Toc441735861"/>
      <w:bookmarkStart w:id="23" w:name="_Toc441830030"/>
      <w:bookmarkStart w:id="24" w:name="_Toc441830824"/>
      <w:bookmarkStart w:id="25" w:name="_Toc441832224"/>
      <w:bookmarkEnd w:id="11"/>
      <w:bookmarkEnd w:id="12"/>
      <w:bookmarkEnd w:id="13"/>
      <w:bookmarkEnd w:id="14"/>
      <w:bookmarkEnd w:id="15"/>
      <w:bookmarkEnd w:id="16"/>
      <w:bookmarkEnd w:id="17"/>
      <w:bookmarkEnd w:id="18"/>
      <w:r w:rsidRPr="00D14CE9">
        <w:rPr>
          <w:b/>
          <w:sz w:val="28"/>
          <w:szCs w:val="28"/>
          <w:lang w:val="en-AU"/>
        </w:rPr>
        <w:t xml:space="preserve">Overview of </w:t>
      </w:r>
      <w:r w:rsidR="00E73DDB" w:rsidRPr="00D14CE9">
        <w:rPr>
          <w:b/>
          <w:sz w:val="28"/>
          <w:szCs w:val="28"/>
          <w:lang w:val="en-AU"/>
        </w:rPr>
        <w:t xml:space="preserve">our </w:t>
      </w:r>
      <w:r w:rsidR="009F3917" w:rsidRPr="00D14CE9">
        <w:rPr>
          <w:b/>
          <w:sz w:val="28"/>
          <w:szCs w:val="28"/>
          <w:lang w:val="en-AU"/>
        </w:rPr>
        <w:t>approach</w:t>
      </w:r>
      <w:bookmarkEnd w:id="19"/>
      <w:bookmarkEnd w:id="20"/>
      <w:bookmarkEnd w:id="21"/>
      <w:bookmarkEnd w:id="22"/>
      <w:bookmarkEnd w:id="23"/>
      <w:bookmarkEnd w:id="24"/>
      <w:bookmarkEnd w:id="25"/>
    </w:p>
    <w:p w:rsidR="00E033DC" w:rsidRPr="00D14CE9" w:rsidRDefault="00E73DDB" w:rsidP="00C200D0">
      <w:pPr>
        <w:pStyle w:val="EYBodytextwithparaspace"/>
        <w:rPr>
          <w:lang w:val="en-AU"/>
        </w:rPr>
      </w:pPr>
      <w:r w:rsidRPr="00D14CE9">
        <w:rPr>
          <w:lang w:val="en-AU"/>
        </w:rPr>
        <w:t>Our approach to developing the long term projections of the demand for extractive resources across Victoria combines macroeconomic and demographic forecasting with a detailed analysis of the use of extractive resources within defined construction industry sectors.</w:t>
      </w:r>
      <w:r w:rsidR="00E033DC" w:rsidRPr="00D14CE9">
        <w:rPr>
          <w:lang w:val="en-AU"/>
        </w:rPr>
        <w:t xml:space="preserve"> </w:t>
      </w:r>
    </w:p>
    <w:p w:rsidR="000B5421" w:rsidRPr="00D14CE9" w:rsidRDefault="00CF15D6" w:rsidP="008F68CE">
      <w:pPr>
        <w:pStyle w:val="EYBodytextwithparaspace"/>
        <w:rPr>
          <w:lang w:val="en-AU"/>
        </w:rPr>
      </w:pPr>
      <w:r w:rsidRPr="00D14CE9">
        <w:rPr>
          <w:lang w:val="en-AU"/>
        </w:rPr>
        <w:t>To inform our approach, a supply and demand value chain was developed in consultation with the D</w:t>
      </w:r>
      <w:r w:rsidR="00C17BBE" w:rsidRPr="00D14CE9">
        <w:rPr>
          <w:lang w:val="en-AU"/>
        </w:rPr>
        <w:t>EDJTR</w:t>
      </w:r>
      <w:r w:rsidRPr="00D14CE9">
        <w:rPr>
          <w:lang w:val="en-AU"/>
        </w:rPr>
        <w:t xml:space="preserve"> and its advisors. This enabled us to map the movement of extractive resources from production and conversion into commodity products, and through to different construction types that are provided </w:t>
      </w:r>
      <w:r w:rsidR="003C2A43" w:rsidRPr="00D14CE9">
        <w:rPr>
          <w:lang w:val="en-AU"/>
        </w:rPr>
        <w:t>to meet</w:t>
      </w:r>
      <w:r w:rsidRPr="00D14CE9">
        <w:rPr>
          <w:lang w:val="en-AU"/>
        </w:rPr>
        <w:t xml:space="preserve"> the various drivers of demand.</w:t>
      </w:r>
      <w:r w:rsidR="000C7C35" w:rsidRPr="00D14CE9">
        <w:rPr>
          <w:lang w:val="en-AU"/>
        </w:rPr>
        <w:t xml:space="preserve"> </w:t>
      </w:r>
    </w:p>
    <w:p w:rsidR="000B5421" w:rsidRPr="00D14CE9" w:rsidRDefault="000B5421" w:rsidP="000B5421">
      <w:pPr>
        <w:pStyle w:val="EYBodytextwithparaspace"/>
        <w:rPr>
          <w:lang w:val="en-AU"/>
        </w:rPr>
      </w:pPr>
      <w:r w:rsidRPr="00D14CE9">
        <w:rPr>
          <w:lang w:val="en-AU"/>
        </w:rPr>
        <w:t>The analysis of the connection between different construction types and selected drivers of demand provides a set of defined relationships that underpin the basis for developing longer term demand projections linked to fundamental trends in the economy and Victoria’s demographic profile.</w:t>
      </w:r>
      <w:r w:rsidR="00553758" w:rsidRPr="00D14CE9">
        <w:rPr>
          <w:lang w:val="en-AU"/>
        </w:rPr>
        <w:t xml:space="preserve"> This </w:t>
      </w:r>
      <w:r w:rsidR="000C7C35" w:rsidRPr="00D14CE9">
        <w:rPr>
          <w:lang w:val="en-AU"/>
        </w:rPr>
        <w:t xml:space="preserve">enabled </w:t>
      </w:r>
      <w:r w:rsidR="00553758" w:rsidRPr="00D14CE9">
        <w:rPr>
          <w:lang w:val="en-AU"/>
        </w:rPr>
        <w:t xml:space="preserve">us to link our projections to the Victorian Government’s forecasts for population, economic growth and employment, as well as to provide a baseline set of demand projections for validation and refinement through </w:t>
      </w:r>
      <w:r w:rsidR="00B07600" w:rsidRPr="00D14CE9">
        <w:rPr>
          <w:lang w:val="en-AU"/>
        </w:rPr>
        <w:t xml:space="preserve">a </w:t>
      </w:r>
      <w:r w:rsidR="00553758" w:rsidRPr="00D14CE9">
        <w:rPr>
          <w:lang w:val="en-AU"/>
        </w:rPr>
        <w:t>detailed industry analysis.</w:t>
      </w:r>
      <w:r w:rsidR="000C7C35" w:rsidRPr="00D14CE9">
        <w:rPr>
          <w:lang w:val="en-AU"/>
        </w:rPr>
        <w:t xml:space="preserve"> </w:t>
      </w:r>
    </w:p>
    <w:p w:rsidR="00F264D8" w:rsidRPr="00D14CE9" w:rsidRDefault="00F264D8" w:rsidP="00C200D0">
      <w:pPr>
        <w:pStyle w:val="EYBodytextwithparaspace"/>
        <w:rPr>
          <w:lang w:val="en-AU"/>
        </w:rPr>
      </w:pPr>
      <w:r w:rsidRPr="00D14CE9">
        <w:rPr>
          <w:lang w:val="en-AU"/>
        </w:rPr>
        <w:t xml:space="preserve">The points below outline the key steps of </w:t>
      </w:r>
      <w:r w:rsidR="00553758" w:rsidRPr="00D14CE9">
        <w:rPr>
          <w:lang w:val="en-AU"/>
        </w:rPr>
        <w:t xml:space="preserve">our </w:t>
      </w:r>
      <w:r w:rsidRPr="00D14CE9">
        <w:rPr>
          <w:lang w:val="en-AU"/>
        </w:rPr>
        <w:t>approach</w:t>
      </w:r>
      <w:r w:rsidR="00553758" w:rsidRPr="00D14CE9">
        <w:rPr>
          <w:lang w:val="en-AU"/>
        </w:rPr>
        <w:t xml:space="preserve"> to developing a baseline set of (macro-driven) demand projections</w:t>
      </w:r>
      <w:r w:rsidRPr="00D14CE9">
        <w:rPr>
          <w:lang w:val="en-AU"/>
        </w:rPr>
        <w:t>:</w:t>
      </w:r>
    </w:p>
    <w:p w:rsidR="00F264D8" w:rsidRPr="00D14CE9" w:rsidRDefault="00F264D8" w:rsidP="00C200D0">
      <w:pPr>
        <w:pStyle w:val="EYBulletedList1"/>
        <w:spacing w:after="120"/>
        <w:rPr>
          <w:lang w:val="en-AU"/>
        </w:rPr>
      </w:pPr>
      <w:r w:rsidRPr="00D14CE9">
        <w:rPr>
          <w:lang w:val="en-AU"/>
        </w:rPr>
        <w:t xml:space="preserve">Identification of </w:t>
      </w:r>
      <w:r w:rsidR="00553758" w:rsidRPr="00D14CE9">
        <w:rPr>
          <w:lang w:val="en-AU"/>
        </w:rPr>
        <w:t>historic relationships</w:t>
      </w:r>
      <w:r w:rsidRPr="00D14CE9">
        <w:rPr>
          <w:lang w:val="en-AU"/>
        </w:rPr>
        <w:t xml:space="preserve"> between macro-economic demand drivers and construction activities.</w:t>
      </w:r>
    </w:p>
    <w:p w:rsidR="00F264D8" w:rsidRPr="00D14CE9" w:rsidRDefault="00F264D8" w:rsidP="00B315AC">
      <w:pPr>
        <w:pStyle w:val="EYBulletedList1"/>
        <w:spacing w:after="120"/>
        <w:rPr>
          <w:lang w:val="en-AU"/>
        </w:rPr>
      </w:pPr>
      <w:r w:rsidRPr="00D14CE9">
        <w:rPr>
          <w:lang w:val="en-AU"/>
        </w:rPr>
        <w:t xml:space="preserve">Identification of </w:t>
      </w:r>
      <w:r w:rsidR="00553758" w:rsidRPr="00D14CE9">
        <w:rPr>
          <w:lang w:val="en-AU"/>
        </w:rPr>
        <w:t>historic relationships</w:t>
      </w:r>
      <w:r w:rsidRPr="00D14CE9">
        <w:rPr>
          <w:lang w:val="en-AU"/>
        </w:rPr>
        <w:t xml:space="preserve"> between construction activities and the </w:t>
      </w:r>
      <w:r w:rsidR="00553758" w:rsidRPr="00D14CE9">
        <w:rPr>
          <w:lang w:val="en-AU"/>
        </w:rPr>
        <w:t xml:space="preserve">total </w:t>
      </w:r>
      <w:r w:rsidRPr="00D14CE9">
        <w:rPr>
          <w:lang w:val="en-AU"/>
        </w:rPr>
        <w:t>production of extractive resources.</w:t>
      </w:r>
      <w:r w:rsidR="00C53758" w:rsidRPr="00D14CE9">
        <w:rPr>
          <w:lang w:val="en-AU"/>
        </w:rPr>
        <w:t xml:space="preserve"> During the course of the demand analysis, undertaken from May to December 2015, </w:t>
      </w:r>
      <w:r w:rsidR="003D29E8" w:rsidRPr="00D14CE9">
        <w:rPr>
          <w:lang w:val="en-AU"/>
        </w:rPr>
        <w:t xml:space="preserve">this work </w:t>
      </w:r>
      <w:r w:rsidR="00C53758" w:rsidRPr="00D14CE9">
        <w:rPr>
          <w:lang w:val="en-AU"/>
        </w:rPr>
        <w:t>relied on extractive resources production data provided by the DEDJTR.</w:t>
      </w:r>
      <w:r w:rsidR="00DC2196" w:rsidRPr="00D14CE9">
        <w:rPr>
          <w:lang w:val="en-AU"/>
        </w:rPr>
        <w:t xml:space="preserve"> This data covered the period from 1991 to </w:t>
      </w:r>
      <w:r w:rsidR="007721B9" w:rsidRPr="00D14CE9">
        <w:rPr>
          <w:lang w:val="en-AU"/>
        </w:rPr>
        <w:t>2014</w:t>
      </w:r>
      <w:r w:rsidR="00DC2196" w:rsidRPr="00D14CE9">
        <w:rPr>
          <w:lang w:val="en-AU"/>
        </w:rPr>
        <w:t xml:space="preserve">. </w:t>
      </w:r>
    </w:p>
    <w:p w:rsidR="00F264D8" w:rsidRPr="00D14CE9" w:rsidRDefault="00553758" w:rsidP="00C200D0">
      <w:pPr>
        <w:pStyle w:val="EYBulletedList1"/>
        <w:spacing w:after="120"/>
        <w:rPr>
          <w:lang w:val="en-AU"/>
        </w:rPr>
      </w:pPr>
      <w:r w:rsidRPr="00D14CE9">
        <w:rPr>
          <w:lang w:val="en-AU"/>
        </w:rPr>
        <w:lastRenderedPageBreak/>
        <w:t>Develop a high level f</w:t>
      </w:r>
      <w:r w:rsidR="00F264D8" w:rsidRPr="00D14CE9">
        <w:rPr>
          <w:lang w:val="en-AU"/>
        </w:rPr>
        <w:t>orecast of construction activities</w:t>
      </w:r>
      <w:r w:rsidRPr="00D14CE9">
        <w:rPr>
          <w:lang w:val="en-AU"/>
        </w:rPr>
        <w:t xml:space="preserve"> based on Victorian Government population and macroeconomic projections and in line with </w:t>
      </w:r>
      <w:r w:rsidR="006A0B81" w:rsidRPr="00D14CE9">
        <w:rPr>
          <w:lang w:val="en-AU"/>
        </w:rPr>
        <w:t>their long term relationships with different construction sectors</w:t>
      </w:r>
      <w:r w:rsidR="00F264D8" w:rsidRPr="00D14CE9">
        <w:rPr>
          <w:lang w:val="en-AU"/>
        </w:rPr>
        <w:t>.</w:t>
      </w:r>
    </w:p>
    <w:p w:rsidR="00F264D8" w:rsidRPr="00D14CE9" w:rsidRDefault="00F264D8" w:rsidP="00C200D0">
      <w:pPr>
        <w:pStyle w:val="EYBulletedList1"/>
        <w:spacing w:after="120"/>
        <w:rPr>
          <w:lang w:val="en-AU"/>
        </w:rPr>
      </w:pPr>
      <w:r w:rsidRPr="00D14CE9">
        <w:rPr>
          <w:lang w:val="en-AU"/>
        </w:rPr>
        <w:t xml:space="preserve">Forecast of the </w:t>
      </w:r>
      <w:r w:rsidR="006A0B81" w:rsidRPr="00D14CE9">
        <w:rPr>
          <w:lang w:val="en-AU"/>
        </w:rPr>
        <w:t xml:space="preserve">total </w:t>
      </w:r>
      <w:r w:rsidRPr="00D14CE9">
        <w:rPr>
          <w:lang w:val="en-AU"/>
        </w:rPr>
        <w:t>demand for extractive resources, focusing on four key categories of extractive resources (hard rock, limestone, sand and gravel and clay and clay shale).</w:t>
      </w:r>
    </w:p>
    <w:p w:rsidR="00F264D8" w:rsidRPr="00D14CE9" w:rsidRDefault="006A0B81" w:rsidP="00C200D0">
      <w:pPr>
        <w:pStyle w:val="EYBulletedList1"/>
        <w:spacing w:after="120"/>
        <w:rPr>
          <w:lang w:val="en-AU"/>
        </w:rPr>
      </w:pPr>
      <w:r w:rsidRPr="00D14CE9">
        <w:rPr>
          <w:lang w:val="en-AU"/>
        </w:rPr>
        <w:t>Develop a s</w:t>
      </w:r>
      <w:r w:rsidR="00F264D8" w:rsidRPr="00D14CE9">
        <w:rPr>
          <w:lang w:val="en-AU"/>
        </w:rPr>
        <w:t xml:space="preserve">patial allocation per </w:t>
      </w:r>
      <w:r w:rsidR="00B07600" w:rsidRPr="00D14CE9">
        <w:rPr>
          <w:lang w:val="en-AU"/>
        </w:rPr>
        <w:t xml:space="preserve">local government area (LGA) </w:t>
      </w:r>
      <w:r w:rsidR="00F264D8" w:rsidRPr="00D14CE9">
        <w:rPr>
          <w:lang w:val="en-AU"/>
        </w:rPr>
        <w:t>of the demand for hard rock, limestone, sand and gravel and clay and clay shale, based on the spatial allocation of construction activities and key technical assumptions</w:t>
      </w:r>
      <w:r w:rsidRPr="00D14CE9">
        <w:rPr>
          <w:lang w:val="en-AU"/>
        </w:rPr>
        <w:t xml:space="preserve"> received from the </w:t>
      </w:r>
      <w:r w:rsidR="002F44ED" w:rsidRPr="00D14CE9">
        <w:rPr>
          <w:lang w:val="en-AU"/>
        </w:rPr>
        <w:t xml:space="preserve">DEDJTR’s </w:t>
      </w:r>
      <w:r w:rsidRPr="00D14CE9">
        <w:rPr>
          <w:lang w:val="en-AU"/>
        </w:rPr>
        <w:t>technical advisors</w:t>
      </w:r>
      <w:r w:rsidR="00F264D8" w:rsidRPr="00D14CE9">
        <w:rPr>
          <w:lang w:val="en-AU"/>
        </w:rPr>
        <w:t xml:space="preserve"> linking each construction activity with the use of extractive resources.</w:t>
      </w:r>
    </w:p>
    <w:p w:rsidR="00B07600" w:rsidRPr="00D14CE9" w:rsidRDefault="006A0B81" w:rsidP="00B07600">
      <w:pPr>
        <w:pStyle w:val="EYBodytextwithparaspace"/>
        <w:rPr>
          <w:lang w:val="en-AU"/>
        </w:rPr>
      </w:pPr>
      <w:r w:rsidRPr="00D14CE9">
        <w:rPr>
          <w:lang w:val="en-AU"/>
        </w:rPr>
        <w:t>A further detailed industry analysis</w:t>
      </w:r>
      <w:r w:rsidR="00741CF4" w:rsidRPr="00D14CE9">
        <w:rPr>
          <w:lang w:val="en-AU"/>
        </w:rPr>
        <w:t xml:space="preserve"> </w:t>
      </w:r>
      <w:r w:rsidRPr="00D14CE9">
        <w:rPr>
          <w:lang w:val="en-AU"/>
        </w:rPr>
        <w:t>was undertaken to refine our projections to account for the complex nature of the industry</w:t>
      </w:r>
      <w:r w:rsidR="003C2A43" w:rsidRPr="00D14CE9">
        <w:rPr>
          <w:lang w:val="en-AU"/>
        </w:rPr>
        <w:t xml:space="preserve"> and the interdependent relationships between demand in certain locations and the supply of available extractive resources.</w:t>
      </w:r>
      <w:r w:rsidR="001A039E" w:rsidRPr="00D14CE9">
        <w:rPr>
          <w:lang w:val="en-AU"/>
        </w:rPr>
        <w:t xml:space="preserve"> This recognizes the tendency for the construction industry to make best use of what</w:t>
      </w:r>
      <w:r w:rsidR="00FF745D" w:rsidRPr="00D14CE9">
        <w:rPr>
          <w:lang w:val="en-AU"/>
        </w:rPr>
        <w:t xml:space="preserve"> is available</w:t>
      </w:r>
      <w:r w:rsidR="001A039E" w:rsidRPr="00D14CE9">
        <w:rPr>
          <w:lang w:val="en-AU"/>
        </w:rPr>
        <w:t xml:space="preserve"> and can be transported to construction sites at least cost</w:t>
      </w:r>
      <w:r w:rsidR="007721B9" w:rsidRPr="00D14CE9">
        <w:rPr>
          <w:lang w:val="en-AU"/>
        </w:rPr>
        <w:t>. This</w:t>
      </w:r>
      <w:r w:rsidR="00B07600" w:rsidRPr="00D14CE9">
        <w:rPr>
          <w:lang w:val="en-AU"/>
        </w:rPr>
        <w:t xml:space="preserve"> helped us refine the spatial allocation of the demand for extractive resources, including the development of projections of hard rock demand with an increased level of granularity around the different types of hard rocks. </w:t>
      </w:r>
    </w:p>
    <w:p w:rsidR="00C53758" w:rsidRPr="00D14CE9" w:rsidRDefault="005978C4" w:rsidP="008F68CE">
      <w:pPr>
        <w:pStyle w:val="EYBodytextwithparaspace"/>
        <w:rPr>
          <w:lang w:val="en-AU"/>
        </w:rPr>
      </w:pPr>
      <w:r w:rsidRPr="00D14CE9">
        <w:rPr>
          <w:lang w:val="en-AU"/>
        </w:rPr>
        <w:t xml:space="preserve">The detailed industry analysis </w:t>
      </w:r>
      <w:r w:rsidR="00741CF4" w:rsidRPr="00D14CE9">
        <w:rPr>
          <w:lang w:val="en-AU"/>
        </w:rPr>
        <w:t xml:space="preserve">for the full range of significant construction activities, including those that may not have a clear relationship to the macroeconomic drivers modelled at a higher level (e.g. wind farms and road network development and maintenance, where government policy directions and unique industry characteristics may influence construction trends), </w:t>
      </w:r>
      <w:r w:rsidRPr="00D14CE9">
        <w:rPr>
          <w:lang w:val="en-AU"/>
        </w:rPr>
        <w:t>was</w:t>
      </w:r>
      <w:r w:rsidR="003C2A43" w:rsidRPr="00D14CE9">
        <w:rPr>
          <w:lang w:val="en-AU"/>
        </w:rPr>
        <w:t xml:space="preserve"> also developed </w:t>
      </w:r>
      <w:r w:rsidRPr="00D14CE9">
        <w:rPr>
          <w:lang w:val="en-AU"/>
        </w:rPr>
        <w:t xml:space="preserve">to validate the macro-driven projections, through the development of </w:t>
      </w:r>
      <w:r w:rsidR="003C2A43" w:rsidRPr="00D14CE9">
        <w:rPr>
          <w:lang w:val="en-AU"/>
        </w:rPr>
        <w:t xml:space="preserve">detailed sector models </w:t>
      </w:r>
      <w:r w:rsidRPr="00D14CE9">
        <w:rPr>
          <w:lang w:val="en-AU"/>
        </w:rPr>
        <w:t>that linked assumptions about the construction mix in each sector with macroeconomic forecasts and information from the DEDJTR’s technical advisor</w:t>
      </w:r>
      <w:r w:rsidR="006E4683" w:rsidRPr="00D14CE9">
        <w:rPr>
          <w:lang w:val="en-AU"/>
        </w:rPr>
        <w:t>, AECOM, engaged on 9 December 2015 by DEDJTR to identify and quantify extractive resources used in</w:t>
      </w:r>
      <w:r w:rsidR="00346E56" w:rsidRPr="00D14CE9">
        <w:rPr>
          <w:lang w:val="en-AU"/>
        </w:rPr>
        <w:t xml:space="preserve"> a selection of specific</w:t>
      </w:r>
      <w:r w:rsidR="006E4683" w:rsidRPr="00D14CE9">
        <w:rPr>
          <w:lang w:val="en-AU"/>
        </w:rPr>
        <w:t xml:space="preserve"> construction activities</w:t>
      </w:r>
      <w:r w:rsidR="00346E56" w:rsidRPr="00D14CE9">
        <w:rPr>
          <w:lang w:val="en-AU"/>
        </w:rPr>
        <w:t xml:space="preserve"> in Victoria</w:t>
      </w:r>
      <w:r w:rsidR="006E4683" w:rsidRPr="00D14CE9">
        <w:rPr>
          <w:lang w:val="en-AU"/>
        </w:rPr>
        <w:t xml:space="preserve">. </w:t>
      </w:r>
      <w:r w:rsidR="00620BFA" w:rsidRPr="00D14CE9">
        <w:rPr>
          <w:lang w:val="en-AU"/>
        </w:rPr>
        <w:t xml:space="preserve">The outcome of this validation process was that the forecast resulting from </w:t>
      </w:r>
      <w:r w:rsidR="00276D70" w:rsidRPr="00D14CE9">
        <w:rPr>
          <w:lang w:val="en-AU"/>
        </w:rPr>
        <w:t xml:space="preserve">the </w:t>
      </w:r>
      <w:r w:rsidR="00620BFA" w:rsidRPr="00D14CE9">
        <w:rPr>
          <w:lang w:val="en-AU"/>
        </w:rPr>
        <w:t xml:space="preserve">detailed industry </w:t>
      </w:r>
      <w:r w:rsidR="00C53758" w:rsidRPr="00D14CE9">
        <w:rPr>
          <w:lang w:val="en-AU"/>
        </w:rPr>
        <w:t>analysis</w:t>
      </w:r>
      <w:r w:rsidR="006E4683" w:rsidRPr="00D14CE9">
        <w:rPr>
          <w:lang w:val="en-AU"/>
        </w:rPr>
        <w:t xml:space="preserve">, relying </w:t>
      </w:r>
      <w:r w:rsidR="00945F41" w:rsidRPr="00D14CE9">
        <w:rPr>
          <w:lang w:val="en-AU"/>
        </w:rPr>
        <w:t>up</w:t>
      </w:r>
      <w:r w:rsidR="006E4683" w:rsidRPr="00D14CE9">
        <w:rPr>
          <w:lang w:val="en-AU"/>
        </w:rPr>
        <w:t>on technical data provided,</w:t>
      </w:r>
      <w:r w:rsidR="00C53758" w:rsidRPr="00D14CE9">
        <w:rPr>
          <w:lang w:val="en-AU"/>
        </w:rPr>
        <w:t xml:space="preserve"> </w:t>
      </w:r>
      <w:r w:rsidR="00B53506" w:rsidRPr="00D14CE9">
        <w:rPr>
          <w:lang w:val="en-AU"/>
        </w:rPr>
        <w:t xml:space="preserve">was within a </w:t>
      </w:r>
      <w:r w:rsidR="00C9253F">
        <w:rPr>
          <w:lang w:val="en-AU"/>
        </w:rPr>
        <w:t>+</w:t>
      </w:r>
      <w:r w:rsidR="00B53506" w:rsidRPr="00D14CE9">
        <w:rPr>
          <w:lang w:val="en-AU"/>
        </w:rPr>
        <w:t xml:space="preserve">10% range from our baseline macro-driven model, on </w:t>
      </w:r>
      <w:r w:rsidR="00C9253F" w:rsidRPr="00D14CE9">
        <w:rPr>
          <w:lang w:val="en-AU"/>
        </w:rPr>
        <w:t>an average yearly basis</w:t>
      </w:r>
      <w:r w:rsidR="00C53758" w:rsidRPr="00D14CE9">
        <w:rPr>
          <w:lang w:val="en-AU"/>
        </w:rPr>
        <w:t>. W</w:t>
      </w:r>
      <w:r w:rsidR="00B53506" w:rsidRPr="00D14CE9">
        <w:rPr>
          <w:lang w:val="en-AU"/>
        </w:rPr>
        <w:t xml:space="preserve">ith respect to the complexity associated with this analysis, </w:t>
      </w:r>
      <w:r w:rsidR="00C53758" w:rsidRPr="00D14CE9">
        <w:rPr>
          <w:lang w:val="en-AU"/>
        </w:rPr>
        <w:t xml:space="preserve">this </w:t>
      </w:r>
      <w:r w:rsidR="00B53506" w:rsidRPr="00D14CE9">
        <w:rPr>
          <w:lang w:val="en-AU"/>
        </w:rPr>
        <w:t xml:space="preserve">is considered as a reasonable criterion and threshold to </w:t>
      </w:r>
      <w:r w:rsidR="00741CF4" w:rsidRPr="00D14CE9">
        <w:rPr>
          <w:lang w:val="en-AU"/>
        </w:rPr>
        <w:t>validate</w:t>
      </w:r>
      <w:r w:rsidR="00B53506" w:rsidRPr="00D14CE9">
        <w:rPr>
          <w:lang w:val="en-AU"/>
        </w:rPr>
        <w:t xml:space="preserve"> the </w:t>
      </w:r>
      <w:r w:rsidR="00620BFA" w:rsidRPr="00D14CE9">
        <w:rPr>
          <w:lang w:val="en-AU"/>
        </w:rPr>
        <w:t xml:space="preserve">adequate representation of the demand resulting from our overall </w:t>
      </w:r>
      <w:r w:rsidR="00C53758" w:rsidRPr="00D14CE9">
        <w:rPr>
          <w:lang w:val="en-AU"/>
        </w:rPr>
        <w:t xml:space="preserve">macro-driven </w:t>
      </w:r>
      <w:r w:rsidR="00620BFA" w:rsidRPr="00D14CE9">
        <w:rPr>
          <w:lang w:val="en-AU"/>
        </w:rPr>
        <w:t xml:space="preserve">forecast framework. </w:t>
      </w:r>
    </w:p>
    <w:p w:rsidR="00B315AC" w:rsidRPr="00D14CE9" w:rsidRDefault="009F0B6F" w:rsidP="00CF11FB">
      <w:pPr>
        <w:pStyle w:val="EYBulletedList1"/>
        <w:numPr>
          <w:ilvl w:val="0"/>
          <w:numId w:val="9"/>
        </w:numPr>
        <w:spacing w:after="240"/>
        <w:rPr>
          <w:lang w:val="en-AU"/>
        </w:rPr>
      </w:pPr>
      <w:r w:rsidRPr="00D14CE9">
        <w:rPr>
          <w:lang w:val="en-AU"/>
        </w:rPr>
        <w:t xml:space="preserve">Recognising the inherent uncertainties in forecasting cyclical demand and supply factors over the longer term, this Report outlines a range of demand projections, including both high and low demand profiles around a central estimate. Given the potential for significant year-on-year variations in the production and use of extractive resources across the construction industry, it is considered prudent for </w:t>
      </w:r>
      <w:r w:rsidR="00645A96">
        <w:rPr>
          <w:lang w:val="en-AU"/>
        </w:rPr>
        <w:t xml:space="preserve">the </w:t>
      </w:r>
      <w:r w:rsidRPr="00D14CE9">
        <w:rPr>
          <w:lang w:val="en-AU"/>
        </w:rPr>
        <w:t>DEDJTR to consider the full range of results when informing future policy deliberations by the Taskforce or more broadly across the Victorian Government. In this regard, t</w:t>
      </w:r>
      <w:r w:rsidR="00DC2196" w:rsidRPr="00D14CE9">
        <w:rPr>
          <w:lang w:val="en-AU"/>
        </w:rPr>
        <w:t>he demand analysis of the extractive resources in Victoria is a “first of its kind” exercise. While the demand projections are strongly indicative for the purposes of policy making, they carry a number of important limitations related to the complexity of the construction and extractive resources industries, as well as future uncertainties around regional extractive resources supply constraints and construction methods, which have not been assessed as part of this study. Further information about the l</w:t>
      </w:r>
      <w:r w:rsidR="00B315AC" w:rsidRPr="00D14CE9">
        <w:rPr>
          <w:lang w:val="en-AU"/>
        </w:rPr>
        <w:t>imitations</w:t>
      </w:r>
      <w:r w:rsidRPr="00D14CE9">
        <w:rPr>
          <w:lang w:val="en-AU"/>
        </w:rPr>
        <w:t xml:space="preserve"> inherent to the approach and analysis </w:t>
      </w:r>
      <w:r w:rsidR="00DC2196" w:rsidRPr="00D14CE9">
        <w:rPr>
          <w:lang w:val="en-AU"/>
        </w:rPr>
        <w:t xml:space="preserve">is </w:t>
      </w:r>
      <w:r w:rsidR="00B315AC" w:rsidRPr="00D14CE9">
        <w:rPr>
          <w:lang w:val="en-AU"/>
        </w:rPr>
        <w:t xml:space="preserve">presented in </w:t>
      </w:r>
      <w:r w:rsidR="00B315AC" w:rsidRPr="00474B05">
        <w:rPr>
          <w:lang w:val="en-AU"/>
        </w:rPr>
        <w:fldChar w:fldCharType="begin" w:fldLock="1"/>
      </w:r>
      <w:r w:rsidR="00B315AC" w:rsidRPr="00D14CE9">
        <w:rPr>
          <w:lang w:val="en-AU"/>
        </w:rPr>
        <w:instrText xml:space="preserve"> REF _Ref441829817 \r \h </w:instrText>
      </w:r>
      <w:r w:rsidR="00B315AC" w:rsidRPr="00474B05">
        <w:rPr>
          <w:lang w:val="en-AU"/>
        </w:rPr>
      </w:r>
      <w:r w:rsidR="00B315AC" w:rsidRPr="00474B05">
        <w:rPr>
          <w:lang w:val="en-AU"/>
        </w:rPr>
        <w:fldChar w:fldCharType="separate"/>
      </w:r>
      <w:r w:rsidR="00895089">
        <w:rPr>
          <w:lang w:val="en-AU"/>
        </w:rPr>
        <w:t>Appendix A</w:t>
      </w:r>
      <w:r w:rsidR="00B315AC" w:rsidRPr="00474B05">
        <w:rPr>
          <w:lang w:val="en-AU"/>
        </w:rPr>
        <w:fldChar w:fldCharType="end"/>
      </w:r>
      <w:r w:rsidR="00B315AC" w:rsidRPr="00D14CE9">
        <w:rPr>
          <w:lang w:val="en-AU"/>
        </w:rPr>
        <w:t xml:space="preserve"> of the Report.</w:t>
      </w:r>
      <w:r w:rsidR="00ED3917" w:rsidRPr="00D14CE9">
        <w:rPr>
          <w:lang w:val="en-AU"/>
        </w:rPr>
        <w:t xml:space="preserve"> </w:t>
      </w:r>
    </w:p>
    <w:p w:rsidR="00F264D8" w:rsidRPr="00D14CE9" w:rsidRDefault="00BC1353" w:rsidP="00E65C9D">
      <w:pPr>
        <w:pStyle w:val="EYBodytextwithparaspace"/>
        <w:keepNext/>
        <w:numPr>
          <w:ilvl w:val="4"/>
          <w:numId w:val="9"/>
        </w:numPr>
        <w:spacing w:after="120"/>
        <w:rPr>
          <w:b/>
          <w:sz w:val="28"/>
          <w:szCs w:val="28"/>
          <w:lang w:val="en-AU"/>
        </w:rPr>
      </w:pPr>
      <w:bookmarkStart w:id="26" w:name="_Toc441683097"/>
      <w:bookmarkStart w:id="27" w:name="_Toc441686083"/>
      <w:bookmarkStart w:id="28" w:name="_Toc441686180"/>
      <w:bookmarkStart w:id="29" w:name="_Toc441735862"/>
      <w:bookmarkStart w:id="30" w:name="_Toc441830031"/>
      <w:bookmarkStart w:id="31" w:name="_Toc441830825"/>
      <w:bookmarkStart w:id="32" w:name="_Toc441832225"/>
      <w:r w:rsidRPr="00D14CE9">
        <w:rPr>
          <w:b/>
          <w:sz w:val="28"/>
          <w:szCs w:val="28"/>
          <w:lang w:val="en-AU"/>
        </w:rPr>
        <w:t>R</w:t>
      </w:r>
      <w:r w:rsidR="00A26889" w:rsidRPr="00D14CE9">
        <w:rPr>
          <w:b/>
          <w:sz w:val="28"/>
          <w:szCs w:val="28"/>
          <w:lang w:val="en-AU"/>
        </w:rPr>
        <w:t>esults</w:t>
      </w:r>
      <w:bookmarkEnd w:id="26"/>
      <w:bookmarkEnd w:id="27"/>
      <w:bookmarkEnd w:id="28"/>
      <w:bookmarkEnd w:id="29"/>
      <w:bookmarkEnd w:id="30"/>
      <w:bookmarkEnd w:id="31"/>
      <w:bookmarkEnd w:id="32"/>
    </w:p>
    <w:p w:rsidR="00DC2196" w:rsidRPr="00D14CE9" w:rsidRDefault="00FF745D" w:rsidP="00DC2196">
      <w:pPr>
        <w:pStyle w:val="EYBodytextwithparaspace"/>
        <w:rPr>
          <w:lang w:val="en-AU"/>
        </w:rPr>
      </w:pPr>
      <w:r w:rsidRPr="00D14CE9">
        <w:rPr>
          <w:lang w:val="en-AU"/>
        </w:rPr>
        <w:t xml:space="preserve">The baseline demand projections </w:t>
      </w:r>
      <w:r w:rsidR="00DC2196" w:rsidRPr="00D14CE9">
        <w:rPr>
          <w:lang w:val="en-AU"/>
        </w:rPr>
        <w:t xml:space="preserve">over the short, medium and long term are </w:t>
      </w:r>
      <w:r w:rsidRPr="00D14CE9">
        <w:rPr>
          <w:lang w:val="en-AU"/>
        </w:rPr>
        <w:t xml:space="preserve">summarized below </w:t>
      </w:r>
      <w:r w:rsidR="00DC2196" w:rsidRPr="00D14CE9">
        <w:rPr>
          <w:lang w:val="en-AU"/>
        </w:rPr>
        <w:t xml:space="preserve">in </w:t>
      </w:r>
      <w:r w:rsidR="00753FBB" w:rsidRPr="00474B05">
        <w:rPr>
          <w:lang w:val="en-AU"/>
        </w:rPr>
        <w:fldChar w:fldCharType="begin" w:fldLock="1"/>
      </w:r>
      <w:r w:rsidR="00753FBB" w:rsidRPr="00D14CE9">
        <w:rPr>
          <w:lang w:val="en-AU"/>
        </w:rPr>
        <w:instrText xml:space="preserve"> REF _Ref441672794 \h </w:instrText>
      </w:r>
      <w:r w:rsidR="00753FBB" w:rsidRPr="00474B05">
        <w:rPr>
          <w:lang w:val="en-AU"/>
        </w:rPr>
      </w:r>
      <w:r w:rsidR="00753FBB" w:rsidRPr="00474B05">
        <w:rPr>
          <w:lang w:val="en-AU"/>
        </w:rPr>
        <w:fldChar w:fldCharType="separate"/>
      </w:r>
      <w:r w:rsidR="00895089" w:rsidRPr="00D14CE9">
        <w:t xml:space="preserve">Table </w:t>
      </w:r>
      <w:r w:rsidR="00895089">
        <w:rPr>
          <w:noProof/>
        </w:rPr>
        <w:t>1</w:t>
      </w:r>
      <w:r w:rsidR="00753FBB" w:rsidRPr="00474B05">
        <w:rPr>
          <w:lang w:val="en-AU"/>
        </w:rPr>
        <w:fldChar w:fldCharType="end"/>
      </w:r>
      <w:r w:rsidR="00DC2196" w:rsidRPr="00D14CE9">
        <w:rPr>
          <w:lang w:val="en-AU"/>
        </w:rPr>
        <w:t>, in aggregate for LGAs in Urban Infill locations, Urban Growth Areas and regional areas. This shows significant increases in the production and use of extractive resources across all parts of the State, and in particular Urban Infill and regional LGAs where total production is expected to double by 2050. Increases in Urban Growth Areas are also significant, with around 50% more demand expected in 2050 compared to today’s levels.</w:t>
      </w:r>
    </w:p>
    <w:p w:rsidR="00FF745D" w:rsidRPr="00D14CE9" w:rsidRDefault="00DC2196" w:rsidP="0054667A">
      <w:pPr>
        <w:pStyle w:val="EYBodytextwithparaspace"/>
        <w:spacing w:after="120"/>
        <w:rPr>
          <w:lang w:val="en-AU"/>
        </w:rPr>
      </w:pPr>
      <w:r w:rsidRPr="00D14CE9">
        <w:rPr>
          <w:lang w:val="en-AU"/>
        </w:rPr>
        <w:t>These dramatic increases are driven by the expectation for continued strong population growth across Victoria, which creates the increased need for housing and supporting infrastructure, as well as the need for large numbers of non-residential buildings to accommodate commercial, industrial, retail and other employment.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1"/>
        <w:tblDescription w:val="Table 1 shows the demand forecast per type of LGA in 2015, 2026 and 2050. Urban infil LGAs are estimated to demand 22.3 million tonnes in 2015, 25.6 million tonnes in 2026 and 46 million tonnes in 2050. Urban growth areas LGAs are estimated to demand 15.4 million tonnes in 2015, 19.6 million tonnes in 2026 and 24.3 million tonnes in 2050. Regional LGAs are estimated to demand 8.7 million tonnes in 2015, 10.6 million tonnes in 2026 and 17.5 million tonnes in 2050."/>
      </w:tblPr>
      <w:tblGrid>
        <w:gridCol w:w="3507"/>
        <w:gridCol w:w="1824"/>
        <w:gridCol w:w="2104"/>
        <w:gridCol w:w="1824"/>
      </w:tblGrid>
      <w:tr w:rsidR="00B91CF1" w:rsidRPr="00D14CE9" w:rsidTr="0054667A">
        <w:trPr>
          <w:trHeight w:val="255"/>
        </w:trPr>
        <w:tc>
          <w:tcPr>
            <w:tcW w:w="5000" w:type="pct"/>
            <w:gridSpan w:val="4"/>
            <w:tcBorders>
              <w:bottom w:val="single" w:sz="4" w:space="0" w:color="BFBFBF" w:themeColor="background1" w:themeShade="BF"/>
            </w:tcBorders>
            <w:shd w:val="clear" w:color="auto" w:fill="808080"/>
            <w:vAlign w:val="center"/>
          </w:tcPr>
          <w:p w:rsidR="00B91CF1" w:rsidRPr="00D14CE9" w:rsidRDefault="00B91CF1" w:rsidP="00802792">
            <w:pPr>
              <w:pStyle w:val="EYTableHeadingWhite"/>
            </w:pPr>
            <w:bookmarkStart w:id="33" w:name="_Ref441672794"/>
            <w:bookmarkStart w:id="34" w:name="_Toc445240937"/>
            <w:bookmarkStart w:id="35" w:name="_Toc448914628"/>
            <w:bookmarkStart w:id="36" w:name="_Toc448920445"/>
            <w:r w:rsidRPr="00D14CE9">
              <w:t xml:space="preserve">Table </w:t>
            </w:r>
            <w:r w:rsidR="000701D2">
              <w:fldChar w:fldCharType="begin"/>
            </w:r>
            <w:r w:rsidR="000701D2">
              <w:instrText xml:space="preserve"> SEQ Table \* ARABIC </w:instrText>
            </w:r>
            <w:r w:rsidR="000701D2">
              <w:fldChar w:fldCharType="separate"/>
            </w:r>
            <w:r w:rsidR="00525C82">
              <w:rPr>
                <w:noProof/>
              </w:rPr>
              <w:t>1</w:t>
            </w:r>
            <w:r w:rsidR="000701D2">
              <w:rPr>
                <w:noProof/>
              </w:rPr>
              <w:fldChar w:fldCharType="end"/>
            </w:r>
            <w:bookmarkEnd w:id="33"/>
            <w:r w:rsidRPr="00D14CE9">
              <w:t xml:space="preserve"> – Demand Forecast per type of LGAs– Total in 2015, 2026 and 2050 (million tonnes)</w:t>
            </w:r>
            <w:bookmarkEnd w:id="34"/>
            <w:bookmarkEnd w:id="35"/>
            <w:bookmarkEnd w:id="36"/>
          </w:p>
        </w:tc>
      </w:tr>
      <w:tr w:rsidR="00B91CF1" w:rsidRPr="00D14CE9" w:rsidTr="0054667A">
        <w:trPr>
          <w:trHeight w:val="255"/>
        </w:trPr>
        <w:tc>
          <w:tcPr>
            <w:tcW w:w="1894" w:type="pct"/>
            <w:shd w:val="clear" w:color="auto" w:fill="F0F0F0"/>
            <w:vAlign w:val="center"/>
          </w:tcPr>
          <w:p w:rsidR="00B91CF1" w:rsidRPr="00D14CE9" w:rsidRDefault="00B91CF1" w:rsidP="00E65C9D">
            <w:pPr>
              <w:pStyle w:val="EYTableHeading"/>
              <w:rPr>
                <w:rFonts w:eastAsia="Arial Unicode MS"/>
              </w:rPr>
            </w:pPr>
          </w:p>
        </w:tc>
        <w:tc>
          <w:tcPr>
            <w:tcW w:w="985" w:type="pct"/>
            <w:shd w:val="clear" w:color="auto" w:fill="F0F0F0"/>
            <w:vAlign w:val="center"/>
          </w:tcPr>
          <w:p w:rsidR="00B91CF1" w:rsidRPr="00D14CE9" w:rsidRDefault="00B91CF1" w:rsidP="00E65C9D">
            <w:pPr>
              <w:pStyle w:val="EYTableHeading"/>
              <w:jc w:val="center"/>
              <w:rPr>
                <w:rFonts w:eastAsia="Arial Unicode MS"/>
              </w:rPr>
            </w:pPr>
            <w:r w:rsidRPr="00D14CE9">
              <w:t>2015</w:t>
            </w:r>
          </w:p>
        </w:tc>
        <w:tc>
          <w:tcPr>
            <w:tcW w:w="1136" w:type="pct"/>
            <w:shd w:val="clear" w:color="auto" w:fill="F0F0F0"/>
            <w:vAlign w:val="center"/>
          </w:tcPr>
          <w:p w:rsidR="00B91CF1" w:rsidRPr="00E65C9D" w:rsidRDefault="00B91CF1" w:rsidP="00E65C9D">
            <w:pPr>
              <w:pStyle w:val="EYTableHeading"/>
              <w:jc w:val="center"/>
              <w:rPr>
                <w:rFonts w:eastAsia="Arial Unicode MS"/>
                <w:highlight w:val="yellow"/>
              </w:rPr>
            </w:pPr>
            <w:r w:rsidRPr="00E65C9D">
              <w:t>2026</w:t>
            </w:r>
          </w:p>
        </w:tc>
        <w:tc>
          <w:tcPr>
            <w:tcW w:w="985" w:type="pct"/>
            <w:shd w:val="clear" w:color="auto" w:fill="F0F0F0"/>
            <w:vAlign w:val="center"/>
          </w:tcPr>
          <w:p w:rsidR="00B91CF1" w:rsidRPr="00D14CE9" w:rsidRDefault="00B91CF1" w:rsidP="00E65C9D">
            <w:pPr>
              <w:pStyle w:val="EYTableHeading"/>
              <w:jc w:val="center"/>
            </w:pPr>
            <w:r w:rsidRPr="00D14CE9">
              <w:t>2050</w:t>
            </w:r>
          </w:p>
        </w:tc>
      </w:tr>
      <w:tr w:rsidR="00F260FF" w:rsidRPr="00D14CE9" w:rsidTr="0054667A">
        <w:trPr>
          <w:trHeight w:val="255"/>
        </w:trPr>
        <w:tc>
          <w:tcPr>
            <w:tcW w:w="1894" w:type="pct"/>
            <w:noWrap/>
            <w:vAlign w:val="center"/>
          </w:tcPr>
          <w:p w:rsidR="00F260FF" w:rsidRPr="00D14CE9" w:rsidRDefault="00F260FF" w:rsidP="00CC7713">
            <w:pPr>
              <w:rPr>
                <w:sz w:val="16"/>
                <w:szCs w:val="16"/>
              </w:rPr>
            </w:pPr>
            <w:r w:rsidRPr="00D14CE9">
              <w:rPr>
                <w:rFonts w:cs="Calibri"/>
                <w:color w:val="000000"/>
                <w:sz w:val="16"/>
                <w:szCs w:val="16"/>
              </w:rPr>
              <w:t>Urban Infill LGAs</w:t>
            </w:r>
          </w:p>
        </w:tc>
        <w:tc>
          <w:tcPr>
            <w:tcW w:w="985" w:type="pct"/>
            <w:noWrap/>
            <w:vAlign w:val="center"/>
          </w:tcPr>
          <w:p w:rsidR="00F260FF" w:rsidRPr="00D14CE9" w:rsidRDefault="00F260FF" w:rsidP="002555D5">
            <w:pPr>
              <w:jc w:val="center"/>
              <w:rPr>
                <w:sz w:val="16"/>
                <w:szCs w:val="16"/>
              </w:rPr>
            </w:pPr>
            <w:r w:rsidRPr="00D14CE9">
              <w:rPr>
                <w:sz w:val="16"/>
                <w:szCs w:val="16"/>
              </w:rPr>
              <w:t>22.3</w:t>
            </w:r>
          </w:p>
        </w:tc>
        <w:tc>
          <w:tcPr>
            <w:tcW w:w="1136" w:type="pct"/>
            <w:noWrap/>
            <w:vAlign w:val="center"/>
          </w:tcPr>
          <w:p w:rsidR="00F260FF" w:rsidRPr="00D14CE9" w:rsidRDefault="00F260FF" w:rsidP="00CC7713">
            <w:pPr>
              <w:jc w:val="center"/>
              <w:rPr>
                <w:sz w:val="16"/>
                <w:szCs w:val="16"/>
              </w:rPr>
            </w:pPr>
            <w:r w:rsidRPr="00D14CE9">
              <w:rPr>
                <w:sz w:val="16"/>
                <w:szCs w:val="16"/>
              </w:rPr>
              <w:t>25.6</w:t>
            </w:r>
          </w:p>
        </w:tc>
        <w:tc>
          <w:tcPr>
            <w:tcW w:w="985" w:type="pct"/>
            <w:vAlign w:val="center"/>
          </w:tcPr>
          <w:p w:rsidR="00F260FF" w:rsidRPr="00D14CE9" w:rsidRDefault="00F260FF" w:rsidP="00CC7713">
            <w:pPr>
              <w:jc w:val="center"/>
              <w:rPr>
                <w:sz w:val="16"/>
                <w:szCs w:val="16"/>
              </w:rPr>
            </w:pPr>
            <w:r w:rsidRPr="00D14CE9">
              <w:rPr>
                <w:sz w:val="16"/>
                <w:szCs w:val="16"/>
              </w:rPr>
              <w:t>46.0</w:t>
            </w:r>
          </w:p>
        </w:tc>
      </w:tr>
      <w:tr w:rsidR="00F260FF" w:rsidRPr="00D14CE9" w:rsidTr="0054667A">
        <w:trPr>
          <w:trHeight w:val="255"/>
        </w:trPr>
        <w:tc>
          <w:tcPr>
            <w:tcW w:w="1894" w:type="pct"/>
            <w:noWrap/>
            <w:vAlign w:val="center"/>
          </w:tcPr>
          <w:p w:rsidR="00F260FF" w:rsidRPr="00D14CE9" w:rsidRDefault="00F260FF" w:rsidP="00CC7713">
            <w:pPr>
              <w:rPr>
                <w:rFonts w:cs="Calibri"/>
                <w:color w:val="000000"/>
                <w:sz w:val="16"/>
                <w:szCs w:val="16"/>
              </w:rPr>
            </w:pPr>
            <w:r w:rsidRPr="00D14CE9">
              <w:rPr>
                <w:rFonts w:cs="Calibri"/>
                <w:color w:val="000000"/>
                <w:sz w:val="16"/>
                <w:szCs w:val="16"/>
              </w:rPr>
              <w:t>Urban Growth Areas LGAs</w:t>
            </w:r>
          </w:p>
        </w:tc>
        <w:tc>
          <w:tcPr>
            <w:tcW w:w="985" w:type="pct"/>
            <w:noWrap/>
            <w:vAlign w:val="center"/>
          </w:tcPr>
          <w:p w:rsidR="00F260FF" w:rsidRPr="00D14CE9" w:rsidRDefault="00F260FF" w:rsidP="00CC7713">
            <w:pPr>
              <w:jc w:val="center"/>
              <w:rPr>
                <w:sz w:val="16"/>
                <w:szCs w:val="16"/>
              </w:rPr>
            </w:pPr>
            <w:r w:rsidRPr="00D14CE9">
              <w:rPr>
                <w:sz w:val="16"/>
                <w:szCs w:val="16"/>
              </w:rPr>
              <w:t>15.4</w:t>
            </w:r>
          </w:p>
        </w:tc>
        <w:tc>
          <w:tcPr>
            <w:tcW w:w="1136" w:type="pct"/>
            <w:noWrap/>
            <w:vAlign w:val="center"/>
          </w:tcPr>
          <w:p w:rsidR="00F260FF" w:rsidRPr="00D14CE9" w:rsidRDefault="00F260FF" w:rsidP="00CC7713">
            <w:pPr>
              <w:jc w:val="center"/>
              <w:rPr>
                <w:sz w:val="16"/>
                <w:szCs w:val="16"/>
              </w:rPr>
            </w:pPr>
            <w:r w:rsidRPr="00D14CE9">
              <w:rPr>
                <w:sz w:val="16"/>
                <w:szCs w:val="16"/>
              </w:rPr>
              <w:t>19.6</w:t>
            </w:r>
          </w:p>
        </w:tc>
        <w:tc>
          <w:tcPr>
            <w:tcW w:w="985" w:type="pct"/>
            <w:vAlign w:val="center"/>
          </w:tcPr>
          <w:p w:rsidR="00F260FF" w:rsidRPr="00D14CE9" w:rsidRDefault="00F260FF" w:rsidP="00CC7713">
            <w:pPr>
              <w:jc w:val="center"/>
              <w:rPr>
                <w:sz w:val="16"/>
                <w:szCs w:val="16"/>
              </w:rPr>
            </w:pPr>
            <w:r w:rsidRPr="00D14CE9">
              <w:rPr>
                <w:sz w:val="16"/>
                <w:szCs w:val="16"/>
              </w:rPr>
              <w:t>24.3</w:t>
            </w:r>
          </w:p>
        </w:tc>
      </w:tr>
      <w:tr w:rsidR="00F260FF" w:rsidRPr="00D14CE9" w:rsidTr="0054667A">
        <w:trPr>
          <w:trHeight w:val="255"/>
        </w:trPr>
        <w:tc>
          <w:tcPr>
            <w:tcW w:w="1894" w:type="pct"/>
            <w:noWrap/>
            <w:vAlign w:val="center"/>
          </w:tcPr>
          <w:p w:rsidR="00F260FF" w:rsidRPr="00D14CE9" w:rsidRDefault="00F260FF" w:rsidP="00CC7713">
            <w:pPr>
              <w:rPr>
                <w:rFonts w:cs="Calibri"/>
                <w:color w:val="000000"/>
                <w:sz w:val="16"/>
                <w:szCs w:val="16"/>
              </w:rPr>
            </w:pPr>
            <w:r w:rsidRPr="00D14CE9">
              <w:rPr>
                <w:rFonts w:cs="Calibri"/>
                <w:color w:val="000000"/>
                <w:sz w:val="16"/>
                <w:szCs w:val="16"/>
              </w:rPr>
              <w:t>Regional LGAs</w:t>
            </w:r>
          </w:p>
        </w:tc>
        <w:tc>
          <w:tcPr>
            <w:tcW w:w="985" w:type="pct"/>
            <w:noWrap/>
            <w:vAlign w:val="center"/>
          </w:tcPr>
          <w:p w:rsidR="00F260FF" w:rsidRPr="00D14CE9" w:rsidRDefault="00F260FF" w:rsidP="002555D5">
            <w:pPr>
              <w:jc w:val="center"/>
              <w:rPr>
                <w:sz w:val="16"/>
                <w:szCs w:val="16"/>
              </w:rPr>
            </w:pPr>
            <w:r w:rsidRPr="00D14CE9">
              <w:rPr>
                <w:sz w:val="16"/>
                <w:szCs w:val="16"/>
              </w:rPr>
              <w:t>8.7</w:t>
            </w:r>
          </w:p>
        </w:tc>
        <w:tc>
          <w:tcPr>
            <w:tcW w:w="1136" w:type="pct"/>
            <w:noWrap/>
            <w:vAlign w:val="center"/>
          </w:tcPr>
          <w:p w:rsidR="00F260FF" w:rsidRPr="00D14CE9" w:rsidRDefault="00F260FF" w:rsidP="00CC7713">
            <w:pPr>
              <w:jc w:val="center"/>
              <w:rPr>
                <w:sz w:val="16"/>
                <w:szCs w:val="16"/>
              </w:rPr>
            </w:pPr>
            <w:r w:rsidRPr="00D14CE9">
              <w:rPr>
                <w:sz w:val="16"/>
                <w:szCs w:val="16"/>
              </w:rPr>
              <w:t>10.6</w:t>
            </w:r>
          </w:p>
        </w:tc>
        <w:tc>
          <w:tcPr>
            <w:tcW w:w="985" w:type="pct"/>
            <w:vAlign w:val="center"/>
          </w:tcPr>
          <w:p w:rsidR="00F260FF" w:rsidRPr="00D14CE9" w:rsidRDefault="00F260FF" w:rsidP="00CC7713">
            <w:pPr>
              <w:jc w:val="center"/>
              <w:rPr>
                <w:sz w:val="16"/>
                <w:szCs w:val="16"/>
              </w:rPr>
            </w:pPr>
            <w:r w:rsidRPr="00D14CE9">
              <w:rPr>
                <w:sz w:val="16"/>
                <w:szCs w:val="16"/>
              </w:rPr>
              <w:t>17.5</w:t>
            </w:r>
          </w:p>
        </w:tc>
      </w:tr>
      <w:tr w:rsidR="00F260FF" w:rsidRPr="00D14CE9" w:rsidTr="0054667A">
        <w:trPr>
          <w:trHeight w:val="255"/>
        </w:trPr>
        <w:tc>
          <w:tcPr>
            <w:tcW w:w="1894" w:type="pct"/>
            <w:noWrap/>
            <w:vAlign w:val="center"/>
          </w:tcPr>
          <w:p w:rsidR="00F260FF" w:rsidRPr="00D14CE9" w:rsidRDefault="00F260FF" w:rsidP="00CC7713">
            <w:pPr>
              <w:rPr>
                <w:rFonts w:cs="Calibri"/>
                <w:b/>
                <w:color w:val="000000"/>
                <w:sz w:val="16"/>
                <w:szCs w:val="16"/>
              </w:rPr>
            </w:pPr>
            <w:r w:rsidRPr="00D14CE9">
              <w:rPr>
                <w:rFonts w:cs="Calibri"/>
                <w:b/>
                <w:color w:val="000000"/>
                <w:sz w:val="16"/>
                <w:szCs w:val="16"/>
              </w:rPr>
              <w:t>Total Demand</w:t>
            </w:r>
          </w:p>
        </w:tc>
        <w:tc>
          <w:tcPr>
            <w:tcW w:w="985" w:type="pct"/>
            <w:noWrap/>
            <w:vAlign w:val="center"/>
          </w:tcPr>
          <w:p w:rsidR="00F260FF" w:rsidRPr="00D14CE9" w:rsidRDefault="00F260FF" w:rsidP="002555D5">
            <w:pPr>
              <w:jc w:val="center"/>
              <w:rPr>
                <w:b/>
                <w:sz w:val="16"/>
                <w:szCs w:val="16"/>
              </w:rPr>
            </w:pPr>
            <w:r w:rsidRPr="00D14CE9">
              <w:rPr>
                <w:b/>
                <w:sz w:val="16"/>
                <w:szCs w:val="16"/>
              </w:rPr>
              <w:t>46.4</w:t>
            </w:r>
          </w:p>
        </w:tc>
        <w:tc>
          <w:tcPr>
            <w:tcW w:w="1136" w:type="pct"/>
            <w:noWrap/>
            <w:vAlign w:val="center"/>
          </w:tcPr>
          <w:p w:rsidR="00F260FF" w:rsidRPr="00D14CE9" w:rsidRDefault="00F260FF" w:rsidP="00CC7713">
            <w:pPr>
              <w:jc w:val="center"/>
              <w:rPr>
                <w:b/>
                <w:sz w:val="16"/>
                <w:szCs w:val="16"/>
              </w:rPr>
            </w:pPr>
            <w:r w:rsidRPr="00D14CE9">
              <w:rPr>
                <w:b/>
                <w:sz w:val="16"/>
                <w:szCs w:val="16"/>
              </w:rPr>
              <w:t>55.8</w:t>
            </w:r>
          </w:p>
        </w:tc>
        <w:tc>
          <w:tcPr>
            <w:tcW w:w="985" w:type="pct"/>
            <w:vAlign w:val="center"/>
          </w:tcPr>
          <w:p w:rsidR="00F260FF" w:rsidRPr="00D14CE9" w:rsidRDefault="00F260FF" w:rsidP="00CC7713">
            <w:pPr>
              <w:jc w:val="center"/>
              <w:rPr>
                <w:b/>
                <w:sz w:val="16"/>
                <w:szCs w:val="16"/>
              </w:rPr>
            </w:pPr>
            <w:r w:rsidRPr="00D14CE9">
              <w:rPr>
                <w:b/>
                <w:sz w:val="16"/>
                <w:szCs w:val="16"/>
              </w:rPr>
              <w:t>87.8</w:t>
            </w:r>
          </w:p>
        </w:tc>
      </w:tr>
    </w:tbl>
    <w:p w:rsidR="00B91CF1" w:rsidRPr="00D14CE9" w:rsidRDefault="00B91CF1" w:rsidP="00442D50">
      <w:pPr>
        <w:pStyle w:val="EYSource"/>
        <w:rPr>
          <w:lang w:val="en-AU"/>
        </w:rPr>
      </w:pPr>
      <w:r w:rsidRPr="00D14CE9">
        <w:rPr>
          <w:lang w:val="en-AU"/>
        </w:rPr>
        <w:t>Source: EY analysis</w:t>
      </w:r>
    </w:p>
    <w:p w:rsidR="002B271D" w:rsidRPr="00D14CE9" w:rsidRDefault="002B271D" w:rsidP="00CF11FB">
      <w:pPr>
        <w:pStyle w:val="EYBodytextwithparaspace"/>
        <w:spacing w:after="0"/>
        <w:rPr>
          <w:lang w:val="en-AU"/>
        </w:rPr>
      </w:pPr>
    </w:p>
    <w:p w:rsidR="008F4A0D" w:rsidRDefault="00DC2196" w:rsidP="00DC2196">
      <w:pPr>
        <w:pStyle w:val="EYBodytextwithparaspace"/>
        <w:rPr>
          <w:lang w:val="en-AU"/>
        </w:rPr>
        <w:sectPr w:rsidR="008F4A0D" w:rsidSect="000B6297">
          <w:headerReference w:type="default" r:id="rId17"/>
          <w:pgSz w:w="11909" w:h="16834" w:code="9"/>
          <w:pgMar w:top="1440" w:right="1440" w:bottom="1440" w:left="1440" w:header="720" w:footer="567" w:gutter="0"/>
          <w:pgNumType w:start="1"/>
          <w:cols w:space="720"/>
          <w:docGrid w:linePitch="360"/>
        </w:sectPr>
      </w:pPr>
      <w:r w:rsidRPr="00D14CE9">
        <w:rPr>
          <w:lang w:val="en-AU"/>
        </w:rPr>
        <w:t xml:space="preserve">In comparing LGAs, there is a noticeable increase in key Urban Growth Areas such as Casey, Whittlesea and Wyndham, and to a lesser but nevertheless significant extent, Melton and Hume. There are also material increases expected in regional population </w:t>
      </w:r>
      <w:r w:rsidRPr="00D14CE9">
        <w:rPr>
          <w:lang w:val="en-AU"/>
        </w:rPr>
        <w:lastRenderedPageBreak/>
        <w:t xml:space="preserve">centres such as Ballarat, Greater Bendigo and Greater Geelong. In each of these cases this follows sharp rises in population in those areas over the last decade, and the continuation of these trends </w:t>
      </w:r>
      <w:r w:rsidR="003D29E8" w:rsidRPr="00D14CE9">
        <w:rPr>
          <w:lang w:val="en-AU"/>
        </w:rPr>
        <w:t xml:space="preserve">is expected to </w:t>
      </w:r>
      <w:r w:rsidRPr="00D14CE9">
        <w:rPr>
          <w:lang w:val="en-AU"/>
        </w:rPr>
        <w:t>be an ongoing challenge for the extractive resources industry.</w:t>
      </w:r>
    </w:p>
    <w:p w:rsidR="00F264D8" w:rsidRPr="00D14CE9" w:rsidRDefault="00F264D8" w:rsidP="00C200D0">
      <w:pPr>
        <w:pStyle w:val="Caption"/>
        <w:keepNext w:val="0"/>
        <w:rPr>
          <w:sz w:val="16"/>
          <w:szCs w:val="18"/>
        </w:rPr>
      </w:pPr>
      <w:bookmarkStart w:id="37" w:name="_Ref441437027"/>
      <w:bookmarkStart w:id="38" w:name="_Toc445240900"/>
      <w:bookmarkStart w:id="39" w:name="_Toc448914563"/>
      <w:r w:rsidRPr="00D14CE9">
        <w:rPr>
          <w:sz w:val="16"/>
          <w:szCs w:val="18"/>
        </w:rPr>
        <w:lastRenderedPageBreak/>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1</w:t>
      </w:r>
      <w:r w:rsidRPr="00802792">
        <w:rPr>
          <w:sz w:val="16"/>
          <w:szCs w:val="18"/>
        </w:rPr>
        <w:fldChar w:fldCharType="end"/>
      </w:r>
      <w:bookmarkEnd w:id="37"/>
      <w:r w:rsidRPr="00D14CE9">
        <w:rPr>
          <w:sz w:val="16"/>
          <w:szCs w:val="18"/>
        </w:rPr>
        <w:t xml:space="preserve"> – </w:t>
      </w:r>
      <w:r w:rsidR="00DC2196" w:rsidRPr="00D14CE9">
        <w:rPr>
          <w:sz w:val="16"/>
          <w:szCs w:val="18"/>
        </w:rPr>
        <w:t>Total d</w:t>
      </w:r>
      <w:r w:rsidRPr="00D14CE9">
        <w:rPr>
          <w:sz w:val="16"/>
          <w:szCs w:val="18"/>
        </w:rPr>
        <w:t xml:space="preserve">emand </w:t>
      </w:r>
      <w:r w:rsidR="00DC2196" w:rsidRPr="00D14CE9">
        <w:rPr>
          <w:sz w:val="16"/>
          <w:szCs w:val="18"/>
        </w:rPr>
        <w:t>for extractive resources by LGA</w:t>
      </w:r>
      <w:r w:rsidR="002A20FC" w:rsidRPr="00D14CE9">
        <w:rPr>
          <w:sz w:val="16"/>
          <w:szCs w:val="18"/>
        </w:rPr>
        <w:t xml:space="preserve"> over the period </w:t>
      </w:r>
      <w:r w:rsidRPr="00D14CE9">
        <w:rPr>
          <w:sz w:val="16"/>
          <w:szCs w:val="18"/>
        </w:rPr>
        <w:t>(2015-2025</w:t>
      </w:r>
      <w:r w:rsidR="00094DBD" w:rsidRPr="00D14CE9">
        <w:rPr>
          <w:sz w:val="16"/>
          <w:szCs w:val="18"/>
        </w:rPr>
        <w:t>)</w:t>
      </w:r>
      <w:bookmarkEnd w:id="38"/>
      <w:bookmarkEnd w:id="39"/>
      <w:r w:rsidRPr="00D14CE9">
        <w:rPr>
          <w:sz w:val="16"/>
          <w:szCs w:val="18"/>
        </w:rPr>
        <w:t xml:space="preserve"> </w:t>
      </w:r>
    </w:p>
    <w:p w:rsidR="008F4A0D" w:rsidRPr="00D14CE9" w:rsidRDefault="0085251D" w:rsidP="00C200D0">
      <w:r>
        <w:rPr>
          <w:noProof/>
          <w:lang w:eastAsia="en-AU"/>
        </w:rPr>
        <w:drawing>
          <wp:inline distT="0" distB="0" distL="0" distR="0" wp14:anchorId="64270097" wp14:editId="474E8EA0">
            <wp:extent cx="7137779" cy="5350531"/>
            <wp:effectExtent l="0" t="0" r="6350" b="2540"/>
            <wp:docPr id="1" name="Picture 1" descr="Figure 1 is a map of Victoria highlighting LGAs according to their projected demand for extractive resources for the period 2015 – 2025.  The most demand will come from Whittlesea, Wyndham, Casey and Melbourne LGAs (with over 30 million tonnes demanded by each LGA over the period).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ELBOURNE\MELBTAS\CF\Restricted\DEDJTR Demand Analysis for Extractive Resources\12. Maps\Baseline - short term.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909" t="5303" r="18630" b="16898"/>
                    <a:stretch/>
                  </pic:blipFill>
                  <pic:spPr bwMode="auto">
                    <a:xfrm>
                      <a:off x="0" y="0"/>
                      <a:ext cx="7154890" cy="5363358"/>
                    </a:xfrm>
                    <a:prstGeom prst="rect">
                      <a:avLst/>
                    </a:prstGeom>
                    <a:noFill/>
                    <a:ln>
                      <a:noFill/>
                    </a:ln>
                    <a:extLst>
                      <a:ext uri="{53640926-AAD7-44D8-BBD7-CCE9431645EC}">
                        <a14:shadowObscured xmlns:a14="http://schemas.microsoft.com/office/drawing/2010/main"/>
                      </a:ext>
                    </a:extLst>
                  </pic:spPr>
                </pic:pic>
              </a:graphicData>
            </a:graphic>
          </wp:inline>
        </w:drawing>
      </w:r>
    </w:p>
    <w:p w:rsidR="00F264D8" w:rsidRPr="00D14CE9" w:rsidRDefault="00F264D8" w:rsidP="0054667A">
      <w:pPr>
        <w:pStyle w:val="EYSource"/>
        <w:rPr>
          <w:lang w:val="en-AU"/>
        </w:rPr>
      </w:pPr>
      <w:r w:rsidRPr="00D14CE9">
        <w:rPr>
          <w:lang w:val="en-AU"/>
        </w:rPr>
        <w:t>Source: EY analysis</w:t>
      </w:r>
    </w:p>
    <w:p w:rsidR="008F4A0D" w:rsidRDefault="008F4A0D" w:rsidP="00C200D0">
      <w:pPr>
        <w:rPr>
          <w:sz w:val="16"/>
          <w:szCs w:val="16"/>
        </w:rPr>
        <w:sectPr w:rsidR="008F4A0D" w:rsidSect="00782226">
          <w:footerReference w:type="default" r:id="rId19"/>
          <w:pgSz w:w="16834" w:h="11909" w:orient="landscape" w:code="9"/>
          <w:pgMar w:top="1440" w:right="1440" w:bottom="1440" w:left="1440" w:header="720" w:footer="567" w:gutter="0"/>
          <w:cols w:space="720"/>
          <w:docGrid w:linePitch="360"/>
        </w:sectPr>
      </w:pPr>
    </w:p>
    <w:p w:rsidR="00716615" w:rsidRPr="00D14CE9" w:rsidRDefault="00716615" w:rsidP="009245F2">
      <w:pPr>
        <w:pStyle w:val="EYBodytextwithparaspace"/>
        <w:spacing w:after="120"/>
        <w:rPr>
          <w:lang w:val="en-AU"/>
        </w:rPr>
      </w:pPr>
      <w:bookmarkStart w:id="40" w:name="_Toc441830032"/>
      <w:bookmarkStart w:id="41" w:name="_Toc441830826"/>
      <w:bookmarkStart w:id="42" w:name="_Toc441832226"/>
      <w:r w:rsidRPr="00D14CE9">
        <w:rPr>
          <w:lang w:val="en-AU"/>
        </w:rPr>
        <w:lastRenderedPageBreak/>
        <w:t>Given the potential for significant year-on-year variations in the production and use of extractive resources across the construction industry, it is considered prudent for DEDJTR to consider the full range of results</w:t>
      </w:r>
      <w:r w:rsidR="009245F2" w:rsidRPr="00D14CE9">
        <w:rPr>
          <w:lang w:val="en-AU"/>
        </w:rPr>
        <w:t>, summarised below,</w:t>
      </w:r>
      <w:r w:rsidRPr="00D14CE9">
        <w:rPr>
          <w:lang w:val="en-AU"/>
        </w:rPr>
        <w:t xml:space="preserve"> when informing future policy deliberations by the Taskforce or more broadly across the Victorian Government.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2"/>
        <w:tblDescription w:val="Table 2 shows the total tonnes demanded in 2015, 2026 and 2050 under each scenario.  In 2015, tonnes demanded under the baseline scenario are 46.4 million. Under demand scenario 1A (high demand) they are 55.7 million and under demand scenario 2A (low demand) they are 37.1 million. In 2025, tonnes demanded under the baseline scenario are 55.8 million. Under demand scenario 1A (high demand) they are 67 million and under demand scenario 2A (low demand) they are 44.7 million. In 2050, tonnes demanded under the baseline scenario are 87.8 million. Under demand scenario 1A (high demand) they are 105.3 million and under demand scenario 2A (low demand) they are 70.2 million."/>
      </w:tblPr>
      <w:tblGrid>
        <w:gridCol w:w="3507"/>
        <w:gridCol w:w="1824"/>
        <w:gridCol w:w="2104"/>
        <w:gridCol w:w="1824"/>
      </w:tblGrid>
      <w:tr w:rsidR="00716615" w:rsidRPr="00D14CE9" w:rsidTr="00BB2299">
        <w:trPr>
          <w:trHeight w:val="255"/>
        </w:trPr>
        <w:tc>
          <w:tcPr>
            <w:tcW w:w="5000" w:type="pct"/>
            <w:gridSpan w:val="4"/>
            <w:tcBorders>
              <w:bottom w:val="single" w:sz="4" w:space="0" w:color="BFBFBF" w:themeColor="background1" w:themeShade="BF"/>
            </w:tcBorders>
            <w:shd w:val="clear" w:color="auto" w:fill="808080"/>
            <w:vAlign w:val="center"/>
          </w:tcPr>
          <w:p w:rsidR="00716615" w:rsidRPr="00D14CE9" w:rsidRDefault="00716615" w:rsidP="00802792">
            <w:pPr>
              <w:pStyle w:val="EYTableHeadingWhite"/>
            </w:pPr>
            <w:bookmarkStart w:id="43" w:name="_Toc445240938"/>
            <w:bookmarkStart w:id="44" w:name="_Toc448914629"/>
            <w:bookmarkStart w:id="45" w:name="_Toc448920446"/>
            <w:r w:rsidRPr="00D14CE9">
              <w:t xml:space="preserve">Table </w:t>
            </w:r>
            <w:r w:rsidR="000701D2">
              <w:fldChar w:fldCharType="begin"/>
            </w:r>
            <w:r w:rsidR="000701D2">
              <w:instrText xml:space="preserve"> SEQ Table \* ARABIC </w:instrText>
            </w:r>
            <w:r w:rsidR="000701D2">
              <w:fldChar w:fldCharType="separate"/>
            </w:r>
            <w:r w:rsidR="00525C82">
              <w:rPr>
                <w:noProof/>
              </w:rPr>
              <w:t>2</w:t>
            </w:r>
            <w:r w:rsidR="000701D2">
              <w:rPr>
                <w:noProof/>
              </w:rPr>
              <w:fldChar w:fldCharType="end"/>
            </w:r>
            <w:r w:rsidRPr="00D14CE9">
              <w:t xml:space="preserve"> – Scenarios analysis results – Total in 2015, 2026 and 2050 (million tonnes)</w:t>
            </w:r>
            <w:bookmarkEnd w:id="43"/>
            <w:bookmarkEnd w:id="44"/>
            <w:bookmarkEnd w:id="45"/>
          </w:p>
        </w:tc>
      </w:tr>
      <w:tr w:rsidR="00716615" w:rsidRPr="00D14CE9" w:rsidTr="00BB2299">
        <w:trPr>
          <w:trHeight w:val="255"/>
        </w:trPr>
        <w:tc>
          <w:tcPr>
            <w:tcW w:w="1894" w:type="pct"/>
            <w:shd w:val="clear" w:color="auto" w:fill="F0F0F0"/>
            <w:vAlign w:val="center"/>
          </w:tcPr>
          <w:p w:rsidR="00716615" w:rsidRPr="00D14CE9" w:rsidRDefault="00716615" w:rsidP="00E65C9D">
            <w:pPr>
              <w:pStyle w:val="EYTableHeading"/>
              <w:rPr>
                <w:rFonts w:eastAsia="Arial Unicode MS"/>
              </w:rPr>
            </w:pPr>
          </w:p>
        </w:tc>
        <w:tc>
          <w:tcPr>
            <w:tcW w:w="985" w:type="pct"/>
            <w:shd w:val="clear" w:color="auto" w:fill="F0F0F0"/>
            <w:vAlign w:val="center"/>
          </w:tcPr>
          <w:p w:rsidR="00716615" w:rsidRPr="00D14CE9" w:rsidRDefault="00716615" w:rsidP="00E65C9D">
            <w:pPr>
              <w:pStyle w:val="EYTableHeading"/>
              <w:jc w:val="center"/>
              <w:rPr>
                <w:rFonts w:eastAsia="Arial Unicode MS"/>
              </w:rPr>
            </w:pPr>
            <w:r w:rsidRPr="00D14CE9">
              <w:t>2015</w:t>
            </w:r>
          </w:p>
        </w:tc>
        <w:tc>
          <w:tcPr>
            <w:tcW w:w="1136" w:type="pct"/>
            <w:shd w:val="clear" w:color="auto" w:fill="F0F0F0"/>
            <w:vAlign w:val="center"/>
          </w:tcPr>
          <w:p w:rsidR="00716615" w:rsidRPr="00D14CE9" w:rsidRDefault="00716615" w:rsidP="00E65C9D">
            <w:pPr>
              <w:pStyle w:val="EYTableHeading"/>
              <w:jc w:val="center"/>
              <w:rPr>
                <w:rFonts w:eastAsia="Arial Unicode MS"/>
              </w:rPr>
            </w:pPr>
            <w:r w:rsidRPr="00D14CE9">
              <w:t>2026</w:t>
            </w:r>
          </w:p>
        </w:tc>
        <w:tc>
          <w:tcPr>
            <w:tcW w:w="985" w:type="pct"/>
            <w:shd w:val="clear" w:color="auto" w:fill="F0F0F0"/>
            <w:vAlign w:val="center"/>
          </w:tcPr>
          <w:p w:rsidR="00716615" w:rsidRPr="00D14CE9" w:rsidRDefault="00716615" w:rsidP="00E65C9D">
            <w:pPr>
              <w:pStyle w:val="EYTableHeading"/>
              <w:jc w:val="center"/>
            </w:pPr>
            <w:r w:rsidRPr="00D14CE9">
              <w:t>2050</w:t>
            </w:r>
          </w:p>
        </w:tc>
      </w:tr>
      <w:tr w:rsidR="00716615" w:rsidRPr="00D14CE9" w:rsidTr="00BB2299">
        <w:trPr>
          <w:trHeight w:val="255"/>
        </w:trPr>
        <w:tc>
          <w:tcPr>
            <w:tcW w:w="1894" w:type="pct"/>
            <w:noWrap/>
            <w:vAlign w:val="center"/>
          </w:tcPr>
          <w:p w:rsidR="00716615" w:rsidRPr="00D14CE9" w:rsidRDefault="00716615" w:rsidP="00BB2299">
            <w:pPr>
              <w:rPr>
                <w:rFonts w:cs="Calibri"/>
                <w:color w:val="000000"/>
                <w:sz w:val="16"/>
                <w:szCs w:val="16"/>
              </w:rPr>
            </w:pPr>
            <w:r w:rsidRPr="00D14CE9">
              <w:rPr>
                <w:rFonts w:cs="Calibri"/>
                <w:color w:val="000000"/>
                <w:sz w:val="16"/>
                <w:szCs w:val="16"/>
              </w:rPr>
              <w:t>Total Demand Baseline</w:t>
            </w:r>
          </w:p>
        </w:tc>
        <w:tc>
          <w:tcPr>
            <w:tcW w:w="985" w:type="pct"/>
            <w:noWrap/>
            <w:vAlign w:val="center"/>
          </w:tcPr>
          <w:p w:rsidR="00716615" w:rsidRPr="00D14CE9" w:rsidRDefault="002555D5" w:rsidP="00BB2299">
            <w:pPr>
              <w:jc w:val="center"/>
              <w:rPr>
                <w:sz w:val="16"/>
                <w:szCs w:val="16"/>
              </w:rPr>
            </w:pPr>
            <w:r w:rsidRPr="00D14CE9">
              <w:rPr>
                <w:sz w:val="16"/>
                <w:szCs w:val="16"/>
              </w:rPr>
              <w:t>46.4</w:t>
            </w:r>
          </w:p>
        </w:tc>
        <w:tc>
          <w:tcPr>
            <w:tcW w:w="1136" w:type="pct"/>
            <w:noWrap/>
            <w:vAlign w:val="center"/>
          </w:tcPr>
          <w:p w:rsidR="00716615" w:rsidRPr="00D14CE9" w:rsidRDefault="002555D5" w:rsidP="00BB2299">
            <w:pPr>
              <w:jc w:val="center"/>
              <w:rPr>
                <w:sz w:val="16"/>
                <w:szCs w:val="16"/>
              </w:rPr>
            </w:pPr>
            <w:r w:rsidRPr="00E65C9D">
              <w:rPr>
                <w:sz w:val="16"/>
                <w:szCs w:val="16"/>
              </w:rPr>
              <w:t>55.8</w:t>
            </w:r>
          </w:p>
        </w:tc>
        <w:tc>
          <w:tcPr>
            <w:tcW w:w="985" w:type="pct"/>
            <w:vAlign w:val="center"/>
          </w:tcPr>
          <w:p w:rsidR="00716615" w:rsidRPr="00D14CE9" w:rsidRDefault="002555D5" w:rsidP="00BB2299">
            <w:pPr>
              <w:jc w:val="center"/>
              <w:rPr>
                <w:sz w:val="16"/>
                <w:szCs w:val="16"/>
              </w:rPr>
            </w:pPr>
            <w:r w:rsidRPr="00D14CE9">
              <w:rPr>
                <w:sz w:val="16"/>
                <w:szCs w:val="16"/>
              </w:rPr>
              <w:t>87.8</w:t>
            </w:r>
          </w:p>
        </w:tc>
      </w:tr>
      <w:tr w:rsidR="00F260FF" w:rsidRPr="00D14CE9" w:rsidTr="00BB2299">
        <w:trPr>
          <w:trHeight w:val="255"/>
        </w:trPr>
        <w:tc>
          <w:tcPr>
            <w:tcW w:w="1894" w:type="pct"/>
            <w:noWrap/>
            <w:vAlign w:val="center"/>
          </w:tcPr>
          <w:p w:rsidR="00F260FF" w:rsidRPr="00D14CE9" w:rsidRDefault="00F260FF" w:rsidP="00BB2299">
            <w:pPr>
              <w:rPr>
                <w:rFonts w:cs="Calibri"/>
                <w:color w:val="000000"/>
                <w:sz w:val="16"/>
                <w:szCs w:val="16"/>
              </w:rPr>
            </w:pPr>
            <w:r w:rsidRPr="00D14CE9">
              <w:rPr>
                <w:rFonts w:cs="Calibri"/>
                <w:color w:val="000000"/>
                <w:sz w:val="16"/>
                <w:szCs w:val="16"/>
              </w:rPr>
              <w:t>Total Demand Scenario 1A – High Demand</w:t>
            </w:r>
          </w:p>
        </w:tc>
        <w:tc>
          <w:tcPr>
            <w:tcW w:w="985" w:type="pct"/>
            <w:noWrap/>
            <w:vAlign w:val="center"/>
          </w:tcPr>
          <w:p w:rsidR="00F260FF" w:rsidRPr="00D14CE9" w:rsidRDefault="00F260FF" w:rsidP="00BB2299">
            <w:pPr>
              <w:jc w:val="center"/>
              <w:rPr>
                <w:sz w:val="16"/>
                <w:szCs w:val="16"/>
              </w:rPr>
            </w:pPr>
            <w:r w:rsidRPr="00E65C9D">
              <w:rPr>
                <w:sz w:val="16"/>
                <w:szCs w:val="16"/>
              </w:rPr>
              <w:t>55.7</w:t>
            </w:r>
          </w:p>
        </w:tc>
        <w:tc>
          <w:tcPr>
            <w:tcW w:w="1136" w:type="pct"/>
            <w:noWrap/>
            <w:vAlign w:val="center"/>
          </w:tcPr>
          <w:p w:rsidR="00F260FF" w:rsidRPr="00D14CE9" w:rsidRDefault="00802792" w:rsidP="00BB2299">
            <w:pPr>
              <w:jc w:val="center"/>
              <w:rPr>
                <w:sz w:val="16"/>
                <w:szCs w:val="16"/>
              </w:rPr>
            </w:pPr>
            <w:r>
              <w:rPr>
                <w:sz w:val="16"/>
                <w:szCs w:val="16"/>
              </w:rPr>
              <w:t>67.0</w:t>
            </w:r>
          </w:p>
        </w:tc>
        <w:tc>
          <w:tcPr>
            <w:tcW w:w="985" w:type="pct"/>
            <w:vAlign w:val="center"/>
          </w:tcPr>
          <w:p w:rsidR="00F260FF" w:rsidRPr="00D14CE9" w:rsidRDefault="00F260FF" w:rsidP="00BB2299">
            <w:pPr>
              <w:jc w:val="center"/>
              <w:rPr>
                <w:sz w:val="16"/>
                <w:szCs w:val="16"/>
              </w:rPr>
            </w:pPr>
            <w:r w:rsidRPr="00E65C9D">
              <w:rPr>
                <w:sz w:val="16"/>
                <w:szCs w:val="16"/>
              </w:rPr>
              <w:t>105.3</w:t>
            </w:r>
          </w:p>
        </w:tc>
      </w:tr>
      <w:tr w:rsidR="00F260FF" w:rsidRPr="00D14CE9" w:rsidTr="00BB2299">
        <w:trPr>
          <w:trHeight w:val="255"/>
        </w:trPr>
        <w:tc>
          <w:tcPr>
            <w:tcW w:w="1894" w:type="pct"/>
            <w:noWrap/>
            <w:vAlign w:val="center"/>
          </w:tcPr>
          <w:p w:rsidR="00F260FF" w:rsidRPr="00D14CE9" w:rsidRDefault="00F260FF" w:rsidP="00BB2299">
            <w:pPr>
              <w:rPr>
                <w:rFonts w:cs="Calibri"/>
                <w:color w:val="000000"/>
                <w:sz w:val="16"/>
                <w:szCs w:val="16"/>
              </w:rPr>
            </w:pPr>
            <w:r w:rsidRPr="00D14CE9">
              <w:rPr>
                <w:rFonts w:cs="Calibri"/>
                <w:color w:val="000000"/>
                <w:sz w:val="16"/>
                <w:szCs w:val="16"/>
              </w:rPr>
              <w:t>Total Demand Scenario 2A – Low Demand</w:t>
            </w:r>
          </w:p>
        </w:tc>
        <w:tc>
          <w:tcPr>
            <w:tcW w:w="985" w:type="pct"/>
            <w:noWrap/>
            <w:vAlign w:val="center"/>
          </w:tcPr>
          <w:p w:rsidR="00F260FF" w:rsidRPr="00D14CE9" w:rsidRDefault="00F260FF" w:rsidP="00BB2299">
            <w:pPr>
              <w:jc w:val="center"/>
              <w:rPr>
                <w:sz w:val="16"/>
                <w:szCs w:val="16"/>
              </w:rPr>
            </w:pPr>
            <w:r w:rsidRPr="00E65C9D">
              <w:rPr>
                <w:sz w:val="16"/>
                <w:szCs w:val="16"/>
              </w:rPr>
              <w:t>37.1</w:t>
            </w:r>
          </w:p>
        </w:tc>
        <w:tc>
          <w:tcPr>
            <w:tcW w:w="1136" w:type="pct"/>
            <w:noWrap/>
            <w:vAlign w:val="center"/>
          </w:tcPr>
          <w:p w:rsidR="00F260FF" w:rsidRPr="00D14CE9" w:rsidRDefault="00F260FF" w:rsidP="00715DB8">
            <w:pPr>
              <w:jc w:val="center"/>
              <w:rPr>
                <w:sz w:val="16"/>
                <w:szCs w:val="16"/>
              </w:rPr>
            </w:pPr>
            <w:r w:rsidRPr="00E65C9D">
              <w:rPr>
                <w:sz w:val="16"/>
                <w:szCs w:val="16"/>
              </w:rPr>
              <w:t>44.</w:t>
            </w:r>
            <w:r w:rsidR="00715DB8">
              <w:rPr>
                <w:sz w:val="16"/>
                <w:szCs w:val="16"/>
              </w:rPr>
              <w:t>7</w:t>
            </w:r>
          </w:p>
        </w:tc>
        <w:tc>
          <w:tcPr>
            <w:tcW w:w="985" w:type="pct"/>
            <w:vAlign w:val="center"/>
          </w:tcPr>
          <w:p w:rsidR="00F260FF" w:rsidRPr="00D14CE9" w:rsidRDefault="00F260FF" w:rsidP="00BB2299">
            <w:pPr>
              <w:jc w:val="center"/>
              <w:rPr>
                <w:sz w:val="16"/>
                <w:szCs w:val="16"/>
              </w:rPr>
            </w:pPr>
            <w:r w:rsidRPr="00E65C9D">
              <w:rPr>
                <w:sz w:val="16"/>
                <w:szCs w:val="16"/>
              </w:rPr>
              <w:t>70.2</w:t>
            </w:r>
          </w:p>
        </w:tc>
      </w:tr>
    </w:tbl>
    <w:p w:rsidR="00716615" w:rsidRPr="00D14CE9" w:rsidRDefault="00716615" w:rsidP="00CF11FB">
      <w:pPr>
        <w:pStyle w:val="EYSource"/>
        <w:spacing w:after="240"/>
        <w:rPr>
          <w:lang w:val="en-AU"/>
        </w:rPr>
      </w:pPr>
      <w:r w:rsidRPr="00D14CE9">
        <w:rPr>
          <w:lang w:val="en-AU"/>
        </w:rPr>
        <w:t>Source: EY analysis</w:t>
      </w:r>
    </w:p>
    <w:p w:rsidR="00F264D8" w:rsidRPr="00D14CE9" w:rsidRDefault="003D29E8" w:rsidP="008F68CE">
      <w:pPr>
        <w:pStyle w:val="EYBodytextwithparaspace"/>
        <w:rPr>
          <w:b/>
          <w:sz w:val="28"/>
          <w:szCs w:val="28"/>
          <w:lang w:val="en-AU"/>
        </w:rPr>
      </w:pPr>
      <w:r w:rsidRPr="00D14CE9">
        <w:rPr>
          <w:b/>
          <w:sz w:val="28"/>
          <w:szCs w:val="28"/>
          <w:lang w:val="en-AU"/>
        </w:rPr>
        <w:t xml:space="preserve">Recommended </w:t>
      </w:r>
      <w:r w:rsidR="00BC1353" w:rsidRPr="00D14CE9">
        <w:rPr>
          <w:b/>
          <w:sz w:val="28"/>
          <w:szCs w:val="28"/>
          <w:lang w:val="en-AU"/>
        </w:rPr>
        <w:t>next steps</w:t>
      </w:r>
      <w:bookmarkEnd w:id="40"/>
      <w:bookmarkEnd w:id="41"/>
      <w:bookmarkEnd w:id="42"/>
    </w:p>
    <w:p w:rsidR="002A20FC" w:rsidRPr="00D14CE9" w:rsidRDefault="00487BD6" w:rsidP="002A20FC">
      <w:pPr>
        <w:pStyle w:val="EYBodytextwithparaspace"/>
        <w:rPr>
          <w:lang w:val="en-AU"/>
        </w:rPr>
      </w:pPr>
      <w:r w:rsidRPr="00D14CE9">
        <w:rPr>
          <w:lang w:val="en-AU"/>
        </w:rPr>
        <w:t xml:space="preserve">Continued strong population growth and economic development is going to </w:t>
      </w:r>
      <w:r w:rsidR="002A20FC" w:rsidRPr="00D14CE9">
        <w:rPr>
          <w:lang w:val="en-AU"/>
        </w:rPr>
        <w:t xml:space="preserve">drive </w:t>
      </w:r>
      <w:r w:rsidRPr="00D14CE9">
        <w:rPr>
          <w:lang w:val="en-AU"/>
        </w:rPr>
        <w:t xml:space="preserve">significant </w:t>
      </w:r>
      <w:r w:rsidR="002A20FC" w:rsidRPr="00D14CE9">
        <w:rPr>
          <w:lang w:val="en-AU"/>
        </w:rPr>
        <w:t xml:space="preserve">increases in the </w:t>
      </w:r>
      <w:r w:rsidRPr="00D14CE9">
        <w:rPr>
          <w:lang w:val="en-AU"/>
        </w:rPr>
        <w:t>demand for extractive resources, especia</w:t>
      </w:r>
      <w:bookmarkStart w:id="46" w:name="_GoBack"/>
      <w:bookmarkEnd w:id="46"/>
      <w:r w:rsidRPr="00D14CE9">
        <w:rPr>
          <w:lang w:val="en-AU"/>
        </w:rPr>
        <w:t xml:space="preserve">lly in </w:t>
      </w:r>
      <w:r w:rsidR="002A20FC" w:rsidRPr="00D14CE9">
        <w:rPr>
          <w:lang w:val="en-AU"/>
        </w:rPr>
        <w:t xml:space="preserve">growing </w:t>
      </w:r>
      <w:r w:rsidRPr="00D14CE9">
        <w:rPr>
          <w:lang w:val="en-AU"/>
        </w:rPr>
        <w:t xml:space="preserve">population </w:t>
      </w:r>
      <w:r w:rsidR="006F5ED2" w:rsidRPr="00D14CE9">
        <w:rPr>
          <w:lang w:val="en-AU"/>
        </w:rPr>
        <w:t>centres</w:t>
      </w:r>
      <w:r w:rsidR="002A20FC" w:rsidRPr="00D14CE9">
        <w:rPr>
          <w:lang w:val="en-AU"/>
        </w:rPr>
        <w:t xml:space="preserve"> in key Urban Growth Areas, infill suburbs in Metropolitan Melbourne and major regional centres like Ballarat, Geelong and Bendigo. As the extractive resources and construction industries respond to these persistent trends and industry pressures, there is likely to be a growing role for the further development and updating of these demand projections.</w:t>
      </w:r>
    </w:p>
    <w:p w:rsidR="00E413B6" w:rsidRPr="00D14CE9" w:rsidRDefault="00E413B6" w:rsidP="006E22CB">
      <w:pPr>
        <w:pStyle w:val="EYBodytextwithparaspace"/>
        <w:rPr>
          <w:lang w:val="en-AU"/>
        </w:rPr>
      </w:pPr>
      <w:r w:rsidRPr="00D14CE9">
        <w:rPr>
          <w:lang w:val="en-AU"/>
        </w:rPr>
        <w:t>Through the process of completing this study</w:t>
      </w:r>
      <w:r w:rsidR="00E033DC" w:rsidRPr="00D14CE9">
        <w:rPr>
          <w:lang w:val="en-AU"/>
        </w:rPr>
        <w:t>,</w:t>
      </w:r>
      <w:r w:rsidR="002A20FC" w:rsidRPr="00D14CE9">
        <w:rPr>
          <w:lang w:val="en-AU"/>
        </w:rPr>
        <w:t xml:space="preserve"> and to assist the </w:t>
      </w:r>
      <w:r w:rsidR="00D474CF" w:rsidRPr="00D14CE9">
        <w:rPr>
          <w:lang w:val="en-AU"/>
        </w:rPr>
        <w:t>DEDJTR</w:t>
      </w:r>
      <w:r w:rsidR="00ED3917" w:rsidRPr="00D14CE9">
        <w:rPr>
          <w:lang w:val="en-AU"/>
        </w:rPr>
        <w:t xml:space="preserve"> and the Extractive Industries Taskforce</w:t>
      </w:r>
      <w:r w:rsidR="002A20FC" w:rsidRPr="00D14CE9">
        <w:rPr>
          <w:lang w:val="en-AU"/>
        </w:rPr>
        <w:t>,</w:t>
      </w:r>
      <w:r w:rsidRPr="00D14CE9">
        <w:rPr>
          <w:lang w:val="en-AU"/>
        </w:rPr>
        <w:t xml:space="preserve"> </w:t>
      </w:r>
      <w:r w:rsidR="002A20FC" w:rsidRPr="00D14CE9">
        <w:rPr>
          <w:lang w:val="en-AU"/>
        </w:rPr>
        <w:t xml:space="preserve">possible </w:t>
      </w:r>
      <w:r w:rsidR="00E033DC" w:rsidRPr="00D14CE9">
        <w:rPr>
          <w:lang w:val="en-AU"/>
        </w:rPr>
        <w:t>next steps</w:t>
      </w:r>
      <w:r w:rsidR="00FF01EB" w:rsidRPr="00D14CE9">
        <w:rPr>
          <w:lang w:val="en-AU"/>
        </w:rPr>
        <w:t xml:space="preserve"> </w:t>
      </w:r>
      <w:r w:rsidR="002A20FC" w:rsidRPr="00D14CE9">
        <w:rPr>
          <w:lang w:val="en-AU"/>
        </w:rPr>
        <w:t>that could be taken to enhance any future updates</w:t>
      </w:r>
      <w:r w:rsidR="003D29E8" w:rsidRPr="00D14CE9">
        <w:rPr>
          <w:lang w:val="en-AU"/>
        </w:rPr>
        <w:t xml:space="preserve"> have been identified</w:t>
      </w:r>
      <w:r w:rsidR="00FF01EB" w:rsidRPr="00D14CE9">
        <w:rPr>
          <w:lang w:val="en-AU"/>
        </w:rPr>
        <w:t>:</w:t>
      </w:r>
    </w:p>
    <w:p w:rsidR="006F5ED2" w:rsidRPr="00D14CE9" w:rsidRDefault="00F264D8" w:rsidP="006F5ED2">
      <w:pPr>
        <w:pStyle w:val="EYBulletedList1"/>
        <w:spacing w:after="120"/>
        <w:rPr>
          <w:lang w:val="en-AU"/>
        </w:rPr>
      </w:pPr>
      <w:r w:rsidRPr="00D14CE9">
        <w:rPr>
          <w:lang w:val="en-AU"/>
        </w:rPr>
        <w:t xml:space="preserve">The forecast model that has been developed to assess the needs for extractive resources from the construction sector in Victoria was calibrated based on historic production data </w:t>
      </w:r>
      <w:r w:rsidR="006F5ED2" w:rsidRPr="00D14CE9">
        <w:rPr>
          <w:lang w:val="en-AU"/>
        </w:rPr>
        <w:t>and linked to the Victorian Government’s long term forecasts around population and economic growth. Given the limitations and the inherent challenges around undertaking year-on-year demand projections for the highly cyclical construction industry, future updates could consider approaches to readily accommodate up-to-date production data as they arise, particularly given the inherent volatility of extractive resources production.</w:t>
      </w:r>
    </w:p>
    <w:p w:rsidR="00F264D8" w:rsidRPr="00D14CE9" w:rsidRDefault="00F264D8" w:rsidP="00C200D0">
      <w:pPr>
        <w:pStyle w:val="EYBulletedList1"/>
        <w:spacing w:after="120"/>
        <w:rPr>
          <w:lang w:val="en-AU"/>
        </w:rPr>
      </w:pPr>
      <w:r w:rsidRPr="00D14CE9">
        <w:rPr>
          <w:lang w:val="en-AU"/>
        </w:rPr>
        <w:t>Stakeholder consultation implemented during the development process of the demand for extractive resources was quite limited in terms of number of stakeholders consulted. An extended market testing process may be considered so as to confirm and/or fine-tune the outcomes of the demand analysis.</w:t>
      </w:r>
    </w:p>
    <w:p w:rsidR="00F264D8" w:rsidRPr="00D14CE9" w:rsidRDefault="00F264D8" w:rsidP="00C200D0">
      <w:pPr>
        <w:pStyle w:val="EYBulletedList1"/>
        <w:spacing w:after="120"/>
        <w:rPr>
          <w:lang w:val="en-AU"/>
        </w:rPr>
      </w:pPr>
      <w:r w:rsidRPr="00D14CE9">
        <w:rPr>
          <w:lang w:val="en-AU"/>
        </w:rPr>
        <w:t xml:space="preserve">A constraint identified during the demand analysis was the lack of available data from a supply </w:t>
      </w:r>
      <w:r w:rsidR="007721B9" w:rsidRPr="00D14CE9">
        <w:rPr>
          <w:lang w:val="en-AU"/>
        </w:rPr>
        <w:t>perspective</w:t>
      </w:r>
      <w:r w:rsidRPr="00D14CE9">
        <w:rPr>
          <w:lang w:val="en-AU"/>
        </w:rPr>
        <w:t xml:space="preserve">, leading therefore to the development of an unconstrained demand forecast based on current patterns. </w:t>
      </w:r>
      <w:r w:rsidR="002A20FC" w:rsidRPr="00D14CE9">
        <w:rPr>
          <w:lang w:val="en-AU"/>
        </w:rPr>
        <w:t>Looking forward a</w:t>
      </w:r>
      <w:r w:rsidRPr="00D14CE9">
        <w:rPr>
          <w:lang w:val="en-AU"/>
        </w:rPr>
        <w:t xml:space="preserve"> more integrated supply </w:t>
      </w:r>
      <w:r w:rsidR="002A20FC" w:rsidRPr="00D14CE9">
        <w:rPr>
          <w:lang w:val="en-AU"/>
        </w:rPr>
        <w:t xml:space="preserve">and </w:t>
      </w:r>
      <w:r w:rsidRPr="00D14CE9">
        <w:rPr>
          <w:lang w:val="en-AU"/>
        </w:rPr>
        <w:t>demand analysis could be contemplated</w:t>
      </w:r>
      <w:r w:rsidR="002A20FC" w:rsidRPr="00D14CE9">
        <w:rPr>
          <w:lang w:val="en-AU"/>
        </w:rPr>
        <w:t xml:space="preserve"> to more explicitly account for possible regional supply constraints.</w:t>
      </w:r>
      <w:r w:rsidRPr="00D14CE9">
        <w:rPr>
          <w:lang w:val="en-AU"/>
        </w:rPr>
        <w:t xml:space="preserve"> </w:t>
      </w:r>
    </w:p>
    <w:p w:rsidR="00F264D8" w:rsidRDefault="00F264D8" w:rsidP="00C200D0">
      <w:pPr>
        <w:pStyle w:val="EYBulletedList1"/>
        <w:spacing w:after="120"/>
        <w:rPr>
          <w:lang w:val="en-AU"/>
        </w:rPr>
      </w:pPr>
      <w:r w:rsidRPr="00D14CE9">
        <w:rPr>
          <w:lang w:val="en-AU"/>
        </w:rPr>
        <w:t xml:space="preserve">Road base Class 1 and 2, concrete and concrete sand have been identified throughout the analysis as potential areas of concern due to their </w:t>
      </w:r>
      <w:r w:rsidR="00F63AE4" w:rsidRPr="00D14CE9">
        <w:rPr>
          <w:lang w:val="en-AU"/>
        </w:rPr>
        <w:t>minimal</w:t>
      </w:r>
      <w:r w:rsidRPr="00D14CE9">
        <w:rPr>
          <w:lang w:val="en-AU"/>
        </w:rPr>
        <w:t xml:space="preserve"> substitutability. Should a similar exercise of forecasting the demand for extractive resources in Victoria be undertaken in the future, it may be recommended to narrow it down on those non-substitutable and highly consumed commodity products. </w:t>
      </w:r>
    </w:p>
    <w:p w:rsidR="00D00F13" w:rsidRDefault="00D00F13" w:rsidP="00D00F13">
      <w:pPr>
        <w:pStyle w:val="EYBulletedList1"/>
        <w:numPr>
          <w:ilvl w:val="0"/>
          <w:numId w:val="0"/>
        </w:numPr>
        <w:spacing w:after="120"/>
        <w:ind w:left="288"/>
        <w:rPr>
          <w:lang w:val="en-AU"/>
        </w:rPr>
        <w:sectPr w:rsidR="00D00F13" w:rsidSect="000B6297">
          <w:footerReference w:type="default" r:id="rId20"/>
          <w:pgSz w:w="11909" w:h="16834" w:code="9"/>
          <w:pgMar w:top="1440" w:right="1440" w:bottom="1440" w:left="1440" w:header="720" w:footer="567" w:gutter="0"/>
          <w:cols w:space="720"/>
          <w:docGrid w:linePitch="360"/>
        </w:sectPr>
      </w:pPr>
    </w:p>
    <w:p w:rsidR="00D00F13" w:rsidRPr="00D14CE9" w:rsidRDefault="00606F4A" w:rsidP="00D00F13">
      <w:pPr>
        <w:pStyle w:val="EYBulletedList1"/>
        <w:numPr>
          <w:ilvl w:val="0"/>
          <w:numId w:val="0"/>
        </w:numPr>
        <w:spacing w:after="120"/>
        <w:ind w:left="288"/>
        <w:rPr>
          <w:lang w:val="en-AU"/>
        </w:rPr>
      </w:pPr>
      <w:r>
        <w:rPr>
          <w:noProof/>
          <w:lang w:val="en-AU" w:eastAsia="en-AU"/>
        </w:rPr>
        <w:lastRenderedPageBreak/>
        <mc:AlternateContent>
          <mc:Choice Requires="wps">
            <w:drawing>
              <wp:anchor distT="0" distB="0" distL="114300" distR="114300" simplePos="0" relativeHeight="251663360" behindDoc="0" locked="0" layoutInCell="1" allowOverlap="1" wp14:anchorId="2BC26DF0" wp14:editId="5D00538C">
                <wp:simplePos x="0" y="0"/>
                <wp:positionH relativeFrom="column">
                  <wp:posOffset>-106680</wp:posOffset>
                </wp:positionH>
                <wp:positionV relativeFrom="paragraph">
                  <wp:posOffset>5013960</wp:posOffset>
                </wp:positionV>
                <wp:extent cx="6385560" cy="1310640"/>
                <wp:effectExtent l="0" t="0" r="0" b="3810"/>
                <wp:wrapNone/>
                <wp:docPr id="2160" name="Text Box 2160"/>
                <wp:cNvGraphicFramePr/>
                <a:graphic xmlns:a="http://schemas.openxmlformats.org/drawingml/2006/main">
                  <a:graphicData uri="http://schemas.microsoft.com/office/word/2010/wordprocessingShape">
                    <wps:wsp>
                      <wps:cNvSpPr txBox="1"/>
                      <wps:spPr>
                        <a:xfrm>
                          <a:off x="0" y="0"/>
                          <a:ext cx="638556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754" w:rsidRDefault="003C7754" w:rsidP="00D00F13">
                            <w:pPr>
                              <w:pStyle w:val="EYCoverTitle"/>
                            </w:pPr>
                            <w: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60" o:spid="_x0000_s1028" type="#_x0000_t202" style="position:absolute;left:0;text-align:left;margin-left:-8.4pt;margin-top:394.8pt;width:502.8pt;height:103.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3tBgQIAAHAFAAAOAAAAZHJzL2Uyb0RvYy54bWysVN1v0zAQf0fif7D8ztJ0axlV06lsGkKa&#10;tokN7dl17DXC8Rn72qT89ZydpK0KL0O8JOe7331/zK/a2rCt8qECW/D8bMSZshLKyr4W/Pvz7YdL&#10;zgIKWwoDVhV8pwK/Wrx/N2/cTI1hDaZUnpERG2aNK/ga0c2yLMi1qkU4A6csCTX4WiA9/WtWetGQ&#10;9dpk49FomjXgS+dBqhCIe9MJ+SLZ11pJfNA6KGSm4BQbpq9P31X8Zou5mL164daV7MMQ/xBFLSpL&#10;TvembgQKtvHVH6bqSnoIoPFMQp2B1pVUKQfKJh+dZPO0Fk6lXKg4we3LFP6fWXm/ffSsKgs+zqdU&#10;ICtq6tKzapF9hpYlJtWocWFG0CdHYGxJQr2OtYv8QMyYeqt9Hf+UFCM5GdvtKxztSWJOzy8nk+hH&#10;kiw/z0fTi9SD7KDufMAvCmoWiYJ7amGqrNjeBSSXBB0g0ZuF28qY1EZjWRNdTEZJYS8hDWMjVqWB&#10;6M0cQk8U7oyKGGO/KU0FSRlERhpFdW082woaIiGlspiST3YJHVGagniLYo8/RPUW5S6PwTNY3CvX&#10;lQWfsj8Ju/wxhKw7PBXyKO9IYrtqu0kYOruCckcN99CtTXDytqKm3ImAj8LTnlAjaffxgT7aABUf&#10;eoqzNfhff+NHPI0vSTlraO8KHn5uhFecma+WBvtTfkEjwTA9LiYfx/Twx5LVscRu6mugruR0ZZxM&#10;ZMSjGUjtoX6hE7GMXkkkrCTfBceBvMbuGtCJkWq5TCBaTSfwzj45GU3HJsWRe25fhHf9XCKN9D0M&#10;GypmJ+PZYaOmheUGQVdpdmOdu6r29ae1TiPdn6B4N47fCXU4lIvfAAAA//8DAFBLAwQUAAYACAAA&#10;ACEAAYtLQ+MAAAALAQAADwAAAGRycy9kb3ducmV2LnhtbEyPzU7DMBCE70h9B2srcWudViI4IU5V&#10;RaqQEBxaeuHmxNskwj8hdtvA07Oc6G13djTzbbGZrGEXHEPvnYTVMgGGrvG6d62E4/tuIYCFqJxW&#10;xjuU8I0BNuXsrlC59le3x8shtoxCXMiVhC7GIec8NB1aFZZ+QEe3kx+tirSOLdejulK4NXydJCm3&#10;qnfU0KkBqw6bz8PZSnipdm9qX6+t+DHV8+tpO3wdPx6kvJ9P2ydgEaf4b4Y/fEKHkphqf3Y6MCNh&#10;sUoJPUp4FFkKjByZEKTUNGRpArws+O0P5S8AAAD//wMAUEsBAi0AFAAGAAgAAAAhALaDOJL+AAAA&#10;4QEAABMAAAAAAAAAAAAAAAAAAAAAAFtDb250ZW50X1R5cGVzXS54bWxQSwECLQAUAAYACAAAACEA&#10;OP0h/9YAAACUAQAACwAAAAAAAAAAAAAAAAAvAQAAX3JlbHMvLnJlbHNQSwECLQAUAAYACAAAACEA&#10;6+N7QYECAABwBQAADgAAAAAAAAAAAAAAAAAuAgAAZHJzL2Uyb0RvYy54bWxQSwECLQAUAAYACAAA&#10;ACEAAYtLQ+MAAAALAQAADwAAAAAAAAAAAAAAAADbBAAAZHJzL2Rvd25yZXYueG1sUEsFBgAAAAAE&#10;AAQA8wAAAOsFAAAAAA==&#10;" filled="f" stroked="f" strokeweight=".5pt">
                <v:textbox>
                  <w:txbxContent>
                    <w:p w:rsidR="003C7754" w:rsidRDefault="003C7754" w:rsidP="00D00F13">
                      <w:pPr>
                        <w:pStyle w:val="EYCoverTitle"/>
                      </w:pPr>
                      <w:r>
                        <w:t>Introduction</w:t>
                      </w:r>
                    </w:p>
                  </w:txbxContent>
                </v:textbox>
              </v:shape>
            </w:pict>
          </mc:Fallback>
        </mc:AlternateContent>
      </w:r>
      <w:r>
        <w:rPr>
          <w:noProof/>
          <w:lang w:val="en-AU" w:eastAsia="en-AU"/>
        </w:rPr>
        <w:drawing>
          <wp:anchor distT="0" distB="0" distL="114300" distR="114300" simplePos="0" relativeHeight="251682816" behindDoc="1" locked="1" layoutInCell="1" allowOverlap="1" wp14:anchorId="70920703" wp14:editId="2D23E02C">
            <wp:simplePos x="0" y="0"/>
            <wp:positionH relativeFrom="column">
              <wp:posOffset>-975360</wp:posOffset>
            </wp:positionH>
            <wp:positionV relativeFrom="paragraph">
              <wp:posOffset>-1005840</wp:posOffset>
            </wp:positionV>
            <wp:extent cx="7650480" cy="11429365"/>
            <wp:effectExtent l="0" t="0" r="7620" b="635"/>
            <wp:wrapNone/>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650480" cy="11429365"/>
                    </a:xfrm>
                    <a:prstGeom prst="rect">
                      <a:avLst/>
                    </a:prstGeom>
                  </pic:spPr>
                </pic:pic>
              </a:graphicData>
            </a:graphic>
            <wp14:sizeRelH relativeFrom="page">
              <wp14:pctWidth>0</wp14:pctWidth>
            </wp14:sizeRelH>
            <wp14:sizeRelV relativeFrom="page">
              <wp14:pctHeight>0</wp14:pctHeight>
            </wp14:sizeRelV>
          </wp:anchor>
        </w:drawing>
      </w:r>
    </w:p>
    <w:p w:rsidR="006878C0" w:rsidRPr="00D14CE9" w:rsidRDefault="006878C0" w:rsidP="00C200D0">
      <w:pPr>
        <w:pStyle w:val="EYHeading1"/>
      </w:pPr>
      <w:bookmarkStart w:id="47" w:name="_Toc441830827"/>
      <w:bookmarkStart w:id="48" w:name="_Toc441832227"/>
      <w:bookmarkStart w:id="49" w:name="_Toc441833433"/>
      <w:bookmarkStart w:id="50" w:name="_Toc441833558"/>
      <w:bookmarkStart w:id="51" w:name="_Toc441833704"/>
      <w:bookmarkStart w:id="52" w:name="_Toc441833759"/>
      <w:bookmarkStart w:id="53" w:name="_Toc441833814"/>
      <w:bookmarkStart w:id="54" w:name="_Toc441833890"/>
      <w:bookmarkStart w:id="55" w:name="_Toc441834002"/>
      <w:bookmarkStart w:id="56" w:name="_Toc441834361"/>
      <w:bookmarkStart w:id="57" w:name="_Toc441834415"/>
      <w:bookmarkStart w:id="58" w:name="_Toc441834802"/>
      <w:bookmarkStart w:id="59" w:name="_Toc441835832"/>
      <w:bookmarkStart w:id="60" w:name="_Toc441835981"/>
      <w:bookmarkStart w:id="61" w:name="_Toc441836149"/>
      <w:bookmarkStart w:id="62" w:name="_Toc425506441"/>
      <w:bookmarkStart w:id="63" w:name="_Toc425509687"/>
      <w:bookmarkStart w:id="64" w:name="_Toc425510694"/>
      <w:bookmarkStart w:id="65" w:name="_Toc441435306"/>
      <w:bookmarkStart w:id="66" w:name="_Ref441684161"/>
      <w:bookmarkStart w:id="67" w:name="_Toc451847067"/>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D14CE9">
        <w:lastRenderedPageBreak/>
        <w:t>Introduction</w:t>
      </w:r>
      <w:bookmarkEnd w:id="62"/>
      <w:bookmarkEnd w:id="63"/>
      <w:bookmarkEnd w:id="64"/>
      <w:bookmarkEnd w:id="65"/>
      <w:bookmarkEnd w:id="66"/>
      <w:bookmarkEnd w:id="67"/>
    </w:p>
    <w:p w:rsidR="006878C0" w:rsidRPr="00D14CE9" w:rsidRDefault="006878C0" w:rsidP="00C200D0">
      <w:pPr>
        <w:pStyle w:val="EYBodytextwithparaspace"/>
        <w:rPr>
          <w:lang w:val="en-AU"/>
        </w:rPr>
      </w:pPr>
      <w:r w:rsidRPr="00D14CE9">
        <w:rPr>
          <w:lang w:val="en-AU"/>
        </w:rPr>
        <w:t>This Report has been prepared for the Department of Economic Development, Jobs, Transport and Resources (DE</w:t>
      </w:r>
      <w:r w:rsidR="007568BC">
        <w:rPr>
          <w:lang w:val="en-AU"/>
        </w:rPr>
        <w:t>D</w:t>
      </w:r>
      <w:r w:rsidRPr="00D14CE9">
        <w:rPr>
          <w:lang w:val="en-AU"/>
        </w:rPr>
        <w:t>JTR), whose purpose is to create the conditions to sustainably develop the Victorian economy and grow employment.</w:t>
      </w:r>
    </w:p>
    <w:p w:rsidR="006878C0" w:rsidRPr="00D14CE9" w:rsidRDefault="006878C0" w:rsidP="00D72C9A">
      <w:pPr>
        <w:pStyle w:val="EYBodytextwithparaspace"/>
        <w:rPr>
          <w:lang w:val="en-AU"/>
        </w:rPr>
      </w:pPr>
      <w:r w:rsidRPr="00D14CE9">
        <w:rPr>
          <w:lang w:val="en-AU"/>
        </w:rPr>
        <w:t>This section outlines the reasons and scope of the study, the approach employed and</w:t>
      </w:r>
      <w:r w:rsidR="00A9654D" w:rsidRPr="00D14CE9">
        <w:rPr>
          <w:lang w:val="en-AU"/>
        </w:rPr>
        <w:t xml:space="preserve"> the structure of the Report.</w:t>
      </w:r>
    </w:p>
    <w:p w:rsidR="006878C0" w:rsidRPr="00D14CE9" w:rsidRDefault="006878C0" w:rsidP="00C200D0">
      <w:pPr>
        <w:pStyle w:val="EYHeading2"/>
      </w:pPr>
      <w:bookmarkStart w:id="68" w:name="_Toc425506161"/>
      <w:bookmarkStart w:id="69" w:name="_Toc425506316"/>
      <w:bookmarkStart w:id="70" w:name="_Toc425506442"/>
      <w:bookmarkStart w:id="71" w:name="_Toc425506568"/>
      <w:bookmarkStart w:id="72" w:name="_Toc425509688"/>
      <w:bookmarkStart w:id="73" w:name="_Toc425509949"/>
      <w:bookmarkStart w:id="74" w:name="_Toc425510325"/>
      <w:bookmarkStart w:id="75" w:name="_Toc425510513"/>
      <w:bookmarkStart w:id="76" w:name="_Toc425510695"/>
      <w:bookmarkStart w:id="77" w:name="_Toc425506162"/>
      <w:bookmarkStart w:id="78" w:name="_Toc425506317"/>
      <w:bookmarkStart w:id="79" w:name="_Toc425506443"/>
      <w:bookmarkStart w:id="80" w:name="_Toc425506569"/>
      <w:bookmarkStart w:id="81" w:name="_Toc425509689"/>
      <w:bookmarkStart w:id="82" w:name="_Toc425509950"/>
      <w:bookmarkStart w:id="83" w:name="_Toc425510326"/>
      <w:bookmarkStart w:id="84" w:name="_Toc425510514"/>
      <w:bookmarkStart w:id="85" w:name="_Toc425510696"/>
      <w:bookmarkStart w:id="86" w:name="_Toc425506172"/>
      <w:bookmarkStart w:id="87" w:name="_Toc425506327"/>
      <w:bookmarkStart w:id="88" w:name="_Toc425506453"/>
      <w:bookmarkStart w:id="89" w:name="_Toc425506579"/>
      <w:bookmarkStart w:id="90" w:name="_Toc425509699"/>
      <w:bookmarkStart w:id="91" w:name="_Toc425509960"/>
      <w:bookmarkStart w:id="92" w:name="_Toc425510336"/>
      <w:bookmarkStart w:id="93" w:name="_Toc425510524"/>
      <w:bookmarkStart w:id="94" w:name="_Toc425510706"/>
      <w:bookmarkStart w:id="95" w:name="_Toc425506177"/>
      <w:bookmarkStart w:id="96" w:name="_Toc425506332"/>
      <w:bookmarkStart w:id="97" w:name="_Toc425506458"/>
      <w:bookmarkStart w:id="98" w:name="_Toc425506584"/>
      <w:bookmarkStart w:id="99" w:name="_Toc425509704"/>
      <w:bookmarkStart w:id="100" w:name="_Toc425509965"/>
      <w:bookmarkStart w:id="101" w:name="_Toc425510341"/>
      <w:bookmarkStart w:id="102" w:name="_Toc425510529"/>
      <w:bookmarkStart w:id="103" w:name="_Toc425510711"/>
      <w:bookmarkStart w:id="104" w:name="_Toc425506182"/>
      <w:bookmarkStart w:id="105" w:name="_Toc425506337"/>
      <w:bookmarkStart w:id="106" w:name="_Toc425506463"/>
      <w:bookmarkStart w:id="107" w:name="_Toc425506589"/>
      <w:bookmarkStart w:id="108" w:name="_Toc425509709"/>
      <w:bookmarkStart w:id="109" w:name="_Toc425509970"/>
      <w:bookmarkStart w:id="110" w:name="_Toc425510346"/>
      <w:bookmarkStart w:id="111" w:name="_Toc425510534"/>
      <w:bookmarkStart w:id="112" w:name="_Toc425510716"/>
      <w:bookmarkStart w:id="113" w:name="_Toc425506187"/>
      <w:bookmarkStart w:id="114" w:name="_Toc425506342"/>
      <w:bookmarkStart w:id="115" w:name="_Toc425506468"/>
      <w:bookmarkStart w:id="116" w:name="_Toc425506594"/>
      <w:bookmarkStart w:id="117" w:name="_Toc425509714"/>
      <w:bookmarkStart w:id="118" w:name="_Toc425509975"/>
      <w:bookmarkStart w:id="119" w:name="_Toc425510351"/>
      <w:bookmarkStart w:id="120" w:name="_Toc425510539"/>
      <w:bookmarkStart w:id="121" w:name="_Toc425510721"/>
      <w:bookmarkStart w:id="122" w:name="_Toc425506192"/>
      <w:bookmarkStart w:id="123" w:name="_Toc425506347"/>
      <w:bookmarkStart w:id="124" w:name="_Toc425506473"/>
      <w:bookmarkStart w:id="125" w:name="_Toc425506599"/>
      <w:bookmarkStart w:id="126" w:name="_Toc425509719"/>
      <w:bookmarkStart w:id="127" w:name="_Toc425509980"/>
      <w:bookmarkStart w:id="128" w:name="_Toc425510356"/>
      <w:bookmarkStart w:id="129" w:name="_Toc425510544"/>
      <w:bookmarkStart w:id="130" w:name="_Toc425510726"/>
      <w:bookmarkStart w:id="131" w:name="_Toc425506199"/>
      <w:bookmarkStart w:id="132" w:name="_Toc425506354"/>
      <w:bookmarkStart w:id="133" w:name="_Toc425506480"/>
      <w:bookmarkStart w:id="134" w:name="_Toc425506606"/>
      <w:bookmarkStart w:id="135" w:name="_Toc425509726"/>
      <w:bookmarkStart w:id="136" w:name="_Toc425509987"/>
      <w:bookmarkStart w:id="137" w:name="_Toc425510363"/>
      <w:bookmarkStart w:id="138" w:name="_Toc425510551"/>
      <w:bookmarkStart w:id="139" w:name="_Toc425510733"/>
      <w:bookmarkStart w:id="140" w:name="_Toc425506202"/>
      <w:bookmarkStart w:id="141" w:name="_Toc425506357"/>
      <w:bookmarkStart w:id="142" w:name="_Toc425506483"/>
      <w:bookmarkStart w:id="143" w:name="_Toc425506609"/>
      <w:bookmarkStart w:id="144" w:name="_Toc425509729"/>
      <w:bookmarkStart w:id="145" w:name="_Toc425509990"/>
      <w:bookmarkStart w:id="146" w:name="_Toc425510366"/>
      <w:bookmarkStart w:id="147" w:name="_Toc425510554"/>
      <w:bookmarkStart w:id="148" w:name="_Toc425510736"/>
      <w:bookmarkStart w:id="149" w:name="_Toc425506205"/>
      <w:bookmarkStart w:id="150" w:name="_Toc425506360"/>
      <w:bookmarkStart w:id="151" w:name="_Toc425506486"/>
      <w:bookmarkStart w:id="152" w:name="_Toc425506612"/>
      <w:bookmarkStart w:id="153" w:name="_Toc425509732"/>
      <w:bookmarkStart w:id="154" w:name="_Toc425509993"/>
      <w:bookmarkStart w:id="155" w:name="_Toc425510369"/>
      <w:bookmarkStart w:id="156" w:name="_Toc425510557"/>
      <w:bookmarkStart w:id="157" w:name="_Toc425510739"/>
      <w:bookmarkStart w:id="158" w:name="_Toc425506208"/>
      <w:bookmarkStart w:id="159" w:name="_Toc425506363"/>
      <w:bookmarkStart w:id="160" w:name="_Toc425506489"/>
      <w:bookmarkStart w:id="161" w:name="_Toc425506615"/>
      <w:bookmarkStart w:id="162" w:name="_Toc425509735"/>
      <w:bookmarkStart w:id="163" w:name="_Toc425509996"/>
      <w:bookmarkStart w:id="164" w:name="_Toc425510372"/>
      <w:bookmarkStart w:id="165" w:name="_Toc425510560"/>
      <w:bookmarkStart w:id="166" w:name="_Toc425510742"/>
      <w:bookmarkStart w:id="167" w:name="_Toc425506211"/>
      <w:bookmarkStart w:id="168" w:name="_Toc425506366"/>
      <w:bookmarkStart w:id="169" w:name="_Toc425506492"/>
      <w:bookmarkStart w:id="170" w:name="_Toc425506618"/>
      <w:bookmarkStart w:id="171" w:name="_Toc425509738"/>
      <w:bookmarkStart w:id="172" w:name="_Toc425509999"/>
      <w:bookmarkStart w:id="173" w:name="_Toc425510375"/>
      <w:bookmarkStart w:id="174" w:name="_Toc425510563"/>
      <w:bookmarkStart w:id="175" w:name="_Toc425510745"/>
      <w:bookmarkStart w:id="176" w:name="_Toc425506214"/>
      <w:bookmarkStart w:id="177" w:name="_Toc425506369"/>
      <w:bookmarkStart w:id="178" w:name="_Toc425506495"/>
      <w:bookmarkStart w:id="179" w:name="_Toc425506621"/>
      <w:bookmarkStart w:id="180" w:name="_Toc425509741"/>
      <w:bookmarkStart w:id="181" w:name="_Toc425510002"/>
      <w:bookmarkStart w:id="182" w:name="_Toc425510378"/>
      <w:bookmarkStart w:id="183" w:name="_Toc425510566"/>
      <w:bookmarkStart w:id="184" w:name="_Toc425510748"/>
      <w:bookmarkStart w:id="185" w:name="_Toc425506217"/>
      <w:bookmarkStart w:id="186" w:name="_Toc425506372"/>
      <w:bookmarkStart w:id="187" w:name="_Toc425506498"/>
      <w:bookmarkStart w:id="188" w:name="_Toc425506624"/>
      <w:bookmarkStart w:id="189" w:name="_Toc425509744"/>
      <w:bookmarkStart w:id="190" w:name="_Toc425510005"/>
      <w:bookmarkStart w:id="191" w:name="_Toc425510381"/>
      <w:bookmarkStart w:id="192" w:name="_Toc425510569"/>
      <w:bookmarkStart w:id="193" w:name="_Toc425510751"/>
      <w:bookmarkStart w:id="194" w:name="_Toc425506220"/>
      <w:bookmarkStart w:id="195" w:name="_Toc425506375"/>
      <w:bookmarkStart w:id="196" w:name="_Toc425506501"/>
      <w:bookmarkStart w:id="197" w:name="_Toc425506627"/>
      <w:bookmarkStart w:id="198" w:name="_Toc425509747"/>
      <w:bookmarkStart w:id="199" w:name="_Toc425510008"/>
      <w:bookmarkStart w:id="200" w:name="_Toc425510384"/>
      <w:bookmarkStart w:id="201" w:name="_Toc425510572"/>
      <w:bookmarkStart w:id="202" w:name="_Toc425510754"/>
      <w:bookmarkStart w:id="203" w:name="_Toc425506221"/>
      <w:bookmarkStart w:id="204" w:name="_Toc425506376"/>
      <w:bookmarkStart w:id="205" w:name="_Toc425506502"/>
      <w:bookmarkStart w:id="206" w:name="_Toc425506628"/>
      <w:bookmarkStart w:id="207" w:name="_Toc425509748"/>
      <w:bookmarkStart w:id="208" w:name="_Toc425510009"/>
      <w:bookmarkStart w:id="209" w:name="_Toc425510385"/>
      <w:bookmarkStart w:id="210" w:name="_Toc425510573"/>
      <w:bookmarkStart w:id="211" w:name="_Toc425510755"/>
      <w:bookmarkStart w:id="212" w:name="_Toc425506222"/>
      <w:bookmarkStart w:id="213" w:name="_Toc425506377"/>
      <w:bookmarkStart w:id="214" w:name="_Toc425506503"/>
      <w:bookmarkStart w:id="215" w:name="_Toc425506629"/>
      <w:bookmarkStart w:id="216" w:name="_Toc425509749"/>
      <w:bookmarkStart w:id="217" w:name="_Toc425510010"/>
      <w:bookmarkStart w:id="218" w:name="_Toc425510386"/>
      <w:bookmarkStart w:id="219" w:name="_Toc425510574"/>
      <w:bookmarkStart w:id="220" w:name="_Toc425510756"/>
      <w:bookmarkStart w:id="221" w:name="_Toc425506223"/>
      <w:bookmarkStart w:id="222" w:name="_Toc425506378"/>
      <w:bookmarkStart w:id="223" w:name="_Toc425506504"/>
      <w:bookmarkStart w:id="224" w:name="_Toc425506630"/>
      <w:bookmarkStart w:id="225" w:name="_Toc425509750"/>
      <w:bookmarkStart w:id="226" w:name="_Toc425510011"/>
      <w:bookmarkStart w:id="227" w:name="_Toc425510387"/>
      <w:bookmarkStart w:id="228" w:name="_Toc425510575"/>
      <w:bookmarkStart w:id="229" w:name="_Toc425510757"/>
      <w:bookmarkStart w:id="230" w:name="_Toc425506266"/>
      <w:bookmarkStart w:id="231" w:name="_Toc425506421"/>
      <w:bookmarkStart w:id="232" w:name="_Toc425506547"/>
      <w:bookmarkStart w:id="233" w:name="_Toc425506673"/>
      <w:bookmarkStart w:id="234" w:name="_Toc425509793"/>
      <w:bookmarkStart w:id="235" w:name="_Toc425510054"/>
      <w:bookmarkStart w:id="236" w:name="_Toc425510430"/>
      <w:bookmarkStart w:id="237" w:name="_Toc425510618"/>
      <w:bookmarkStart w:id="238" w:name="_Toc425510800"/>
      <w:bookmarkStart w:id="239" w:name="_Toc425506267"/>
      <w:bookmarkStart w:id="240" w:name="_Toc425506422"/>
      <w:bookmarkStart w:id="241" w:name="_Toc425506548"/>
      <w:bookmarkStart w:id="242" w:name="_Toc425506674"/>
      <w:bookmarkStart w:id="243" w:name="_Toc425509794"/>
      <w:bookmarkStart w:id="244" w:name="_Toc425510055"/>
      <w:bookmarkStart w:id="245" w:name="_Toc425510431"/>
      <w:bookmarkStart w:id="246" w:name="_Toc425510619"/>
      <w:bookmarkStart w:id="247" w:name="_Toc425510801"/>
      <w:bookmarkStart w:id="248" w:name="_Toc425506268"/>
      <w:bookmarkStart w:id="249" w:name="_Toc425506423"/>
      <w:bookmarkStart w:id="250" w:name="_Toc425506549"/>
      <w:bookmarkStart w:id="251" w:name="_Toc425506675"/>
      <w:bookmarkStart w:id="252" w:name="_Toc425509795"/>
      <w:bookmarkStart w:id="253" w:name="_Toc425510056"/>
      <w:bookmarkStart w:id="254" w:name="_Toc425510432"/>
      <w:bookmarkStart w:id="255" w:name="_Toc425510620"/>
      <w:bookmarkStart w:id="256" w:name="_Toc425510802"/>
      <w:bookmarkStart w:id="257" w:name="_Toc425506269"/>
      <w:bookmarkStart w:id="258" w:name="_Toc425506424"/>
      <w:bookmarkStart w:id="259" w:name="_Toc425506550"/>
      <w:bookmarkStart w:id="260" w:name="_Toc425506676"/>
      <w:bookmarkStart w:id="261" w:name="_Toc425509796"/>
      <w:bookmarkStart w:id="262" w:name="_Toc425510057"/>
      <w:bookmarkStart w:id="263" w:name="_Toc425510433"/>
      <w:bookmarkStart w:id="264" w:name="_Toc425510621"/>
      <w:bookmarkStart w:id="265" w:name="_Toc425510803"/>
      <w:bookmarkStart w:id="266" w:name="_Toc422487422"/>
      <w:bookmarkStart w:id="267" w:name="_Toc422487564"/>
      <w:bookmarkStart w:id="268" w:name="_Toc422489255"/>
      <w:bookmarkStart w:id="269" w:name="_Toc425506551"/>
      <w:bookmarkStart w:id="270" w:name="_Toc425509797"/>
      <w:bookmarkStart w:id="271" w:name="_Toc425510622"/>
      <w:bookmarkStart w:id="272" w:name="_Toc425510804"/>
      <w:bookmarkStart w:id="273" w:name="_Toc451847068"/>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D14CE9">
        <w:t>Project background</w:t>
      </w:r>
      <w:bookmarkEnd w:id="266"/>
      <w:bookmarkEnd w:id="267"/>
      <w:bookmarkEnd w:id="268"/>
      <w:bookmarkEnd w:id="269"/>
      <w:bookmarkEnd w:id="270"/>
      <w:bookmarkEnd w:id="271"/>
      <w:bookmarkEnd w:id="272"/>
      <w:bookmarkEnd w:id="273"/>
    </w:p>
    <w:p w:rsidR="006878C0" w:rsidRPr="00D14CE9" w:rsidRDefault="006878C0" w:rsidP="00C200D0">
      <w:pPr>
        <w:pStyle w:val="EYBodytextwithparaspace"/>
        <w:rPr>
          <w:lang w:val="en-AU"/>
        </w:rPr>
      </w:pPr>
      <w:r w:rsidRPr="00D14CE9">
        <w:rPr>
          <w:lang w:val="en-AU"/>
        </w:rPr>
        <w:t xml:space="preserve">The extractive industry sector is engaged in the extraction or removal of raw extractive materials including </w:t>
      </w:r>
      <w:r w:rsidR="000C311F" w:rsidRPr="00D14CE9">
        <w:rPr>
          <w:lang w:val="en-AU"/>
        </w:rPr>
        <w:t xml:space="preserve">various forms of </w:t>
      </w:r>
      <w:r w:rsidRPr="00D14CE9">
        <w:rPr>
          <w:lang w:val="en-AU"/>
        </w:rPr>
        <w:t xml:space="preserve">hard rock, limestone, clay and sand and gravel, from various quarry sites. It is defined as an industry if the primary purpose of the extraction or removal is the sale or commercial use of the stone or the use of stone in construction, building, road or manufacturing works, which includes the treatment of stone or the manufacture of a variety of different commodity products on or adjacent to the land from which the stone is extracted. Those commodity products include for example bricks, tiles, pottery, cement products, asphalt, aggregates and road paving used in the construction of public infrastructure such as roads and railways and in commercial and residential buildings. </w:t>
      </w:r>
    </w:p>
    <w:p w:rsidR="006878C0" w:rsidRPr="00D14CE9" w:rsidRDefault="006878C0" w:rsidP="00C200D0">
      <w:pPr>
        <w:pStyle w:val="EYBodytextwithparaspace"/>
        <w:rPr>
          <w:lang w:val="en-AU"/>
        </w:rPr>
      </w:pPr>
      <w:r w:rsidRPr="00D14CE9">
        <w:rPr>
          <w:lang w:val="en-AU"/>
        </w:rPr>
        <w:t>Six main categories of extractive resources are defined in the Schedule 2 of the Mineral Resources (Sustainable Development) Extractive Industries Regulations Act 2010, listed as follows:</w:t>
      </w:r>
    </w:p>
    <w:p w:rsidR="006878C0" w:rsidRPr="00D14CE9" w:rsidRDefault="006878C0" w:rsidP="00DD52CE">
      <w:pPr>
        <w:pStyle w:val="EYBulletedList1"/>
        <w:rPr>
          <w:rFonts w:cstheme="majorHAnsi"/>
          <w:szCs w:val="20"/>
          <w:lang w:val="en-AU"/>
        </w:rPr>
      </w:pPr>
      <w:r w:rsidRPr="00D14CE9">
        <w:rPr>
          <w:lang w:val="en-AU"/>
        </w:rPr>
        <w:t>Hard</w:t>
      </w:r>
      <w:r w:rsidRPr="00D14CE9">
        <w:rPr>
          <w:rFonts w:cstheme="majorHAnsi"/>
          <w:szCs w:val="20"/>
          <w:lang w:val="en-AU"/>
        </w:rPr>
        <w:t xml:space="preserve"> Rock</w:t>
      </w:r>
      <w:r w:rsidR="00934784">
        <w:rPr>
          <w:rFonts w:ascii="ZWAdobeF" w:hAnsi="ZWAdobeF" w:cs="ZWAdobeF"/>
          <w:sz w:val="2"/>
          <w:szCs w:val="2"/>
          <w:lang w:val="en-AU"/>
        </w:rPr>
        <w:t>0F</w:t>
      </w:r>
      <w:r w:rsidRPr="00D14CE9">
        <w:rPr>
          <w:rStyle w:val="StyleFootnoteReferencefr10ptKernat6pt"/>
          <w:lang w:val="en-AU"/>
        </w:rPr>
        <w:footnoteReference w:id="2"/>
      </w:r>
    </w:p>
    <w:p w:rsidR="006878C0" w:rsidRPr="00D14CE9" w:rsidRDefault="00834F27" w:rsidP="00DD52CE">
      <w:pPr>
        <w:pStyle w:val="EYBulletedList1"/>
        <w:rPr>
          <w:lang w:val="en-AU"/>
        </w:rPr>
      </w:pPr>
      <w:r w:rsidRPr="00D14CE9">
        <w:rPr>
          <w:lang w:val="en-AU"/>
        </w:rPr>
        <w:t xml:space="preserve">Limestone (including </w:t>
      </w:r>
      <w:r w:rsidR="00A40EA2" w:rsidRPr="00D14CE9">
        <w:rPr>
          <w:lang w:val="en-AU"/>
        </w:rPr>
        <w:t>limesand</w:t>
      </w:r>
      <w:r w:rsidRPr="00D14CE9">
        <w:rPr>
          <w:lang w:val="en-AU"/>
        </w:rPr>
        <w:t>)</w:t>
      </w:r>
    </w:p>
    <w:p w:rsidR="006878C0" w:rsidRPr="00D14CE9" w:rsidRDefault="006878C0" w:rsidP="00DD52CE">
      <w:pPr>
        <w:pStyle w:val="EYBulletedList1"/>
        <w:rPr>
          <w:lang w:val="en-AU"/>
        </w:rPr>
      </w:pPr>
      <w:r w:rsidRPr="00D14CE9">
        <w:rPr>
          <w:lang w:val="en-AU"/>
        </w:rPr>
        <w:t>Sand and Gravel (naturally occurring gravels, not crushed sedimentary rocks)</w:t>
      </w:r>
    </w:p>
    <w:p w:rsidR="006878C0" w:rsidRPr="00D14CE9" w:rsidRDefault="006878C0" w:rsidP="00DD52CE">
      <w:pPr>
        <w:pStyle w:val="EYBulletedList1"/>
        <w:rPr>
          <w:lang w:val="en-AU"/>
        </w:rPr>
      </w:pPr>
      <w:r w:rsidRPr="00D14CE9">
        <w:rPr>
          <w:lang w:val="en-AU"/>
        </w:rPr>
        <w:t>Clay and Cla</w:t>
      </w:r>
      <w:r w:rsidR="00834F27" w:rsidRPr="00D14CE9">
        <w:rPr>
          <w:lang w:val="en-AU"/>
        </w:rPr>
        <w:t>y Shale</w:t>
      </w:r>
    </w:p>
    <w:p w:rsidR="006878C0" w:rsidRPr="00D14CE9" w:rsidRDefault="00834F27" w:rsidP="00DD52CE">
      <w:pPr>
        <w:pStyle w:val="EYBulletedList1"/>
        <w:rPr>
          <w:lang w:val="en-AU"/>
        </w:rPr>
      </w:pPr>
      <w:r w:rsidRPr="00D14CE9">
        <w:rPr>
          <w:lang w:val="en-AU"/>
        </w:rPr>
        <w:t>Soil</w:t>
      </w:r>
    </w:p>
    <w:p w:rsidR="006878C0" w:rsidRPr="00D14CE9" w:rsidRDefault="00834F27" w:rsidP="00C200D0">
      <w:pPr>
        <w:pStyle w:val="EYBulletedList1"/>
        <w:spacing w:after="120"/>
        <w:rPr>
          <w:lang w:val="en-AU"/>
        </w:rPr>
      </w:pPr>
      <w:r w:rsidRPr="00D14CE9">
        <w:rPr>
          <w:lang w:val="en-AU"/>
        </w:rPr>
        <w:t>Peat</w:t>
      </w:r>
    </w:p>
    <w:p w:rsidR="00C17BBE" w:rsidRPr="00D14CE9" w:rsidRDefault="006878C0" w:rsidP="00C200D0">
      <w:pPr>
        <w:pStyle w:val="EYBodytextwithparaspace"/>
        <w:rPr>
          <w:lang w:val="en-AU"/>
        </w:rPr>
      </w:pPr>
      <w:r w:rsidRPr="00D14CE9">
        <w:rPr>
          <w:lang w:val="en-AU"/>
        </w:rPr>
        <w:t>Due to the diversity of extractive resources uses, the extractive industries sector is an important contributor to Victoria</w:t>
      </w:r>
      <w:r w:rsidR="00AE70FA" w:rsidRPr="00D14CE9">
        <w:rPr>
          <w:lang w:val="en-AU"/>
        </w:rPr>
        <w:t>’s</w:t>
      </w:r>
      <w:r w:rsidRPr="00D14CE9">
        <w:rPr>
          <w:lang w:val="en-AU"/>
        </w:rPr>
        <w:t xml:space="preserve"> economic development and </w:t>
      </w:r>
      <w:r w:rsidR="00AE70FA" w:rsidRPr="00D14CE9">
        <w:rPr>
          <w:lang w:val="en-AU"/>
        </w:rPr>
        <w:t xml:space="preserve">the sustainability of the construction industry. </w:t>
      </w:r>
      <w:r w:rsidRPr="00D14CE9">
        <w:rPr>
          <w:lang w:val="en-AU"/>
        </w:rPr>
        <w:t xml:space="preserve"> The production of extractive resources grow</w:t>
      </w:r>
      <w:r w:rsidR="007071CA" w:rsidRPr="00D14CE9">
        <w:rPr>
          <w:lang w:val="en-AU"/>
        </w:rPr>
        <w:t>s</w:t>
      </w:r>
      <w:r w:rsidRPr="00D14CE9">
        <w:rPr>
          <w:lang w:val="en-AU"/>
        </w:rPr>
        <w:t xml:space="preserve"> as the demand for construction materials increases, which creates heightened challenges for the Victorian </w:t>
      </w:r>
      <w:r w:rsidR="00AE70FA" w:rsidRPr="00D14CE9">
        <w:rPr>
          <w:lang w:val="en-AU"/>
        </w:rPr>
        <w:t xml:space="preserve">Government </w:t>
      </w:r>
      <w:r w:rsidR="00C17BBE" w:rsidRPr="00D14CE9">
        <w:rPr>
          <w:lang w:val="en-AU"/>
        </w:rPr>
        <w:t xml:space="preserve">as </w:t>
      </w:r>
      <w:r w:rsidRPr="00D14CE9">
        <w:rPr>
          <w:lang w:val="en-AU"/>
        </w:rPr>
        <w:t>competing land use</w:t>
      </w:r>
      <w:r w:rsidR="00C17BBE" w:rsidRPr="00D14CE9">
        <w:rPr>
          <w:lang w:val="en-AU"/>
        </w:rPr>
        <w:t>s</w:t>
      </w:r>
      <w:r w:rsidRPr="00D14CE9">
        <w:rPr>
          <w:lang w:val="en-AU"/>
        </w:rPr>
        <w:t>, particularly in urban and regional fringe areas</w:t>
      </w:r>
      <w:r w:rsidR="00C17BBE" w:rsidRPr="00D14CE9">
        <w:rPr>
          <w:lang w:val="en-AU"/>
        </w:rPr>
        <w:t>, have the potential to sterilise strategic extractive resources and increase the cost and complexity of future construction activity</w:t>
      </w:r>
      <w:r w:rsidRPr="00D14CE9">
        <w:rPr>
          <w:lang w:val="en-AU"/>
        </w:rPr>
        <w:t xml:space="preserve">. As the urban and regional development activity </w:t>
      </w:r>
      <w:r w:rsidR="00C17BBE" w:rsidRPr="00D14CE9">
        <w:rPr>
          <w:lang w:val="en-AU"/>
        </w:rPr>
        <w:t xml:space="preserve">creeps </w:t>
      </w:r>
      <w:r w:rsidRPr="00D14CE9">
        <w:rPr>
          <w:lang w:val="en-AU"/>
        </w:rPr>
        <w:t xml:space="preserve">closer to existing or reserved quarry operations there is an increasing need for land use policy to be informed by an understanding of the total demand and the available supply of extractive resources with respect to Victoria’s growth agenda. </w:t>
      </w:r>
    </w:p>
    <w:p w:rsidR="006878C0" w:rsidRPr="00D14CE9" w:rsidRDefault="006878C0" w:rsidP="00C200D0">
      <w:pPr>
        <w:pStyle w:val="EYBodytextwithparaspace"/>
        <w:rPr>
          <w:lang w:val="en-AU"/>
        </w:rPr>
      </w:pPr>
      <w:r w:rsidRPr="00D14CE9">
        <w:rPr>
          <w:lang w:val="en-AU"/>
        </w:rPr>
        <w:t xml:space="preserve">Where the planning framework does not make adequate provision for quarrying as a potential land use, due to competing land uses such as residential development, especially in the fringe Greater Melbourne area, this could impact the economy, requiring increased transportation of quarried materials, which would also increase the costs of supply for end-users.   </w:t>
      </w:r>
    </w:p>
    <w:p w:rsidR="006878C0" w:rsidRPr="00D14CE9" w:rsidRDefault="00C17BBE" w:rsidP="00C200D0">
      <w:pPr>
        <w:pStyle w:val="EYBodytextwithparaspace"/>
        <w:rPr>
          <w:lang w:val="en-AU"/>
        </w:rPr>
      </w:pPr>
      <w:r w:rsidRPr="00D14CE9">
        <w:rPr>
          <w:lang w:val="en-AU"/>
        </w:rPr>
        <w:t>The Victorian Government recogni</w:t>
      </w:r>
      <w:r w:rsidR="009F0B6F" w:rsidRPr="00D14CE9">
        <w:rPr>
          <w:lang w:val="en-AU"/>
        </w:rPr>
        <w:t>s</w:t>
      </w:r>
      <w:r w:rsidRPr="00D14CE9">
        <w:rPr>
          <w:lang w:val="en-AU"/>
        </w:rPr>
        <w:t xml:space="preserve">es these challenges and the Extractive Industries Taskforce </w:t>
      </w:r>
      <w:r w:rsidR="009F0B6F" w:rsidRPr="00D14CE9">
        <w:rPr>
          <w:lang w:val="en-AU"/>
        </w:rPr>
        <w:t>w</w:t>
      </w:r>
      <w:r w:rsidRPr="00D14CE9">
        <w:rPr>
          <w:lang w:val="en-AU"/>
        </w:rPr>
        <w:t>as established to identify current extractive resources</w:t>
      </w:r>
      <w:r w:rsidR="007721B9" w:rsidRPr="00D14CE9">
        <w:rPr>
          <w:lang w:val="en-AU"/>
        </w:rPr>
        <w:t xml:space="preserve"> and the</w:t>
      </w:r>
      <w:r w:rsidRPr="00D14CE9">
        <w:rPr>
          <w:lang w:val="en-AU"/>
        </w:rPr>
        <w:t xml:space="preserve"> future needs</w:t>
      </w:r>
      <w:r w:rsidR="007071CA" w:rsidRPr="00D14CE9">
        <w:rPr>
          <w:lang w:val="en-AU"/>
        </w:rPr>
        <w:t xml:space="preserve"> and future available supply of extractive resources, so as to appropriately inform the Victorian Government’s industry and land use policies</w:t>
      </w:r>
      <w:r w:rsidRPr="00D14CE9">
        <w:rPr>
          <w:lang w:val="en-AU"/>
        </w:rPr>
        <w:t xml:space="preserve">. To support the Taskforce, </w:t>
      </w:r>
      <w:r w:rsidR="006878C0" w:rsidRPr="00D14CE9">
        <w:rPr>
          <w:lang w:val="en-AU"/>
        </w:rPr>
        <w:t>the DEDJTR commission</w:t>
      </w:r>
      <w:r w:rsidRPr="00D14CE9">
        <w:rPr>
          <w:lang w:val="en-AU"/>
        </w:rPr>
        <w:t>ed</w:t>
      </w:r>
      <w:r w:rsidR="006878C0" w:rsidRPr="00D14CE9">
        <w:rPr>
          <w:lang w:val="en-AU"/>
        </w:rPr>
        <w:t xml:space="preserve"> an independent </w:t>
      </w:r>
      <w:r w:rsidR="009F0B6F" w:rsidRPr="00D14CE9">
        <w:rPr>
          <w:lang w:val="en-AU"/>
        </w:rPr>
        <w:t xml:space="preserve">demand </w:t>
      </w:r>
      <w:r w:rsidR="006878C0" w:rsidRPr="00D14CE9">
        <w:rPr>
          <w:lang w:val="en-AU"/>
        </w:rPr>
        <w:t>research project to:</w:t>
      </w:r>
    </w:p>
    <w:p w:rsidR="004D204F" w:rsidRPr="00D14CE9" w:rsidRDefault="004D204F" w:rsidP="004D204F">
      <w:pPr>
        <w:pStyle w:val="EYBulletedList1"/>
        <w:spacing w:after="120"/>
        <w:rPr>
          <w:lang w:val="en-AU"/>
        </w:rPr>
      </w:pPr>
      <w:r w:rsidRPr="00D14CE9">
        <w:rPr>
          <w:lang w:val="en-AU"/>
        </w:rPr>
        <w:t>Develop consolidated and regional views of the projected demand for extractive resources from 2015 to 2050, through the assessment of the needs for extractive resources from the public and private sectors. EY was appointed by the DEDJTR to undertake the demand analysis.</w:t>
      </w:r>
    </w:p>
    <w:p w:rsidR="006878C0" w:rsidRPr="00D14CE9" w:rsidRDefault="006878C0" w:rsidP="00C200D0">
      <w:pPr>
        <w:pStyle w:val="EYBulletedList1"/>
        <w:spacing w:after="120"/>
        <w:rPr>
          <w:lang w:val="en-AU"/>
        </w:rPr>
      </w:pPr>
      <w:r w:rsidRPr="00D14CE9">
        <w:rPr>
          <w:lang w:val="en-AU"/>
        </w:rPr>
        <w:t xml:space="preserve">Solicit the various perspectives held by industry across the supply chain in relation to available capacity and potential capacity constraints.  </w:t>
      </w:r>
    </w:p>
    <w:p w:rsidR="006878C0" w:rsidRPr="00D14CE9" w:rsidRDefault="006878C0" w:rsidP="008F68CE">
      <w:pPr>
        <w:pStyle w:val="EYBulletedList1"/>
        <w:spacing w:after="240"/>
        <w:rPr>
          <w:lang w:val="en-AU"/>
        </w:rPr>
      </w:pPr>
      <w:r w:rsidRPr="00D14CE9">
        <w:rPr>
          <w:lang w:val="en-AU"/>
        </w:rPr>
        <w:t xml:space="preserve">Form an assessment on any regional gaps in the available capacity of the supply chain and the needs for extractive resources that may adversely impact the Victorian economy and lead to identify mitigating actions which could involve revisiting the </w:t>
      </w:r>
      <w:r w:rsidR="004D204F" w:rsidRPr="00D14CE9">
        <w:rPr>
          <w:lang w:val="en-AU"/>
        </w:rPr>
        <w:t xml:space="preserve">Victorian Government land use policy. PwC was appointed by the DEDJTR to undertake the supply analysis as well as </w:t>
      </w:r>
      <w:r w:rsidR="009F0B6F" w:rsidRPr="00D14CE9">
        <w:rPr>
          <w:lang w:val="en-AU"/>
        </w:rPr>
        <w:t xml:space="preserve">present a combined view of the demand </w:t>
      </w:r>
      <w:r w:rsidR="004D204F" w:rsidRPr="00D14CE9">
        <w:rPr>
          <w:lang w:val="en-AU"/>
        </w:rPr>
        <w:t>and supply of extractive resources.</w:t>
      </w:r>
    </w:p>
    <w:p w:rsidR="006878C0" w:rsidRPr="00D14CE9" w:rsidRDefault="006878C0" w:rsidP="00C200D0">
      <w:pPr>
        <w:pStyle w:val="EYHeading2"/>
      </w:pPr>
      <w:bookmarkStart w:id="274" w:name="_Toc441830830"/>
      <w:bookmarkStart w:id="275" w:name="_Toc441832230"/>
      <w:bookmarkStart w:id="276" w:name="_Toc441833436"/>
      <w:bookmarkStart w:id="277" w:name="_Toc441833561"/>
      <w:bookmarkStart w:id="278" w:name="_Toc441833707"/>
      <w:bookmarkStart w:id="279" w:name="_Toc441833762"/>
      <w:bookmarkStart w:id="280" w:name="_Toc441833817"/>
      <w:bookmarkStart w:id="281" w:name="_Toc441833893"/>
      <w:bookmarkStart w:id="282" w:name="_Toc441834005"/>
      <w:bookmarkStart w:id="283" w:name="_Toc441834364"/>
      <w:bookmarkStart w:id="284" w:name="_Toc441834418"/>
      <w:bookmarkStart w:id="285" w:name="_Toc441834805"/>
      <w:bookmarkStart w:id="286" w:name="_Toc441835835"/>
      <w:bookmarkStart w:id="287" w:name="_Toc441835984"/>
      <w:bookmarkStart w:id="288" w:name="_Toc441836152"/>
      <w:bookmarkStart w:id="289" w:name="_Toc422487423"/>
      <w:bookmarkStart w:id="290" w:name="_Toc422487565"/>
      <w:bookmarkStart w:id="291" w:name="_Toc422489256"/>
      <w:bookmarkStart w:id="292" w:name="_Toc425506552"/>
      <w:bookmarkStart w:id="293" w:name="_Toc425509798"/>
      <w:bookmarkStart w:id="294" w:name="_Toc425510623"/>
      <w:bookmarkStart w:id="295" w:name="_Toc425510805"/>
      <w:bookmarkStart w:id="296" w:name="_Toc451847069"/>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D14CE9">
        <w:lastRenderedPageBreak/>
        <w:t>Purpose of this Report</w:t>
      </w:r>
      <w:bookmarkEnd w:id="289"/>
      <w:bookmarkEnd w:id="290"/>
      <w:bookmarkEnd w:id="291"/>
      <w:bookmarkEnd w:id="292"/>
      <w:bookmarkEnd w:id="293"/>
      <w:bookmarkEnd w:id="294"/>
      <w:bookmarkEnd w:id="295"/>
      <w:bookmarkEnd w:id="296"/>
      <w:r w:rsidRPr="00D14CE9">
        <w:t xml:space="preserve"> </w:t>
      </w:r>
    </w:p>
    <w:p w:rsidR="006878C0" w:rsidRPr="00D14CE9" w:rsidRDefault="006878C0" w:rsidP="00C17BBE">
      <w:pPr>
        <w:pStyle w:val="EYBodytextwithparaspace"/>
        <w:rPr>
          <w:lang w:val="en-AU"/>
        </w:rPr>
      </w:pPr>
      <w:r w:rsidRPr="00D14CE9">
        <w:rPr>
          <w:lang w:val="en-AU"/>
        </w:rPr>
        <w:t xml:space="preserve">This Report has been prepared to inform </w:t>
      </w:r>
      <w:r w:rsidR="00C17BBE" w:rsidRPr="00D14CE9">
        <w:rPr>
          <w:lang w:val="en-AU"/>
        </w:rPr>
        <w:t xml:space="preserve">the </w:t>
      </w:r>
      <w:r w:rsidR="009F0B6F" w:rsidRPr="00D14CE9">
        <w:rPr>
          <w:lang w:val="en-AU"/>
        </w:rPr>
        <w:t xml:space="preserve">Extractive Industries </w:t>
      </w:r>
      <w:r w:rsidR="00C17BBE" w:rsidRPr="00D14CE9">
        <w:rPr>
          <w:lang w:val="en-AU"/>
        </w:rPr>
        <w:t xml:space="preserve">Taskforce’s understanding of </w:t>
      </w:r>
      <w:r w:rsidRPr="00D14CE9">
        <w:rPr>
          <w:lang w:val="en-AU"/>
        </w:rPr>
        <w:t xml:space="preserve">the </w:t>
      </w:r>
      <w:r w:rsidR="007071CA" w:rsidRPr="00D14CE9">
        <w:rPr>
          <w:lang w:val="en-AU"/>
        </w:rPr>
        <w:t xml:space="preserve">total and regional </w:t>
      </w:r>
      <w:r w:rsidRPr="00D14CE9">
        <w:rPr>
          <w:lang w:val="en-AU"/>
        </w:rPr>
        <w:t>demand requirements for extractive resources in Victoria’s L</w:t>
      </w:r>
      <w:r w:rsidR="00B315AC" w:rsidRPr="00D14CE9">
        <w:rPr>
          <w:lang w:val="en-AU"/>
        </w:rPr>
        <w:t xml:space="preserve">ocal </w:t>
      </w:r>
      <w:r w:rsidRPr="00D14CE9">
        <w:rPr>
          <w:lang w:val="en-AU"/>
        </w:rPr>
        <w:t>G</w:t>
      </w:r>
      <w:r w:rsidR="00B315AC" w:rsidRPr="00D14CE9">
        <w:rPr>
          <w:lang w:val="en-AU"/>
        </w:rPr>
        <w:t xml:space="preserve">overnment </w:t>
      </w:r>
      <w:r w:rsidRPr="00D14CE9">
        <w:rPr>
          <w:lang w:val="en-AU"/>
        </w:rPr>
        <w:t>A</w:t>
      </w:r>
      <w:r w:rsidR="00B315AC" w:rsidRPr="00D14CE9">
        <w:rPr>
          <w:lang w:val="en-AU"/>
        </w:rPr>
        <w:t>reas (LGA</w:t>
      </w:r>
      <w:r w:rsidR="00D45341" w:rsidRPr="00D14CE9">
        <w:rPr>
          <w:lang w:val="en-AU"/>
        </w:rPr>
        <w:t>s</w:t>
      </w:r>
      <w:r w:rsidR="00B315AC" w:rsidRPr="00D14CE9">
        <w:rPr>
          <w:lang w:val="en-AU"/>
        </w:rPr>
        <w:t>)</w:t>
      </w:r>
      <w:r w:rsidRPr="00D14CE9">
        <w:rPr>
          <w:lang w:val="en-AU"/>
        </w:rPr>
        <w:t xml:space="preserve"> and provide a long term perspective on the demand of extractive resources across the private and public sectors, from 2015 to 2050 (financial years). The list of LGAs included in the scope of analysis is provided in </w:t>
      </w:r>
      <w:r w:rsidR="00D45341" w:rsidRPr="00474B05">
        <w:rPr>
          <w:lang w:val="en-AU"/>
        </w:rPr>
        <w:fldChar w:fldCharType="begin" w:fldLock="1"/>
      </w:r>
      <w:r w:rsidR="00D45341" w:rsidRPr="00D14CE9">
        <w:rPr>
          <w:lang w:val="en-AU"/>
        </w:rPr>
        <w:instrText xml:space="preserve"> REF _Ref441835942 \r \h </w:instrText>
      </w:r>
      <w:r w:rsidR="00D45341" w:rsidRPr="00474B05">
        <w:rPr>
          <w:lang w:val="en-AU"/>
        </w:rPr>
      </w:r>
      <w:r w:rsidR="00D45341" w:rsidRPr="00474B05">
        <w:rPr>
          <w:lang w:val="en-AU"/>
        </w:rPr>
        <w:fldChar w:fldCharType="separate"/>
      </w:r>
      <w:r w:rsidR="00895089">
        <w:rPr>
          <w:lang w:val="en-AU"/>
        </w:rPr>
        <w:t>Appendix B</w:t>
      </w:r>
      <w:r w:rsidR="00D45341" w:rsidRPr="00474B05">
        <w:rPr>
          <w:lang w:val="en-AU"/>
        </w:rPr>
        <w:fldChar w:fldCharType="end"/>
      </w:r>
      <w:r w:rsidRPr="00D14CE9">
        <w:rPr>
          <w:lang w:val="en-AU"/>
        </w:rPr>
        <w:t xml:space="preserve"> of this Report.</w:t>
      </w:r>
      <w:r w:rsidR="00C17BBE" w:rsidRPr="00D14CE9">
        <w:rPr>
          <w:lang w:val="en-AU"/>
        </w:rPr>
        <w:t xml:space="preserve"> These projections </w:t>
      </w:r>
      <w:r w:rsidR="007071CA" w:rsidRPr="00D14CE9">
        <w:rPr>
          <w:lang w:val="en-AU"/>
        </w:rPr>
        <w:t>are to be</w:t>
      </w:r>
      <w:r w:rsidR="00C17BBE" w:rsidRPr="00D14CE9">
        <w:rPr>
          <w:lang w:val="en-AU"/>
        </w:rPr>
        <w:t xml:space="preserve"> used as an input to </w:t>
      </w:r>
      <w:r w:rsidR="007071CA" w:rsidRPr="00D14CE9">
        <w:rPr>
          <w:lang w:val="en-AU"/>
        </w:rPr>
        <w:t xml:space="preserve">the </w:t>
      </w:r>
      <w:r w:rsidR="00C17BBE" w:rsidRPr="00D14CE9">
        <w:rPr>
          <w:lang w:val="en-AU"/>
        </w:rPr>
        <w:t>integrated demand and supply analysis of the industry in order to identify strategic resources and inform the Taskforce in recommending future policy directions aimed at ensuring the longer term sustainability of the extractive resources and construction industries.</w:t>
      </w:r>
    </w:p>
    <w:p w:rsidR="006878C0" w:rsidRPr="00D14CE9" w:rsidRDefault="006878C0" w:rsidP="00C200D0">
      <w:pPr>
        <w:pStyle w:val="EYBodytextwithparaspace"/>
        <w:rPr>
          <w:lang w:val="en-AU"/>
        </w:rPr>
      </w:pPr>
      <w:r w:rsidRPr="00D14CE9">
        <w:rPr>
          <w:lang w:val="en-AU"/>
        </w:rPr>
        <w:t xml:space="preserve">The set of final estimates, illustrating the future yearly demand for extractive resources per LGA and per type of extractive resources, as defined in the Schedule 2 of the Extractive Industries Regulations Act 2010, has been provided on </w:t>
      </w:r>
      <w:r w:rsidR="00C83F61" w:rsidRPr="00D14CE9">
        <w:rPr>
          <w:lang w:val="en-AU"/>
        </w:rPr>
        <w:t>15 February</w:t>
      </w:r>
      <w:r w:rsidRPr="00D14CE9">
        <w:rPr>
          <w:lang w:val="en-AU"/>
        </w:rPr>
        <w:t xml:space="preserve"> 2016 to PwC. The demand data set was aligned with PwC requirements to align the demand analysis with their supply analysis and therefore facilitate their overall assessment. </w:t>
      </w:r>
      <w:r w:rsidR="00645A96">
        <w:rPr>
          <w:lang w:val="en-AU"/>
        </w:rPr>
        <w:t xml:space="preserve">Key aggregated outputs from the final </w:t>
      </w:r>
      <w:r w:rsidR="00BB6A30">
        <w:rPr>
          <w:lang w:val="en-AU"/>
        </w:rPr>
        <w:t>demand data set,</w:t>
      </w:r>
      <w:r w:rsidRPr="00D14CE9">
        <w:rPr>
          <w:lang w:val="en-AU"/>
        </w:rPr>
        <w:t xml:space="preserve"> including the results from the baseline </w:t>
      </w:r>
      <w:r w:rsidR="00EE3A9B" w:rsidRPr="00D14CE9">
        <w:rPr>
          <w:lang w:val="en-AU"/>
        </w:rPr>
        <w:t xml:space="preserve">set of </w:t>
      </w:r>
      <w:r w:rsidRPr="00D14CE9">
        <w:rPr>
          <w:lang w:val="en-AU"/>
        </w:rPr>
        <w:t>demand</w:t>
      </w:r>
      <w:r w:rsidR="00EE3A9B" w:rsidRPr="00D14CE9">
        <w:rPr>
          <w:lang w:val="en-AU"/>
        </w:rPr>
        <w:t xml:space="preserve"> projections</w:t>
      </w:r>
      <w:r w:rsidRPr="00D14CE9">
        <w:rPr>
          <w:lang w:val="en-AU"/>
        </w:rPr>
        <w:t xml:space="preserve"> and scenarios analyses, respectively presented in Sections </w:t>
      </w:r>
      <w:r w:rsidRPr="00474B05">
        <w:rPr>
          <w:lang w:val="en-AU"/>
        </w:rPr>
        <w:fldChar w:fldCharType="begin" w:fldLock="1"/>
      </w:r>
      <w:r w:rsidRPr="00D14CE9">
        <w:rPr>
          <w:lang w:val="en-AU"/>
        </w:rPr>
        <w:instrText xml:space="preserve"> REF _Ref441385782 \r \h </w:instrText>
      </w:r>
      <w:r w:rsidR="00834F27" w:rsidRPr="00D14CE9">
        <w:rPr>
          <w:lang w:val="en-AU"/>
        </w:rPr>
        <w:instrText xml:space="preserve"> \* MERGEFORMAT </w:instrText>
      </w:r>
      <w:r w:rsidRPr="00474B05">
        <w:rPr>
          <w:lang w:val="en-AU"/>
        </w:rPr>
      </w:r>
      <w:r w:rsidRPr="00474B05">
        <w:rPr>
          <w:lang w:val="en-AU"/>
        </w:rPr>
        <w:fldChar w:fldCharType="separate"/>
      </w:r>
      <w:r w:rsidR="00895089">
        <w:rPr>
          <w:lang w:val="en-AU"/>
        </w:rPr>
        <w:t>5</w:t>
      </w:r>
      <w:r w:rsidRPr="00474B05">
        <w:rPr>
          <w:lang w:val="en-AU"/>
        </w:rPr>
        <w:fldChar w:fldCharType="end"/>
      </w:r>
      <w:r w:rsidRPr="00D14CE9">
        <w:rPr>
          <w:lang w:val="en-AU"/>
        </w:rPr>
        <w:t xml:space="preserve"> and </w:t>
      </w:r>
      <w:r w:rsidRPr="00474B05">
        <w:rPr>
          <w:lang w:val="en-AU"/>
        </w:rPr>
        <w:fldChar w:fldCharType="begin" w:fldLock="1"/>
      </w:r>
      <w:r w:rsidRPr="00D14CE9">
        <w:rPr>
          <w:lang w:val="en-AU"/>
        </w:rPr>
        <w:instrText xml:space="preserve"> REF _Ref441154565 \r \h </w:instrText>
      </w:r>
      <w:r w:rsidR="00834F27" w:rsidRPr="00D14CE9">
        <w:rPr>
          <w:lang w:val="en-AU"/>
        </w:rPr>
        <w:instrText xml:space="preserve"> \* MERGEFORMAT </w:instrText>
      </w:r>
      <w:r w:rsidRPr="00474B05">
        <w:rPr>
          <w:lang w:val="en-AU"/>
        </w:rPr>
      </w:r>
      <w:r w:rsidRPr="00474B05">
        <w:rPr>
          <w:lang w:val="en-AU"/>
        </w:rPr>
        <w:fldChar w:fldCharType="separate"/>
      </w:r>
      <w:r w:rsidR="00895089">
        <w:rPr>
          <w:lang w:val="en-AU"/>
        </w:rPr>
        <w:t>6</w:t>
      </w:r>
      <w:r w:rsidRPr="00474B05">
        <w:rPr>
          <w:lang w:val="en-AU"/>
        </w:rPr>
        <w:fldChar w:fldCharType="end"/>
      </w:r>
      <w:r w:rsidRPr="00D14CE9">
        <w:rPr>
          <w:lang w:val="en-AU"/>
        </w:rPr>
        <w:t xml:space="preserve"> of the Report, </w:t>
      </w:r>
      <w:r w:rsidR="00645A96">
        <w:rPr>
          <w:lang w:val="en-AU"/>
        </w:rPr>
        <w:t>are</w:t>
      </w:r>
      <w:r w:rsidR="00645A96" w:rsidRPr="00D14CE9">
        <w:rPr>
          <w:lang w:val="en-AU"/>
        </w:rPr>
        <w:t xml:space="preserve"> </w:t>
      </w:r>
      <w:r w:rsidRPr="00D14CE9">
        <w:rPr>
          <w:lang w:val="en-AU"/>
        </w:rPr>
        <w:t xml:space="preserve">available in </w:t>
      </w:r>
      <w:r w:rsidRPr="00474B05">
        <w:rPr>
          <w:lang w:val="en-AU"/>
        </w:rPr>
        <w:fldChar w:fldCharType="begin" w:fldLock="1"/>
      </w:r>
      <w:r w:rsidRPr="00D14CE9">
        <w:rPr>
          <w:lang w:val="en-AU"/>
        </w:rPr>
        <w:instrText xml:space="preserve"> REF _Ref441154711 \r \h </w:instrText>
      </w:r>
      <w:r w:rsidR="00834F27" w:rsidRPr="00D14CE9">
        <w:rPr>
          <w:lang w:val="en-AU"/>
        </w:rPr>
        <w:instrText xml:space="preserve"> \* MERGEFORMAT </w:instrText>
      </w:r>
      <w:r w:rsidRPr="00474B05">
        <w:rPr>
          <w:lang w:val="en-AU"/>
        </w:rPr>
      </w:r>
      <w:r w:rsidRPr="00474B05">
        <w:rPr>
          <w:lang w:val="en-AU"/>
        </w:rPr>
        <w:fldChar w:fldCharType="separate"/>
      </w:r>
      <w:r w:rsidR="00895089">
        <w:rPr>
          <w:lang w:val="en-AU"/>
        </w:rPr>
        <w:t>Appendix F</w:t>
      </w:r>
      <w:r w:rsidRPr="00474B05">
        <w:rPr>
          <w:lang w:val="en-AU"/>
        </w:rPr>
        <w:fldChar w:fldCharType="end"/>
      </w:r>
      <w:r w:rsidRPr="00D14CE9">
        <w:rPr>
          <w:lang w:val="en-AU"/>
        </w:rPr>
        <w:t xml:space="preserve">. </w:t>
      </w:r>
    </w:p>
    <w:p w:rsidR="008D41EC" w:rsidRPr="00D14CE9" w:rsidRDefault="008D41EC" w:rsidP="00C200D0">
      <w:pPr>
        <w:pStyle w:val="EYBodytextwithparaspace"/>
        <w:rPr>
          <w:lang w:val="en-AU"/>
        </w:rPr>
      </w:pPr>
      <w:r w:rsidRPr="00D14CE9">
        <w:rPr>
          <w:lang w:val="en-AU"/>
        </w:rPr>
        <w:t xml:space="preserve">In addition to the demand analysis, </w:t>
      </w:r>
      <w:r w:rsidR="003D29E8" w:rsidRPr="00D14CE9">
        <w:rPr>
          <w:lang w:val="en-AU"/>
        </w:rPr>
        <w:t>EY was</w:t>
      </w:r>
      <w:r w:rsidRPr="00D14CE9">
        <w:rPr>
          <w:lang w:val="en-AU"/>
        </w:rPr>
        <w:t xml:space="preserve"> mandated to support the overall assessment of the economic implications any gaps between the available capacity of the supply chain and the demand for extractive resources may have from a transportation </w:t>
      </w:r>
      <w:r w:rsidR="00B20B90" w:rsidRPr="00D14CE9">
        <w:rPr>
          <w:lang w:val="en-AU"/>
        </w:rPr>
        <w:t>perspective</w:t>
      </w:r>
      <w:r w:rsidRPr="00D14CE9">
        <w:rPr>
          <w:lang w:val="en-AU"/>
        </w:rPr>
        <w:t xml:space="preserve">, where for instance needed to source materials from quarries located further away due to a shortage of required extractive materials to meet the needs in near-by quarries. A cost reckoner has been accordingly developed. Methodology and key results outputs from the cost reckoner are outlined in </w:t>
      </w:r>
      <w:r w:rsidR="00DD232E">
        <w:rPr>
          <w:lang w:val="en-AU"/>
        </w:rPr>
        <w:t>Appendix H of the Report</w:t>
      </w:r>
      <w:r w:rsidRPr="00D14CE9">
        <w:rPr>
          <w:lang w:val="en-AU"/>
        </w:rPr>
        <w:t>.</w:t>
      </w:r>
    </w:p>
    <w:p w:rsidR="006878C0" w:rsidRPr="00D14CE9" w:rsidRDefault="006878C0" w:rsidP="00C200D0">
      <w:pPr>
        <w:pStyle w:val="EYHeading2"/>
      </w:pPr>
      <w:bookmarkStart w:id="297" w:name="_Toc441672412"/>
      <w:bookmarkStart w:id="298" w:name="_Toc441675266"/>
      <w:bookmarkStart w:id="299" w:name="_Toc441675502"/>
      <w:bookmarkStart w:id="300" w:name="_Toc441675743"/>
      <w:bookmarkStart w:id="301" w:name="_Toc441683102"/>
      <w:bookmarkStart w:id="302" w:name="_Toc441685141"/>
      <w:bookmarkStart w:id="303" w:name="_Toc441686088"/>
      <w:bookmarkStart w:id="304" w:name="_Toc441686185"/>
      <w:bookmarkStart w:id="305" w:name="_Toc451847070"/>
      <w:bookmarkEnd w:id="297"/>
      <w:bookmarkEnd w:id="298"/>
      <w:bookmarkEnd w:id="299"/>
      <w:bookmarkEnd w:id="300"/>
      <w:bookmarkEnd w:id="301"/>
      <w:bookmarkEnd w:id="302"/>
      <w:bookmarkEnd w:id="303"/>
      <w:bookmarkEnd w:id="304"/>
      <w:r w:rsidRPr="00D14CE9">
        <w:t>Methodology</w:t>
      </w:r>
      <w:bookmarkEnd w:id="305"/>
    </w:p>
    <w:p w:rsidR="00EE3A9B" w:rsidRPr="00D14CE9" w:rsidRDefault="00EE3A9B" w:rsidP="00EE3A9B">
      <w:pPr>
        <w:pStyle w:val="EYBodytextwithparaspace"/>
        <w:rPr>
          <w:lang w:val="en-AU"/>
        </w:rPr>
      </w:pPr>
      <w:r w:rsidRPr="00D14CE9">
        <w:rPr>
          <w:lang w:val="en-AU"/>
        </w:rPr>
        <w:t>Our approach to developing the long term projections of the demand for extractive resources across Victoria combines macroeconomic and demographic forecasting with a detailed analysis of the use of extractive resources within defined construction industry sectors.</w:t>
      </w:r>
    </w:p>
    <w:p w:rsidR="00EE3A9B" w:rsidRPr="00D14CE9" w:rsidRDefault="00EE3A9B" w:rsidP="00EE3A9B">
      <w:pPr>
        <w:pStyle w:val="EYBodytextwithparaspace"/>
        <w:rPr>
          <w:lang w:val="en-AU"/>
        </w:rPr>
      </w:pPr>
      <w:r w:rsidRPr="00D14CE9">
        <w:rPr>
          <w:lang w:val="en-AU"/>
        </w:rPr>
        <w:t xml:space="preserve">To inform our approach, a supply and demand value chain was developed in consultation with the DEDJTR and its advisors. This enabled us to map the movement of extractive resources from production and conversion into commodity products, and through to different construction types that are provided to meet the various drivers of demand. </w:t>
      </w:r>
    </w:p>
    <w:p w:rsidR="00EE3A9B" w:rsidRPr="00D14CE9" w:rsidRDefault="00EE3A9B" w:rsidP="00A9654D">
      <w:pPr>
        <w:pStyle w:val="EYSubheading"/>
        <w:rPr>
          <w:lang w:val="en-AU"/>
        </w:rPr>
      </w:pPr>
      <w:r w:rsidRPr="00D14CE9">
        <w:rPr>
          <w:lang w:val="en-AU"/>
        </w:rPr>
        <w:t>Macroeconomic forecasting</w:t>
      </w:r>
    </w:p>
    <w:p w:rsidR="00EE3A9B" w:rsidRPr="00D14CE9" w:rsidRDefault="00EE3A9B" w:rsidP="00EE3A9B">
      <w:pPr>
        <w:pStyle w:val="EYBodytextwithparaspace"/>
        <w:rPr>
          <w:lang w:val="en-AU"/>
        </w:rPr>
      </w:pPr>
      <w:r w:rsidRPr="00D14CE9">
        <w:rPr>
          <w:lang w:val="en-AU"/>
        </w:rPr>
        <w:t>The analysis of the connection between different construction types and selected drivers of demand provides a set of defined relationships that underpin the basis for developing longer term demand projections linked to fundamental trends in the economy and Victoria’s demographic profile. This enabled us to link our projections to the Victorian Government’s forecasts for population, economic growth and employment, as well as to provide a baseline set of demand projections for validation and refinement through detailed industry analysis.</w:t>
      </w:r>
    </w:p>
    <w:p w:rsidR="00EE3A9B" w:rsidRPr="00D14CE9" w:rsidRDefault="008B1A30" w:rsidP="00EE3A9B">
      <w:pPr>
        <w:pStyle w:val="EYBodytextwithparaspace"/>
        <w:rPr>
          <w:lang w:val="en-AU"/>
        </w:rPr>
      </w:pPr>
      <w:r w:rsidRPr="00D14CE9">
        <w:rPr>
          <w:lang w:val="en-AU"/>
        </w:rPr>
        <w:t>The initial starting point for the development of our macro-driven model was the analysis of the strong correlation between extractive resource production in one year and population growth in the following year, particularly in relation to hard rock which accounts for around 65% of extractive resource production.</w:t>
      </w:r>
    </w:p>
    <w:p w:rsidR="00EE3A9B" w:rsidRPr="00D14CE9" w:rsidRDefault="00EE3A9B" w:rsidP="00EE3A9B">
      <w:pPr>
        <w:pStyle w:val="EYBodytextwithparaspace"/>
        <w:rPr>
          <w:lang w:val="en-AU"/>
        </w:rPr>
      </w:pPr>
      <w:r w:rsidRPr="00D14CE9">
        <w:rPr>
          <w:lang w:val="en-AU"/>
        </w:rPr>
        <w:t xml:space="preserve">However, in order to enhance the robustness of our analysis and ensure our model could be validated with detailed sector analysis, </w:t>
      </w:r>
      <w:r w:rsidR="003D29E8" w:rsidRPr="00D14CE9">
        <w:rPr>
          <w:lang w:val="en-AU"/>
        </w:rPr>
        <w:t xml:space="preserve">EY </w:t>
      </w:r>
      <w:r w:rsidRPr="00D14CE9">
        <w:rPr>
          <w:lang w:val="en-AU"/>
        </w:rPr>
        <w:t>ha</w:t>
      </w:r>
      <w:r w:rsidR="003D29E8" w:rsidRPr="00D14CE9">
        <w:rPr>
          <w:lang w:val="en-AU"/>
        </w:rPr>
        <w:t>s</w:t>
      </w:r>
      <w:r w:rsidRPr="00D14CE9">
        <w:rPr>
          <w:lang w:val="en-AU"/>
        </w:rPr>
        <w:t xml:space="preserve"> developed a forecasting methodology that links production with a set of disaggregated demand drivers linked to each of the construction types identified.</w:t>
      </w:r>
    </w:p>
    <w:p w:rsidR="00EE3A9B" w:rsidRPr="00D14CE9" w:rsidRDefault="00EE3A9B" w:rsidP="00EE3A9B">
      <w:pPr>
        <w:pStyle w:val="EYBodytextwithparaspace"/>
        <w:rPr>
          <w:lang w:val="en-AU"/>
        </w:rPr>
      </w:pPr>
      <w:r w:rsidRPr="00D14CE9">
        <w:rPr>
          <w:lang w:val="en-AU"/>
        </w:rPr>
        <w:t>The points below outline the key steps of our approach to developing a baseline set of (macro-driven) demand projections:</w:t>
      </w:r>
    </w:p>
    <w:p w:rsidR="00EE3A9B" w:rsidRPr="00D14CE9" w:rsidRDefault="00EE3A9B" w:rsidP="00EE3A9B">
      <w:pPr>
        <w:pStyle w:val="EYBulletedList1"/>
        <w:spacing w:after="120"/>
        <w:rPr>
          <w:lang w:val="en-AU"/>
        </w:rPr>
      </w:pPr>
      <w:r w:rsidRPr="00D14CE9">
        <w:rPr>
          <w:lang w:val="en-AU"/>
        </w:rPr>
        <w:t>Identification of historic relationships between macro-economic demand drivers and construction activities.</w:t>
      </w:r>
    </w:p>
    <w:p w:rsidR="00EE3A9B" w:rsidRPr="00D14CE9" w:rsidRDefault="00EE3A9B" w:rsidP="00EE3A9B">
      <w:pPr>
        <w:pStyle w:val="EYBulletedList1"/>
        <w:spacing w:after="120"/>
        <w:rPr>
          <w:lang w:val="en-AU"/>
        </w:rPr>
      </w:pPr>
      <w:r w:rsidRPr="00D14CE9">
        <w:rPr>
          <w:lang w:val="en-AU"/>
        </w:rPr>
        <w:t>Identification of historic relationships between construction activities and the total production of extractive resources.</w:t>
      </w:r>
      <w:r w:rsidR="00045212" w:rsidRPr="00D14CE9">
        <w:rPr>
          <w:lang w:val="en-AU"/>
        </w:rPr>
        <w:t xml:space="preserve"> During the course of the demand analysis, undertaken from May to December 2015, </w:t>
      </w:r>
      <w:r w:rsidR="003D29E8" w:rsidRPr="00D14CE9">
        <w:rPr>
          <w:lang w:val="en-AU"/>
        </w:rPr>
        <w:t>this work</w:t>
      </w:r>
      <w:r w:rsidR="00045212" w:rsidRPr="00D14CE9">
        <w:rPr>
          <w:lang w:val="en-AU"/>
        </w:rPr>
        <w:t xml:space="preserve"> relied on extractive resources production data provided by the DEDJTR. This data covered the period from 1991 to </w:t>
      </w:r>
      <w:r w:rsidR="007721B9" w:rsidRPr="00D14CE9">
        <w:rPr>
          <w:lang w:val="en-AU"/>
        </w:rPr>
        <w:t>2014</w:t>
      </w:r>
      <w:r w:rsidR="00045212" w:rsidRPr="00D14CE9">
        <w:rPr>
          <w:lang w:val="en-AU"/>
        </w:rPr>
        <w:t>.</w:t>
      </w:r>
    </w:p>
    <w:p w:rsidR="00EE3A9B" w:rsidRPr="00D14CE9" w:rsidRDefault="00EE3A9B" w:rsidP="00EE3A9B">
      <w:pPr>
        <w:pStyle w:val="EYBulletedList1"/>
        <w:spacing w:after="120"/>
        <w:rPr>
          <w:lang w:val="en-AU"/>
        </w:rPr>
      </w:pPr>
      <w:r w:rsidRPr="00D14CE9">
        <w:rPr>
          <w:lang w:val="en-AU"/>
        </w:rPr>
        <w:t>Develop a high level forecast of construction activities based on Victorian Government population and macroeconomic projections and in line with their long term relationships with different construction sectors.</w:t>
      </w:r>
    </w:p>
    <w:p w:rsidR="00EE3A9B" w:rsidRPr="00D14CE9" w:rsidRDefault="00EE3A9B" w:rsidP="00EE3A9B">
      <w:pPr>
        <w:pStyle w:val="EYBulletedList1"/>
        <w:spacing w:after="120"/>
        <w:rPr>
          <w:lang w:val="en-AU"/>
        </w:rPr>
      </w:pPr>
      <w:r w:rsidRPr="00D14CE9">
        <w:rPr>
          <w:lang w:val="en-AU"/>
        </w:rPr>
        <w:t>Forecast of the total demand for extractive resources, focusing on four key categories of extractive resources (hard rock, limestone, sand and gravel and clay and clay shale).</w:t>
      </w:r>
    </w:p>
    <w:p w:rsidR="00EE3A9B" w:rsidRPr="00D14CE9" w:rsidRDefault="00EE3A9B" w:rsidP="00EE3A9B">
      <w:pPr>
        <w:pStyle w:val="EYBulletedList1"/>
        <w:spacing w:after="120"/>
        <w:rPr>
          <w:lang w:val="en-AU"/>
        </w:rPr>
      </w:pPr>
      <w:r w:rsidRPr="00D14CE9">
        <w:rPr>
          <w:lang w:val="en-AU"/>
        </w:rPr>
        <w:lastRenderedPageBreak/>
        <w:t xml:space="preserve">Develop a spatial allocation per LGA of the demand for hard rock, limestone, sand and gravel and clay and clay shale, based on the spatial allocation of construction activities and key technical assumptions received from the </w:t>
      </w:r>
      <w:r w:rsidR="002F44ED" w:rsidRPr="00D14CE9">
        <w:rPr>
          <w:lang w:val="en-AU"/>
        </w:rPr>
        <w:t xml:space="preserve">DEDJTR’s </w:t>
      </w:r>
      <w:r w:rsidRPr="00D14CE9">
        <w:rPr>
          <w:lang w:val="en-AU"/>
        </w:rPr>
        <w:t>technical advisors linking each construction activity with the use of extractive resources.</w:t>
      </w:r>
    </w:p>
    <w:p w:rsidR="00EE3A9B" w:rsidRPr="00D14CE9" w:rsidRDefault="00EE3A9B" w:rsidP="00A9654D">
      <w:pPr>
        <w:pStyle w:val="EYSubheading"/>
        <w:rPr>
          <w:lang w:val="en-AU"/>
        </w:rPr>
      </w:pPr>
      <w:r w:rsidRPr="00D14CE9">
        <w:rPr>
          <w:lang w:val="en-AU"/>
        </w:rPr>
        <w:t>Detailed industry analysis</w:t>
      </w:r>
    </w:p>
    <w:p w:rsidR="00EE3A9B" w:rsidRPr="00D14CE9" w:rsidRDefault="00EE3A9B" w:rsidP="00EE3A9B">
      <w:pPr>
        <w:pStyle w:val="EYBodytextwithparaspace"/>
        <w:rPr>
          <w:lang w:val="en-AU"/>
        </w:rPr>
      </w:pPr>
      <w:r w:rsidRPr="00D14CE9">
        <w:rPr>
          <w:lang w:val="en-AU"/>
        </w:rPr>
        <w:t>A further detailed industry analysis was undertaken to validate and refine our projections to account for the complex nature of the industry and the interdependent relationships between demand in certain locations and the supply of available extractive resources. This recognizes the tendency for the construction industry to make best use of what is available and can be transported to construction sites at least cost.</w:t>
      </w:r>
    </w:p>
    <w:p w:rsidR="00EE3A9B" w:rsidRPr="00D14CE9" w:rsidRDefault="003D29E8" w:rsidP="00EE3A9B">
      <w:pPr>
        <w:pStyle w:val="EYBodytextwithparaspace"/>
        <w:rPr>
          <w:lang w:val="en-AU"/>
        </w:rPr>
      </w:pPr>
      <w:r w:rsidRPr="00D14CE9">
        <w:rPr>
          <w:lang w:val="en-AU"/>
        </w:rPr>
        <w:t xml:space="preserve">EY </w:t>
      </w:r>
      <w:r w:rsidR="00EE3A9B" w:rsidRPr="00D14CE9">
        <w:rPr>
          <w:lang w:val="en-AU"/>
        </w:rPr>
        <w:t xml:space="preserve">also developed detailed sector models in order to ensure that our overall forecasting framework was adequately representing demands for the full range of significant construction activities, including those that may not have a clear relationship to the macroeconomic drivers modelled at a higher level (e.g. wind farms and road network development and maintenance, where government policy directions and unique industry characteristics may influence construction trends). This required the development of models that linked assumptions about the construction mix in each sector with macroeconomic forecasts and information from the </w:t>
      </w:r>
      <w:r w:rsidR="002F44ED" w:rsidRPr="00D14CE9">
        <w:rPr>
          <w:lang w:val="en-AU"/>
        </w:rPr>
        <w:t xml:space="preserve">DEDJTR’s </w:t>
      </w:r>
      <w:r w:rsidR="00EE3A9B" w:rsidRPr="00D14CE9">
        <w:rPr>
          <w:lang w:val="en-AU"/>
        </w:rPr>
        <w:t>technical advisor</w:t>
      </w:r>
      <w:r w:rsidR="009F0B6F" w:rsidRPr="00D14CE9">
        <w:rPr>
          <w:lang w:val="en-AU"/>
        </w:rPr>
        <w:t xml:space="preserve">, AECOM, engaged on 9 December 2015 by DEDJTR to identify and quantify extractive resources used in a selection of specific construction activities in Victoria. </w:t>
      </w:r>
      <w:r w:rsidR="00EE3A9B" w:rsidRPr="00D14CE9">
        <w:rPr>
          <w:lang w:val="en-AU"/>
        </w:rPr>
        <w:t xml:space="preserve"> </w:t>
      </w:r>
    </w:p>
    <w:p w:rsidR="00EE3A9B" w:rsidRPr="00D14CE9" w:rsidRDefault="00DA60A8" w:rsidP="00EE3A9B">
      <w:pPr>
        <w:pStyle w:val="EYBodytextwithparaspace"/>
        <w:rPr>
          <w:lang w:val="en-AU"/>
        </w:rPr>
      </w:pPr>
      <w:r w:rsidRPr="00D14CE9">
        <w:rPr>
          <w:lang w:val="en-AU"/>
        </w:rPr>
        <w:t>T</w:t>
      </w:r>
      <w:r w:rsidR="00EE3A9B" w:rsidRPr="00D14CE9">
        <w:rPr>
          <w:lang w:val="en-AU"/>
        </w:rPr>
        <w:t xml:space="preserve">he detailed industry analysis specifically consisted of developing a forecast based on the projections of the numbers of buildings and infrastructure projects expected to be built by the public and private sectors across Victoria (subject to available data in the public domain) and the conversion metrics provided by </w:t>
      </w:r>
      <w:r w:rsidR="00520170" w:rsidRPr="00D14CE9">
        <w:rPr>
          <w:lang w:val="en-AU"/>
        </w:rPr>
        <w:t>the DEDJTR</w:t>
      </w:r>
      <w:r w:rsidR="009F0B6F" w:rsidRPr="00D14CE9">
        <w:rPr>
          <w:lang w:val="en-AU"/>
        </w:rPr>
        <w:t>’s</w:t>
      </w:r>
      <w:r w:rsidR="00520170" w:rsidRPr="00D14CE9">
        <w:rPr>
          <w:lang w:val="en-AU"/>
        </w:rPr>
        <w:t xml:space="preserve"> technical advisor (AECOM)</w:t>
      </w:r>
      <w:r w:rsidR="00EE3A9B" w:rsidRPr="00D14CE9">
        <w:rPr>
          <w:lang w:val="en-AU"/>
        </w:rPr>
        <w:t xml:space="preserve"> for each of those construction types, allowing to first identify the extractive resources used for each construction type, whether directly or through the manufacturing of commodity products, and then to calculate the quantity, in tonnes, of extractive resources required by construction type. </w:t>
      </w:r>
      <w:r w:rsidR="00520170" w:rsidRPr="00D14CE9">
        <w:rPr>
          <w:lang w:val="en-AU"/>
        </w:rPr>
        <w:t xml:space="preserve">The analysis consisted of developing a forecast for </w:t>
      </w:r>
      <w:r w:rsidR="00EE3A9B" w:rsidRPr="00D14CE9">
        <w:rPr>
          <w:lang w:val="en-AU"/>
        </w:rPr>
        <w:t>the following construction activities:</w:t>
      </w:r>
    </w:p>
    <w:p w:rsidR="00EE3A9B" w:rsidRPr="00D14CE9" w:rsidRDefault="00EE3A9B" w:rsidP="00EE3A9B">
      <w:pPr>
        <w:pStyle w:val="EYBulletedList1"/>
        <w:spacing w:after="120"/>
        <w:rPr>
          <w:lang w:val="en-AU"/>
        </w:rPr>
      </w:pPr>
      <w:r w:rsidRPr="00D14CE9">
        <w:rPr>
          <w:lang w:val="en-AU"/>
        </w:rPr>
        <w:t>Residential, consisting of projections in relation to the numbers of individual houses, townhouses and apartments expected to be built.</w:t>
      </w:r>
    </w:p>
    <w:p w:rsidR="00EE3A9B" w:rsidRPr="00D14CE9" w:rsidRDefault="00EE3A9B" w:rsidP="00EE3A9B">
      <w:pPr>
        <w:pStyle w:val="EYBulletedList1"/>
        <w:spacing w:after="120"/>
        <w:rPr>
          <w:lang w:val="en-AU"/>
        </w:rPr>
      </w:pPr>
      <w:r w:rsidRPr="00D14CE9">
        <w:rPr>
          <w:lang w:val="en-AU"/>
        </w:rPr>
        <w:t>Non-residential, consisting of projections in relation to the numbers of commercial, retail and industrial buildings, as well as the number of schools expected to be built.</w:t>
      </w:r>
    </w:p>
    <w:p w:rsidR="00EE3A9B" w:rsidRPr="00D14CE9" w:rsidRDefault="00EE3A9B" w:rsidP="00EE3A9B">
      <w:pPr>
        <w:pStyle w:val="EYBulletedList1"/>
        <w:spacing w:after="120"/>
        <w:rPr>
          <w:lang w:val="en-AU"/>
        </w:rPr>
      </w:pPr>
      <w:r w:rsidRPr="00D14CE9">
        <w:rPr>
          <w:lang w:val="en-AU"/>
        </w:rPr>
        <w:t>Transport, consisting of projections in relation to new roads expected to be built and works needed in terms of roads maintenance and rehabilitation.</w:t>
      </w:r>
    </w:p>
    <w:p w:rsidR="00EE3A9B" w:rsidRPr="00D14CE9" w:rsidRDefault="00EE3A9B" w:rsidP="00EE3A9B">
      <w:pPr>
        <w:pStyle w:val="EYBulletedList1"/>
        <w:spacing w:after="120"/>
        <w:rPr>
          <w:lang w:val="en-AU"/>
        </w:rPr>
      </w:pPr>
      <w:r w:rsidRPr="00D14CE9">
        <w:rPr>
          <w:lang w:val="en-AU"/>
        </w:rPr>
        <w:t>Major transport infrastructure projects expected to be built.</w:t>
      </w:r>
    </w:p>
    <w:p w:rsidR="00EE3A9B" w:rsidRPr="00D14CE9" w:rsidRDefault="00EE3A9B" w:rsidP="00EE3A9B">
      <w:pPr>
        <w:pStyle w:val="EYBulletedList1"/>
        <w:spacing w:after="120"/>
        <w:rPr>
          <w:lang w:val="en-AU"/>
        </w:rPr>
      </w:pPr>
      <w:r w:rsidRPr="00D14CE9">
        <w:rPr>
          <w:lang w:val="en-AU"/>
        </w:rPr>
        <w:t>Energy and utilities, consisting of the wind farm turbines expected to be built. Limited information available in the public domain, particularly to forecast corresponding construction activity over the period of analysis, prevented to inform a broader assessment of the construction of energy and utilities related infrastructures.</w:t>
      </w:r>
    </w:p>
    <w:p w:rsidR="00EE3A9B" w:rsidRPr="00D14CE9" w:rsidRDefault="00EE3A9B" w:rsidP="00EE3A9B">
      <w:pPr>
        <w:pStyle w:val="EYBodytextwithparaspace"/>
        <w:rPr>
          <w:lang w:val="en-AU"/>
        </w:rPr>
      </w:pPr>
      <w:r w:rsidRPr="00D14CE9">
        <w:rPr>
          <w:lang w:val="en-AU"/>
        </w:rPr>
        <w:t xml:space="preserve">Further details in relation to the </w:t>
      </w:r>
      <w:r w:rsidR="00B302CD" w:rsidRPr="00D14CE9">
        <w:rPr>
          <w:lang w:val="en-AU"/>
        </w:rPr>
        <w:t>detailed industry analysis</w:t>
      </w:r>
      <w:r w:rsidRPr="00D14CE9">
        <w:rPr>
          <w:lang w:val="en-AU"/>
        </w:rPr>
        <w:t xml:space="preserve"> and assumptions used for its development are provided in </w:t>
      </w:r>
      <w:r w:rsidRPr="00474B05">
        <w:rPr>
          <w:lang w:val="en-AU"/>
        </w:rPr>
        <w:fldChar w:fldCharType="begin" w:fldLock="1"/>
      </w:r>
      <w:r w:rsidRPr="00D14CE9">
        <w:rPr>
          <w:lang w:val="en-AU"/>
        </w:rPr>
        <w:instrText xml:space="preserve"> REF _Ref441133802 \r \h  \* MERGEFORMAT </w:instrText>
      </w:r>
      <w:r w:rsidRPr="00474B05">
        <w:rPr>
          <w:lang w:val="en-AU"/>
        </w:rPr>
      </w:r>
      <w:r w:rsidRPr="00474B05">
        <w:rPr>
          <w:lang w:val="en-AU"/>
        </w:rPr>
        <w:fldChar w:fldCharType="separate"/>
      </w:r>
      <w:r w:rsidR="00895089">
        <w:rPr>
          <w:lang w:val="en-AU"/>
        </w:rPr>
        <w:t>Appendix C</w:t>
      </w:r>
      <w:r w:rsidRPr="00474B05">
        <w:rPr>
          <w:lang w:val="en-AU"/>
        </w:rPr>
        <w:fldChar w:fldCharType="end"/>
      </w:r>
      <w:r w:rsidRPr="00D14CE9">
        <w:rPr>
          <w:lang w:val="en-AU"/>
        </w:rPr>
        <w:t xml:space="preserve"> sub-section 2</w:t>
      </w:r>
      <w:r w:rsidR="009C0D99" w:rsidRPr="00D14CE9">
        <w:rPr>
          <w:lang w:val="en-AU"/>
        </w:rPr>
        <w:t xml:space="preserve"> of the Report</w:t>
      </w:r>
      <w:r w:rsidRPr="00D14CE9">
        <w:rPr>
          <w:lang w:val="en-AU"/>
        </w:rPr>
        <w:t xml:space="preserve">.   </w:t>
      </w:r>
    </w:p>
    <w:p w:rsidR="00520170" w:rsidRPr="00D14CE9" w:rsidRDefault="00520170" w:rsidP="00520170">
      <w:pPr>
        <w:pStyle w:val="EYBodytextwithparaspace"/>
        <w:rPr>
          <w:lang w:val="en-AU"/>
        </w:rPr>
      </w:pPr>
      <w:r w:rsidRPr="00D14CE9">
        <w:rPr>
          <w:lang w:val="en-AU"/>
        </w:rPr>
        <w:t xml:space="preserve">Through this analysis </w:t>
      </w:r>
      <w:r w:rsidR="003D29E8" w:rsidRPr="00D14CE9">
        <w:rPr>
          <w:lang w:val="en-AU"/>
        </w:rPr>
        <w:t xml:space="preserve">EY </w:t>
      </w:r>
      <w:r w:rsidRPr="00D14CE9">
        <w:rPr>
          <w:lang w:val="en-AU"/>
        </w:rPr>
        <w:t xml:space="preserve">validated </w:t>
      </w:r>
      <w:r w:rsidR="003D29E8" w:rsidRPr="00D14CE9">
        <w:rPr>
          <w:lang w:val="en-AU"/>
        </w:rPr>
        <w:t xml:space="preserve">its </w:t>
      </w:r>
      <w:r w:rsidRPr="00D14CE9">
        <w:rPr>
          <w:lang w:val="en-AU"/>
        </w:rPr>
        <w:t xml:space="preserve">baseline </w:t>
      </w:r>
      <w:r w:rsidR="00045212" w:rsidRPr="00D14CE9">
        <w:rPr>
          <w:lang w:val="en-AU"/>
        </w:rPr>
        <w:t xml:space="preserve">macro-driven </w:t>
      </w:r>
      <w:r w:rsidRPr="00D14CE9">
        <w:rPr>
          <w:lang w:val="en-AU"/>
        </w:rPr>
        <w:t xml:space="preserve">model and refined </w:t>
      </w:r>
      <w:r w:rsidR="003D29E8" w:rsidRPr="00D14CE9">
        <w:rPr>
          <w:lang w:val="en-AU"/>
        </w:rPr>
        <w:t xml:space="preserve">the </w:t>
      </w:r>
      <w:r w:rsidRPr="00D14CE9">
        <w:rPr>
          <w:lang w:val="en-AU"/>
        </w:rPr>
        <w:t>spatial allocation per LGA of the demand for extractive resources, including the development of projections of hard rock demand with an increased level of granularity around the different types of hard rock (i.e. consisting of rock types including basalt old, basalt new, trachyte, dolerite, granite (incl. granodiorite, porphyry, microgranites), rhyodacite (incl. dacite, rhyolite), scoria, tuff, gneiss, hornfels, marble, quartzite, schist, slate and sedimentary (usually rippable rocks incl. sandstone, shale, siltstone chert, mudstone, claystone)). Those categories of extractive resources are defined in the Schedule 2 of the Mineral Resources (Sustainable Development) Extractive Industries Regulations Act 2010.</w:t>
      </w:r>
    </w:p>
    <w:p w:rsidR="00135B50" w:rsidRPr="00D14CE9" w:rsidRDefault="00135B50" w:rsidP="00135B50">
      <w:pPr>
        <w:pStyle w:val="EYBodytextwithparaspace"/>
        <w:rPr>
          <w:lang w:val="en-AU"/>
        </w:rPr>
      </w:pPr>
      <w:r w:rsidRPr="00D14CE9">
        <w:rPr>
          <w:lang w:val="en-AU"/>
        </w:rPr>
        <w:t>Further details in relation to each step implemented for the compilation of the baseline demand forecast are provided throughout the Report in Sections 3 to 7.</w:t>
      </w:r>
    </w:p>
    <w:p w:rsidR="00B315AC" w:rsidRPr="00D14CE9" w:rsidRDefault="009F0B6F" w:rsidP="00135B50">
      <w:pPr>
        <w:pStyle w:val="EYBodytextwithparaspace"/>
        <w:rPr>
          <w:lang w:val="en-AU"/>
        </w:rPr>
      </w:pPr>
      <w:r w:rsidRPr="00D14CE9">
        <w:rPr>
          <w:lang w:val="en-AU"/>
        </w:rPr>
        <w:t xml:space="preserve">Recognising the inherent uncertainties in forecasting cyclical demand and supply factors over the longer term, this Report outlines a range of demand projections, including both high and low demand profiles around a central estimate. Given the potential for significant year-on-year variations in the production and use of extractive resources across the construction industry, it is considered prudent for </w:t>
      </w:r>
      <w:r w:rsidR="00645A96">
        <w:rPr>
          <w:lang w:val="en-AU"/>
        </w:rPr>
        <w:t xml:space="preserve">the </w:t>
      </w:r>
      <w:r w:rsidRPr="00D14CE9">
        <w:rPr>
          <w:lang w:val="en-AU"/>
        </w:rPr>
        <w:t>DEDJTR to consider the full range of results when informing future policy deliberations by the Taskforce or more broadly across the Victorian Government. In this regard, t</w:t>
      </w:r>
      <w:r w:rsidR="00DC2196" w:rsidRPr="00D14CE9">
        <w:rPr>
          <w:lang w:val="en-AU"/>
        </w:rPr>
        <w:t xml:space="preserve">he demand analysis of the extractive resources in Victoria is a “first of its kind” exercise. While the demand projections are strongly indicative for the purposes of policy making, they carry a number of important limitations related to the complexity of the construction and extractive resources industries, as well as future uncertainties around regional extractive resources supply constraints and construction </w:t>
      </w:r>
      <w:r w:rsidR="00DC2196" w:rsidRPr="00D14CE9">
        <w:rPr>
          <w:lang w:val="en-AU"/>
        </w:rPr>
        <w:lastRenderedPageBreak/>
        <w:t xml:space="preserve">methods, which have not been assessed as part of this study. Further information about the limitations </w:t>
      </w:r>
      <w:r w:rsidRPr="00D14CE9">
        <w:rPr>
          <w:lang w:val="en-AU"/>
        </w:rPr>
        <w:t xml:space="preserve">inherent to the approach and analysis are </w:t>
      </w:r>
      <w:r w:rsidR="00DC2196" w:rsidRPr="00D14CE9">
        <w:rPr>
          <w:lang w:val="en-AU"/>
        </w:rPr>
        <w:t>presented</w:t>
      </w:r>
      <w:r w:rsidR="00B315AC" w:rsidRPr="00D14CE9">
        <w:rPr>
          <w:lang w:val="en-AU"/>
        </w:rPr>
        <w:t xml:space="preserve"> in </w:t>
      </w:r>
      <w:r w:rsidR="00B315AC" w:rsidRPr="00474B05">
        <w:rPr>
          <w:lang w:val="en-AU"/>
        </w:rPr>
        <w:fldChar w:fldCharType="begin" w:fldLock="1"/>
      </w:r>
      <w:r w:rsidR="00B315AC" w:rsidRPr="00D14CE9">
        <w:rPr>
          <w:lang w:val="en-AU"/>
        </w:rPr>
        <w:instrText xml:space="preserve"> REF _Ref441829817 \r \h </w:instrText>
      </w:r>
      <w:r w:rsidR="00B315AC" w:rsidRPr="00474B05">
        <w:rPr>
          <w:lang w:val="en-AU"/>
        </w:rPr>
      </w:r>
      <w:r w:rsidR="00B315AC" w:rsidRPr="00474B05">
        <w:rPr>
          <w:lang w:val="en-AU"/>
        </w:rPr>
        <w:fldChar w:fldCharType="separate"/>
      </w:r>
      <w:r w:rsidR="00895089">
        <w:rPr>
          <w:lang w:val="en-AU"/>
        </w:rPr>
        <w:t>Appendix A</w:t>
      </w:r>
      <w:r w:rsidR="00B315AC" w:rsidRPr="00474B05">
        <w:rPr>
          <w:lang w:val="en-AU"/>
        </w:rPr>
        <w:fldChar w:fldCharType="end"/>
      </w:r>
      <w:r w:rsidR="00B315AC" w:rsidRPr="00D14CE9">
        <w:rPr>
          <w:lang w:val="en-AU"/>
        </w:rPr>
        <w:t xml:space="preserve"> of the Report.</w:t>
      </w:r>
    </w:p>
    <w:p w:rsidR="00520170" w:rsidRPr="00D14CE9" w:rsidRDefault="00520170" w:rsidP="00A9654D">
      <w:pPr>
        <w:pStyle w:val="EYSubheading"/>
        <w:rPr>
          <w:lang w:val="en-AU"/>
        </w:rPr>
      </w:pPr>
      <w:r w:rsidRPr="00D14CE9">
        <w:rPr>
          <w:lang w:val="en-AU"/>
        </w:rPr>
        <w:t>Sources</w:t>
      </w:r>
    </w:p>
    <w:p w:rsidR="006878C0" w:rsidRPr="00D14CE9" w:rsidRDefault="006878C0" w:rsidP="00C200D0">
      <w:pPr>
        <w:pStyle w:val="Bullets1stindent"/>
        <w:rPr>
          <w:rFonts w:ascii="EYInterstate Light" w:hAnsi="EYInterstate Light" w:cstheme="majorHAnsi"/>
          <w:sz w:val="20"/>
          <w:szCs w:val="20"/>
        </w:rPr>
      </w:pPr>
      <w:r w:rsidRPr="00D14CE9">
        <w:rPr>
          <w:rFonts w:ascii="EYInterstate Light" w:hAnsi="EYInterstate Light" w:cstheme="majorHAnsi"/>
          <w:sz w:val="20"/>
          <w:szCs w:val="20"/>
        </w:rPr>
        <w:t xml:space="preserve">To develop the </w:t>
      </w:r>
      <w:r w:rsidR="00520170" w:rsidRPr="00D14CE9">
        <w:rPr>
          <w:rFonts w:ascii="EYInterstate Light" w:hAnsi="EYInterstate Light" w:cstheme="majorHAnsi"/>
          <w:sz w:val="20"/>
          <w:szCs w:val="20"/>
        </w:rPr>
        <w:t xml:space="preserve">baseline </w:t>
      </w:r>
      <w:r w:rsidRPr="00D14CE9">
        <w:rPr>
          <w:rFonts w:ascii="EYInterstate Light" w:hAnsi="EYInterstate Light" w:cstheme="majorHAnsi"/>
          <w:sz w:val="20"/>
          <w:szCs w:val="20"/>
        </w:rPr>
        <w:t xml:space="preserve">demand profile, a number of sources have been considered, </w:t>
      </w:r>
      <w:r w:rsidR="00135B50" w:rsidRPr="00D14CE9">
        <w:rPr>
          <w:rFonts w:ascii="EYInterstate Light" w:hAnsi="EYInterstate Light" w:cstheme="majorHAnsi"/>
          <w:sz w:val="20"/>
          <w:szCs w:val="20"/>
        </w:rPr>
        <w:t xml:space="preserve">non-exhaustively </w:t>
      </w:r>
      <w:r w:rsidRPr="00D14CE9">
        <w:rPr>
          <w:rFonts w:ascii="EYInterstate Light" w:hAnsi="EYInterstate Light" w:cstheme="majorHAnsi"/>
          <w:sz w:val="20"/>
          <w:szCs w:val="20"/>
        </w:rPr>
        <w:t>listed as follows:</w:t>
      </w:r>
    </w:p>
    <w:p w:rsidR="006878C0" w:rsidRPr="00D14CE9" w:rsidRDefault="006878C0" w:rsidP="00C200D0">
      <w:pPr>
        <w:pStyle w:val="EYBulletedList1"/>
        <w:spacing w:after="120"/>
        <w:rPr>
          <w:lang w:val="en-AU"/>
        </w:rPr>
      </w:pPr>
      <w:r w:rsidRPr="00D14CE9">
        <w:rPr>
          <w:lang w:val="en-AU"/>
        </w:rPr>
        <w:t xml:space="preserve">DEDJTR, in relation to the historic production of extractive resources in Victoria, provided from 1991 to </w:t>
      </w:r>
      <w:r w:rsidR="007721B9" w:rsidRPr="00D14CE9">
        <w:rPr>
          <w:lang w:val="en-AU"/>
        </w:rPr>
        <w:t>2014</w:t>
      </w:r>
      <w:r w:rsidRPr="00D14CE9">
        <w:rPr>
          <w:lang w:val="en-AU"/>
        </w:rPr>
        <w:t>, and Victoria Transport Modelling (VITM) data with respect to 2046 population projections by LGA and employment projections by LGA in 2011, 2021, 2031 and 2046.</w:t>
      </w:r>
    </w:p>
    <w:p w:rsidR="006878C0" w:rsidRPr="00D14CE9" w:rsidRDefault="006878C0" w:rsidP="00C200D0">
      <w:pPr>
        <w:pStyle w:val="EYBulletedList1"/>
        <w:spacing w:after="120"/>
        <w:rPr>
          <w:lang w:val="en-AU"/>
        </w:rPr>
      </w:pPr>
      <w:r w:rsidRPr="00D14CE9">
        <w:rPr>
          <w:lang w:val="en-AU"/>
        </w:rPr>
        <w:t xml:space="preserve">Victoria in the Future 2015 (VIF 2015), with respect to 2011, 2021 and 2031 population and household size projections by LGA and Statistical Areas Level 2 (SA2). </w:t>
      </w:r>
    </w:p>
    <w:p w:rsidR="006878C0" w:rsidRPr="00D14CE9" w:rsidRDefault="006878C0" w:rsidP="00C200D0">
      <w:pPr>
        <w:pStyle w:val="EYBulletedList1"/>
        <w:spacing w:after="120"/>
        <w:rPr>
          <w:lang w:val="en-AU"/>
        </w:rPr>
      </w:pPr>
      <w:r w:rsidRPr="00D14CE9">
        <w:rPr>
          <w:lang w:val="en-AU"/>
        </w:rPr>
        <w:t>Australian Bureau of Statistics (ABS) data, with respect to the construction value of works done per type of construction activities, population, labour force, dwellings approval and structure</w:t>
      </w:r>
      <w:r w:rsidR="009D002F">
        <w:rPr>
          <w:lang w:val="en-AU"/>
        </w:rPr>
        <w:t>.</w:t>
      </w:r>
      <w:r w:rsidRPr="00D14CE9">
        <w:rPr>
          <w:lang w:val="en-AU"/>
        </w:rPr>
        <w:t xml:space="preserve"> </w:t>
      </w:r>
    </w:p>
    <w:p w:rsidR="006878C0" w:rsidRPr="00D14CE9" w:rsidRDefault="006878C0" w:rsidP="00C200D0">
      <w:pPr>
        <w:pStyle w:val="EYBulletedList1"/>
        <w:spacing w:after="120"/>
        <w:rPr>
          <w:lang w:val="en-AU"/>
        </w:rPr>
      </w:pPr>
      <w:r w:rsidRPr="00D14CE9">
        <w:rPr>
          <w:lang w:val="en-AU"/>
        </w:rPr>
        <w:t>State Budget Papers in relation to the Gross State Product (GSP) historic data and projections and government spending on infrastructure.</w:t>
      </w:r>
    </w:p>
    <w:p w:rsidR="006878C0" w:rsidRPr="00D14CE9" w:rsidRDefault="006878C0" w:rsidP="00C200D0">
      <w:pPr>
        <w:pStyle w:val="EYBulletedList1"/>
        <w:spacing w:after="120"/>
        <w:rPr>
          <w:lang w:val="en-AU"/>
        </w:rPr>
      </w:pPr>
      <w:r w:rsidRPr="00D14CE9">
        <w:rPr>
          <w:lang w:val="en-AU"/>
        </w:rPr>
        <w:t>Other Government sources (e.g. Australian Grant Commission Annual Reports, growth areas precinct plans).</w:t>
      </w:r>
    </w:p>
    <w:p w:rsidR="006878C0" w:rsidRPr="00D14CE9" w:rsidRDefault="006878C0" w:rsidP="00C200D0">
      <w:pPr>
        <w:pStyle w:val="EYBulletedList1"/>
        <w:spacing w:after="120"/>
        <w:rPr>
          <w:lang w:val="en-AU"/>
        </w:rPr>
      </w:pPr>
      <w:r w:rsidRPr="00D14CE9">
        <w:rPr>
          <w:lang w:val="en-AU"/>
        </w:rPr>
        <w:t>Reserve Bank of Australia (RBA) with respect to interest rates historic data.</w:t>
      </w:r>
    </w:p>
    <w:p w:rsidR="006878C0" w:rsidRPr="00D14CE9" w:rsidRDefault="006878C0" w:rsidP="00C200D0">
      <w:pPr>
        <w:pStyle w:val="EYBulletedList1"/>
        <w:spacing w:after="120"/>
        <w:rPr>
          <w:lang w:val="en-AU"/>
        </w:rPr>
      </w:pPr>
      <w:r w:rsidRPr="00D14CE9">
        <w:rPr>
          <w:lang w:val="en-AU"/>
        </w:rPr>
        <w:t xml:space="preserve">BIS Shrapnel – Engineering Construction Activity data to identify transport major projects planned to be developed by the </w:t>
      </w:r>
      <w:r w:rsidR="00AE70FA" w:rsidRPr="00D14CE9">
        <w:rPr>
          <w:lang w:val="en-AU"/>
        </w:rPr>
        <w:t>Victorian Government</w:t>
      </w:r>
      <w:r w:rsidRPr="00D14CE9">
        <w:rPr>
          <w:lang w:val="en-AU"/>
        </w:rPr>
        <w:t>.</w:t>
      </w:r>
    </w:p>
    <w:p w:rsidR="006878C0" w:rsidRPr="00D14CE9" w:rsidRDefault="006878C0" w:rsidP="00C200D0">
      <w:pPr>
        <w:pStyle w:val="EYBulletedList1"/>
        <w:spacing w:after="120"/>
        <w:rPr>
          <w:lang w:val="en-AU"/>
        </w:rPr>
      </w:pPr>
      <w:r w:rsidRPr="00D14CE9">
        <w:rPr>
          <w:lang w:val="en-AU"/>
        </w:rPr>
        <w:t>EY knowledge on future infrastructure transport projects.</w:t>
      </w:r>
    </w:p>
    <w:p w:rsidR="006878C0" w:rsidRPr="00D14CE9" w:rsidRDefault="006878C0" w:rsidP="00C200D0">
      <w:pPr>
        <w:pStyle w:val="EYBulletedList1"/>
        <w:spacing w:after="120"/>
        <w:rPr>
          <w:lang w:val="en-AU"/>
        </w:rPr>
      </w:pPr>
      <w:r w:rsidRPr="00D14CE9">
        <w:rPr>
          <w:lang w:val="en-AU"/>
        </w:rPr>
        <w:t>Additional reports, such as the Economic Contribution of the Extractive Industries in Victoria prepared for Cement Concrete &amp; Aggregates Australia in May 2006 that helped inform the analysis.</w:t>
      </w:r>
    </w:p>
    <w:p w:rsidR="006878C0" w:rsidRPr="00D14CE9" w:rsidRDefault="006878C0" w:rsidP="00C200D0">
      <w:pPr>
        <w:pStyle w:val="EYBulletedList1"/>
        <w:spacing w:after="120"/>
        <w:rPr>
          <w:lang w:val="en-AU"/>
        </w:rPr>
      </w:pPr>
      <w:r w:rsidRPr="00D14CE9">
        <w:rPr>
          <w:lang w:val="en-AU"/>
        </w:rPr>
        <w:t xml:space="preserve">Interviews with industry stakeholders, through a formal stakeholder consultation launched by the DEDJTR on 22 October 2015. The list of organizations consulted is provided in </w:t>
      </w:r>
      <w:r w:rsidRPr="00474B05">
        <w:rPr>
          <w:lang w:val="en-AU"/>
        </w:rPr>
        <w:fldChar w:fldCharType="begin" w:fldLock="1"/>
      </w:r>
      <w:r w:rsidRPr="00D14CE9">
        <w:rPr>
          <w:lang w:val="en-AU"/>
        </w:rPr>
        <w:instrText xml:space="preserve"> REF _Ref441151477 \r \h  \* MERGEFORMAT </w:instrText>
      </w:r>
      <w:r w:rsidRPr="00474B05">
        <w:rPr>
          <w:lang w:val="en-AU"/>
        </w:rPr>
      </w:r>
      <w:r w:rsidRPr="00474B05">
        <w:rPr>
          <w:lang w:val="en-AU"/>
        </w:rPr>
        <w:fldChar w:fldCharType="separate"/>
      </w:r>
      <w:r w:rsidR="00895089">
        <w:rPr>
          <w:lang w:val="en-AU"/>
        </w:rPr>
        <w:t>Appendix D</w:t>
      </w:r>
      <w:r w:rsidRPr="00474B05">
        <w:rPr>
          <w:lang w:val="en-AU"/>
        </w:rPr>
        <w:fldChar w:fldCharType="end"/>
      </w:r>
      <w:r w:rsidRPr="00D14CE9">
        <w:rPr>
          <w:lang w:val="en-AU"/>
        </w:rPr>
        <w:t xml:space="preserve"> </w:t>
      </w:r>
      <w:r w:rsidR="000A067A">
        <w:rPr>
          <w:lang w:val="en-AU"/>
        </w:rPr>
        <w:t xml:space="preserve">of the Report </w:t>
      </w:r>
      <w:r w:rsidRPr="00D14CE9">
        <w:rPr>
          <w:lang w:val="en-AU"/>
        </w:rPr>
        <w:t xml:space="preserve">and the findings from this process in </w:t>
      </w:r>
      <w:r w:rsidRPr="00474B05">
        <w:rPr>
          <w:lang w:val="en-AU"/>
        </w:rPr>
        <w:fldChar w:fldCharType="begin" w:fldLock="1"/>
      </w:r>
      <w:r w:rsidRPr="00D14CE9">
        <w:rPr>
          <w:lang w:val="en-AU"/>
        </w:rPr>
        <w:instrText xml:space="preserve"> REF _Ref441151496 \r \h  \* MERGEFORMAT </w:instrText>
      </w:r>
      <w:r w:rsidRPr="00474B05">
        <w:rPr>
          <w:lang w:val="en-AU"/>
        </w:rPr>
      </w:r>
      <w:r w:rsidRPr="00474B05">
        <w:rPr>
          <w:lang w:val="en-AU"/>
        </w:rPr>
        <w:fldChar w:fldCharType="separate"/>
      </w:r>
      <w:r w:rsidR="00895089">
        <w:rPr>
          <w:lang w:val="en-AU"/>
        </w:rPr>
        <w:t>Appendix E</w:t>
      </w:r>
      <w:r w:rsidRPr="00474B05">
        <w:rPr>
          <w:lang w:val="en-AU"/>
        </w:rPr>
        <w:fldChar w:fldCharType="end"/>
      </w:r>
      <w:r w:rsidR="000A067A">
        <w:rPr>
          <w:lang w:val="en-AU"/>
        </w:rPr>
        <w:t xml:space="preserve"> of the Report</w:t>
      </w:r>
      <w:r w:rsidRPr="00D14CE9">
        <w:rPr>
          <w:lang w:val="en-AU"/>
        </w:rPr>
        <w:t xml:space="preserve">. </w:t>
      </w:r>
    </w:p>
    <w:p w:rsidR="006878C0" w:rsidRPr="00D14CE9" w:rsidRDefault="006878C0" w:rsidP="00C200D0">
      <w:pPr>
        <w:pStyle w:val="EYBulletedList1"/>
        <w:spacing w:after="120"/>
        <w:rPr>
          <w:lang w:val="en-AU"/>
        </w:rPr>
      </w:pPr>
      <w:r w:rsidRPr="00D14CE9">
        <w:rPr>
          <w:lang w:val="en-AU"/>
        </w:rPr>
        <w:t xml:space="preserve">Final inputs from </w:t>
      </w:r>
      <w:r w:rsidR="00520170" w:rsidRPr="00D14CE9">
        <w:rPr>
          <w:lang w:val="en-AU"/>
        </w:rPr>
        <w:t xml:space="preserve">the DEDJTR’s technical advisor, </w:t>
      </w:r>
      <w:r w:rsidRPr="00D14CE9">
        <w:rPr>
          <w:lang w:val="en-AU"/>
        </w:rPr>
        <w:t>AECOM</w:t>
      </w:r>
      <w:r w:rsidR="00520170" w:rsidRPr="00D14CE9">
        <w:rPr>
          <w:lang w:val="en-AU"/>
        </w:rPr>
        <w:t>,</w:t>
      </w:r>
      <w:r w:rsidRPr="00D14CE9">
        <w:rPr>
          <w:lang w:val="en-AU"/>
        </w:rPr>
        <w:t xml:space="preserve"> provided on 23 December 2015 under the form of excel spreadsheets. AECOM was engaged on 9 December 2015 by the DEDJTR to identify and quantify extractive resources used in Victoria’s construction activities. </w:t>
      </w:r>
    </w:p>
    <w:p w:rsidR="00135B50" w:rsidRPr="00D14CE9" w:rsidRDefault="00135B50" w:rsidP="00C200D0">
      <w:pPr>
        <w:pStyle w:val="EYBodytextwithparaspace"/>
        <w:rPr>
          <w:lang w:val="en-AU"/>
        </w:rPr>
      </w:pPr>
      <w:r w:rsidRPr="00D14CE9">
        <w:rPr>
          <w:lang w:val="en-AU"/>
        </w:rPr>
        <w:t xml:space="preserve">Further details in relation to the exhaustive list of data sources used to develop the baseline demand forecast and the detailed industry models are provided in </w:t>
      </w:r>
      <w:r w:rsidRPr="00474B05">
        <w:rPr>
          <w:lang w:val="en-AU"/>
        </w:rPr>
        <w:fldChar w:fldCharType="begin" w:fldLock="1"/>
      </w:r>
      <w:r w:rsidRPr="00D14CE9">
        <w:rPr>
          <w:lang w:val="en-AU"/>
        </w:rPr>
        <w:instrText xml:space="preserve"> REF _Ref441133802 \r \h </w:instrText>
      </w:r>
      <w:r w:rsidRPr="00474B05">
        <w:rPr>
          <w:lang w:val="en-AU"/>
        </w:rPr>
      </w:r>
      <w:r w:rsidRPr="00474B05">
        <w:rPr>
          <w:lang w:val="en-AU"/>
        </w:rPr>
        <w:fldChar w:fldCharType="separate"/>
      </w:r>
      <w:r w:rsidR="00895089">
        <w:rPr>
          <w:lang w:val="en-AU"/>
        </w:rPr>
        <w:t>Appendix C</w:t>
      </w:r>
      <w:r w:rsidRPr="00474B05">
        <w:rPr>
          <w:lang w:val="en-AU"/>
        </w:rPr>
        <w:fldChar w:fldCharType="end"/>
      </w:r>
      <w:r w:rsidRPr="00D14CE9">
        <w:rPr>
          <w:lang w:val="en-AU"/>
        </w:rPr>
        <w:t xml:space="preserve"> of the Report.</w:t>
      </w:r>
    </w:p>
    <w:p w:rsidR="006878C0" w:rsidRPr="00D14CE9" w:rsidRDefault="006878C0" w:rsidP="00C200D0">
      <w:pPr>
        <w:pStyle w:val="EYHeading2"/>
      </w:pPr>
      <w:bookmarkStart w:id="306" w:name="_Toc451847071"/>
      <w:r w:rsidRPr="00D14CE9">
        <w:t>Key assumptions and parameters of scope</w:t>
      </w:r>
      <w:bookmarkEnd w:id="306"/>
    </w:p>
    <w:p w:rsidR="006878C0" w:rsidRPr="00D14CE9" w:rsidRDefault="006878C0" w:rsidP="00C200D0">
      <w:pPr>
        <w:pStyle w:val="EYBodytextwithparaspace"/>
        <w:rPr>
          <w:lang w:val="en-AU"/>
        </w:rPr>
      </w:pPr>
      <w:r w:rsidRPr="00D14CE9">
        <w:rPr>
          <w:lang w:val="en-AU"/>
        </w:rPr>
        <w:t>Underpinning this study is a number of assumptions and determinations of scope designed to achieve an effective balance between the study’s comprehensiveness and level of focus.</w:t>
      </w:r>
    </w:p>
    <w:p w:rsidR="006878C0" w:rsidRPr="00D14CE9" w:rsidRDefault="006878C0" w:rsidP="00A9654D">
      <w:pPr>
        <w:pStyle w:val="EYSubheading"/>
        <w:rPr>
          <w:lang w:val="en-AU"/>
        </w:rPr>
      </w:pPr>
      <w:r w:rsidRPr="00D14CE9">
        <w:rPr>
          <w:lang w:val="en-AU"/>
        </w:rPr>
        <w:t>Timeframe</w:t>
      </w:r>
    </w:p>
    <w:p w:rsidR="006878C0" w:rsidRPr="00D14CE9" w:rsidRDefault="006878C0" w:rsidP="00C200D0">
      <w:pPr>
        <w:pStyle w:val="EYBodytextwithparaspace"/>
        <w:rPr>
          <w:lang w:val="en-AU"/>
        </w:rPr>
      </w:pPr>
      <w:r w:rsidRPr="00D14CE9">
        <w:rPr>
          <w:lang w:val="en-AU"/>
        </w:rPr>
        <w:t>The demand analysis has been considered over two time periods, in accordance with the DEDJTR’s specifications in its original request for tender:</w:t>
      </w:r>
    </w:p>
    <w:p w:rsidR="006878C0" w:rsidRPr="00D14CE9" w:rsidRDefault="006878C0" w:rsidP="00C200D0">
      <w:pPr>
        <w:pStyle w:val="EYBulletedList1"/>
        <w:spacing w:after="120"/>
        <w:rPr>
          <w:lang w:val="en-AU"/>
        </w:rPr>
      </w:pPr>
      <w:r w:rsidRPr="00D14CE9">
        <w:rPr>
          <w:lang w:val="en-AU"/>
        </w:rPr>
        <w:t>2015 – 2025: detailed forecasts</w:t>
      </w:r>
    </w:p>
    <w:p w:rsidR="006878C0" w:rsidRPr="00D14CE9" w:rsidRDefault="006878C0" w:rsidP="00C200D0">
      <w:pPr>
        <w:pStyle w:val="EYBulletedList1"/>
        <w:spacing w:after="120"/>
        <w:rPr>
          <w:lang w:val="en-AU"/>
        </w:rPr>
      </w:pPr>
      <w:r w:rsidRPr="00D14CE9">
        <w:rPr>
          <w:lang w:val="en-AU"/>
        </w:rPr>
        <w:t>2026 – 2050: broader forecasts</w:t>
      </w:r>
    </w:p>
    <w:p w:rsidR="006878C0" w:rsidRPr="00D14CE9" w:rsidRDefault="006878C0" w:rsidP="00C200D0">
      <w:pPr>
        <w:pStyle w:val="EYBodytextwithparaspace"/>
        <w:rPr>
          <w:lang w:val="en-AU"/>
        </w:rPr>
      </w:pPr>
      <w:r w:rsidRPr="00D14CE9">
        <w:rPr>
          <w:lang w:val="en-AU"/>
        </w:rPr>
        <w:t xml:space="preserve">A similar level of detail, in terms of demand forecast and breakdown, has been however provided during those two periods to PwC on </w:t>
      </w:r>
      <w:r w:rsidR="00C83F61" w:rsidRPr="00D14CE9">
        <w:rPr>
          <w:lang w:val="en-AU"/>
        </w:rPr>
        <w:t>15 February</w:t>
      </w:r>
      <w:r w:rsidRPr="00D14CE9">
        <w:rPr>
          <w:lang w:val="en-AU"/>
        </w:rPr>
        <w:t xml:space="preserve"> 2016, to align with the information required to help form an overall assessment of potential regional gaps between the demand and the supply analysis. </w:t>
      </w:r>
    </w:p>
    <w:p w:rsidR="006878C0" w:rsidRPr="00D14CE9" w:rsidRDefault="00895674" w:rsidP="00A9654D">
      <w:pPr>
        <w:pStyle w:val="EYSubheading"/>
        <w:rPr>
          <w:lang w:val="en-AU"/>
        </w:rPr>
      </w:pPr>
      <w:r w:rsidRPr="00D14CE9">
        <w:rPr>
          <w:lang w:val="en-AU"/>
        </w:rPr>
        <w:t>Extractive re</w:t>
      </w:r>
      <w:r w:rsidR="006878C0" w:rsidRPr="00D14CE9">
        <w:rPr>
          <w:lang w:val="en-AU"/>
        </w:rPr>
        <w:t>sources</w:t>
      </w:r>
    </w:p>
    <w:p w:rsidR="006878C0" w:rsidRPr="00D14CE9" w:rsidRDefault="006878C0" w:rsidP="00C200D0">
      <w:pPr>
        <w:pStyle w:val="EYBodytextwithparaspace"/>
        <w:rPr>
          <w:lang w:val="en-AU"/>
        </w:rPr>
      </w:pPr>
      <w:r w:rsidRPr="00D14CE9">
        <w:rPr>
          <w:lang w:val="en-AU"/>
        </w:rPr>
        <w:t xml:space="preserve">The list of extractive resources considered for the demand analysis was developed in accordance with the definition of extractive resources provided in the Schedule 2 of the Mineral Resources (Sustainable Development) Extractive Industries Regulations Act 2010.  </w:t>
      </w:r>
    </w:p>
    <w:p w:rsidR="006878C0" w:rsidRPr="00D14CE9" w:rsidRDefault="006878C0" w:rsidP="00A9654D">
      <w:pPr>
        <w:pStyle w:val="EYSubheading"/>
        <w:rPr>
          <w:lang w:val="en-AU"/>
        </w:rPr>
      </w:pPr>
      <w:r w:rsidRPr="00D14CE9">
        <w:rPr>
          <w:lang w:val="en-AU"/>
        </w:rPr>
        <w:lastRenderedPageBreak/>
        <w:t>Geographic scope for the study of demand</w:t>
      </w:r>
    </w:p>
    <w:p w:rsidR="006878C0" w:rsidRPr="00D14CE9" w:rsidRDefault="006878C0" w:rsidP="00C200D0">
      <w:pPr>
        <w:pStyle w:val="EYBodytextwithparaspace"/>
        <w:rPr>
          <w:lang w:val="en-AU"/>
        </w:rPr>
      </w:pPr>
      <w:r w:rsidRPr="00D14CE9">
        <w:rPr>
          <w:lang w:val="en-AU"/>
        </w:rPr>
        <w:t xml:space="preserve">As agreed with the DEDJTR during the process, the study has been undertaken on an LGA basis across Victoria. </w:t>
      </w:r>
    </w:p>
    <w:p w:rsidR="006878C0" w:rsidRPr="00D14CE9" w:rsidRDefault="006878C0" w:rsidP="00A9654D">
      <w:pPr>
        <w:pStyle w:val="EYSubheading"/>
        <w:rPr>
          <w:lang w:val="en-AU"/>
        </w:rPr>
      </w:pPr>
      <w:r w:rsidRPr="00D14CE9">
        <w:rPr>
          <w:lang w:val="en-AU"/>
        </w:rPr>
        <w:t>Historic production for extractive resources</w:t>
      </w:r>
    </w:p>
    <w:p w:rsidR="006878C0" w:rsidRPr="00D14CE9" w:rsidRDefault="006878C0" w:rsidP="00C200D0">
      <w:pPr>
        <w:pStyle w:val="EYBodytextwithparaspace"/>
        <w:rPr>
          <w:lang w:val="en-AU"/>
        </w:rPr>
      </w:pPr>
      <w:r w:rsidRPr="00D14CE9">
        <w:rPr>
          <w:lang w:val="en-AU"/>
        </w:rPr>
        <w:t xml:space="preserve">The historic production data were provided by the DEDJTR until </w:t>
      </w:r>
      <w:r w:rsidR="007721B9" w:rsidRPr="00D14CE9">
        <w:rPr>
          <w:lang w:val="en-AU"/>
        </w:rPr>
        <w:t>2014</w:t>
      </w:r>
      <w:r w:rsidRPr="00D14CE9">
        <w:rPr>
          <w:lang w:val="en-AU"/>
        </w:rPr>
        <w:t xml:space="preserve">. Used as a benchmark reference to develop the demand forecast, the assumption to do so was to consider that the production of extractive resources </w:t>
      </w:r>
      <w:r w:rsidR="0004746C" w:rsidRPr="00D14CE9">
        <w:rPr>
          <w:lang w:val="en-AU"/>
        </w:rPr>
        <w:t>equalled</w:t>
      </w:r>
      <w:r w:rsidRPr="00D14CE9">
        <w:rPr>
          <w:lang w:val="en-AU"/>
        </w:rPr>
        <w:t xml:space="preserve"> the consumption during this period.</w:t>
      </w:r>
    </w:p>
    <w:p w:rsidR="006878C0" w:rsidRPr="00D14CE9" w:rsidRDefault="006878C0" w:rsidP="00C200D0">
      <w:pPr>
        <w:pStyle w:val="EYBodytextwithparaspace"/>
        <w:rPr>
          <w:lang w:val="en-AU"/>
        </w:rPr>
      </w:pPr>
      <w:r w:rsidRPr="00D14CE9">
        <w:rPr>
          <w:lang w:val="en-AU"/>
        </w:rPr>
        <w:t xml:space="preserve">All assumptions considered for the development of the </w:t>
      </w:r>
      <w:r w:rsidR="00520170" w:rsidRPr="00D14CE9">
        <w:rPr>
          <w:lang w:val="en-AU"/>
        </w:rPr>
        <w:t xml:space="preserve">baseline </w:t>
      </w:r>
      <w:r w:rsidRPr="00D14CE9">
        <w:rPr>
          <w:lang w:val="en-AU"/>
        </w:rPr>
        <w:t xml:space="preserve">demand profile (macro-economic driven approach) and the development of the </w:t>
      </w:r>
      <w:r w:rsidR="00B302CD" w:rsidRPr="00D14CE9">
        <w:rPr>
          <w:lang w:val="en-AU"/>
        </w:rPr>
        <w:t>detailed industry analysis</w:t>
      </w:r>
      <w:r w:rsidRPr="00D14CE9">
        <w:rPr>
          <w:lang w:val="en-AU"/>
        </w:rPr>
        <w:t xml:space="preserve">, for </w:t>
      </w:r>
      <w:r w:rsidR="004E3A8B" w:rsidRPr="00D14CE9">
        <w:rPr>
          <w:lang w:val="en-AU"/>
        </w:rPr>
        <w:t xml:space="preserve">refinement and </w:t>
      </w:r>
      <w:r w:rsidRPr="00D14CE9">
        <w:rPr>
          <w:lang w:val="en-AU"/>
        </w:rPr>
        <w:t xml:space="preserve">validation purposes, are provided in the Assumptions Book prepared in </w:t>
      </w:r>
      <w:r w:rsidRPr="00474B05">
        <w:rPr>
          <w:lang w:val="en-AU"/>
        </w:rPr>
        <w:fldChar w:fldCharType="begin" w:fldLock="1"/>
      </w:r>
      <w:r w:rsidRPr="00D14CE9">
        <w:rPr>
          <w:lang w:val="en-AU"/>
        </w:rPr>
        <w:instrText xml:space="preserve"> REF _Ref441133802 \r \h </w:instrText>
      </w:r>
      <w:r w:rsidR="00834F27" w:rsidRPr="00D14CE9">
        <w:rPr>
          <w:lang w:val="en-AU"/>
        </w:rPr>
        <w:instrText xml:space="preserve"> \* MERGEFORMAT </w:instrText>
      </w:r>
      <w:r w:rsidRPr="00474B05">
        <w:rPr>
          <w:lang w:val="en-AU"/>
        </w:rPr>
      </w:r>
      <w:r w:rsidRPr="00474B05">
        <w:rPr>
          <w:lang w:val="en-AU"/>
        </w:rPr>
        <w:fldChar w:fldCharType="separate"/>
      </w:r>
      <w:r w:rsidR="00895089">
        <w:rPr>
          <w:lang w:val="en-AU"/>
        </w:rPr>
        <w:t>Appendix C</w:t>
      </w:r>
      <w:r w:rsidRPr="00474B05">
        <w:rPr>
          <w:lang w:val="en-AU"/>
        </w:rPr>
        <w:fldChar w:fldCharType="end"/>
      </w:r>
      <w:r w:rsidRPr="00D14CE9">
        <w:rPr>
          <w:lang w:val="en-AU"/>
        </w:rPr>
        <w:t xml:space="preserve"> of the Report.</w:t>
      </w:r>
    </w:p>
    <w:p w:rsidR="003E25FF" w:rsidRPr="00AB2F47" w:rsidRDefault="003E25FF" w:rsidP="003637FD">
      <w:bookmarkStart w:id="307" w:name="_Toc441672423"/>
      <w:bookmarkStart w:id="308" w:name="_Toc441675277"/>
      <w:bookmarkStart w:id="309" w:name="_Toc441675513"/>
      <w:bookmarkStart w:id="310" w:name="_Toc441675754"/>
      <w:bookmarkStart w:id="311" w:name="_Toc441683113"/>
      <w:bookmarkStart w:id="312" w:name="_Toc441685152"/>
      <w:bookmarkStart w:id="313" w:name="_Toc441686099"/>
      <w:bookmarkStart w:id="314" w:name="_Toc441686196"/>
      <w:bookmarkStart w:id="315" w:name="_Toc441672424"/>
      <w:bookmarkStart w:id="316" w:name="_Toc441675278"/>
      <w:bookmarkStart w:id="317" w:name="_Toc441675514"/>
      <w:bookmarkStart w:id="318" w:name="_Toc441675755"/>
      <w:bookmarkStart w:id="319" w:name="_Toc441683114"/>
      <w:bookmarkStart w:id="320" w:name="_Toc441685153"/>
      <w:bookmarkStart w:id="321" w:name="_Toc441686100"/>
      <w:bookmarkStart w:id="322" w:name="_Toc441686197"/>
      <w:bookmarkStart w:id="323" w:name="_Toc441672425"/>
      <w:bookmarkStart w:id="324" w:name="_Toc441675279"/>
      <w:bookmarkStart w:id="325" w:name="_Toc441675515"/>
      <w:bookmarkStart w:id="326" w:name="_Toc441675756"/>
      <w:bookmarkStart w:id="327" w:name="_Toc441683115"/>
      <w:bookmarkStart w:id="328" w:name="_Toc441685154"/>
      <w:bookmarkStart w:id="329" w:name="_Toc441686101"/>
      <w:bookmarkStart w:id="330" w:name="_Toc441686198"/>
      <w:bookmarkStart w:id="331" w:name="_Toc441672426"/>
      <w:bookmarkStart w:id="332" w:name="_Toc441675280"/>
      <w:bookmarkStart w:id="333" w:name="_Toc441675516"/>
      <w:bookmarkStart w:id="334" w:name="_Toc441675757"/>
      <w:bookmarkStart w:id="335" w:name="_Toc441683116"/>
      <w:bookmarkStart w:id="336" w:name="_Toc441685155"/>
      <w:bookmarkStart w:id="337" w:name="_Toc441686102"/>
      <w:bookmarkStart w:id="338" w:name="_Toc441686199"/>
      <w:bookmarkStart w:id="339" w:name="_Toc441672427"/>
      <w:bookmarkStart w:id="340" w:name="_Toc441675281"/>
      <w:bookmarkStart w:id="341" w:name="_Toc441675517"/>
      <w:bookmarkStart w:id="342" w:name="_Toc441675758"/>
      <w:bookmarkStart w:id="343" w:name="_Toc441683117"/>
      <w:bookmarkStart w:id="344" w:name="_Toc441685156"/>
      <w:bookmarkStart w:id="345" w:name="_Toc441686103"/>
      <w:bookmarkStart w:id="346" w:name="_Toc441686200"/>
      <w:bookmarkStart w:id="347" w:name="_Toc441672428"/>
      <w:bookmarkStart w:id="348" w:name="_Toc441675282"/>
      <w:bookmarkStart w:id="349" w:name="_Toc441675518"/>
      <w:bookmarkStart w:id="350" w:name="_Toc441675759"/>
      <w:bookmarkStart w:id="351" w:name="_Toc441683118"/>
      <w:bookmarkStart w:id="352" w:name="_Toc441685157"/>
      <w:bookmarkStart w:id="353" w:name="_Toc441686104"/>
      <w:bookmarkStart w:id="354" w:name="_Toc441686201"/>
      <w:bookmarkStart w:id="355" w:name="_Toc441672429"/>
      <w:bookmarkStart w:id="356" w:name="_Toc441675283"/>
      <w:bookmarkStart w:id="357" w:name="_Toc441675519"/>
      <w:bookmarkStart w:id="358" w:name="_Toc441675760"/>
      <w:bookmarkStart w:id="359" w:name="_Toc441683119"/>
      <w:bookmarkStart w:id="360" w:name="_Toc441685158"/>
      <w:bookmarkStart w:id="361" w:name="_Toc441686105"/>
      <w:bookmarkStart w:id="362" w:name="_Toc441686202"/>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br w:type="page"/>
      </w:r>
    </w:p>
    <w:p w:rsidR="006878C0" w:rsidRPr="00D14CE9" w:rsidRDefault="006878C0" w:rsidP="00C200D0">
      <w:pPr>
        <w:pStyle w:val="EYHeading2"/>
      </w:pPr>
      <w:bookmarkStart w:id="363" w:name="_Toc451847072"/>
      <w:r w:rsidRPr="00D14CE9">
        <w:lastRenderedPageBreak/>
        <w:t>Structure of the Report</w:t>
      </w:r>
      <w:bookmarkEnd w:id="363"/>
      <w:r w:rsidRPr="00D14CE9">
        <w:t xml:space="preserve"> </w:t>
      </w:r>
    </w:p>
    <w:p w:rsidR="006878C0" w:rsidRPr="00D14CE9" w:rsidRDefault="006878C0" w:rsidP="00C200D0">
      <w:pPr>
        <w:pStyle w:val="EYBodytextwithparaspace"/>
        <w:rPr>
          <w:lang w:val="en-AU"/>
        </w:rPr>
      </w:pPr>
      <w:r w:rsidRPr="00D14CE9">
        <w:rPr>
          <w:lang w:val="en-AU"/>
        </w:rPr>
        <w:t>The structure of the report is as follows:</w:t>
      </w:r>
    </w:p>
    <w:p w:rsidR="006878C0" w:rsidRPr="00D14CE9" w:rsidRDefault="00633380" w:rsidP="00C200D0">
      <w:pPr>
        <w:pStyle w:val="EYBulletedList1"/>
        <w:spacing w:after="120"/>
        <w:rPr>
          <w:lang w:val="en-AU"/>
        </w:rPr>
      </w:pPr>
      <w:r w:rsidRPr="00D14CE9">
        <w:rPr>
          <w:lang w:val="en-AU"/>
        </w:rPr>
        <w:t xml:space="preserve">Section </w:t>
      </w:r>
      <w:r w:rsidRPr="00474B05">
        <w:rPr>
          <w:lang w:val="en-AU"/>
        </w:rPr>
        <w:fldChar w:fldCharType="begin" w:fldLock="1"/>
      </w:r>
      <w:r w:rsidRPr="00D14CE9">
        <w:rPr>
          <w:lang w:val="en-AU"/>
        </w:rPr>
        <w:instrText xml:space="preserve"> REF _Ref441684161 \r \h </w:instrText>
      </w:r>
      <w:r w:rsidRPr="00474B05">
        <w:rPr>
          <w:lang w:val="en-AU"/>
        </w:rPr>
      </w:r>
      <w:r w:rsidRPr="00474B05">
        <w:rPr>
          <w:lang w:val="en-AU"/>
        </w:rPr>
        <w:fldChar w:fldCharType="separate"/>
      </w:r>
      <w:r w:rsidR="00895089">
        <w:rPr>
          <w:lang w:val="en-AU"/>
        </w:rPr>
        <w:t>1</w:t>
      </w:r>
      <w:r w:rsidRPr="00474B05">
        <w:rPr>
          <w:lang w:val="en-AU"/>
        </w:rPr>
        <w:fldChar w:fldCharType="end"/>
      </w:r>
      <w:r w:rsidR="006878C0" w:rsidRPr="00D14CE9">
        <w:rPr>
          <w:lang w:val="en-AU"/>
        </w:rPr>
        <w:t xml:space="preserve"> is an introduction, covering the areas of concerns to the DEDJTR that led to undertake this analysis, and summarizing the methodology and key sources used to development the demand analysis.</w:t>
      </w:r>
    </w:p>
    <w:p w:rsidR="006878C0" w:rsidRPr="00D14CE9" w:rsidRDefault="006878C0" w:rsidP="00C200D0">
      <w:pPr>
        <w:pStyle w:val="EYBulletedList1"/>
        <w:spacing w:after="120"/>
        <w:rPr>
          <w:lang w:val="en-AU"/>
        </w:rPr>
      </w:pPr>
      <w:r w:rsidRPr="00D14CE9">
        <w:rPr>
          <w:lang w:val="en-AU"/>
        </w:rPr>
        <w:t xml:space="preserve">Section </w:t>
      </w:r>
      <w:r w:rsidR="00633380" w:rsidRPr="00474B05">
        <w:rPr>
          <w:lang w:val="en-AU"/>
        </w:rPr>
        <w:fldChar w:fldCharType="begin" w:fldLock="1"/>
      </w:r>
      <w:r w:rsidR="00633380" w:rsidRPr="00D14CE9">
        <w:rPr>
          <w:lang w:val="en-AU"/>
        </w:rPr>
        <w:instrText xml:space="preserve"> REF _Ref441399396 \r \h </w:instrText>
      </w:r>
      <w:r w:rsidR="00633380" w:rsidRPr="00474B05">
        <w:rPr>
          <w:lang w:val="en-AU"/>
        </w:rPr>
      </w:r>
      <w:r w:rsidR="00633380" w:rsidRPr="00474B05">
        <w:rPr>
          <w:lang w:val="en-AU"/>
        </w:rPr>
        <w:fldChar w:fldCharType="separate"/>
      </w:r>
      <w:r w:rsidR="00895089">
        <w:rPr>
          <w:lang w:val="en-AU"/>
        </w:rPr>
        <w:t>2</w:t>
      </w:r>
      <w:r w:rsidR="00633380" w:rsidRPr="00474B05">
        <w:rPr>
          <w:lang w:val="en-AU"/>
        </w:rPr>
        <w:fldChar w:fldCharType="end"/>
      </w:r>
      <w:r w:rsidRPr="00D14CE9">
        <w:rPr>
          <w:lang w:val="en-AU"/>
        </w:rPr>
        <w:t xml:space="preserve"> </w:t>
      </w:r>
      <w:r w:rsidR="00162F3B" w:rsidRPr="00D14CE9">
        <w:rPr>
          <w:lang w:val="en-AU"/>
        </w:rPr>
        <w:t>provides an overview of the extractive resources sector in Victoria, s</w:t>
      </w:r>
      <w:r w:rsidRPr="00D14CE9">
        <w:rPr>
          <w:lang w:val="en-AU"/>
        </w:rPr>
        <w:t>ummariz</w:t>
      </w:r>
      <w:r w:rsidR="00162F3B" w:rsidRPr="00D14CE9">
        <w:rPr>
          <w:lang w:val="en-AU"/>
        </w:rPr>
        <w:t>ing</w:t>
      </w:r>
      <w:r w:rsidRPr="00D14CE9">
        <w:rPr>
          <w:lang w:val="en-AU"/>
        </w:rPr>
        <w:t xml:space="preserve"> the findings from the process undertaken to define the supply and demand value chain peculiar to the extractive industries sector</w:t>
      </w:r>
      <w:r w:rsidR="00162F3B" w:rsidRPr="00D14CE9">
        <w:rPr>
          <w:lang w:val="en-AU"/>
        </w:rPr>
        <w:t xml:space="preserve"> and outlining the use of extractive resources in Victoria’s construction sector, instrumental in tailoring the demand modelling.</w:t>
      </w:r>
    </w:p>
    <w:p w:rsidR="00162F3B" w:rsidRPr="00D14CE9" w:rsidRDefault="006878C0" w:rsidP="00162F3B">
      <w:pPr>
        <w:pStyle w:val="EYBulletedList1"/>
        <w:spacing w:after="120"/>
        <w:rPr>
          <w:lang w:val="en-AU"/>
        </w:rPr>
      </w:pPr>
      <w:r w:rsidRPr="00D14CE9">
        <w:rPr>
          <w:lang w:val="en-AU"/>
        </w:rPr>
        <w:t xml:space="preserve">Section </w:t>
      </w:r>
      <w:r w:rsidR="00162F3B" w:rsidRPr="00474B05">
        <w:rPr>
          <w:lang w:val="en-AU"/>
        </w:rPr>
        <w:fldChar w:fldCharType="begin" w:fldLock="1"/>
      </w:r>
      <w:r w:rsidR="00162F3B" w:rsidRPr="00D14CE9">
        <w:rPr>
          <w:lang w:val="en-AU"/>
        </w:rPr>
        <w:instrText xml:space="preserve"> REF _Ref442111151 \r \h </w:instrText>
      </w:r>
      <w:r w:rsidR="00162F3B" w:rsidRPr="00474B05">
        <w:rPr>
          <w:lang w:val="en-AU"/>
        </w:rPr>
      </w:r>
      <w:r w:rsidR="00162F3B" w:rsidRPr="00474B05">
        <w:rPr>
          <w:lang w:val="en-AU"/>
        </w:rPr>
        <w:fldChar w:fldCharType="separate"/>
      </w:r>
      <w:r w:rsidR="00895089">
        <w:rPr>
          <w:lang w:val="en-AU"/>
        </w:rPr>
        <w:t>3</w:t>
      </w:r>
      <w:r w:rsidR="00162F3B" w:rsidRPr="00474B05">
        <w:rPr>
          <w:lang w:val="en-AU"/>
        </w:rPr>
        <w:fldChar w:fldCharType="end"/>
      </w:r>
      <w:r w:rsidRPr="00D14CE9">
        <w:rPr>
          <w:lang w:val="en-AU"/>
        </w:rPr>
        <w:t xml:space="preserve"> </w:t>
      </w:r>
      <w:r w:rsidR="00162F3B" w:rsidRPr="00D14CE9">
        <w:rPr>
          <w:lang w:val="en-AU"/>
        </w:rPr>
        <w:t>presents the historic analysis undertaken, founding base of the methodology.</w:t>
      </w:r>
    </w:p>
    <w:p w:rsidR="006878C0" w:rsidRPr="00D14CE9" w:rsidRDefault="006878C0" w:rsidP="00162F3B">
      <w:pPr>
        <w:pStyle w:val="EYBulletedList1"/>
        <w:spacing w:after="120"/>
        <w:rPr>
          <w:lang w:val="en-AU"/>
        </w:rPr>
      </w:pPr>
      <w:r w:rsidRPr="00D14CE9">
        <w:rPr>
          <w:lang w:val="en-AU"/>
        </w:rPr>
        <w:t xml:space="preserve">Section </w:t>
      </w:r>
      <w:r w:rsidR="00162F3B" w:rsidRPr="00474B05">
        <w:rPr>
          <w:lang w:val="en-AU"/>
        </w:rPr>
        <w:fldChar w:fldCharType="begin" w:fldLock="1"/>
      </w:r>
      <w:r w:rsidR="00162F3B" w:rsidRPr="00D14CE9">
        <w:rPr>
          <w:lang w:val="en-AU"/>
        </w:rPr>
        <w:instrText xml:space="preserve"> REF _Ref442111107 \r \h </w:instrText>
      </w:r>
      <w:r w:rsidR="00162F3B" w:rsidRPr="00474B05">
        <w:rPr>
          <w:lang w:val="en-AU"/>
        </w:rPr>
      </w:r>
      <w:r w:rsidR="00162F3B" w:rsidRPr="00474B05">
        <w:rPr>
          <w:lang w:val="en-AU"/>
        </w:rPr>
        <w:fldChar w:fldCharType="separate"/>
      </w:r>
      <w:r w:rsidR="00895089">
        <w:rPr>
          <w:lang w:val="en-AU"/>
        </w:rPr>
        <w:t>4</w:t>
      </w:r>
      <w:r w:rsidR="00162F3B" w:rsidRPr="00474B05">
        <w:rPr>
          <w:lang w:val="en-AU"/>
        </w:rPr>
        <w:fldChar w:fldCharType="end"/>
      </w:r>
      <w:r w:rsidRPr="00D14CE9">
        <w:rPr>
          <w:lang w:val="en-AU"/>
        </w:rPr>
        <w:t xml:space="preserve"> summarizes the process undertaken to forecast construction activities in Victoria over the period of analysis, another pillar of the methodology developed to assess the demand profile for extractive resources. </w:t>
      </w:r>
    </w:p>
    <w:p w:rsidR="006878C0" w:rsidRPr="00D14CE9" w:rsidRDefault="006878C0" w:rsidP="00C200D0">
      <w:pPr>
        <w:pStyle w:val="EYBulletedList1"/>
        <w:spacing w:after="120"/>
        <w:rPr>
          <w:lang w:val="en-AU"/>
        </w:rPr>
      </w:pPr>
      <w:r w:rsidRPr="00D14CE9">
        <w:rPr>
          <w:lang w:val="en-AU"/>
        </w:rPr>
        <w:t xml:space="preserve">Section </w:t>
      </w:r>
      <w:r w:rsidR="008B13F7" w:rsidRPr="00474B05">
        <w:rPr>
          <w:lang w:val="en-AU"/>
        </w:rPr>
        <w:fldChar w:fldCharType="begin" w:fldLock="1"/>
      </w:r>
      <w:r w:rsidR="008B13F7" w:rsidRPr="00D14CE9">
        <w:rPr>
          <w:lang w:val="en-AU"/>
        </w:rPr>
        <w:instrText xml:space="preserve"> REF _Ref441385782 \r \h </w:instrText>
      </w:r>
      <w:r w:rsidR="008B13F7" w:rsidRPr="00474B05">
        <w:rPr>
          <w:lang w:val="en-AU"/>
        </w:rPr>
      </w:r>
      <w:r w:rsidR="008B13F7" w:rsidRPr="00474B05">
        <w:rPr>
          <w:lang w:val="en-AU"/>
        </w:rPr>
        <w:fldChar w:fldCharType="separate"/>
      </w:r>
      <w:r w:rsidR="00895089">
        <w:rPr>
          <w:lang w:val="en-AU"/>
        </w:rPr>
        <w:t>5</w:t>
      </w:r>
      <w:r w:rsidR="008B13F7" w:rsidRPr="00474B05">
        <w:rPr>
          <w:lang w:val="en-AU"/>
        </w:rPr>
        <w:fldChar w:fldCharType="end"/>
      </w:r>
      <w:r w:rsidRPr="00D14CE9">
        <w:rPr>
          <w:lang w:val="en-AU"/>
        </w:rPr>
        <w:t xml:space="preserve"> presents the results of the </w:t>
      </w:r>
      <w:r w:rsidR="00520170" w:rsidRPr="00D14CE9">
        <w:rPr>
          <w:lang w:val="en-AU"/>
        </w:rPr>
        <w:t>baseline</w:t>
      </w:r>
      <w:r w:rsidRPr="00D14CE9">
        <w:rPr>
          <w:lang w:val="en-AU"/>
        </w:rPr>
        <w:t xml:space="preserve"> demand modelling and key findings.</w:t>
      </w:r>
    </w:p>
    <w:p w:rsidR="006878C0" w:rsidRPr="00D14CE9" w:rsidRDefault="006878C0" w:rsidP="00C200D0">
      <w:pPr>
        <w:pStyle w:val="EYBulletedList1"/>
        <w:spacing w:after="120"/>
        <w:rPr>
          <w:lang w:val="en-AU"/>
        </w:rPr>
      </w:pPr>
      <w:r w:rsidRPr="00D14CE9">
        <w:rPr>
          <w:lang w:val="en-AU"/>
        </w:rPr>
        <w:t xml:space="preserve">Section </w:t>
      </w:r>
      <w:r w:rsidR="008B13F7" w:rsidRPr="00474B05">
        <w:rPr>
          <w:lang w:val="en-AU"/>
        </w:rPr>
        <w:fldChar w:fldCharType="begin" w:fldLock="1"/>
      </w:r>
      <w:r w:rsidR="008B13F7" w:rsidRPr="00D14CE9">
        <w:rPr>
          <w:lang w:val="en-AU"/>
        </w:rPr>
        <w:instrText xml:space="preserve"> REF _Ref441154565 \r \h </w:instrText>
      </w:r>
      <w:r w:rsidR="008B13F7" w:rsidRPr="00474B05">
        <w:rPr>
          <w:lang w:val="en-AU"/>
        </w:rPr>
      </w:r>
      <w:r w:rsidR="008B13F7" w:rsidRPr="00474B05">
        <w:rPr>
          <w:lang w:val="en-AU"/>
        </w:rPr>
        <w:fldChar w:fldCharType="separate"/>
      </w:r>
      <w:r w:rsidR="00895089">
        <w:rPr>
          <w:lang w:val="en-AU"/>
        </w:rPr>
        <w:t>6</w:t>
      </w:r>
      <w:r w:rsidR="008B13F7" w:rsidRPr="00474B05">
        <w:rPr>
          <w:lang w:val="en-AU"/>
        </w:rPr>
        <w:fldChar w:fldCharType="end"/>
      </w:r>
      <w:r w:rsidRPr="00D14CE9">
        <w:rPr>
          <w:lang w:val="en-AU"/>
        </w:rPr>
        <w:t xml:space="preserve"> outlines the development of scenarios for demand modelling and presents the results.</w:t>
      </w:r>
    </w:p>
    <w:p w:rsidR="006878C0" w:rsidRPr="00D14CE9" w:rsidRDefault="006878C0" w:rsidP="00C200D0">
      <w:pPr>
        <w:pStyle w:val="EYBulletedList1"/>
        <w:spacing w:after="120"/>
        <w:rPr>
          <w:lang w:val="en-AU"/>
        </w:rPr>
      </w:pPr>
      <w:r w:rsidRPr="00D14CE9">
        <w:rPr>
          <w:lang w:val="en-AU"/>
        </w:rPr>
        <w:t xml:space="preserve">Section </w:t>
      </w:r>
      <w:r w:rsidR="008B13F7" w:rsidRPr="00474B05">
        <w:rPr>
          <w:lang w:val="en-AU"/>
        </w:rPr>
        <w:fldChar w:fldCharType="begin" w:fldLock="1"/>
      </w:r>
      <w:r w:rsidR="008B13F7" w:rsidRPr="00D14CE9">
        <w:rPr>
          <w:lang w:val="en-AU"/>
        </w:rPr>
        <w:instrText xml:space="preserve"> REF _Ref441684273 \r \h </w:instrText>
      </w:r>
      <w:r w:rsidR="008B13F7" w:rsidRPr="00474B05">
        <w:rPr>
          <w:lang w:val="en-AU"/>
        </w:rPr>
      </w:r>
      <w:r w:rsidR="008B13F7" w:rsidRPr="00474B05">
        <w:rPr>
          <w:lang w:val="en-AU"/>
        </w:rPr>
        <w:fldChar w:fldCharType="separate"/>
      </w:r>
      <w:r w:rsidR="00895089">
        <w:rPr>
          <w:lang w:val="en-AU"/>
        </w:rPr>
        <w:t>7</w:t>
      </w:r>
      <w:r w:rsidR="008B13F7" w:rsidRPr="00474B05">
        <w:rPr>
          <w:lang w:val="en-AU"/>
        </w:rPr>
        <w:fldChar w:fldCharType="end"/>
      </w:r>
      <w:r w:rsidRPr="00D14CE9">
        <w:rPr>
          <w:lang w:val="en-AU"/>
        </w:rPr>
        <w:t xml:space="preserve"> provides broader insights for the DEDJTR, collated </w:t>
      </w:r>
      <w:r w:rsidR="007721B9" w:rsidRPr="00D14CE9">
        <w:rPr>
          <w:lang w:val="en-AU"/>
        </w:rPr>
        <w:t xml:space="preserve">from </w:t>
      </w:r>
      <w:r w:rsidR="00162F3B" w:rsidRPr="00D14CE9">
        <w:rPr>
          <w:lang w:val="en-AU"/>
        </w:rPr>
        <w:t>stakeholders’</w:t>
      </w:r>
      <w:r w:rsidRPr="00D14CE9">
        <w:rPr>
          <w:lang w:val="en-AU"/>
        </w:rPr>
        <w:t xml:space="preserve"> interviews.</w:t>
      </w:r>
    </w:p>
    <w:p w:rsidR="006878C0" w:rsidRPr="00D14CE9" w:rsidRDefault="006878C0" w:rsidP="00C200D0">
      <w:pPr>
        <w:pStyle w:val="EYBulletedList1"/>
        <w:spacing w:after="120"/>
        <w:rPr>
          <w:lang w:val="en-AU"/>
        </w:rPr>
      </w:pPr>
      <w:r w:rsidRPr="00D14CE9">
        <w:rPr>
          <w:lang w:val="en-AU"/>
        </w:rPr>
        <w:t>Section</w:t>
      </w:r>
      <w:r w:rsidR="005C2D36" w:rsidRPr="00D14CE9">
        <w:rPr>
          <w:lang w:val="en-AU"/>
        </w:rPr>
        <w:t xml:space="preserve"> </w:t>
      </w:r>
      <w:r w:rsidR="005C2D36" w:rsidRPr="00474B05">
        <w:rPr>
          <w:lang w:val="en-AU"/>
        </w:rPr>
        <w:fldChar w:fldCharType="begin" w:fldLock="1"/>
      </w:r>
      <w:r w:rsidR="005C2D36" w:rsidRPr="00D14CE9">
        <w:rPr>
          <w:lang w:val="en-AU"/>
        </w:rPr>
        <w:instrText xml:space="preserve"> REF _Ref441847076 \r \h </w:instrText>
      </w:r>
      <w:r w:rsidR="005C2D36" w:rsidRPr="00474B05">
        <w:rPr>
          <w:lang w:val="en-AU"/>
        </w:rPr>
      </w:r>
      <w:r w:rsidR="005C2D36" w:rsidRPr="00474B05">
        <w:rPr>
          <w:lang w:val="en-AU"/>
        </w:rPr>
        <w:fldChar w:fldCharType="separate"/>
      </w:r>
      <w:r w:rsidR="00895089">
        <w:rPr>
          <w:lang w:val="en-AU"/>
        </w:rPr>
        <w:t>8</w:t>
      </w:r>
      <w:r w:rsidR="005C2D36" w:rsidRPr="00474B05">
        <w:rPr>
          <w:lang w:val="en-AU"/>
        </w:rPr>
        <w:fldChar w:fldCharType="end"/>
      </w:r>
      <w:r w:rsidR="005C2D36" w:rsidRPr="00D14CE9">
        <w:rPr>
          <w:lang w:val="en-AU"/>
        </w:rPr>
        <w:t xml:space="preserve"> </w:t>
      </w:r>
      <w:r w:rsidR="008B13F7" w:rsidRPr="00D14CE9">
        <w:rPr>
          <w:lang w:val="en-AU"/>
        </w:rPr>
        <w:t xml:space="preserve">outlines </w:t>
      </w:r>
      <w:r w:rsidR="00EB3F79" w:rsidRPr="00D14CE9">
        <w:rPr>
          <w:lang w:val="en-AU"/>
        </w:rPr>
        <w:t>the recommended next steps</w:t>
      </w:r>
      <w:r w:rsidR="008B13F7" w:rsidRPr="00D14CE9">
        <w:rPr>
          <w:lang w:val="en-AU"/>
        </w:rPr>
        <w:t xml:space="preserve">. </w:t>
      </w:r>
    </w:p>
    <w:p w:rsidR="00D00F13" w:rsidRDefault="00D00F13" w:rsidP="00C200D0">
      <w:pPr>
        <w:pStyle w:val="EYBulletedList1"/>
        <w:numPr>
          <w:ilvl w:val="0"/>
          <w:numId w:val="0"/>
        </w:numPr>
        <w:spacing w:after="120"/>
        <w:rPr>
          <w:lang w:val="en-AU"/>
        </w:rPr>
        <w:sectPr w:rsidR="00D00F13" w:rsidSect="000B6297">
          <w:pgSz w:w="11909" w:h="16834" w:code="9"/>
          <w:pgMar w:top="1440" w:right="1440" w:bottom="1440" w:left="1440" w:header="720" w:footer="567" w:gutter="0"/>
          <w:cols w:space="720"/>
          <w:docGrid w:linePitch="360"/>
        </w:sectPr>
      </w:pPr>
    </w:p>
    <w:p w:rsidR="006878C0" w:rsidRPr="00D14CE9" w:rsidRDefault="00D00F13" w:rsidP="00C200D0">
      <w:pPr>
        <w:pStyle w:val="EYBulletedList1"/>
        <w:numPr>
          <w:ilvl w:val="0"/>
          <w:numId w:val="0"/>
        </w:numPr>
        <w:spacing w:after="120"/>
        <w:rPr>
          <w:lang w:val="en-AU"/>
        </w:rPr>
      </w:pPr>
      <w:r>
        <w:rPr>
          <w:noProof/>
          <w:lang w:val="en-AU" w:eastAsia="en-AU"/>
        </w:rPr>
        <w:lastRenderedPageBreak/>
        <mc:AlternateContent>
          <mc:Choice Requires="wps">
            <w:drawing>
              <wp:anchor distT="0" distB="0" distL="114300" distR="114300" simplePos="0" relativeHeight="251667456" behindDoc="0" locked="0" layoutInCell="1" allowOverlap="1" wp14:anchorId="545BC8FB" wp14:editId="603A2C95">
                <wp:simplePos x="0" y="0"/>
                <wp:positionH relativeFrom="column">
                  <wp:posOffset>-178130</wp:posOffset>
                </wp:positionH>
                <wp:positionV relativeFrom="paragraph">
                  <wp:posOffset>7042068</wp:posOffset>
                </wp:positionV>
                <wp:extent cx="6385560" cy="2339438"/>
                <wp:effectExtent l="0" t="0" r="0" b="3810"/>
                <wp:wrapNone/>
                <wp:docPr id="2162" name="Text Box 2162"/>
                <wp:cNvGraphicFramePr/>
                <a:graphic xmlns:a="http://schemas.openxmlformats.org/drawingml/2006/main">
                  <a:graphicData uri="http://schemas.microsoft.com/office/word/2010/wordprocessingShape">
                    <wps:wsp>
                      <wps:cNvSpPr txBox="1"/>
                      <wps:spPr>
                        <a:xfrm>
                          <a:off x="0" y="0"/>
                          <a:ext cx="6385560" cy="2339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754" w:rsidRDefault="003C7754" w:rsidP="00525C82">
                            <w:pPr>
                              <w:pStyle w:val="EYCoverTitle"/>
                              <w:spacing w:line="216" w:lineRule="auto"/>
                            </w:pPr>
                            <w:r w:rsidRPr="002C2179">
                              <w:t>Overview of the extractive industry sector in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2" o:spid="_x0000_s1029" type="#_x0000_t202" style="position:absolute;margin-left:-14.05pt;margin-top:554.5pt;width:502.8pt;height:18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IMgQIAAHAFAAAOAAAAZHJzL2Uyb0RvYy54bWysVFtv2yAUfp+0/4B4X537UitOlbXqNKlq&#10;q7VTnwmGxhpwGJDY2a/vAdtJlO2l017swzkfH+e+uGq0IjvhfAWmoMOLASXCcCgr81rQH8+3n+aU&#10;+MBMyRQYUdC98PRq+fHDora5GMEGVCkcQRLj89oWdBOCzbPM843QzF+AFQaNEpxmAY/uNSsdq5Fd&#10;q2w0GMyyGlxpHXDhPWpvWiNdJn4pBQ8PUnoRiCoo+hbS16XvOn6z5YLlr47ZTcU7N9g/eKFZZfDR&#10;A9UNC4xsXfUHla64Aw8yXHDQGUhZcZFiwGiGg7NonjbMihQLJsfbQ5r8/6Pl97tHR6qyoKPhbESJ&#10;YRqr9CyaQL5AQ5ISc1RbnyP0ySI4NGjBWsfcRb1HZQy9kU7HPwZF0I7Z3h8yHPk4Kmfj+XQ6QxNH&#10;22g8vpyM55EnO163zoevAjSJQkEdljBllu3ufGihPSS+ZuC2Ugr1LFeG1PGJ6SBdOFiQXJkIEKkh&#10;Opqj60kKeyVaku9CYkJSBFGRWlFcK0d2DJuIcS5MSMEnXkRHlEQn3nOxwx+9es/lNo7+ZTDhcFlX&#10;BlyK/szt8mfvsmzxmPOTuKMYmnWTOmHcV3YN5R4L7qAdG2/5bYVFuWM+PDKHc4KFxNkPD/iRCjD5&#10;0EmUbMD9/ps+4rF90UpJjXNXUP9ry5ygRH0z2NiXw8kkDmo6TKafR3hwp5b1qcVs9TVgVYa4ZSxP&#10;YsQH1YvSgX7BFbGKr6KJGY5vFzT04nVotwGuGC5WqwTC0bQs3JknyyN1LFJsuefmhTnb9WXAlr6H&#10;fkJZftaeLTbeNLDaBpBV6t2Y5zarXf5xrFP3dyso7o3Tc0IdF+XyDQAA//8DAFBLAwQUAAYACAAA&#10;ACEA42uM+eQAAAANAQAADwAAAGRycy9kb3ducmV2LnhtbEyPzU7DMBCE70i8g7VI3FonUUvSNE5V&#10;RaqQEBxaeuHmxNskqn9C7LaBp2c5wXFnPs3OFJvJaHbF0ffOCojnETC0jVO9bQUc33ezDJgP0iqp&#10;nUUBX+hhU97fFTJX7mb3eD2EllGI9bkU0IUw5Jz7pkMj/dwNaMk7udHIQOfYcjXKG4UbzZMoeuJG&#10;9pY+dHLAqsPmfLgYAS/V7k3u68Rk37p6fj1th8/jx1KIx4dpuwYWcAp/MPzWp+pQUqfaXazyTAuY&#10;JVlMKBlxtKJVhKzSdAmsJmmRpgvgZcH/ryh/AAAA//8DAFBLAQItABQABgAIAAAAIQC2gziS/gAA&#10;AOEBAAATAAAAAAAAAAAAAAAAAAAAAABbQ29udGVudF9UeXBlc10ueG1sUEsBAi0AFAAGAAgAAAAh&#10;ADj9If/WAAAAlAEAAAsAAAAAAAAAAAAAAAAALwEAAF9yZWxzLy5yZWxzUEsBAi0AFAAGAAgAAAAh&#10;AOAhkgyBAgAAcAUAAA4AAAAAAAAAAAAAAAAALgIAAGRycy9lMm9Eb2MueG1sUEsBAi0AFAAGAAgA&#10;AAAhAONrjPnkAAAADQEAAA8AAAAAAAAAAAAAAAAA2wQAAGRycy9kb3ducmV2LnhtbFBLBQYAAAAA&#10;BAAEAPMAAADsBQAAAAA=&#10;" filled="f" stroked="f" strokeweight=".5pt">
                <v:textbox>
                  <w:txbxContent>
                    <w:p w:rsidR="003C7754" w:rsidRDefault="003C7754" w:rsidP="00525C82">
                      <w:pPr>
                        <w:pStyle w:val="EYCoverTitle"/>
                        <w:spacing w:line="216" w:lineRule="auto"/>
                      </w:pPr>
                      <w:r w:rsidRPr="002C2179">
                        <w:t>Overview of the extractive industry sector in Victoria</w:t>
                      </w:r>
                    </w:p>
                  </w:txbxContent>
                </v:textbox>
              </v:shape>
            </w:pict>
          </mc:Fallback>
        </mc:AlternateContent>
      </w:r>
      <w:r>
        <w:rPr>
          <w:noProof/>
          <w:lang w:val="en-AU" w:eastAsia="en-AU"/>
        </w:rPr>
        <w:drawing>
          <wp:anchor distT="0" distB="0" distL="114300" distR="114300" simplePos="0" relativeHeight="251665408" behindDoc="1" locked="1" layoutInCell="1" allowOverlap="1" wp14:anchorId="32CD4372" wp14:editId="07A134CC">
            <wp:simplePos x="0" y="0"/>
            <wp:positionH relativeFrom="column">
              <wp:posOffset>-1021080</wp:posOffset>
            </wp:positionH>
            <wp:positionV relativeFrom="paragraph">
              <wp:posOffset>-1021080</wp:posOffset>
            </wp:positionV>
            <wp:extent cx="7680960" cy="11323320"/>
            <wp:effectExtent l="0" t="0" r="0" b="0"/>
            <wp:wrapNone/>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680960" cy="11323320"/>
                    </a:xfrm>
                    <a:prstGeom prst="rect">
                      <a:avLst/>
                    </a:prstGeom>
                  </pic:spPr>
                </pic:pic>
              </a:graphicData>
            </a:graphic>
            <wp14:sizeRelH relativeFrom="margin">
              <wp14:pctWidth>0</wp14:pctWidth>
            </wp14:sizeRelH>
            <wp14:sizeRelV relativeFrom="margin">
              <wp14:pctHeight>0</wp14:pctHeight>
            </wp14:sizeRelV>
          </wp:anchor>
        </w:drawing>
      </w:r>
    </w:p>
    <w:p w:rsidR="00F40B72" w:rsidRPr="00D14CE9" w:rsidRDefault="0086080C" w:rsidP="00C200D0">
      <w:pPr>
        <w:pStyle w:val="EYHeading1"/>
      </w:pPr>
      <w:bookmarkStart w:id="364" w:name="_Ref441399396"/>
      <w:bookmarkStart w:id="365" w:name="_Toc441435307"/>
      <w:bookmarkStart w:id="366" w:name="_Ref442112967"/>
      <w:bookmarkStart w:id="367" w:name="_Toc451847073"/>
      <w:r w:rsidRPr="00D14CE9">
        <w:lastRenderedPageBreak/>
        <w:t xml:space="preserve">Overview </w:t>
      </w:r>
      <w:r w:rsidR="00F40B72" w:rsidRPr="00D14CE9">
        <w:t>of the extractive industry sector</w:t>
      </w:r>
      <w:bookmarkEnd w:id="364"/>
      <w:bookmarkEnd w:id="365"/>
      <w:r w:rsidR="002654CF" w:rsidRPr="00D14CE9">
        <w:t xml:space="preserve"> in Victoria</w:t>
      </w:r>
      <w:bookmarkEnd w:id="366"/>
      <w:bookmarkEnd w:id="367"/>
    </w:p>
    <w:p w:rsidR="0086080C" w:rsidRPr="00D14CE9" w:rsidRDefault="0086080C" w:rsidP="0086080C">
      <w:pPr>
        <w:pStyle w:val="EYHeading2"/>
      </w:pPr>
      <w:bookmarkStart w:id="368" w:name="_Toc451847074"/>
      <w:r w:rsidRPr="00D14CE9">
        <w:t>Supply and demand value chain</w:t>
      </w:r>
      <w:bookmarkEnd w:id="368"/>
      <w:r w:rsidRPr="00D14CE9">
        <w:t xml:space="preserve"> </w:t>
      </w:r>
    </w:p>
    <w:p w:rsidR="00F40B72" w:rsidRPr="00D14CE9" w:rsidRDefault="00F40B72" w:rsidP="00C200D0">
      <w:pPr>
        <w:pStyle w:val="EYBodytextwithparaspace"/>
        <w:rPr>
          <w:lang w:val="en-AU"/>
        </w:rPr>
      </w:pPr>
      <w:r w:rsidRPr="00D14CE9">
        <w:rPr>
          <w:lang w:val="en-AU"/>
        </w:rPr>
        <w:t xml:space="preserve">The supply and demand value chain of the extractive industry sector </w:t>
      </w:r>
      <w:r w:rsidR="00520170" w:rsidRPr="00D14CE9">
        <w:rPr>
          <w:lang w:val="en-AU"/>
        </w:rPr>
        <w:t xml:space="preserve">was developed in consultation with the DEDJTR and its </w:t>
      </w:r>
      <w:r w:rsidR="00A40EA2" w:rsidRPr="00D14CE9">
        <w:rPr>
          <w:lang w:val="en-AU"/>
        </w:rPr>
        <w:t>advisors to</w:t>
      </w:r>
      <w:r w:rsidRPr="00D14CE9">
        <w:rPr>
          <w:lang w:val="en-AU"/>
        </w:rPr>
        <w:t xml:space="preserve"> address the following key questions</w:t>
      </w:r>
      <w:r w:rsidR="00520170" w:rsidRPr="00D14CE9">
        <w:rPr>
          <w:lang w:val="en-AU"/>
        </w:rPr>
        <w:t xml:space="preserve"> and therefore inform our approach</w:t>
      </w:r>
      <w:r w:rsidRPr="00D14CE9">
        <w:rPr>
          <w:lang w:val="en-AU"/>
        </w:rPr>
        <w:t>:</w:t>
      </w:r>
    </w:p>
    <w:p w:rsidR="00F40B72" w:rsidRPr="00D14CE9" w:rsidRDefault="00F40B72" w:rsidP="00C200D0">
      <w:pPr>
        <w:pStyle w:val="EYBulletedList1"/>
        <w:spacing w:after="120"/>
        <w:rPr>
          <w:lang w:val="en-AU"/>
        </w:rPr>
      </w:pPr>
      <w:r w:rsidRPr="00D14CE9">
        <w:rPr>
          <w:lang w:val="en-AU"/>
        </w:rPr>
        <w:t>How does the extractive industry work</w:t>
      </w:r>
      <w:r w:rsidR="006A571B" w:rsidRPr="00D14CE9">
        <w:rPr>
          <w:lang w:val="en-AU"/>
        </w:rPr>
        <w:t xml:space="preserve"> and what are the linkages across the production of extractive resources and commodity products, and the different sectors of the construction industry</w:t>
      </w:r>
      <w:r w:rsidRPr="00D14CE9">
        <w:rPr>
          <w:lang w:val="en-AU"/>
        </w:rPr>
        <w:t>?</w:t>
      </w:r>
    </w:p>
    <w:p w:rsidR="00F40B72" w:rsidRPr="00D14CE9" w:rsidRDefault="00F40B72" w:rsidP="00C200D0">
      <w:pPr>
        <w:pStyle w:val="EYBulletedList1"/>
        <w:spacing w:after="120"/>
        <w:rPr>
          <w:lang w:val="en-AU"/>
        </w:rPr>
      </w:pPr>
      <w:r w:rsidRPr="00D14CE9">
        <w:rPr>
          <w:lang w:val="en-AU"/>
        </w:rPr>
        <w:t xml:space="preserve">What are the key demand drivers of the demand for </w:t>
      </w:r>
      <w:r w:rsidR="006A571B" w:rsidRPr="00D14CE9">
        <w:rPr>
          <w:lang w:val="en-AU"/>
        </w:rPr>
        <w:t xml:space="preserve">different kinds of construction </w:t>
      </w:r>
      <w:r w:rsidRPr="00D14CE9">
        <w:rPr>
          <w:lang w:val="en-AU"/>
        </w:rPr>
        <w:t>extractive resources?</w:t>
      </w:r>
    </w:p>
    <w:p w:rsidR="00F40B72" w:rsidRPr="00D14CE9" w:rsidRDefault="00F40B72" w:rsidP="00C200D0">
      <w:pPr>
        <w:pStyle w:val="EYBulletedList1"/>
        <w:spacing w:after="120"/>
        <w:rPr>
          <w:lang w:val="en-AU"/>
        </w:rPr>
      </w:pPr>
      <w:r w:rsidRPr="00D14CE9">
        <w:rPr>
          <w:lang w:val="en-AU"/>
        </w:rPr>
        <w:t>What do</w:t>
      </w:r>
      <w:r w:rsidR="006A571B" w:rsidRPr="00D14CE9">
        <w:rPr>
          <w:lang w:val="en-AU"/>
        </w:rPr>
        <w:t xml:space="preserve"> the different demand drivers </w:t>
      </w:r>
      <w:r w:rsidRPr="00D14CE9">
        <w:rPr>
          <w:lang w:val="en-AU"/>
        </w:rPr>
        <w:t xml:space="preserve">imply </w:t>
      </w:r>
      <w:r w:rsidR="006A571B" w:rsidRPr="00D14CE9">
        <w:rPr>
          <w:lang w:val="en-AU"/>
        </w:rPr>
        <w:t xml:space="preserve">for the production and </w:t>
      </w:r>
      <w:r w:rsidRPr="00D14CE9">
        <w:rPr>
          <w:lang w:val="en-AU"/>
        </w:rPr>
        <w:t>consumption</w:t>
      </w:r>
      <w:r w:rsidR="006A571B" w:rsidRPr="00D14CE9">
        <w:rPr>
          <w:lang w:val="en-AU"/>
        </w:rPr>
        <w:t xml:space="preserve"> of extractive resources</w:t>
      </w:r>
      <w:r w:rsidRPr="00D14CE9">
        <w:rPr>
          <w:lang w:val="en-AU"/>
        </w:rPr>
        <w:t>?</w:t>
      </w:r>
    </w:p>
    <w:p w:rsidR="00520170" w:rsidRPr="00D14CE9" w:rsidRDefault="00520170" w:rsidP="00C200D0">
      <w:pPr>
        <w:pStyle w:val="EYBodytextwithparaspace"/>
        <w:rPr>
          <w:lang w:val="en-AU"/>
        </w:rPr>
      </w:pPr>
      <w:r w:rsidRPr="00D14CE9">
        <w:rPr>
          <w:lang w:val="en-AU"/>
        </w:rPr>
        <w:t xml:space="preserve">This process enabled us to </w:t>
      </w:r>
      <w:r w:rsidR="006A571B" w:rsidRPr="00D14CE9">
        <w:rPr>
          <w:lang w:val="en-AU"/>
        </w:rPr>
        <w:t xml:space="preserve">clearly </w:t>
      </w:r>
      <w:r w:rsidRPr="00D14CE9">
        <w:rPr>
          <w:lang w:val="en-AU"/>
        </w:rPr>
        <w:t>map the movement of extractive resources from production and conversion into commodity products, and through to different construction types that are provided to meet the various drivers of demand.</w:t>
      </w:r>
    </w:p>
    <w:p w:rsidR="00F40B72" w:rsidRPr="00D14CE9" w:rsidRDefault="00F40B72" w:rsidP="00C200D0">
      <w:pPr>
        <w:pStyle w:val="EYBodytextwithparaspace"/>
        <w:rPr>
          <w:lang w:val="en-AU"/>
        </w:rPr>
      </w:pPr>
      <w:r w:rsidRPr="00D14CE9">
        <w:rPr>
          <w:lang w:val="en-AU"/>
        </w:rPr>
        <w:t>The key findings from this mapping process</w:t>
      </w:r>
      <w:r w:rsidR="00520170" w:rsidRPr="00D14CE9">
        <w:rPr>
          <w:lang w:val="en-AU"/>
        </w:rPr>
        <w:t xml:space="preserve"> </w:t>
      </w:r>
      <w:r w:rsidRPr="00D14CE9">
        <w:rPr>
          <w:lang w:val="en-AU"/>
        </w:rPr>
        <w:t xml:space="preserve">are listed as follows and summarized in </w:t>
      </w:r>
      <w:r w:rsidR="0045022B" w:rsidRPr="00474B05">
        <w:rPr>
          <w:lang w:val="en-AU"/>
        </w:rPr>
        <w:fldChar w:fldCharType="begin" w:fldLock="1"/>
      </w:r>
      <w:r w:rsidR="0045022B" w:rsidRPr="00D14CE9">
        <w:rPr>
          <w:lang w:val="en-AU"/>
        </w:rPr>
        <w:instrText xml:space="preserve"> REF _Ref441755588 \h  \* MERGEFORMAT </w:instrText>
      </w:r>
      <w:r w:rsidR="0045022B" w:rsidRPr="00474B05">
        <w:rPr>
          <w:lang w:val="en-AU"/>
        </w:rPr>
      </w:r>
      <w:r w:rsidR="0045022B" w:rsidRPr="00474B05">
        <w:rPr>
          <w:lang w:val="en-AU"/>
        </w:rPr>
        <w:fldChar w:fldCharType="separate"/>
      </w:r>
      <w:r w:rsidR="00895089" w:rsidRPr="00E65C9D">
        <w:rPr>
          <w:lang w:val="en-AU"/>
        </w:rPr>
        <w:t>Figure 4</w:t>
      </w:r>
      <w:r w:rsidR="0045022B" w:rsidRPr="00474B05">
        <w:rPr>
          <w:lang w:val="en-AU"/>
        </w:rPr>
        <w:fldChar w:fldCharType="end"/>
      </w:r>
      <w:r w:rsidRPr="00D14CE9">
        <w:rPr>
          <w:lang w:val="en-AU"/>
        </w:rPr>
        <w:t xml:space="preserve"> below:</w:t>
      </w:r>
    </w:p>
    <w:p w:rsidR="00F40B72" w:rsidRPr="00D14CE9" w:rsidRDefault="006A571B" w:rsidP="00C200D0">
      <w:pPr>
        <w:pStyle w:val="EYBulletedList1"/>
        <w:spacing w:after="120"/>
        <w:rPr>
          <w:lang w:val="en-AU"/>
        </w:rPr>
      </w:pPr>
      <w:r w:rsidRPr="00D14CE9">
        <w:rPr>
          <w:lang w:val="en-AU"/>
        </w:rPr>
        <w:t xml:space="preserve">The </w:t>
      </w:r>
      <w:r w:rsidR="00F40B72" w:rsidRPr="00D14CE9">
        <w:rPr>
          <w:lang w:val="en-AU"/>
        </w:rPr>
        <w:t>construction activities driving the consumption of extractive resources are:</w:t>
      </w:r>
    </w:p>
    <w:p w:rsidR="00F40B72" w:rsidRPr="00D14CE9" w:rsidRDefault="00F40B72" w:rsidP="00C200D0">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 xml:space="preserve">Residential </w:t>
      </w:r>
      <w:r w:rsidR="006A571B" w:rsidRPr="00D14CE9">
        <w:rPr>
          <w:lang w:val="en-AU"/>
        </w:rPr>
        <w:t>building construction</w:t>
      </w:r>
      <w:r w:rsidRPr="00D14CE9">
        <w:rPr>
          <w:rFonts w:cstheme="majorHAnsi"/>
          <w:szCs w:val="20"/>
          <w:lang w:val="en-AU"/>
        </w:rPr>
        <w:t xml:space="preserve">, consisting of the construction of dwellings. The residential construction activity represents on average 51% of the overall construction activity, in terms of </w:t>
      </w:r>
      <w:r w:rsidR="00AA7886" w:rsidRPr="00D14CE9">
        <w:rPr>
          <w:rFonts w:cstheme="majorHAnsi"/>
          <w:szCs w:val="20"/>
          <w:lang w:val="en-AU"/>
        </w:rPr>
        <w:t xml:space="preserve">nominal </w:t>
      </w:r>
      <w:r w:rsidRPr="00D14CE9">
        <w:rPr>
          <w:rFonts w:cstheme="majorHAnsi"/>
          <w:szCs w:val="20"/>
          <w:lang w:val="en-AU"/>
        </w:rPr>
        <w:t xml:space="preserve">construction spend in Victoria </w:t>
      </w:r>
      <w:r w:rsidR="00AA7886" w:rsidRPr="00D14CE9">
        <w:rPr>
          <w:rFonts w:cstheme="majorHAnsi"/>
          <w:szCs w:val="20"/>
          <w:lang w:val="en-AU"/>
        </w:rPr>
        <w:t>from 2002 to 2014</w:t>
      </w:r>
      <w:r w:rsidRPr="00D14CE9">
        <w:rPr>
          <w:rFonts w:cstheme="majorHAnsi"/>
          <w:szCs w:val="20"/>
          <w:lang w:val="en-AU"/>
        </w:rPr>
        <w:t>.</w:t>
      </w:r>
    </w:p>
    <w:p w:rsidR="00F40B72" w:rsidRPr="00D14CE9" w:rsidRDefault="00F40B72" w:rsidP="00C200D0">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Non</w:t>
      </w:r>
      <w:r w:rsidR="006A571B" w:rsidRPr="00D14CE9">
        <w:rPr>
          <w:rFonts w:cstheme="majorHAnsi"/>
          <w:szCs w:val="20"/>
          <w:lang w:val="en-AU"/>
        </w:rPr>
        <w:t>-r</w:t>
      </w:r>
      <w:r w:rsidRPr="00D14CE9">
        <w:rPr>
          <w:rFonts w:cstheme="majorHAnsi"/>
          <w:szCs w:val="20"/>
          <w:lang w:val="en-AU"/>
        </w:rPr>
        <w:t xml:space="preserve">esidential </w:t>
      </w:r>
      <w:r w:rsidR="006A571B" w:rsidRPr="00D14CE9">
        <w:rPr>
          <w:rFonts w:cstheme="majorHAnsi"/>
          <w:szCs w:val="20"/>
          <w:lang w:val="en-AU"/>
        </w:rPr>
        <w:t xml:space="preserve">building </w:t>
      </w:r>
      <w:r w:rsidRPr="00D14CE9">
        <w:rPr>
          <w:rFonts w:cstheme="majorHAnsi"/>
          <w:szCs w:val="20"/>
          <w:lang w:val="en-AU"/>
        </w:rPr>
        <w:t xml:space="preserve">construction, consisting of the construction of commercial, retail and industrial buildings, as well as social related buildings, such as health, education and community buildings. The non-residential construction activity represents on average </w:t>
      </w:r>
      <w:r w:rsidR="006A7DDB">
        <w:rPr>
          <w:rFonts w:cstheme="majorHAnsi"/>
          <w:szCs w:val="20"/>
          <w:lang w:val="en-AU"/>
        </w:rPr>
        <w:t>20</w:t>
      </w:r>
      <w:r w:rsidRPr="00D14CE9">
        <w:rPr>
          <w:rFonts w:cstheme="majorHAnsi"/>
          <w:szCs w:val="20"/>
          <w:lang w:val="en-AU"/>
        </w:rPr>
        <w:t xml:space="preserve">% of the overall construction activity, in terms of </w:t>
      </w:r>
      <w:r w:rsidR="00AA7886" w:rsidRPr="00D14CE9">
        <w:rPr>
          <w:rFonts w:cstheme="majorHAnsi"/>
          <w:szCs w:val="20"/>
          <w:lang w:val="en-AU"/>
        </w:rPr>
        <w:t xml:space="preserve">nominal </w:t>
      </w:r>
      <w:r w:rsidRPr="00D14CE9">
        <w:rPr>
          <w:rFonts w:cstheme="majorHAnsi"/>
          <w:szCs w:val="20"/>
          <w:lang w:val="en-AU"/>
        </w:rPr>
        <w:t xml:space="preserve">construction spend in Victoria </w:t>
      </w:r>
      <w:r w:rsidR="00AA7886" w:rsidRPr="00D14CE9">
        <w:rPr>
          <w:rFonts w:cstheme="majorHAnsi"/>
          <w:szCs w:val="20"/>
          <w:lang w:val="en-AU"/>
        </w:rPr>
        <w:t>from 2002 to 2014</w:t>
      </w:r>
      <w:r w:rsidRPr="00D14CE9">
        <w:rPr>
          <w:rFonts w:cstheme="majorHAnsi"/>
          <w:szCs w:val="20"/>
          <w:lang w:val="en-AU"/>
        </w:rPr>
        <w:t>.</w:t>
      </w:r>
    </w:p>
    <w:p w:rsidR="00F40B72" w:rsidRPr="00D14CE9" w:rsidRDefault="00F40B72" w:rsidP="00C200D0">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 xml:space="preserve">Transport </w:t>
      </w:r>
      <w:r w:rsidR="006A571B" w:rsidRPr="00D14CE9">
        <w:rPr>
          <w:rFonts w:cstheme="majorHAnsi"/>
          <w:szCs w:val="20"/>
          <w:lang w:val="en-AU"/>
        </w:rPr>
        <w:t>engineering construction</w:t>
      </w:r>
      <w:r w:rsidRPr="00D14CE9">
        <w:rPr>
          <w:rFonts w:cstheme="majorHAnsi"/>
          <w:szCs w:val="20"/>
          <w:lang w:val="en-AU"/>
        </w:rPr>
        <w:t xml:space="preserve">, consisting of the construction of new roads and the maintenance and rehabilitation works inherent to the existing road network. This category also includes major transport projects, such as the construction of bridges, railways and airports. The transport construction activity represents on average 12% of the overall construction activity, in terms of construction spend in Victoria </w:t>
      </w:r>
      <w:r w:rsidR="00AA7886" w:rsidRPr="00D14CE9">
        <w:rPr>
          <w:rFonts w:cstheme="majorHAnsi"/>
          <w:szCs w:val="20"/>
          <w:lang w:val="en-AU"/>
        </w:rPr>
        <w:t>from 2002 to 2014</w:t>
      </w:r>
      <w:r w:rsidRPr="00D14CE9">
        <w:rPr>
          <w:rFonts w:cstheme="majorHAnsi"/>
          <w:szCs w:val="20"/>
          <w:lang w:val="en-AU"/>
        </w:rPr>
        <w:t>.</w:t>
      </w:r>
    </w:p>
    <w:p w:rsidR="00F40B72" w:rsidRPr="00D14CE9" w:rsidRDefault="00F40B72" w:rsidP="00C200D0">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 xml:space="preserve"> Energy and Utilities </w:t>
      </w:r>
      <w:r w:rsidR="006A571B" w:rsidRPr="00D14CE9">
        <w:rPr>
          <w:rFonts w:cstheme="majorHAnsi"/>
          <w:szCs w:val="20"/>
          <w:lang w:val="en-AU"/>
        </w:rPr>
        <w:t xml:space="preserve">engineering </w:t>
      </w:r>
      <w:r w:rsidRPr="00D14CE9">
        <w:rPr>
          <w:rFonts w:cstheme="majorHAnsi"/>
          <w:szCs w:val="20"/>
          <w:lang w:val="en-AU"/>
        </w:rPr>
        <w:t xml:space="preserve">construction, consisting of </w:t>
      </w:r>
      <w:r w:rsidRPr="00D14CE9">
        <w:rPr>
          <w:lang w:val="en-AU"/>
        </w:rPr>
        <w:t xml:space="preserve">the construction of water treatment plants, power transmissions lines and footings, pipes, pits and backfill/thrust blocks, dams,  solar farms, power stations and substations and wind farms. The </w:t>
      </w:r>
      <w:r w:rsidRPr="00D14CE9">
        <w:rPr>
          <w:rFonts w:cstheme="majorHAnsi"/>
          <w:szCs w:val="20"/>
          <w:lang w:val="en-AU"/>
        </w:rPr>
        <w:t xml:space="preserve">energy and utilities construction activity represents on average 18% of the overall construction activity, in terms of construction spend in Victoria </w:t>
      </w:r>
      <w:r w:rsidR="00AA7886" w:rsidRPr="00D14CE9">
        <w:rPr>
          <w:rFonts w:cstheme="majorHAnsi"/>
          <w:szCs w:val="20"/>
          <w:lang w:val="en-AU"/>
        </w:rPr>
        <w:t>from 2002 to 2014</w:t>
      </w:r>
      <w:r w:rsidRPr="00D14CE9">
        <w:rPr>
          <w:rFonts w:cstheme="majorHAnsi"/>
          <w:szCs w:val="20"/>
          <w:lang w:val="en-AU"/>
        </w:rPr>
        <w:t>.</w:t>
      </w:r>
    </w:p>
    <w:p w:rsidR="00F14D76" w:rsidRDefault="00F14D76" w:rsidP="00F14D76">
      <w:pPr>
        <w:pStyle w:val="EYBulletedList1"/>
        <w:numPr>
          <w:ilvl w:val="0"/>
          <w:numId w:val="0"/>
        </w:numPr>
        <w:spacing w:after="120"/>
        <w:rPr>
          <w:rFonts w:cstheme="majorHAnsi"/>
          <w:szCs w:val="20"/>
          <w:lang w:val="en-AU"/>
        </w:rPr>
      </w:pPr>
      <w:r w:rsidRPr="00D14CE9">
        <w:rPr>
          <w:rFonts w:cstheme="majorHAnsi"/>
          <w:szCs w:val="20"/>
          <w:lang w:val="en-AU"/>
        </w:rPr>
        <w:t xml:space="preserve">The weight of each of those construction activities within the construction sector is summarized in the below figure. The residential building construction activity represents the most important proportion of the construction sector. Overall, activities within the Building Construction sector represent </w:t>
      </w:r>
      <w:r>
        <w:rPr>
          <w:rFonts w:cstheme="majorHAnsi"/>
          <w:szCs w:val="20"/>
          <w:lang w:val="en-AU"/>
        </w:rPr>
        <w:t>70</w:t>
      </w:r>
      <w:r w:rsidRPr="00D14CE9">
        <w:rPr>
          <w:rFonts w:cstheme="majorHAnsi"/>
          <w:szCs w:val="20"/>
          <w:lang w:val="en-AU"/>
        </w:rPr>
        <w:t xml:space="preserve">% of the construction sector in terms of construction spend in Victoria from 2002 to 2014, while construction activities traditionally directly correlated with population growth represent </w:t>
      </w:r>
      <w:r>
        <w:rPr>
          <w:rFonts w:cstheme="majorHAnsi"/>
          <w:szCs w:val="20"/>
          <w:lang w:val="en-AU"/>
        </w:rPr>
        <w:t>82</w:t>
      </w:r>
      <w:r w:rsidRPr="00D14CE9">
        <w:rPr>
          <w:rFonts w:cstheme="majorHAnsi"/>
          <w:szCs w:val="20"/>
          <w:lang w:val="en-AU"/>
        </w:rPr>
        <w:t>% of the construction sector in Victoria (i.e. Building Construction associated with Transport Engineering Construction).</w:t>
      </w:r>
    </w:p>
    <w:p w:rsidR="00F14D76" w:rsidRDefault="00F14D76" w:rsidP="00F14D76">
      <w:pPr>
        <w:pStyle w:val="EYBulletedList1"/>
        <w:numPr>
          <w:ilvl w:val="0"/>
          <w:numId w:val="0"/>
        </w:numPr>
        <w:spacing w:after="120"/>
        <w:rPr>
          <w:rFonts w:cstheme="majorHAnsi"/>
          <w:szCs w:val="20"/>
          <w:lang w:val="en-AU"/>
        </w:rPr>
      </w:pPr>
    </w:p>
    <w:p w:rsidR="00F14D76" w:rsidRDefault="00F14D76" w:rsidP="00F14D76">
      <w:pPr>
        <w:pStyle w:val="EYBulletedList1"/>
        <w:numPr>
          <w:ilvl w:val="0"/>
          <w:numId w:val="0"/>
        </w:numPr>
        <w:spacing w:after="120"/>
        <w:rPr>
          <w:rFonts w:cstheme="majorHAnsi"/>
          <w:szCs w:val="20"/>
          <w:lang w:val="en-AU"/>
        </w:rPr>
      </w:pPr>
    </w:p>
    <w:p w:rsidR="00F14D76" w:rsidRPr="00D14CE9" w:rsidRDefault="00F14D76" w:rsidP="00F14D76">
      <w:pPr>
        <w:pStyle w:val="Caption"/>
        <w:numPr>
          <w:ilvl w:val="0"/>
          <w:numId w:val="9"/>
        </w:numPr>
        <w:ind w:right="-601"/>
        <w:rPr>
          <w:sz w:val="16"/>
          <w:szCs w:val="18"/>
        </w:rPr>
      </w:pPr>
      <w:bookmarkStart w:id="369" w:name="_Toc448914564"/>
      <w:bookmarkStart w:id="370" w:name="_Toc445240901"/>
      <w:r w:rsidRPr="00D14CE9">
        <w:rPr>
          <w:sz w:val="16"/>
          <w:szCs w:val="18"/>
        </w:rPr>
        <w:lastRenderedPageBreak/>
        <w:t xml:space="preserve">Figure </w:t>
      </w:r>
      <w:r w:rsidRPr="00133B47">
        <w:rPr>
          <w:sz w:val="16"/>
          <w:szCs w:val="18"/>
        </w:rPr>
        <w:fldChar w:fldCharType="begin"/>
      </w:r>
      <w:r w:rsidRPr="00D14CE9">
        <w:rPr>
          <w:sz w:val="16"/>
          <w:szCs w:val="18"/>
        </w:rPr>
        <w:instrText xml:space="preserve"> SEQ Figure \* ARABIC </w:instrText>
      </w:r>
      <w:r w:rsidRPr="00133B47">
        <w:rPr>
          <w:sz w:val="16"/>
          <w:szCs w:val="18"/>
        </w:rPr>
        <w:fldChar w:fldCharType="separate"/>
      </w:r>
      <w:r w:rsidR="00525C82">
        <w:rPr>
          <w:noProof/>
          <w:sz w:val="16"/>
          <w:szCs w:val="18"/>
        </w:rPr>
        <w:t>2</w:t>
      </w:r>
      <w:r w:rsidRPr="00133B47">
        <w:rPr>
          <w:sz w:val="16"/>
          <w:szCs w:val="18"/>
        </w:rPr>
        <w:fldChar w:fldCharType="end"/>
      </w:r>
      <w:r w:rsidRPr="00D14CE9">
        <w:rPr>
          <w:sz w:val="16"/>
          <w:szCs w:val="18"/>
        </w:rPr>
        <w:t xml:space="preserve"> – Construction Activities Weightings in Victoria – Average of the last 12 years</w:t>
      </w:r>
      <w:bookmarkEnd w:id="369"/>
      <w:bookmarkEnd w:id="370"/>
    </w:p>
    <w:p w:rsidR="00F14D76" w:rsidRPr="00D14CE9" w:rsidRDefault="00F92606" w:rsidP="003637FD">
      <w:pPr>
        <w:pStyle w:val="EYBulletedList1"/>
        <w:numPr>
          <w:ilvl w:val="0"/>
          <w:numId w:val="0"/>
        </w:numPr>
        <w:spacing w:after="120"/>
        <w:jc w:val="both"/>
        <w:rPr>
          <w:rFonts w:cstheme="majorHAnsi"/>
          <w:szCs w:val="20"/>
          <w:lang w:val="en-AU"/>
        </w:rPr>
      </w:pPr>
      <w:r>
        <w:rPr>
          <w:rFonts w:cstheme="majorHAnsi"/>
          <w:noProof/>
          <w:szCs w:val="20"/>
          <w:lang w:val="en-AU" w:eastAsia="en-AU"/>
        </w:rPr>
        <w:drawing>
          <wp:inline distT="0" distB="0" distL="0" distR="0" wp14:anchorId="4E733B6B" wp14:editId="35BB5263">
            <wp:extent cx="3565525" cy="2099256"/>
            <wp:effectExtent l="19050" t="19050" r="15875" b="15875"/>
            <wp:docPr id="8" name="Picture 8" descr="Figure 2 is a pie chart showing the construction activities weightings in Victoria using an average of the last 12 years. It shows that 51% of construction was residential building 20% was non-residential building, 18% was energy and utilities engineering construction, and 12% was transport engineering construction. "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711" t="2653" r="1004" b="1213"/>
                    <a:stretch/>
                  </pic:blipFill>
                  <pic:spPr bwMode="auto">
                    <a:xfrm>
                      <a:off x="0" y="0"/>
                      <a:ext cx="3567787" cy="2100588"/>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14D76" w:rsidRPr="003637FD" w:rsidRDefault="00486FB4" w:rsidP="00C27E63">
      <w:pPr>
        <w:pStyle w:val="EYBulletedList1"/>
        <w:numPr>
          <w:ilvl w:val="0"/>
          <w:numId w:val="0"/>
        </w:numPr>
        <w:spacing w:after="120"/>
        <w:rPr>
          <w:rFonts w:cstheme="majorHAnsi"/>
          <w:i/>
          <w:sz w:val="16"/>
          <w:szCs w:val="16"/>
          <w:lang w:val="en-AU"/>
        </w:rPr>
      </w:pPr>
      <w:r>
        <w:rPr>
          <w:rFonts w:cstheme="majorHAnsi"/>
          <w:i/>
          <w:sz w:val="16"/>
          <w:szCs w:val="16"/>
          <w:lang w:val="en-AU"/>
        </w:rPr>
        <w:t>Source: EY analysis</w:t>
      </w:r>
    </w:p>
    <w:p w:rsidR="00C27E63" w:rsidRDefault="006A7DDB" w:rsidP="00C27E63">
      <w:pPr>
        <w:pStyle w:val="EYBulletedList1"/>
        <w:numPr>
          <w:ilvl w:val="0"/>
          <w:numId w:val="0"/>
        </w:numPr>
        <w:spacing w:after="120"/>
        <w:rPr>
          <w:rFonts w:cstheme="majorHAnsi"/>
          <w:szCs w:val="20"/>
          <w:lang w:val="en-AU"/>
        </w:rPr>
      </w:pPr>
      <w:r>
        <w:rPr>
          <w:rFonts w:cstheme="majorHAnsi"/>
          <w:szCs w:val="20"/>
          <w:lang w:val="en-AU"/>
        </w:rPr>
        <w:t xml:space="preserve">The historic evolution of the nominal construction spend per type of construction activity identified as driving the consumption of extractive resources is provided in </w:t>
      </w:r>
      <w:r w:rsidR="009320CC">
        <w:rPr>
          <w:rFonts w:cstheme="majorHAnsi"/>
          <w:szCs w:val="20"/>
          <w:lang w:val="en-AU"/>
        </w:rPr>
        <w:fldChar w:fldCharType="begin" w:fldLock="1"/>
      </w:r>
      <w:r w:rsidR="009320CC">
        <w:rPr>
          <w:rFonts w:cstheme="majorHAnsi"/>
          <w:szCs w:val="20"/>
          <w:lang w:val="en-AU"/>
        </w:rPr>
        <w:instrText xml:space="preserve"> REF _Ref445153470 \h  \* MERGEFORMAT </w:instrText>
      </w:r>
      <w:r w:rsidR="009320CC">
        <w:rPr>
          <w:rFonts w:cstheme="majorHAnsi"/>
          <w:szCs w:val="20"/>
          <w:lang w:val="en-AU"/>
        </w:rPr>
      </w:r>
      <w:r w:rsidR="009320CC">
        <w:rPr>
          <w:rFonts w:cstheme="majorHAnsi"/>
          <w:szCs w:val="20"/>
          <w:lang w:val="en-AU"/>
        </w:rPr>
        <w:fldChar w:fldCharType="separate"/>
      </w:r>
      <w:r w:rsidR="00895089" w:rsidRPr="00E65C9D">
        <w:rPr>
          <w:rFonts w:cstheme="majorHAnsi"/>
          <w:szCs w:val="20"/>
          <w:lang w:val="en-AU"/>
        </w:rPr>
        <w:t>Figure 3</w:t>
      </w:r>
      <w:r w:rsidR="009320CC">
        <w:rPr>
          <w:rFonts w:cstheme="majorHAnsi"/>
          <w:szCs w:val="20"/>
          <w:lang w:val="en-AU"/>
        </w:rPr>
        <w:fldChar w:fldCharType="end"/>
      </w:r>
      <w:r>
        <w:rPr>
          <w:rFonts w:cstheme="majorHAnsi"/>
          <w:szCs w:val="20"/>
          <w:lang w:val="en-AU"/>
        </w:rPr>
        <w:t xml:space="preserve"> below.</w:t>
      </w:r>
      <w:r w:rsidR="00C27E63">
        <w:rPr>
          <w:rFonts w:cstheme="majorHAnsi"/>
          <w:szCs w:val="20"/>
          <w:lang w:val="en-AU"/>
        </w:rPr>
        <w:t xml:space="preserve"> Data in </w:t>
      </w:r>
      <w:r w:rsidR="009320CC">
        <w:rPr>
          <w:rFonts w:cstheme="majorHAnsi"/>
          <w:szCs w:val="20"/>
          <w:lang w:val="en-AU"/>
        </w:rPr>
        <w:fldChar w:fldCharType="begin" w:fldLock="1"/>
      </w:r>
      <w:r w:rsidR="009320CC">
        <w:rPr>
          <w:rFonts w:cstheme="majorHAnsi"/>
          <w:szCs w:val="20"/>
          <w:lang w:val="en-AU"/>
        </w:rPr>
        <w:instrText xml:space="preserve"> REF _Ref445153470 \h  \* MERGEFORMAT </w:instrText>
      </w:r>
      <w:r w:rsidR="009320CC">
        <w:rPr>
          <w:rFonts w:cstheme="majorHAnsi"/>
          <w:szCs w:val="20"/>
          <w:lang w:val="en-AU"/>
        </w:rPr>
      </w:r>
      <w:r w:rsidR="009320CC">
        <w:rPr>
          <w:rFonts w:cstheme="majorHAnsi"/>
          <w:szCs w:val="20"/>
          <w:lang w:val="en-AU"/>
        </w:rPr>
        <w:fldChar w:fldCharType="separate"/>
      </w:r>
      <w:r w:rsidR="00895089" w:rsidRPr="00E65C9D">
        <w:rPr>
          <w:rFonts w:cstheme="majorHAnsi"/>
          <w:szCs w:val="20"/>
          <w:lang w:val="en-AU"/>
        </w:rPr>
        <w:t>Figure 3</w:t>
      </w:r>
      <w:r w:rsidR="009320CC">
        <w:rPr>
          <w:rFonts w:cstheme="majorHAnsi"/>
          <w:szCs w:val="20"/>
          <w:lang w:val="en-AU"/>
        </w:rPr>
        <w:fldChar w:fldCharType="end"/>
      </w:r>
      <w:r w:rsidR="00C27E63">
        <w:rPr>
          <w:rFonts w:cstheme="majorHAnsi"/>
          <w:szCs w:val="20"/>
          <w:lang w:val="en-AU"/>
        </w:rPr>
        <w:t xml:space="preserve"> indicates that although there is evidence of cyclical patterns that affect each type of construction activity during specific years, the overall trends in shares of activity have remained relatively stable over the last 12 years. It is therefore considered that the historic trends in construction activity across these sectors and relationships with broader macroeconomics variables would provide a reasonable basis for considering future construction activity. </w:t>
      </w:r>
    </w:p>
    <w:p w:rsidR="00F14D76" w:rsidRPr="00D14CE9" w:rsidRDefault="00F14D76" w:rsidP="00F14D76">
      <w:pPr>
        <w:pStyle w:val="Caption"/>
        <w:numPr>
          <w:ilvl w:val="0"/>
          <w:numId w:val="9"/>
        </w:numPr>
        <w:ind w:right="-601"/>
        <w:rPr>
          <w:sz w:val="16"/>
          <w:szCs w:val="18"/>
        </w:rPr>
      </w:pPr>
      <w:bookmarkStart w:id="371" w:name="_Ref445153470"/>
      <w:bookmarkStart w:id="372" w:name="_Toc445240902"/>
      <w:bookmarkStart w:id="373" w:name="_Toc448914565"/>
      <w:r w:rsidRPr="00D14CE9">
        <w:rPr>
          <w:sz w:val="16"/>
          <w:szCs w:val="18"/>
        </w:rPr>
        <w:t xml:space="preserve">Figure </w:t>
      </w:r>
      <w:r w:rsidRPr="00133B47">
        <w:rPr>
          <w:sz w:val="16"/>
          <w:szCs w:val="18"/>
        </w:rPr>
        <w:fldChar w:fldCharType="begin"/>
      </w:r>
      <w:r w:rsidRPr="00D14CE9">
        <w:rPr>
          <w:sz w:val="16"/>
          <w:szCs w:val="18"/>
        </w:rPr>
        <w:instrText xml:space="preserve"> SEQ Figure \* ARABIC </w:instrText>
      </w:r>
      <w:r w:rsidRPr="00133B47">
        <w:rPr>
          <w:sz w:val="16"/>
          <w:szCs w:val="18"/>
        </w:rPr>
        <w:fldChar w:fldCharType="separate"/>
      </w:r>
      <w:r w:rsidR="00525C82">
        <w:rPr>
          <w:noProof/>
          <w:sz w:val="16"/>
          <w:szCs w:val="18"/>
        </w:rPr>
        <w:t>3</w:t>
      </w:r>
      <w:r w:rsidRPr="00133B47">
        <w:rPr>
          <w:sz w:val="16"/>
          <w:szCs w:val="18"/>
        </w:rPr>
        <w:fldChar w:fldCharType="end"/>
      </w:r>
      <w:bookmarkEnd w:id="371"/>
      <w:r w:rsidRPr="00D14CE9">
        <w:rPr>
          <w:sz w:val="16"/>
          <w:szCs w:val="18"/>
        </w:rPr>
        <w:t xml:space="preserve"> – </w:t>
      </w:r>
      <w:r w:rsidRPr="00F14D76">
        <w:rPr>
          <w:sz w:val="16"/>
          <w:szCs w:val="18"/>
        </w:rPr>
        <w:t>Breakdown of construction spend per construction activity – 2002-2014</w:t>
      </w:r>
      <w:bookmarkEnd w:id="372"/>
      <w:bookmarkEnd w:id="373"/>
    </w:p>
    <w:p w:rsidR="006A7DDB" w:rsidRDefault="006B29AF" w:rsidP="00C9521C">
      <w:pPr>
        <w:pStyle w:val="EYBulletedList1"/>
        <w:numPr>
          <w:ilvl w:val="0"/>
          <w:numId w:val="0"/>
        </w:numPr>
        <w:spacing w:after="120"/>
        <w:rPr>
          <w:rFonts w:cstheme="majorHAnsi"/>
          <w:szCs w:val="20"/>
          <w:lang w:val="en-AU"/>
        </w:rPr>
      </w:pPr>
      <w:r>
        <w:rPr>
          <w:rFonts w:cstheme="majorHAnsi"/>
          <w:noProof/>
          <w:szCs w:val="20"/>
          <w:lang w:val="en-AU" w:eastAsia="en-AU"/>
        </w:rPr>
        <w:drawing>
          <wp:inline distT="0" distB="0" distL="0" distR="0" wp14:anchorId="6E54639F" wp14:editId="367ECBCA">
            <wp:extent cx="5041345" cy="2324637"/>
            <wp:effectExtent l="0" t="0" r="6985" b="0"/>
            <wp:docPr id="2090" name="Picture 2090" descr="Figure 3 is a chart showing the breakdown of construction spend per construction activity between 2002 and 2014, as a percentage of overall spend. It shows that residential construction fell over the period but rose again slightly. Transport and energy and utilities spend rose slightly over the period. Non residential spend rose and then fell again to the same percentage that it was in 2002.&#10;&#10;"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757" t="1617" r="593" b="1094"/>
                    <a:stretch/>
                  </pic:blipFill>
                  <pic:spPr bwMode="auto">
                    <a:xfrm>
                      <a:off x="0" y="0"/>
                      <a:ext cx="5052441" cy="2329753"/>
                    </a:xfrm>
                    <a:prstGeom prst="rect">
                      <a:avLst/>
                    </a:prstGeom>
                    <a:noFill/>
                    <a:ln>
                      <a:noFill/>
                    </a:ln>
                    <a:extLst>
                      <a:ext uri="{53640926-AAD7-44D8-BBD7-CCE9431645EC}">
                        <a14:shadowObscured xmlns:a14="http://schemas.microsoft.com/office/drawing/2010/main"/>
                      </a:ext>
                    </a:extLst>
                  </pic:spPr>
                </pic:pic>
              </a:graphicData>
            </a:graphic>
          </wp:inline>
        </w:drawing>
      </w:r>
      <w:r w:rsidR="00C27E63">
        <w:rPr>
          <w:rFonts w:cstheme="majorHAnsi"/>
          <w:szCs w:val="20"/>
          <w:lang w:val="en-AU"/>
        </w:rPr>
        <w:t xml:space="preserve"> </w:t>
      </w:r>
    </w:p>
    <w:p w:rsidR="006A7DDB" w:rsidRPr="00D14CE9" w:rsidRDefault="006A7DDB" w:rsidP="006A7DDB">
      <w:pPr>
        <w:pStyle w:val="EYSource"/>
        <w:spacing w:after="240"/>
        <w:rPr>
          <w:lang w:val="en-AU"/>
        </w:rPr>
      </w:pPr>
      <w:r w:rsidRPr="00D14CE9">
        <w:rPr>
          <w:lang w:val="en-AU"/>
        </w:rPr>
        <w:t>Source: EY analysis</w:t>
      </w:r>
    </w:p>
    <w:p w:rsidR="00F40B72" w:rsidRPr="00D14CE9" w:rsidRDefault="00F40B72" w:rsidP="00C200D0">
      <w:pPr>
        <w:pStyle w:val="EYBulletedList1"/>
        <w:spacing w:after="120"/>
        <w:rPr>
          <w:rFonts w:cstheme="majorHAnsi"/>
          <w:szCs w:val="20"/>
          <w:lang w:val="en-AU"/>
        </w:rPr>
      </w:pPr>
      <w:r w:rsidRPr="00D14CE9">
        <w:rPr>
          <w:rFonts w:cstheme="majorHAnsi"/>
          <w:szCs w:val="20"/>
          <w:lang w:val="en-AU"/>
        </w:rPr>
        <w:t>Macro-economic demand drivers that influence construction trends are:</w:t>
      </w:r>
    </w:p>
    <w:p w:rsidR="00F40B72" w:rsidRPr="00D14CE9" w:rsidRDefault="00F40B72" w:rsidP="00C200D0">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Population and household growth with respect to the construction of residential dwellings.</w:t>
      </w:r>
    </w:p>
    <w:p w:rsidR="00F40B72" w:rsidRPr="00D14CE9" w:rsidRDefault="00F40B72" w:rsidP="00C200D0">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Employment growth with respect to the non-residential construction (including office, retail and industrial).</w:t>
      </w:r>
    </w:p>
    <w:p w:rsidR="00F40B72" w:rsidRPr="00D14CE9" w:rsidRDefault="00F40B72" w:rsidP="00C200D0">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Public and private sectors infrastructure investment with respect to Engineering Construction.</w:t>
      </w:r>
    </w:p>
    <w:p w:rsidR="00B65C18" w:rsidRPr="00D14CE9" w:rsidRDefault="00B65C18" w:rsidP="00C200D0">
      <w:pPr>
        <w:pStyle w:val="Caption"/>
        <w:numPr>
          <w:ilvl w:val="0"/>
          <w:numId w:val="9"/>
        </w:numPr>
      </w:pPr>
      <w:r w:rsidRPr="00D14CE9">
        <w:rPr>
          <w:sz w:val="18"/>
          <w:szCs w:val="18"/>
        </w:rPr>
        <w:t xml:space="preserve"> </w:t>
      </w:r>
    </w:p>
    <w:p w:rsidR="000A28F3" w:rsidRPr="00D14CE9" w:rsidRDefault="000A28F3" w:rsidP="00C200D0">
      <w:pPr>
        <w:pStyle w:val="EYBodytextwithparaspace"/>
        <w:rPr>
          <w:kern w:val="0"/>
          <w:szCs w:val="20"/>
          <w:lang w:val="en-AU"/>
        </w:rPr>
        <w:sectPr w:rsidR="000A28F3" w:rsidRPr="00D14CE9" w:rsidSect="000B6297">
          <w:pgSz w:w="11909" w:h="16834" w:code="9"/>
          <w:pgMar w:top="1440" w:right="1440" w:bottom="1440" w:left="1440" w:header="720" w:footer="567" w:gutter="0"/>
          <w:cols w:space="720"/>
          <w:docGrid w:linePitch="360"/>
        </w:sectPr>
      </w:pPr>
    </w:p>
    <w:p w:rsidR="000A28F3" w:rsidRPr="00D14CE9" w:rsidRDefault="000A28F3" w:rsidP="00C200D0">
      <w:pPr>
        <w:pStyle w:val="EYBodytextwithparaspace"/>
        <w:rPr>
          <w:lang w:val="en-AU"/>
        </w:rPr>
      </w:pPr>
      <w:r w:rsidRPr="00D14CE9">
        <w:rPr>
          <w:kern w:val="0"/>
          <w:szCs w:val="20"/>
          <w:lang w:val="en-AU"/>
        </w:rPr>
        <w:lastRenderedPageBreak/>
        <w:t>The supply and demand value chain presented in the below figures forms the practical basis of our analysis.</w:t>
      </w:r>
    </w:p>
    <w:p w:rsidR="00B65C18" w:rsidRPr="00D14CE9" w:rsidRDefault="00EC336E" w:rsidP="00C9521C">
      <w:pPr>
        <w:pStyle w:val="Caption"/>
        <w:numPr>
          <w:ilvl w:val="0"/>
          <w:numId w:val="9"/>
        </w:numPr>
        <w:ind w:right="-601"/>
        <w:rPr>
          <w:sz w:val="16"/>
          <w:szCs w:val="18"/>
        </w:rPr>
      </w:pPr>
      <w:bookmarkStart w:id="374" w:name="_Ref441755588"/>
      <w:bookmarkStart w:id="375" w:name="_Ref441755583"/>
      <w:bookmarkStart w:id="376" w:name="_Toc445240903"/>
      <w:bookmarkStart w:id="377" w:name="_Toc448914566"/>
      <w:r w:rsidRPr="00D14CE9">
        <w:rPr>
          <w:sz w:val="16"/>
          <w:szCs w:val="18"/>
        </w:rPr>
        <w:t xml:space="preserve">Figure </w:t>
      </w:r>
      <w:r w:rsidRPr="00133B47">
        <w:rPr>
          <w:sz w:val="16"/>
          <w:szCs w:val="18"/>
        </w:rPr>
        <w:fldChar w:fldCharType="begin"/>
      </w:r>
      <w:r w:rsidRPr="00D14CE9">
        <w:rPr>
          <w:sz w:val="16"/>
          <w:szCs w:val="18"/>
        </w:rPr>
        <w:instrText xml:space="preserve"> SEQ Figure \* ARABIC </w:instrText>
      </w:r>
      <w:r w:rsidRPr="00133B47">
        <w:rPr>
          <w:sz w:val="16"/>
          <w:szCs w:val="18"/>
        </w:rPr>
        <w:fldChar w:fldCharType="separate"/>
      </w:r>
      <w:r w:rsidR="00525C82">
        <w:rPr>
          <w:noProof/>
          <w:sz w:val="16"/>
          <w:szCs w:val="18"/>
        </w:rPr>
        <w:t>4</w:t>
      </w:r>
      <w:r w:rsidRPr="00133B47">
        <w:rPr>
          <w:sz w:val="16"/>
          <w:szCs w:val="18"/>
        </w:rPr>
        <w:fldChar w:fldCharType="end"/>
      </w:r>
      <w:bookmarkEnd w:id="374"/>
      <w:r w:rsidRPr="00D14CE9">
        <w:rPr>
          <w:sz w:val="16"/>
          <w:szCs w:val="18"/>
        </w:rPr>
        <w:t xml:space="preserve"> – Value Chain Flow Diagram</w:t>
      </w:r>
      <w:bookmarkEnd w:id="375"/>
      <w:bookmarkEnd w:id="376"/>
      <w:bookmarkEnd w:id="377"/>
    </w:p>
    <w:p w:rsidR="00F06B7D" w:rsidRDefault="00963668" w:rsidP="00B86723">
      <w:pPr>
        <w:pStyle w:val="EYBodytextwithparaspace"/>
        <w:spacing w:after="0"/>
        <w:rPr>
          <w:kern w:val="0"/>
          <w:szCs w:val="20"/>
          <w:lang w:val="en-AU"/>
        </w:rPr>
      </w:pPr>
      <w:r w:rsidRPr="00474B05">
        <w:rPr>
          <w:noProof/>
          <w:kern w:val="0"/>
          <w:szCs w:val="20"/>
          <w:lang w:val="en-AU" w:eastAsia="en-AU"/>
        </w:rPr>
        <w:drawing>
          <wp:inline distT="0" distB="0" distL="0" distR="0" wp14:anchorId="395CD621" wp14:editId="398F9059">
            <wp:extent cx="8967792" cy="3021496"/>
            <wp:effectExtent l="0" t="0" r="5080" b="7620"/>
            <wp:docPr id="5" name="Picture 5" descr="Figure 4 is a Value Chain Flow Diagram. It shows, on the supply side, that raw materials (ER1.1 Hard  rock, ER1.2 Limestone, ER1.3 Sand and Gravel, ER1.4 Clay and Clay Shale, ER1.5 Soil, and ER1.6 Peat) flow either directly to the demand side or via processing facilities. On the demand side, these materials become commodity products which flow into construction types which are then affected by demand drivers.  The commodity products that the materials are converted to are: Aggregate (single size screenings), Road base (class 1 and 2 crushed rock), Road sub-base (incl class 3 and 4 crushed rock and track material), Fill (incl scalping and spills), armour (incl. beeching), dimension stone, cement, agriculture, lime, flux, industrial filters, concrete sand, fine sand (comprising brick, packing bedding, plaster and asphalt),  foundry sand, glass sand, industrial (comprising filica flour, fibre glass, ceramics), brick (including pavers) tile/pipe, firebricks, and stoneware (incl. pottery, whiteware). Construction types include, for building construction, residential (comprising dwellings infill and growth areas), and non-residential (commercial, social assets). For engineering construction they include transport (comprising roads – new, maintenance, major projects, bridges/railways and harbours), and energy and utilities (electricity, water/drainage/sewerage, pipelines, telco, plant).  Demand drivers are: Population growth/dwelling construction, Employment growth/commercial construction, Government infrastructure investment, and private sector infrastructure  investment.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ELBOURNE\MELBTAS\CF\Restricted\DEDJTR Demand Analysis for Extractive Resources\Data\06 Graphics\Supply chain diagram - v0 9(FIN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0867" cy="3022532"/>
                    </a:xfrm>
                    <a:prstGeom prst="rect">
                      <a:avLst/>
                    </a:prstGeom>
                    <a:noFill/>
                    <a:ln>
                      <a:noFill/>
                    </a:ln>
                  </pic:spPr>
                </pic:pic>
              </a:graphicData>
            </a:graphic>
          </wp:inline>
        </w:drawing>
      </w:r>
    </w:p>
    <w:p w:rsidR="00931CBF" w:rsidRPr="00D14CE9" w:rsidRDefault="00931CBF" w:rsidP="00931CBF">
      <w:pPr>
        <w:pStyle w:val="EYSource"/>
        <w:spacing w:after="240"/>
        <w:rPr>
          <w:lang w:val="en-AU"/>
        </w:rPr>
      </w:pPr>
      <w:r w:rsidRPr="00D14CE9">
        <w:rPr>
          <w:lang w:val="en-AU"/>
        </w:rPr>
        <w:t>Source: EY analysis</w:t>
      </w:r>
    </w:p>
    <w:p w:rsidR="00931CBF" w:rsidRPr="00D14CE9" w:rsidRDefault="00931CBF" w:rsidP="00701BAA">
      <w:pPr>
        <w:pStyle w:val="EYBodytextwithparaspace"/>
        <w:rPr>
          <w:kern w:val="0"/>
          <w:szCs w:val="20"/>
          <w:lang w:val="en-AU"/>
        </w:rPr>
      </w:pPr>
    </w:p>
    <w:p w:rsidR="00782226" w:rsidRDefault="00782226" w:rsidP="00C200D0">
      <w:pPr>
        <w:pStyle w:val="EYBodytextwithparaspace"/>
        <w:rPr>
          <w:kern w:val="0"/>
          <w:szCs w:val="20"/>
          <w:lang w:val="en-AU"/>
        </w:rPr>
        <w:sectPr w:rsidR="00782226" w:rsidSect="004220F1">
          <w:footerReference w:type="default" r:id="rId26"/>
          <w:pgSz w:w="16834" w:h="11909" w:orient="landscape" w:code="9"/>
          <w:pgMar w:top="1440" w:right="1440" w:bottom="1440" w:left="1440" w:header="720" w:footer="567" w:gutter="0"/>
          <w:cols w:space="720"/>
          <w:docGrid w:linePitch="360"/>
        </w:sectPr>
      </w:pPr>
    </w:p>
    <w:p w:rsidR="00924BED" w:rsidRPr="00D14CE9" w:rsidRDefault="00924BED" w:rsidP="00C200D0">
      <w:pPr>
        <w:pStyle w:val="EYBodytextwithparaspace"/>
        <w:rPr>
          <w:kern w:val="0"/>
          <w:szCs w:val="20"/>
          <w:lang w:val="en-AU"/>
        </w:rPr>
      </w:pPr>
      <w:r w:rsidRPr="00D14CE9">
        <w:rPr>
          <w:kern w:val="0"/>
          <w:szCs w:val="20"/>
          <w:lang w:val="en-AU"/>
        </w:rPr>
        <w:lastRenderedPageBreak/>
        <w:t xml:space="preserve">The list of Commodity Products outlined in </w:t>
      </w:r>
      <w:r w:rsidR="00C656E0" w:rsidRPr="00474B05">
        <w:rPr>
          <w:kern w:val="0"/>
          <w:szCs w:val="20"/>
          <w:lang w:val="en-AU"/>
        </w:rPr>
        <w:fldChar w:fldCharType="begin" w:fldLock="1"/>
      </w:r>
      <w:r w:rsidR="00C656E0" w:rsidRPr="00D14CE9">
        <w:rPr>
          <w:kern w:val="0"/>
          <w:szCs w:val="20"/>
          <w:lang w:val="en-AU"/>
        </w:rPr>
        <w:instrText xml:space="preserve"> REF _Ref441755588 \h </w:instrText>
      </w:r>
      <w:r w:rsidR="00F06B7D" w:rsidRPr="00E65C9D">
        <w:rPr>
          <w:kern w:val="0"/>
          <w:szCs w:val="20"/>
          <w:lang w:val="en-AU"/>
        </w:rPr>
        <w:instrText xml:space="preserve"> \* MERGEFORMAT </w:instrText>
      </w:r>
      <w:r w:rsidR="00C656E0" w:rsidRPr="00474B05">
        <w:rPr>
          <w:kern w:val="0"/>
          <w:szCs w:val="20"/>
          <w:lang w:val="en-AU"/>
        </w:rPr>
      </w:r>
      <w:r w:rsidR="00C656E0" w:rsidRPr="00474B05">
        <w:rPr>
          <w:kern w:val="0"/>
          <w:szCs w:val="20"/>
          <w:lang w:val="en-AU"/>
        </w:rPr>
        <w:fldChar w:fldCharType="separate"/>
      </w:r>
      <w:r w:rsidR="00895089" w:rsidRPr="00E65C9D">
        <w:rPr>
          <w:szCs w:val="20"/>
          <w:lang w:val="en-AU"/>
        </w:rPr>
        <w:t>Figure 4</w:t>
      </w:r>
      <w:r w:rsidR="00C656E0" w:rsidRPr="00474B05">
        <w:rPr>
          <w:kern w:val="0"/>
          <w:szCs w:val="20"/>
          <w:lang w:val="en-AU"/>
        </w:rPr>
        <w:fldChar w:fldCharType="end"/>
      </w:r>
      <w:r w:rsidRPr="00D14CE9">
        <w:rPr>
          <w:kern w:val="0"/>
          <w:szCs w:val="20"/>
          <w:lang w:val="en-AU"/>
        </w:rPr>
        <w:t xml:space="preserve"> is extracted from the Mineral Resources Extractive Industries Regulations Act 2010. Note that although ‘CP1.8 Agriculture’ is listed as one of the commodity products, it is not used in building and construction but rather in farming sector. </w:t>
      </w:r>
    </w:p>
    <w:p w:rsidR="00A56838" w:rsidRDefault="007D3057" w:rsidP="00C200D0">
      <w:pPr>
        <w:pStyle w:val="EYBodytextwithparaspace"/>
        <w:rPr>
          <w:kern w:val="0"/>
          <w:szCs w:val="20"/>
          <w:lang w:val="en-AU"/>
        </w:rPr>
      </w:pPr>
      <w:r w:rsidRPr="00D14CE9">
        <w:rPr>
          <w:kern w:val="0"/>
          <w:szCs w:val="20"/>
          <w:lang w:val="en-AU"/>
        </w:rPr>
        <w:t xml:space="preserve">The main limitation of the supply and demand value chain is that it does not outline one of the </w:t>
      </w:r>
      <w:r w:rsidR="00924BED" w:rsidRPr="00D14CE9">
        <w:rPr>
          <w:kern w:val="0"/>
          <w:szCs w:val="20"/>
          <w:lang w:val="en-AU"/>
        </w:rPr>
        <w:t>key feature</w:t>
      </w:r>
      <w:r w:rsidRPr="00D14CE9">
        <w:rPr>
          <w:kern w:val="0"/>
          <w:szCs w:val="20"/>
          <w:lang w:val="en-AU"/>
        </w:rPr>
        <w:t>s</w:t>
      </w:r>
      <w:r w:rsidR="00924BED" w:rsidRPr="00D14CE9">
        <w:rPr>
          <w:kern w:val="0"/>
          <w:szCs w:val="20"/>
          <w:lang w:val="en-AU"/>
        </w:rPr>
        <w:t xml:space="preserve"> of the extractive industry sector, which is that there is a high dependency and interaction between the supply and the demand for extractive resources. </w:t>
      </w:r>
    </w:p>
    <w:p w:rsidR="0017788A" w:rsidRDefault="00924BED" w:rsidP="00C200D0">
      <w:pPr>
        <w:pStyle w:val="EYBodytextwithparaspace"/>
        <w:rPr>
          <w:kern w:val="0"/>
          <w:szCs w:val="20"/>
          <w:lang w:val="en-AU"/>
        </w:rPr>
      </w:pPr>
      <w:r w:rsidRPr="00D14CE9">
        <w:rPr>
          <w:kern w:val="0"/>
          <w:szCs w:val="20"/>
          <w:lang w:val="en-AU"/>
        </w:rPr>
        <w:t xml:space="preserve">The demand for </w:t>
      </w:r>
      <w:r w:rsidR="00AE6672">
        <w:rPr>
          <w:kern w:val="0"/>
          <w:szCs w:val="20"/>
          <w:lang w:val="en-AU"/>
        </w:rPr>
        <w:t xml:space="preserve">commodity products within a region </w:t>
      </w:r>
      <w:r w:rsidRPr="00D14CE9">
        <w:rPr>
          <w:kern w:val="0"/>
          <w:szCs w:val="20"/>
          <w:lang w:val="en-AU"/>
        </w:rPr>
        <w:t>is</w:t>
      </w:r>
      <w:r w:rsidR="00AE6672">
        <w:rPr>
          <w:kern w:val="0"/>
          <w:szCs w:val="20"/>
          <w:lang w:val="en-AU"/>
        </w:rPr>
        <w:t xml:space="preserve"> primarily</w:t>
      </w:r>
      <w:r w:rsidRPr="00D14CE9">
        <w:rPr>
          <w:kern w:val="0"/>
          <w:szCs w:val="20"/>
          <w:lang w:val="en-AU"/>
        </w:rPr>
        <w:t xml:space="preserve"> driven by the </w:t>
      </w:r>
      <w:r w:rsidR="00AE6672">
        <w:rPr>
          <w:kern w:val="0"/>
          <w:szCs w:val="20"/>
          <w:lang w:val="en-AU"/>
        </w:rPr>
        <w:t>construction types within that region. However, for a wide range of commodity products such as road materials, aggregates and fill, the requirements for the product can be strongly driven by the local availability of raw materials of the required quality. For example, in most regions</w:t>
      </w:r>
      <w:r w:rsidR="00A56838">
        <w:rPr>
          <w:kern w:val="0"/>
          <w:szCs w:val="20"/>
          <w:lang w:val="en-AU"/>
        </w:rPr>
        <w:t>,</w:t>
      </w:r>
      <w:r w:rsidR="00AE6672">
        <w:rPr>
          <w:kern w:val="0"/>
          <w:szCs w:val="20"/>
          <w:lang w:val="en-AU"/>
        </w:rPr>
        <w:t xml:space="preserve"> the demand for road base materials is met by the locally available raw materials that meet specification</w:t>
      </w:r>
      <w:r w:rsidR="00A56838">
        <w:rPr>
          <w:kern w:val="0"/>
          <w:szCs w:val="20"/>
          <w:lang w:val="en-AU"/>
        </w:rPr>
        <w:t xml:space="preserve"> requirements, not a particular rock type. B</w:t>
      </w:r>
      <w:r w:rsidRPr="00D14CE9">
        <w:rPr>
          <w:kern w:val="0"/>
          <w:szCs w:val="20"/>
          <w:lang w:val="en-AU"/>
        </w:rPr>
        <w:t>reaking down the demand into the supply sources</w:t>
      </w:r>
      <w:r w:rsidR="00A56838">
        <w:rPr>
          <w:kern w:val="0"/>
          <w:szCs w:val="20"/>
          <w:lang w:val="en-AU"/>
        </w:rPr>
        <w:t xml:space="preserve"> without reference to the specifications or the quality of the supply sources</w:t>
      </w:r>
      <w:r w:rsidRPr="00D14CE9">
        <w:rPr>
          <w:kern w:val="0"/>
          <w:szCs w:val="20"/>
          <w:lang w:val="en-AU"/>
        </w:rPr>
        <w:t xml:space="preserve">, as noted in the figure above, may be </w:t>
      </w:r>
      <w:r w:rsidR="00A56838">
        <w:rPr>
          <w:kern w:val="0"/>
          <w:szCs w:val="20"/>
          <w:lang w:val="en-AU"/>
        </w:rPr>
        <w:t>misleading.</w:t>
      </w:r>
      <w:r w:rsidRPr="00D14CE9">
        <w:rPr>
          <w:kern w:val="0"/>
          <w:szCs w:val="20"/>
          <w:lang w:val="en-AU"/>
        </w:rPr>
        <w:t xml:space="preserve"> A most useful indicator in the assessment of a demand profile may be the commodity product</w:t>
      </w:r>
      <w:r w:rsidR="00A56838">
        <w:rPr>
          <w:kern w:val="0"/>
          <w:szCs w:val="20"/>
          <w:lang w:val="en-AU"/>
        </w:rPr>
        <w:t xml:space="preserve"> and the extractive resources definitions,</w:t>
      </w:r>
      <w:r w:rsidRPr="00D14CE9">
        <w:rPr>
          <w:kern w:val="0"/>
          <w:szCs w:val="20"/>
          <w:lang w:val="en-AU"/>
        </w:rPr>
        <w:t xml:space="preserve"> </w:t>
      </w:r>
      <w:r w:rsidR="00A56838">
        <w:rPr>
          <w:kern w:val="0"/>
          <w:szCs w:val="20"/>
          <w:lang w:val="en-AU"/>
        </w:rPr>
        <w:t>t</w:t>
      </w:r>
      <w:r w:rsidRPr="00D14CE9">
        <w:rPr>
          <w:kern w:val="0"/>
          <w:szCs w:val="20"/>
          <w:lang w:val="en-AU"/>
        </w:rPr>
        <w:t>he demand for extractive resources being interconnected with the demand for commodity products required by the construction sector</w:t>
      </w:r>
      <w:r w:rsidR="00A56838">
        <w:rPr>
          <w:kern w:val="0"/>
          <w:szCs w:val="20"/>
          <w:lang w:val="en-AU"/>
        </w:rPr>
        <w:t>. For a concrete mix for example</w:t>
      </w:r>
      <w:r w:rsidRPr="00D14CE9">
        <w:rPr>
          <w:kern w:val="0"/>
          <w:szCs w:val="20"/>
          <w:lang w:val="en-AU"/>
        </w:rPr>
        <w:t xml:space="preserve">, it may be more meaningful to focus on the identification of the quantity of aggregate (i.e. hard rock) </w:t>
      </w:r>
      <w:r w:rsidR="00A56838">
        <w:rPr>
          <w:kern w:val="0"/>
          <w:szCs w:val="20"/>
          <w:lang w:val="en-AU"/>
        </w:rPr>
        <w:t xml:space="preserve">and quality requirements </w:t>
      </w:r>
      <w:r w:rsidRPr="00D14CE9">
        <w:rPr>
          <w:kern w:val="0"/>
          <w:szCs w:val="20"/>
          <w:lang w:val="en-AU"/>
        </w:rPr>
        <w:t>needed</w:t>
      </w:r>
      <w:r w:rsidR="00A56838">
        <w:rPr>
          <w:kern w:val="0"/>
          <w:szCs w:val="20"/>
          <w:lang w:val="en-AU"/>
        </w:rPr>
        <w:t xml:space="preserve"> (e.g. durability, hardness, friction rating), which can be met by a range of hard rock types, </w:t>
      </w:r>
      <w:r w:rsidRPr="00D14CE9">
        <w:rPr>
          <w:kern w:val="0"/>
          <w:szCs w:val="20"/>
          <w:lang w:val="en-AU"/>
        </w:rPr>
        <w:t>rather than on the actual type of hard rock (e.g. basalt, hornfels)</w:t>
      </w:r>
      <w:r w:rsidR="00A56838">
        <w:rPr>
          <w:kern w:val="0"/>
          <w:szCs w:val="20"/>
          <w:lang w:val="en-AU"/>
        </w:rPr>
        <w:t>. T</w:t>
      </w:r>
      <w:r w:rsidRPr="00D14CE9">
        <w:rPr>
          <w:kern w:val="0"/>
          <w:szCs w:val="20"/>
          <w:lang w:val="en-AU"/>
        </w:rPr>
        <w:t xml:space="preserve">his granular analysis </w:t>
      </w:r>
      <w:r w:rsidR="00A56838">
        <w:rPr>
          <w:kern w:val="0"/>
          <w:szCs w:val="20"/>
          <w:lang w:val="en-AU"/>
        </w:rPr>
        <w:t>can be</w:t>
      </w:r>
      <w:r w:rsidRPr="00D14CE9">
        <w:rPr>
          <w:kern w:val="0"/>
          <w:szCs w:val="20"/>
          <w:lang w:val="en-AU"/>
        </w:rPr>
        <w:t xml:space="preserve"> subject to the regional specificities of the supply and the technical specifications of the required commodity products.</w:t>
      </w:r>
    </w:p>
    <w:p w:rsidR="003845E9" w:rsidRPr="00D14CE9" w:rsidRDefault="003845E9" w:rsidP="002A1D72">
      <w:pPr>
        <w:pStyle w:val="EYBodytextwithparaspace"/>
        <w:rPr>
          <w:rFonts w:cstheme="majorHAnsi"/>
          <w:szCs w:val="20"/>
          <w:lang w:val="en-AU"/>
        </w:rPr>
      </w:pPr>
      <w:r w:rsidRPr="00D14CE9">
        <w:rPr>
          <w:rFonts w:cstheme="majorHAnsi"/>
          <w:szCs w:val="20"/>
          <w:lang w:val="en-AU"/>
        </w:rPr>
        <w:t>Despite this limitation of the value chain, it provides an important foundation and starting position for the analysis of the various factors that contribute to the use of extractive resources at the level of different types of construction activities and underlying demand.</w:t>
      </w:r>
    </w:p>
    <w:p w:rsidR="003845E9" w:rsidRPr="00D14CE9" w:rsidRDefault="003845E9" w:rsidP="00CF11FB">
      <w:pPr>
        <w:pStyle w:val="EYBulletedList1"/>
        <w:numPr>
          <w:ilvl w:val="0"/>
          <w:numId w:val="0"/>
        </w:numPr>
        <w:spacing w:after="240"/>
        <w:rPr>
          <w:rFonts w:cstheme="majorHAnsi"/>
          <w:szCs w:val="20"/>
          <w:lang w:val="en-AU"/>
        </w:rPr>
      </w:pPr>
      <w:r w:rsidRPr="00D14CE9">
        <w:rPr>
          <w:rFonts w:cstheme="majorHAnsi"/>
          <w:szCs w:val="20"/>
          <w:lang w:val="en-AU"/>
        </w:rPr>
        <w:t xml:space="preserve">Through this framework, </w:t>
      </w:r>
      <w:r w:rsidR="003D29E8" w:rsidRPr="00D14CE9">
        <w:rPr>
          <w:rFonts w:cstheme="majorHAnsi"/>
          <w:szCs w:val="20"/>
          <w:lang w:val="en-AU"/>
        </w:rPr>
        <w:t xml:space="preserve">EY was </w:t>
      </w:r>
      <w:r w:rsidRPr="00D14CE9">
        <w:rPr>
          <w:rFonts w:cstheme="majorHAnsi"/>
          <w:szCs w:val="20"/>
          <w:lang w:val="en-AU"/>
        </w:rPr>
        <w:t xml:space="preserve">able to link the historic production of different resources with recorded levels of construction activity and, through those, with macroeconomic and demographic trends. These relationships are explored in the following sections, with the detailed projections of long term demand for extractive resources presented thereafter. </w:t>
      </w:r>
    </w:p>
    <w:p w:rsidR="0086080C" w:rsidRPr="00D14CE9" w:rsidRDefault="0086080C" w:rsidP="0086080C">
      <w:pPr>
        <w:pStyle w:val="EYHeading2"/>
      </w:pPr>
      <w:bookmarkStart w:id="378" w:name="_Toc451847075"/>
      <w:r w:rsidRPr="00D14CE9">
        <w:t>Uses of extractive resources in Victoria</w:t>
      </w:r>
      <w:bookmarkEnd w:id="378"/>
    </w:p>
    <w:p w:rsidR="0086080C" w:rsidRPr="00D14CE9" w:rsidRDefault="0086080C" w:rsidP="0086080C">
      <w:pPr>
        <w:pStyle w:val="EYBodytextwithparaspace"/>
        <w:numPr>
          <w:ilvl w:val="4"/>
          <w:numId w:val="3"/>
        </w:numPr>
        <w:rPr>
          <w:rFonts w:cstheme="majorHAnsi"/>
          <w:szCs w:val="20"/>
          <w:lang w:val="en-AU"/>
        </w:rPr>
      </w:pPr>
      <w:r w:rsidRPr="00D14CE9">
        <w:rPr>
          <w:rFonts w:cstheme="majorHAnsi"/>
          <w:szCs w:val="20"/>
          <w:lang w:val="en-AU"/>
        </w:rPr>
        <w:t xml:space="preserve">Extractive resources are used as direct inputs to building, construction and infrastructure projects and are also transformed into commodity products, i.e. finished outputs such as bricks, tiles, road paving, cement products, asphalt, or aggregates (defined as crushed extractive stones, then screened into a specific narrow size range). </w:t>
      </w:r>
    </w:p>
    <w:p w:rsidR="0086080C" w:rsidRPr="00D14CE9" w:rsidRDefault="0086080C" w:rsidP="0086080C">
      <w:pPr>
        <w:pStyle w:val="EYBodytextwithparaspace"/>
        <w:numPr>
          <w:ilvl w:val="4"/>
          <w:numId w:val="3"/>
        </w:numPr>
        <w:rPr>
          <w:rFonts w:cstheme="majorHAnsi"/>
          <w:szCs w:val="20"/>
          <w:lang w:val="en-AU"/>
        </w:rPr>
      </w:pPr>
      <w:r w:rsidRPr="00D14CE9">
        <w:rPr>
          <w:rFonts w:cstheme="majorHAnsi"/>
          <w:szCs w:val="20"/>
          <w:lang w:val="en-AU"/>
        </w:rPr>
        <w:t>This sub-section presents the key findings from the stakeholders’ consultation process and the DEDJTR technical advisor’s (AECOM) works, in relation to the actual uses of extractive resources in Victoria.</w:t>
      </w:r>
    </w:p>
    <w:p w:rsidR="0086080C" w:rsidRPr="003637FD" w:rsidRDefault="0086080C" w:rsidP="003637FD">
      <w:pPr>
        <w:pStyle w:val="EYHeading3"/>
      </w:pPr>
      <w:r w:rsidRPr="00FD57BC">
        <w:t>Role of extractive resources in the Victoria construction sector</w:t>
      </w:r>
    </w:p>
    <w:p w:rsidR="00F66089" w:rsidRPr="00D14CE9" w:rsidRDefault="00F66089" w:rsidP="00C200D0">
      <w:pPr>
        <w:pStyle w:val="EYBodytextwithparaspace"/>
        <w:rPr>
          <w:rFonts w:cstheme="majorHAnsi"/>
          <w:szCs w:val="20"/>
          <w:lang w:val="en-AU"/>
        </w:rPr>
      </w:pPr>
      <w:bookmarkStart w:id="379" w:name="_Toc441686108"/>
      <w:bookmarkStart w:id="380" w:name="_Toc441686205"/>
      <w:bookmarkStart w:id="381" w:name="_Toc441686109"/>
      <w:bookmarkStart w:id="382" w:name="_Toc441686206"/>
      <w:bookmarkStart w:id="383" w:name="_Toc441686110"/>
      <w:bookmarkStart w:id="384" w:name="_Toc441686207"/>
      <w:bookmarkStart w:id="385" w:name="_Toc441686111"/>
      <w:bookmarkStart w:id="386" w:name="_Toc441686208"/>
      <w:bookmarkEnd w:id="379"/>
      <w:bookmarkEnd w:id="380"/>
      <w:bookmarkEnd w:id="381"/>
      <w:bookmarkEnd w:id="382"/>
      <w:bookmarkEnd w:id="383"/>
      <w:bookmarkEnd w:id="384"/>
      <w:bookmarkEnd w:id="385"/>
      <w:bookmarkEnd w:id="386"/>
      <w:r w:rsidRPr="00D14CE9">
        <w:rPr>
          <w:rFonts w:cstheme="majorHAnsi"/>
          <w:szCs w:val="20"/>
          <w:lang w:val="en-AU"/>
        </w:rPr>
        <w:t xml:space="preserve">Extractive resources are used as direct inputs to building, construction and infrastructure projects and are also transformed into commodity products, i.e. finished outputs such as bricks, tiles, road paving, cement products, asphalt, or aggregates (defined as crushed extractive stones, then screened into a specific narrow size range). </w:t>
      </w:r>
    </w:p>
    <w:p w:rsidR="00F66089" w:rsidRPr="00D14CE9" w:rsidRDefault="00F66089" w:rsidP="00C200D0">
      <w:pPr>
        <w:pStyle w:val="EYBodytextwithparaspace"/>
        <w:rPr>
          <w:rFonts w:cstheme="majorHAnsi"/>
          <w:szCs w:val="20"/>
          <w:lang w:val="en-AU"/>
        </w:rPr>
      </w:pPr>
      <w:r w:rsidRPr="00D14CE9">
        <w:rPr>
          <w:rFonts w:cstheme="majorHAnsi"/>
          <w:szCs w:val="20"/>
          <w:lang w:val="en-AU"/>
        </w:rPr>
        <w:t xml:space="preserve">Stone, as referenced above, can mean sandstone, freestone, basalt, granite, limestone, or other similar materials. Materials which are currently extracted in Victoria, as well as the most common manufactured commodity products used by construction end-users such as Brookfield Multiplex or Lend Lease, are identified in the below table, in accordance with the Schedule 2 of the Mineral Resources (Sustainable Development) Extractive Industries Regulations Act 2010 and the extractive industry value chain diagram presented in </w:t>
      </w:r>
      <w:r w:rsidR="00E502DC" w:rsidRPr="00474B05">
        <w:rPr>
          <w:rFonts w:cstheme="majorHAnsi"/>
          <w:szCs w:val="20"/>
          <w:lang w:val="en-AU"/>
        </w:rPr>
        <w:fldChar w:fldCharType="begin" w:fldLock="1"/>
      </w:r>
      <w:r w:rsidR="00E502DC" w:rsidRPr="00D14CE9">
        <w:rPr>
          <w:rFonts w:cstheme="majorHAnsi"/>
          <w:szCs w:val="20"/>
          <w:lang w:val="en-AU"/>
        </w:rPr>
        <w:instrText xml:space="preserve"> REF _Ref441755588 \h  \* MERGEFORMAT </w:instrText>
      </w:r>
      <w:r w:rsidR="00E502DC" w:rsidRPr="00474B05">
        <w:rPr>
          <w:rFonts w:cstheme="majorHAnsi"/>
          <w:szCs w:val="20"/>
          <w:lang w:val="en-AU"/>
        </w:rPr>
      </w:r>
      <w:r w:rsidR="00E502DC" w:rsidRPr="00474B05">
        <w:rPr>
          <w:rFonts w:cstheme="majorHAnsi"/>
          <w:szCs w:val="20"/>
          <w:lang w:val="en-AU"/>
        </w:rPr>
        <w:fldChar w:fldCharType="separate"/>
      </w:r>
      <w:r w:rsidR="00895089" w:rsidRPr="00E65C9D">
        <w:rPr>
          <w:rFonts w:cstheme="majorHAnsi"/>
          <w:szCs w:val="20"/>
          <w:lang w:val="en-AU"/>
        </w:rPr>
        <w:t>Figure 4</w:t>
      </w:r>
      <w:r w:rsidR="00E502DC" w:rsidRPr="00474B05">
        <w:rPr>
          <w:rFonts w:cstheme="majorHAnsi"/>
          <w:szCs w:val="20"/>
          <w:lang w:val="en-AU"/>
        </w:rPr>
        <w:fldChar w:fldCharType="end"/>
      </w:r>
      <w:r w:rsidRPr="00D14CE9">
        <w:rPr>
          <w:rFonts w:cstheme="majorHAnsi"/>
          <w:szCs w:val="20"/>
          <w:lang w:val="en-AU"/>
        </w:rPr>
        <w:t xml:space="preserve"> of the Report.</w:t>
      </w:r>
    </w:p>
    <w:p w:rsidR="003E25FF" w:rsidRDefault="003E25FF">
      <w:bookmarkStart w:id="387" w:name="_Ref441399598"/>
      <w:bookmarkStart w:id="388" w:name="_Toc445240939"/>
      <w:r>
        <w:rPr>
          <w:b/>
          <w:bC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3"/>
        <w:tblDescription w:val="Table 3 is a list of materials and commodity products extracted in Victoria. The list of rock types are: Basalt Old (Hard Rock), Basalt New (Hard Rock), Trachyte (Hard Rock), Dolerite (Hard Rock), Granite (including granodiorite, porphyry, microgranites) (Hard Rock), Rhyodacite (including dacite, rhyolite) (Hard Rock), Scoria (Hard Rock), Tuff (Hard Rock), Gneiss (Hard Rock), Hornfels (Hard Rock), Marble (Hard Rock), Quartzite (Hard Rock), Schist (Hard Rock), Slate (Hard Rock), Sedimentary (usually rippable rocks including sandstone, shale, siltstone chert, mudstone, claystone) (Hard Rock), Limestone (including limes and) (Soft Rock), Sand and Gravel (naturally occurring gravels, not crushed sedimentary rocks) (Soft Rock), Clay and clay shale (Soft Rock), Soil (Soft Rock), Peat (Soft Rock).  The list of commodity products are: Aggregate (i.e. aggregate, rail ballast, filler material) single size screenings such as concrete, Road Base (Class 1 and 2 crushed rock (CR)), Road Sub-Base (incl. Class 3 and 4 CR, NDCR and track material), Fill (incl. scalpings, spalls), Armour (incl. beaching), Dimension stone, Cement, Agriculture, Lime, Flux, Industrial Filters, Concrete sand, Fine sand (Brick, Packing Bedding, Plaster, Asphalt), Foundry sand, Glass sand, Industrial (silica flour, fibre glass, ceramics, etc.), Brick (incl. Pavers), Tile/Pipe, Firebricks, Stoneware (incl. Pottery, Whiteware)"/>
      </w:tblPr>
      <w:tblGrid>
        <w:gridCol w:w="5320"/>
        <w:gridCol w:w="4385"/>
      </w:tblGrid>
      <w:tr w:rsidR="00DB07FC" w:rsidRPr="00D14CE9" w:rsidTr="006C5CD3">
        <w:trPr>
          <w:trHeight w:val="315"/>
        </w:trPr>
        <w:tc>
          <w:tcPr>
            <w:tcW w:w="5000" w:type="pct"/>
            <w:gridSpan w:val="2"/>
            <w:shd w:val="clear" w:color="auto" w:fill="808080"/>
            <w:noWrap/>
            <w:vAlign w:val="bottom"/>
          </w:tcPr>
          <w:p w:rsidR="00DB07FC" w:rsidRPr="00D14CE9" w:rsidRDefault="00DB07FC" w:rsidP="00802792">
            <w:pPr>
              <w:pStyle w:val="EYTableHeadingWhite"/>
              <w:rPr>
                <w:rFonts w:eastAsia="Arial Unicode MS"/>
              </w:rPr>
            </w:pPr>
            <w:bookmarkStart w:id="389" w:name="_Toc448914630"/>
            <w:bookmarkStart w:id="390" w:name="_Toc448920447"/>
            <w:r w:rsidRPr="00D14CE9">
              <w:lastRenderedPageBreak/>
              <w:t xml:space="preserve">Table </w:t>
            </w:r>
            <w:r w:rsidR="000701D2">
              <w:fldChar w:fldCharType="begin"/>
            </w:r>
            <w:r w:rsidR="000701D2">
              <w:instrText xml:space="preserve"> SEQ Table \* ARABIC </w:instrText>
            </w:r>
            <w:r w:rsidR="000701D2">
              <w:fldChar w:fldCharType="separate"/>
            </w:r>
            <w:r w:rsidR="00525C82">
              <w:rPr>
                <w:noProof/>
              </w:rPr>
              <w:t>3</w:t>
            </w:r>
            <w:r w:rsidR="000701D2">
              <w:rPr>
                <w:noProof/>
              </w:rPr>
              <w:fldChar w:fldCharType="end"/>
            </w:r>
            <w:bookmarkEnd w:id="387"/>
            <w:r w:rsidRPr="00D14CE9">
              <w:t xml:space="preserve"> – Materials and commodity products extracted in Victoria</w:t>
            </w:r>
            <w:bookmarkEnd w:id="388"/>
            <w:bookmarkEnd w:id="389"/>
            <w:bookmarkEnd w:id="390"/>
          </w:p>
        </w:tc>
      </w:tr>
      <w:tr w:rsidR="00A236F5" w:rsidRPr="00D14CE9" w:rsidTr="003637FD">
        <w:tc>
          <w:tcPr>
            <w:tcW w:w="2735" w:type="pct"/>
            <w:shd w:val="clear" w:color="auto" w:fill="F0F0F0"/>
            <w:vAlign w:val="bottom"/>
          </w:tcPr>
          <w:p w:rsidR="00A236F5" w:rsidRPr="00D14CE9" w:rsidRDefault="00A236F5" w:rsidP="00E65C9D">
            <w:pPr>
              <w:pStyle w:val="EYTableHeading"/>
              <w:rPr>
                <w:rFonts w:eastAsia="Arial Unicode MS"/>
              </w:rPr>
            </w:pPr>
            <w:r w:rsidRPr="00D14CE9">
              <w:t>Rock types</w:t>
            </w:r>
          </w:p>
        </w:tc>
        <w:tc>
          <w:tcPr>
            <w:tcW w:w="2265" w:type="pct"/>
            <w:shd w:val="clear" w:color="auto" w:fill="F0F0F0"/>
            <w:vAlign w:val="bottom"/>
          </w:tcPr>
          <w:p w:rsidR="00A236F5" w:rsidRPr="00D14CE9" w:rsidRDefault="00A236F5">
            <w:pPr>
              <w:pStyle w:val="EYTableHeading"/>
              <w:rPr>
                <w:rFonts w:eastAsia="Arial Unicode MS"/>
              </w:rPr>
            </w:pPr>
            <w:r w:rsidRPr="00D14CE9">
              <w:t>Commodity products</w:t>
            </w:r>
          </w:p>
        </w:tc>
      </w:tr>
      <w:tr w:rsidR="00A236F5" w:rsidRPr="00D14CE9" w:rsidTr="003637FD">
        <w:trPr>
          <w:trHeight w:val="315"/>
        </w:trPr>
        <w:tc>
          <w:tcPr>
            <w:tcW w:w="2735" w:type="pct"/>
            <w:noWrap/>
            <w:vAlign w:val="center"/>
          </w:tcPr>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cstheme="majorHAnsi"/>
                <w:sz w:val="16"/>
                <w:szCs w:val="20"/>
              </w:rPr>
              <w:t>Basalt</w:t>
            </w:r>
            <w:r w:rsidRPr="00D14CE9">
              <w:rPr>
                <w:rFonts w:ascii="EYInterstate Light" w:hAnsi="EYInterstate Light"/>
                <w:sz w:val="16"/>
              </w:rPr>
              <w:t xml:space="preserve"> Old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Basalt New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Trachyte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Dolerite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Granite (including granodiorite, porphyry, microgranites)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Rhyodacite (including dacite, rhyolite)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Scoria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Tuff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Gneiss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Hornfels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Marble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Quartzite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Schist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Slate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Sedimentary (usually rippable rocks including sandstone, shale, siltstone chert, mudstone, claystone) (Hard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 xml:space="preserve">Limestone (including </w:t>
            </w:r>
            <w:r w:rsidR="00A40EA2" w:rsidRPr="00D14CE9">
              <w:rPr>
                <w:rFonts w:ascii="EYInterstate Light" w:hAnsi="EYInterstate Light"/>
                <w:sz w:val="16"/>
              </w:rPr>
              <w:t>limes and</w:t>
            </w:r>
            <w:r w:rsidRPr="00D14CE9">
              <w:rPr>
                <w:rFonts w:ascii="EYInterstate Light" w:hAnsi="EYInterstate Light"/>
                <w:sz w:val="16"/>
              </w:rPr>
              <w:t>) (Soft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Sand and Gravel (naturally occurring gravels, not crushed sedimentary rocks) (Soft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Clay and clay shale (Soft Rock)</w:t>
            </w:r>
          </w:p>
          <w:p w:rsidR="00A236F5" w:rsidRPr="00D14CE9" w:rsidRDefault="00A236F5" w:rsidP="00856574">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Soil (Soft Rock)</w:t>
            </w:r>
          </w:p>
          <w:p w:rsidR="00A236F5" w:rsidRPr="00D14CE9" w:rsidRDefault="00A236F5" w:rsidP="00856574">
            <w:pPr>
              <w:pStyle w:val="Bullets1stindent"/>
              <w:numPr>
                <w:ilvl w:val="0"/>
                <w:numId w:val="11"/>
              </w:numPr>
              <w:spacing w:after="0"/>
              <w:ind w:left="288" w:hanging="288"/>
            </w:pPr>
            <w:r w:rsidRPr="00D14CE9">
              <w:rPr>
                <w:rFonts w:ascii="EYInterstate Light" w:hAnsi="EYInterstate Light"/>
                <w:sz w:val="16"/>
              </w:rPr>
              <w:t>Peat (Soft Rock)</w:t>
            </w:r>
          </w:p>
        </w:tc>
        <w:tc>
          <w:tcPr>
            <w:tcW w:w="2265" w:type="pct"/>
            <w:noWrap/>
          </w:tcPr>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Aggregate (i.e. aggregate, rail ballast, filler material) single size screenings such as concrete</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Road Base (Class 1 and 2 crushed rock (CR))</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Road Sub-Base (incl. Class 3 and 4 CR, NDCR and track material)</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Fill (incl. scalpings, spalls)</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Armour (incl. beaching)</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Dimension stone</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Cement</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Agriculture</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Lime</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Flux</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Industrial Filters</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Concrete sand</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Fine sand (Brick, Packing Bedding, Plaster, Asphalt)</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Foundry sand</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Glass sand</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Industrial (silica flour, fibre glass, ceramics, etc.)</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Brick (incl. Pavers)</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Tile/Pipe</w:t>
            </w:r>
          </w:p>
          <w:p w:rsidR="00A236F5" w:rsidRPr="00D14CE9" w:rsidRDefault="00A236F5" w:rsidP="000F4F3C">
            <w:pPr>
              <w:pStyle w:val="Bullets1stindent"/>
              <w:numPr>
                <w:ilvl w:val="0"/>
                <w:numId w:val="11"/>
              </w:numPr>
              <w:spacing w:after="0"/>
              <w:ind w:left="288" w:hanging="288"/>
              <w:rPr>
                <w:rFonts w:ascii="EYInterstate Light" w:hAnsi="EYInterstate Light"/>
                <w:sz w:val="16"/>
              </w:rPr>
            </w:pPr>
            <w:r w:rsidRPr="00D14CE9">
              <w:rPr>
                <w:rFonts w:ascii="EYInterstate Light" w:hAnsi="EYInterstate Light"/>
                <w:sz w:val="16"/>
              </w:rPr>
              <w:t>Firebricks</w:t>
            </w:r>
          </w:p>
          <w:p w:rsidR="00A236F5" w:rsidRPr="00D14CE9" w:rsidRDefault="00A236F5" w:rsidP="000F4F3C">
            <w:pPr>
              <w:pStyle w:val="Bullets1stindent"/>
              <w:numPr>
                <w:ilvl w:val="0"/>
                <w:numId w:val="11"/>
              </w:numPr>
              <w:spacing w:after="0"/>
              <w:ind w:left="288" w:hanging="288"/>
            </w:pPr>
            <w:r w:rsidRPr="00D14CE9">
              <w:rPr>
                <w:rFonts w:ascii="EYInterstate Light" w:hAnsi="EYInterstate Light"/>
                <w:sz w:val="16"/>
              </w:rPr>
              <w:t>Stoneware (incl. Pottery, Whiteware)</w:t>
            </w:r>
          </w:p>
        </w:tc>
      </w:tr>
    </w:tbl>
    <w:p w:rsidR="00F66089" w:rsidRPr="00D14CE9" w:rsidRDefault="00483C42" w:rsidP="00C15F5A">
      <w:pPr>
        <w:pStyle w:val="EYSource"/>
        <w:rPr>
          <w:lang w:val="en-AU"/>
        </w:rPr>
      </w:pPr>
      <w:r w:rsidRPr="00D14CE9">
        <w:rPr>
          <w:lang w:val="en-AU"/>
        </w:rPr>
        <w:t>S</w:t>
      </w:r>
      <w:r w:rsidR="00F66089" w:rsidRPr="00D14CE9">
        <w:rPr>
          <w:lang w:val="en-AU"/>
        </w:rPr>
        <w:t>ource: Schedule 2 of the Mineral Resources (Sustainable Development) Extractive Industries Regulations Act 2010</w:t>
      </w:r>
    </w:p>
    <w:p w:rsidR="00DB07FC" w:rsidRPr="00D14CE9" w:rsidRDefault="00DB07FC" w:rsidP="00C200D0">
      <w:pPr>
        <w:rPr>
          <w:i/>
          <w:sz w:val="16"/>
          <w:szCs w:val="16"/>
        </w:rPr>
      </w:pPr>
    </w:p>
    <w:p w:rsidR="00162F3B" w:rsidRPr="00D14CE9" w:rsidRDefault="00162F3B" w:rsidP="00162F3B">
      <w:pPr>
        <w:pStyle w:val="EYBodytextwithparaspace"/>
        <w:rPr>
          <w:b/>
          <w:lang w:val="en-AU"/>
        </w:rPr>
      </w:pPr>
      <w:r w:rsidRPr="00D14CE9">
        <w:rPr>
          <w:b/>
          <w:lang w:val="en-AU"/>
        </w:rPr>
        <w:t>Commodity products</w:t>
      </w:r>
    </w:p>
    <w:p w:rsidR="00F66089" w:rsidRPr="00D14CE9" w:rsidRDefault="00F66089" w:rsidP="00C200D0">
      <w:pPr>
        <w:pStyle w:val="EYBodytextwithparaspace"/>
        <w:rPr>
          <w:rFonts w:cstheme="majorHAnsi"/>
          <w:szCs w:val="20"/>
          <w:lang w:val="en-AU"/>
        </w:rPr>
      </w:pPr>
      <w:r w:rsidRPr="00D14CE9">
        <w:rPr>
          <w:rFonts w:cstheme="majorHAnsi"/>
          <w:szCs w:val="20"/>
          <w:lang w:val="en-AU"/>
        </w:rPr>
        <w:t xml:space="preserve">In light of the key construction activities presented </w:t>
      </w:r>
      <w:r w:rsidR="00162F3B" w:rsidRPr="00D14CE9">
        <w:rPr>
          <w:rFonts w:cstheme="majorHAnsi"/>
          <w:szCs w:val="20"/>
          <w:lang w:val="en-AU"/>
        </w:rPr>
        <w:t>above</w:t>
      </w:r>
      <w:r w:rsidRPr="00D14CE9">
        <w:rPr>
          <w:rFonts w:cstheme="majorHAnsi"/>
          <w:szCs w:val="20"/>
          <w:lang w:val="en-AU"/>
        </w:rPr>
        <w:t xml:space="preserve"> that are driving the consumption of extractive resources in Victoria, discussions with consulted construction stakeholders (referred to in </w:t>
      </w:r>
      <w:r w:rsidRPr="00474B05">
        <w:rPr>
          <w:rFonts w:cstheme="majorHAnsi"/>
          <w:szCs w:val="20"/>
          <w:lang w:val="en-AU"/>
        </w:rPr>
        <w:fldChar w:fldCharType="begin" w:fldLock="1"/>
      </w:r>
      <w:r w:rsidRPr="00D14CE9">
        <w:rPr>
          <w:rFonts w:cstheme="majorHAnsi"/>
          <w:szCs w:val="20"/>
          <w:lang w:val="en-AU"/>
        </w:rPr>
        <w:instrText xml:space="preserve"> REF _Ref441399492 \r \h  \* MERGEFORMAT </w:instrText>
      </w:r>
      <w:r w:rsidRPr="00474B05">
        <w:rPr>
          <w:rFonts w:cstheme="majorHAnsi"/>
          <w:szCs w:val="20"/>
          <w:lang w:val="en-AU"/>
        </w:rPr>
      </w:r>
      <w:r w:rsidRPr="00474B05">
        <w:rPr>
          <w:rFonts w:cstheme="majorHAnsi"/>
          <w:szCs w:val="20"/>
          <w:lang w:val="en-AU"/>
        </w:rPr>
        <w:fldChar w:fldCharType="separate"/>
      </w:r>
      <w:r w:rsidR="00895089">
        <w:rPr>
          <w:rFonts w:cstheme="majorHAnsi"/>
          <w:szCs w:val="20"/>
          <w:lang w:val="en-AU"/>
        </w:rPr>
        <w:t>Appendix D</w:t>
      </w:r>
      <w:r w:rsidRPr="00474B05">
        <w:rPr>
          <w:rFonts w:cstheme="majorHAnsi"/>
          <w:szCs w:val="20"/>
          <w:lang w:val="en-AU"/>
        </w:rPr>
        <w:fldChar w:fldCharType="end"/>
      </w:r>
      <w:r w:rsidRPr="00D14CE9">
        <w:rPr>
          <w:rFonts w:cstheme="majorHAnsi"/>
          <w:szCs w:val="20"/>
          <w:lang w:val="en-AU"/>
        </w:rPr>
        <w:t xml:space="preserve"> of the Report) and AECOM works indicated that a few of the commodity products presented in the above </w:t>
      </w:r>
      <w:r w:rsidRPr="00474B05">
        <w:rPr>
          <w:rFonts w:cstheme="majorHAnsi"/>
          <w:szCs w:val="20"/>
          <w:lang w:val="en-AU"/>
        </w:rPr>
        <w:fldChar w:fldCharType="begin" w:fldLock="1"/>
      </w:r>
      <w:r w:rsidRPr="00D14CE9">
        <w:rPr>
          <w:rFonts w:cstheme="majorHAnsi"/>
          <w:szCs w:val="20"/>
          <w:lang w:val="en-AU"/>
        </w:rPr>
        <w:instrText xml:space="preserve"> REF _Ref441399598 \h  \* MERGEFORMAT </w:instrText>
      </w:r>
      <w:r w:rsidRPr="00474B05">
        <w:rPr>
          <w:rFonts w:cstheme="majorHAnsi"/>
          <w:szCs w:val="20"/>
          <w:lang w:val="en-AU"/>
        </w:rPr>
      </w:r>
      <w:r w:rsidRPr="00474B05">
        <w:rPr>
          <w:rFonts w:cstheme="majorHAnsi"/>
          <w:szCs w:val="20"/>
          <w:lang w:val="en-AU"/>
        </w:rPr>
        <w:fldChar w:fldCharType="separate"/>
      </w:r>
      <w:r w:rsidR="00895089" w:rsidRPr="00E65C9D">
        <w:rPr>
          <w:rFonts w:cstheme="majorHAnsi"/>
          <w:szCs w:val="20"/>
          <w:lang w:val="en-AU"/>
        </w:rPr>
        <w:t>Table 3</w:t>
      </w:r>
      <w:r w:rsidRPr="00474B05">
        <w:rPr>
          <w:rFonts w:cstheme="majorHAnsi"/>
          <w:szCs w:val="20"/>
          <w:lang w:val="en-AU"/>
        </w:rPr>
        <w:fldChar w:fldCharType="end"/>
      </w:r>
      <w:r w:rsidRPr="00D14CE9">
        <w:rPr>
          <w:rFonts w:cstheme="majorHAnsi"/>
          <w:szCs w:val="20"/>
          <w:lang w:val="en-AU"/>
        </w:rPr>
        <w:t xml:space="preserve"> were actually used by those key construction activities, listed as follows:</w:t>
      </w:r>
    </w:p>
    <w:p w:rsidR="00F66089" w:rsidRPr="00D14CE9" w:rsidRDefault="00DB07FC" w:rsidP="00C200D0">
      <w:pPr>
        <w:pStyle w:val="EYBulletedList1"/>
        <w:rPr>
          <w:rFonts w:cstheme="majorHAnsi"/>
          <w:szCs w:val="20"/>
          <w:lang w:val="en-AU"/>
        </w:rPr>
      </w:pPr>
      <w:r w:rsidRPr="00D14CE9">
        <w:rPr>
          <w:rFonts w:cstheme="majorHAnsi"/>
          <w:szCs w:val="20"/>
          <w:lang w:val="en-AU"/>
        </w:rPr>
        <w:t>Single size aggregate</w:t>
      </w:r>
    </w:p>
    <w:p w:rsidR="00F66089" w:rsidRPr="00D14CE9" w:rsidRDefault="00DB07FC" w:rsidP="00C200D0">
      <w:pPr>
        <w:pStyle w:val="EYBulletedList1"/>
        <w:rPr>
          <w:rFonts w:cstheme="majorHAnsi"/>
          <w:szCs w:val="20"/>
          <w:lang w:val="en-AU"/>
        </w:rPr>
      </w:pPr>
      <w:r w:rsidRPr="00D14CE9">
        <w:rPr>
          <w:rFonts w:cstheme="majorHAnsi"/>
          <w:szCs w:val="20"/>
          <w:lang w:val="en-AU"/>
        </w:rPr>
        <w:t>Road Base Class 1 and 2</w:t>
      </w:r>
    </w:p>
    <w:p w:rsidR="00F66089" w:rsidRPr="00D14CE9" w:rsidRDefault="00F66089" w:rsidP="00C200D0">
      <w:pPr>
        <w:pStyle w:val="EYBulletedList1"/>
        <w:rPr>
          <w:rFonts w:cstheme="majorHAnsi"/>
          <w:szCs w:val="20"/>
          <w:lang w:val="en-AU"/>
        </w:rPr>
      </w:pPr>
      <w:r w:rsidRPr="00D14CE9">
        <w:rPr>
          <w:rFonts w:cstheme="majorHAnsi"/>
          <w:szCs w:val="20"/>
          <w:lang w:val="en-AU"/>
        </w:rPr>
        <w:t>Road Sub-Base inc</w:t>
      </w:r>
      <w:r w:rsidR="00DB07FC" w:rsidRPr="00D14CE9">
        <w:rPr>
          <w:rFonts w:cstheme="majorHAnsi"/>
          <w:szCs w:val="20"/>
          <w:lang w:val="en-AU"/>
        </w:rPr>
        <w:t>luding Class 3 and 4</w:t>
      </w:r>
    </w:p>
    <w:p w:rsidR="00F66089" w:rsidRPr="00D14CE9" w:rsidRDefault="00DB07FC" w:rsidP="00C200D0">
      <w:pPr>
        <w:pStyle w:val="EYBulletedList1"/>
        <w:rPr>
          <w:rFonts w:cstheme="majorHAnsi"/>
          <w:szCs w:val="20"/>
          <w:lang w:val="en-AU"/>
        </w:rPr>
      </w:pPr>
      <w:r w:rsidRPr="00D14CE9">
        <w:rPr>
          <w:rFonts w:cstheme="majorHAnsi"/>
          <w:szCs w:val="20"/>
          <w:lang w:val="en-AU"/>
        </w:rPr>
        <w:t>Fill</w:t>
      </w:r>
    </w:p>
    <w:p w:rsidR="00F66089" w:rsidRPr="00D14CE9" w:rsidRDefault="00DB07FC" w:rsidP="00C200D0">
      <w:pPr>
        <w:pStyle w:val="EYBulletedList1"/>
        <w:rPr>
          <w:rFonts w:cstheme="majorHAnsi"/>
          <w:szCs w:val="20"/>
          <w:lang w:val="en-AU"/>
        </w:rPr>
      </w:pPr>
      <w:r w:rsidRPr="00D14CE9">
        <w:rPr>
          <w:rFonts w:cstheme="majorHAnsi"/>
          <w:szCs w:val="20"/>
          <w:lang w:val="en-AU"/>
        </w:rPr>
        <w:t>Armour</w:t>
      </w:r>
    </w:p>
    <w:p w:rsidR="00F66089" w:rsidRPr="00D14CE9" w:rsidRDefault="00DB07FC" w:rsidP="00C200D0">
      <w:pPr>
        <w:pStyle w:val="EYBulletedList1"/>
        <w:rPr>
          <w:rFonts w:cstheme="majorHAnsi"/>
          <w:szCs w:val="20"/>
          <w:lang w:val="en-AU"/>
        </w:rPr>
      </w:pPr>
      <w:r w:rsidRPr="00D14CE9">
        <w:rPr>
          <w:rFonts w:cstheme="majorHAnsi"/>
          <w:szCs w:val="20"/>
          <w:lang w:val="en-AU"/>
        </w:rPr>
        <w:t>Dimension stone</w:t>
      </w:r>
    </w:p>
    <w:p w:rsidR="00F66089" w:rsidRPr="00D14CE9" w:rsidRDefault="00DB07FC" w:rsidP="00C200D0">
      <w:pPr>
        <w:pStyle w:val="EYBulletedList1"/>
        <w:rPr>
          <w:rFonts w:cstheme="majorHAnsi"/>
          <w:szCs w:val="20"/>
          <w:lang w:val="en-AU"/>
        </w:rPr>
      </w:pPr>
      <w:r w:rsidRPr="00D14CE9">
        <w:rPr>
          <w:rFonts w:cstheme="majorHAnsi"/>
          <w:szCs w:val="20"/>
          <w:lang w:val="en-AU"/>
        </w:rPr>
        <w:t>Cement</w:t>
      </w:r>
    </w:p>
    <w:p w:rsidR="00F66089" w:rsidRPr="00D14CE9" w:rsidRDefault="00DB07FC" w:rsidP="00C200D0">
      <w:pPr>
        <w:pStyle w:val="EYBulletedList1"/>
        <w:rPr>
          <w:rFonts w:cstheme="majorHAnsi"/>
          <w:szCs w:val="20"/>
          <w:lang w:val="en-AU"/>
        </w:rPr>
      </w:pPr>
      <w:r w:rsidRPr="00D14CE9">
        <w:rPr>
          <w:rFonts w:cstheme="majorHAnsi"/>
          <w:szCs w:val="20"/>
          <w:lang w:val="en-AU"/>
        </w:rPr>
        <w:t>Lime</w:t>
      </w:r>
    </w:p>
    <w:p w:rsidR="00F66089" w:rsidRPr="00D14CE9" w:rsidRDefault="00DB07FC" w:rsidP="00C200D0">
      <w:pPr>
        <w:pStyle w:val="EYBulletedList1"/>
        <w:rPr>
          <w:rFonts w:cstheme="majorHAnsi"/>
          <w:szCs w:val="20"/>
          <w:lang w:val="en-AU"/>
        </w:rPr>
      </w:pPr>
      <w:r w:rsidRPr="00D14CE9">
        <w:rPr>
          <w:rFonts w:cstheme="majorHAnsi"/>
          <w:szCs w:val="20"/>
          <w:lang w:val="en-AU"/>
        </w:rPr>
        <w:t>Concrete Sand</w:t>
      </w:r>
    </w:p>
    <w:p w:rsidR="00F66089" w:rsidRPr="00D14CE9" w:rsidRDefault="00DB07FC" w:rsidP="00C200D0">
      <w:pPr>
        <w:pStyle w:val="EYBulletedList1"/>
        <w:spacing w:after="120"/>
        <w:rPr>
          <w:rFonts w:cstheme="majorHAnsi"/>
          <w:szCs w:val="20"/>
          <w:lang w:val="en-AU"/>
        </w:rPr>
      </w:pPr>
      <w:r w:rsidRPr="00D14CE9">
        <w:rPr>
          <w:rFonts w:cstheme="majorHAnsi"/>
          <w:szCs w:val="20"/>
          <w:lang w:val="en-AU"/>
        </w:rPr>
        <w:t>Fine Sand</w:t>
      </w:r>
    </w:p>
    <w:p w:rsidR="00F66089" w:rsidRDefault="00F66089" w:rsidP="00C200D0">
      <w:pPr>
        <w:pStyle w:val="EYBodytextwithparaspace"/>
        <w:rPr>
          <w:rFonts w:cstheme="majorHAnsi"/>
          <w:szCs w:val="20"/>
          <w:lang w:val="en-AU"/>
        </w:rPr>
      </w:pPr>
      <w:r w:rsidRPr="00D14CE9">
        <w:rPr>
          <w:rFonts w:cstheme="majorHAnsi"/>
          <w:szCs w:val="20"/>
          <w:lang w:val="en-AU"/>
        </w:rPr>
        <w:t xml:space="preserve">The uses of commodity products per type of analysed construction activities are presented in below </w:t>
      </w:r>
      <w:r w:rsidRPr="00474B05">
        <w:rPr>
          <w:rFonts w:cstheme="majorHAnsi"/>
          <w:szCs w:val="20"/>
          <w:lang w:val="en-AU"/>
        </w:rPr>
        <w:fldChar w:fldCharType="begin" w:fldLock="1"/>
      </w:r>
      <w:r w:rsidRPr="00D14CE9">
        <w:rPr>
          <w:rFonts w:cstheme="majorHAnsi"/>
          <w:szCs w:val="20"/>
          <w:lang w:val="en-AU"/>
        </w:rPr>
        <w:instrText xml:space="preserve"> REF _Ref441399961 \h  \* MERGEFORMAT </w:instrText>
      </w:r>
      <w:r w:rsidRPr="00474B05">
        <w:rPr>
          <w:rFonts w:cstheme="majorHAnsi"/>
          <w:szCs w:val="20"/>
          <w:lang w:val="en-AU"/>
        </w:rPr>
      </w:r>
      <w:r w:rsidRPr="00474B05">
        <w:rPr>
          <w:rFonts w:cstheme="majorHAnsi"/>
          <w:szCs w:val="20"/>
          <w:lang w:val="en-AU"/>
        </w:rPr>
        <w:fldChar w:fldCharType="separate"/>
      </w:r>
      <w:r w:rsidR="00895089" w:rsidRPr="00E65C9D">
        <w:rPr>
          <w:rFonts w:cstheme="majorHAnsi"/>
          <w:szCs w:val="20"/>
          <w:lang w:val="en-AU"/>
        </w:rPr>
        <w:t>Table 4</w:t>
      </w:r>
      <w:r w:rsidRPr="00474B05">
        <w:rPr>
          <w:rFonts w:cstheme="majorHAnsi"/>
          <w:szCs w:val="20"/>
          <w:lang w:val="en-AU"/>
        </w:rPr>
        <w:fldChar w:fldCharType="end"/>
      </w:r>
      <w:r w:rsidRPr="00D14CE9">
        <w:rPr>
          <w:rFonts w:cstheme="majorHAnsi"/>
          <w:szCs w:val="20"/>
          <w:lang w:val="en-AU"/>
        </w:rPr>
        <w:t xml:space="preserve">. </w:t>
      </w:r>
      <w:r w:rsidR="00545C8C" w:rsidRPr="00D14CE9">
        <w:rPr>
          <w:rFonts w:cstheme="majorHAnsi"/>
          <w:szCs w:val="20"/>
          <w:lang w:val="en-AU"/>
        </w:rPr>
        <w:t xml:space="preserve">The commodity products highlighted in orange are </w:t>
      </w:r>
      <w:r w:rsidRPr="00D14CE9">
        <w:rPr>
          <w:rFonts w:cstheme="majorHAnsi"/>
          <w:szCs w:val="20"/>
          <w:lang w:val="en-AU"/>
        </w:rPr>
        <w:t>the most intensively used in each of those construction activities and should therefore be considered as critical and focused on in terms of extractive resources consumption, as they are expected to significantly drive the latter.</w:t>
      </w:r>
    </w:p>
    <w:p w:rsidR="004F7E64" w:rsidRDefault="004F7E64">
      <w:bookmarkStart w:id="391" w:name="_Ref441399961"/>
      <w:bookmarkStart w:id="392" w:name="_Toc445240940"/>
      <w:r>
        <w:rPr>
          <w:b/>
          <w:bC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4"/>
        <w:tblDescription w:val="Table 4 shows uses of commodity products in Victoria per type of construction activities. The most intensively used commodities residential activity are: aggregate single size screenings, road base class 1 and 2, cement and concrete sand. The most intensively used commodities non-residential activity are: aggregate single size screenings, road base class 1 and 2, cement and concrete sand. The most intensively used commodities transport activity are: road base class 1 and 2, road sub-base (incl. class 3 and 4 crushed rock and track materials), and fill. The most intensively used commodities major transport projects are: aggregate single size screenings (in relation to rail tunnels), road base class 1 and 2, road sub-base (including class 3 and 4 crushed rock and track materials), fill (in relation to rail tracks) and armour (also in relation to rail tracks). &#10;&#10;"/>
      </w:tblPr>
      <w:tblGrid>
        <w:gridCol w:w="4991"/>
        <w:gridCol w:w="938"/>
        <w:gridCol w:w="890"/>
        <w:gridCol w:w="896"/>
        <w:gridCol w:w="909"/>
        <w:gridCol w:w="907"/>
      </w:tblGrid>
      <w:tr w:rsidR="008E2554" w:rsidRPr="00703092" w:rsidTr="003637FD">
        <w:trPr>
          <w:tblHeader/>
        </w:trPr>
        <w:tc>
          <w:tcPr>
            <w:tcW w:w="5000" w:type="pct"/>
            <w:gridSpan w:val="6"/>
            <w:shd w:val="clear" w:color="auto" w:fill="808080"/>
            <w:noWrap/>
            <w:tcMar>
              <w:top w:w="28" w:type="dxa"/>
              <w:left w:w="28" w:type="dxa"/>
              <w:bottom w:w="28" w:type="dxa"/>
              <w:right w:w="28" w:type="dxa"/>
            </w:tcMar>
            <w:vAlign w:val="center"/>
          </w:tcPr>
          <w:p w:rsidR="008E2554" w:rsidRPr="00703092" w:rsidRDefault="00640F33" w:rsidP="00AB2F47">
            <w:pPr>
              <w:pStyle w:val="EYTableHeadingWhite"/>
              <w:spacing w:after="0"/>
              <w:rPr>
                <w:rFonts w:eastAsia="Arial Unicode MS"/>
              </w:rPr>
            </w:pPr>
            <w:bookmarkStart w:id="393" w:name="_Toc448914631"/>
            <w:bookmarkStart w:id="394" w:name="_Toc448920448"/>
            <w:r w:rsidRPr="00703092">
              <w:lastRenderedPageBreak/>
              <w:t xml:space="preserve">Table </w:t>
            </w:r>
            <w:r w:rsidR="000701D2">
              <w:fldChar w:fldCharType="begin"/>
            </w:r>
            <w:r w:rsidR="000701D2">
              <w:instrText xml:space="preserve"> SEQ Table \* ARABIC </w:instrText>
            </w:r>
            <w:r w:rsidR="000701D2">
              <w:fldChar w:fldCharType="separate"/>
            </w:r>
            <w:r w:rsidR="00525C82">
              <w:rPr>
                <w:noProof/>
              </w:rPr>
              <w:t>4</w:t>
            </w:r>
            <w:r w:rsidR="000701D2">
              <w:rPr>
                <w:noProof/>
              </w:rPr>
              <w:fldChar w:fldCharType="end"/>
            </w:r>
            <w:bookmarkEnd w:id="391"/>
            <w:r w:rsidRPr="00703092">
              <w:t xml:space="preserve"> – Uses of commodity products in Victoria per type of construction activities</w:t>
            </w:r>
            <w:bookmarkEnd w:id="392"/>
            <w:bookmarkEnd w:id="393"/>
            <w:bookmarkEnd w:id="394"/>
          </w:p>
        </w:tc>
      </w:tr>
      <w:tr w:rsidR="00F87A9A" w:rsidRPr="00D14CE9" w:rsidTr="003637FD">
        <w:trPr>
          <w:trHeight w:val="20"/>
          <w:tblHeader/>
        </w:trPr>
        <w:tc>
          <w:tcPr>
            <w:tcW w:w="2618" w:type="pct"/>
            <w:shd w:val="clear" w:color="auto" w:fill="F0F0F0"/>
            <w:tcMar>
              <w:top w:w="28" w:type="dxa"/>
              <w:left w:w="28" w:type="dxa"/>
              <w:bottom w:w="28" w:type="dxa"/>
              <w:right w:w="28" w:type="dxa"/>
            </w:tcMar>
            <w:vAlign w:val="bottom"/>
          </w:tcPr>
          <w:p w:rsidR="00F87A9A" w:rsidRPr="00D14CE9" w:rsidRDefault="00F87A9A" w:rsidP="006C5CD3">
            <w:pPr>
              <w:pStyle w:val="EYTableHeading"/>
              <w:spacing w:before="0" w:after="0"/>
              <w:rPr>
                <w:rFonts w:eastAsia="Arial Unicode MS"/>
              </w:rPr>
            </w:pPr>
          </w:p>
        </w:tc>
        <w:tc>
          <w:tcPr>
            <w:tcW w:w="492" w:type="pct"/>
            <w:shd w:val="clear" w:color="auto" w:fill="F0F0F0"/>
            <w:tcMar>
              <w:top w:w="28" w:type="dxa"/>
              <w:left w:w="28" w:type="dxa"/>
              <w:bottom w:w="28" w:type="dxa"/>
              <w:right w:w="28" w:type="dxa"/>
            </w:tcMar>
            <w:vAlign w:val="bottom"/>
          </w:tcPr>
          <w:p w:rsidR="00F87A9A" w:rsidRPr="00D14CE9" w:rsidRDefault="00F87A9A" w:rsidP="006C5CD3">
            <w:pPr>
              <w:pStyle w:val="EYTableHeading"/>
              <w:spacing w:before="0" w:after="0"/>
              <w:rPr>
                <w:rFonts w:eastAsia="Arial Unicode MS"/>
              </w:rPr>
            </w:pPr>
            <w:r w:rsidRPr="00D14CE9">
              <w:t>Residential activity</w:t>
            </w:r>
          </w:p>
        </w:tc>
        <w:tc>
          <w:tcPr>
            <w:tcW w:w="467" w:type="pct"/>
            <w:shd w:val="clear" w:color="auto" w:fill="F0F0F0"/>
            <w:tcMar>
              <w:top w:w="28" w:type="dxa"/>
              <w:left w:w="28" w:type="dxa"/>
              <w:bottom w:w="28" w:type="dxa"/>
              <w:right w:w="28" w:type="dxa"/>
            </w:tcMar>
            <w:vAlign w:val="bottom"/>
          </w:tcPr>
          <w:p w:rsidR="00F87A9A" w:rsidRPr="00D14CE9" w:rsidRDefault="00F87A9A" w:rsidP="006C5CD3">
            <w:pPr>
              <w:pStyle w:val="EYTableHeading"/>
              <w:spacing w:before="0" w:after="0"/>
              <w:rPr>
                <w:rFonts w:eastAsia="Arial Unicode MS"/>
              </w:rPr>
            </w:pPr>
            <w:r w:rsidRPr="00D14CE9">
              <w:t>Non-residential activity</w:t>
            </w:r>
          </w:p>
        </w:tc>
        <w:tc>
          <w:tcPr>
            <w:tcW w:w="470" w:type="pct"/>
            <w:shd w:val="clear" w:color="auto" w:fill="F0F0F0"/>
            <w:tcMar>
              <w:top w:w="28" w:type="dxa"/>
              <w:left w:w="28" w:type="dxa"/>
              <w:bottom w:w="28" w:type="dxa"/>
              <w:right w:w="28" w:type="dxa"/>
            </w:tcMar>
            <w:vAlign w:val="bottom"/>
          </w:tcPr>
          <w:p w:rsidR="00F87A9A" w:rsidRPr="00D14CE9" w:rsidRDefault="00F87A9A" w:rsidP="006C5CD3">
            <w:pPr>
              <w:pStyle w:val="EYTableHeading"/>
              <w:spacing w:before="0" w:after="0"/>
              <w:rPr>
                <w:rFonts w:eastAsia="Arial Unicode MS"/>
              </w:rPr>
            </w:pPr>
            <w:r w:rsidRPr="00D14CE9">
              <w:t>Transport activity</w:t>
            </w:r>
          </w:p>
        </w:tc>
        <w:tc>
          <w:tcPr>
            <w:tcW w:w="477" w:type="pct"/>
            <w:shd w:val="clear" w:color="auto" w:fill="F0F0F0"/>
            <w:tcMar>
              <w:top w:w="28" w:type="dxa"/>
              <w:left w:w="28" w:type="dxa"/>
              <w:bottom w:w="28" w:type="dxa"/>
              <w:right w:w="28" w:type="dxa"/>
            </w:tcMar>
          </w:tcPr>
          <w:p w:rsidR="00F87A9A" w:rsidRPr="00D14CE9" w:rsidRDefault="00F87A9A" w:rsidP="006C5CD3">
            <w:pPr>
              <w:pStyle w:val="EYTableHeading"/>
              <w:spacing w:before="0" w:after="0"/>
            </w:pPr>
            <w:r w:rsidRPr="00D14CE9">
              <w:t>Major transport projects</w:t>
            </w:r>
          </w:p>
        </w:tc>
        <w:tc>
          <w:tcPr>
            <w:tcW w:w="476" w:type="pct"/>
            <w:shd w:val="clear" w:color="auto" w:fill="F0F0F0"/>
            <w:tcMar>
              <w:top w:w="28" w:type="dxa"/>
              <w:left w:w="28" w:type="dxa"/>
              <w:bottom w:w="28" w:type="dxa"/>
              <w:right w:w="28" w:type="dxa"/>
            </w:tcMar>
          </w:tcPr>
          <w:p w:rsidR="00F87A9A" w:rsidRPr="00D14CE9" w:rsidRDefault="00F87A9A" w:rsidP="006C5CD3">
            <w:pPr>
              <w:pStyle w:val="EYTableHeading"/>
              <w:spacing w:before="0" w:after="0"/>
            </w:pPr>
            <w:r w:rsidRPr="00D14CE9">
              <w:t>Wind farm projects</w:t>
            </w:r>
          </w:p>
        </w:tc>
      </w:tr>
      <w:tr w:rsidR="008D5558" w:rsidRPr="00D14CE9" w:rsidTr="003637FD">
        <w:trPr>
          <w:trHeight w:val="20"/>
        </w:trPr>
        <w:tc>
          <w:tcPr>
            <w:tcW w:w="2618" w:type="pct"/>
            <w:noWrap/>
            <w:tcMar>
              <w:top w:w="28" w:type="dxa"/>
              <w:left w:w="28" w:type="dxa"/>
              <w:bottom w:w="28" w:type="dxa"/>
              <w:right w:w="28" w:type="dxa"/>
            </w:tcMar>
            <w:vAlign w:val="center"/>
          </w:tcPr>
          <w:p w:rsidR="008D5558" w:rsidRPr="00D14CE9" w:rsidRDefault="008D5558" w:rsidP="006C5CD3">
            <w:pPr>
              <w:pStyle w:val="EYTableNormal"/>
              <w:spacing w:after="0"/>
            </w:pPr>
            <w:r w:rsidRPr="00D14CE9">
              <w:t xml:space="preserve">Aggregate single size screenings </w:t>
            </w:r>
          </w:p>
        </w:tc>
        <w:tc>
          <w:tcPr>
            <w:tcW w:w="492" w:type="pct"/>
            <w:shd w:val="clear" w:color="auto" w:fill="FFE600"/>
            <w:noWrap/>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c>
          <w:tcPr>
            <w:tcW w:w="467" w:type="pct"/>
            <w:shd w:val="clear" w:color="auto" w:fill="FFE600"/>
            <w:noWrap/>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c>
          <w:tcPr>
            <w:tcW w:w="470" w:type="pct"/>
            <w:noWrap/>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c>
          <w:tcPr>
            <w:tcW w:w="477" w:type="pct"/>
            <w:shd w:val="clear" w:color="auto" w:fill="FFE600"/>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r w:rsidRPr="00D14CE9">
              <w:t xml:space="preserve"> *</w:t>
            </w:r>
          </w:p>
        </w:tc>
        <w:tc>
          <w:tcPr>
            <w:tcW w:w="476" w:type="pct"/>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r>
      <w:tr w:rsidR="008D5558" w:rsidRPr="00D14CE9" w:rsidTr="003637FD">
        <w:trPr>
          <w:trHeight w:val="20"/>
        </w:trPr>
        <w:tc>
          <w:tcPr>
            <w:tcW w:w="2618" w:type="pct"/>
            <w:noWrap/>
            <w:tcMar>
              <w:top w:w="28" w:type="dxa"/>
              <w:left w:w="28" w:type="dxa"/>
              <w:bottom w:w="28" w:type="dxa"/>
              <w:right w:w="28" w:type="dxa"/>
            </w:tcMar>
            <w:vAlign w:val="center"/>
          </w:tcPr>
          <w:p w:rsidR="008D5558" w:rsidRPr="00D14CE9" w:rsidRDefault="008D5558" w:rsidP="006C5CD3">
            <w:pPr>
              <w:pStyle w:val="EYTableNormal"/>
              <w:spacing w:after="0"/>
            </w:pPr>
            <w:r w:rsidRPr="00D14CE9">
              <w:t xml:space="preserve">Road Base Class 1 and 2 </w:t>
            </w:r>
          </w:p>
        </w:tc>
        <w:tc>
          <w:tcPr>
            <w:tcW w:w="492" w:type="pct"/>
            <w:shd w:val="clear" w:color="auto" w:fill="FFE600"/>
            <w:noWrap/>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c>
          <w:tcPr>
            <w:tcW w:w="467" w:type="pct"/>
            <w:shd w:val="clear" w:color="auto" w:fill="FFE600"/>
            <w:noWrap/>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c>
          <w:tcPr>
            <w:tcW w:w="470" w:type="pct"/>
            <w:shd w:val="clear" w:color="auto" w:fill="FFE600"/>
            <w:noWrap/>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c>
          <w:tcPr>
            <w:tcW w:w="477" w:type="pct"/>
            <w:shd w:val="clear" w:color="auto" w:fill="FFE600"/>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c>
          <w:tcPr>
            <w:tcW w:w="476" w:type="pct"/>
            <w:tcMar>
              <w:top w:w="28" w:type="dxa"/>
              <w:left w:w="28" w:type="dxa"/>
              <w:bottom w:w="28" w:type="dxa"/>
              <w:right w:w="28" w:type="dxa"/>
            </w:tcMar>
            <w:vAlign w:val="center"/>
          </w:tcPr>
          <w:p w:rsidR="008D5558" w:rsidRPr="00D14CE9" w:rsidRDefault="008D5558" w:rsidP="006C5CD3">
            <w:pPr>
              <w:pStyle w:val="EYTableNormal"/>
              <w:spacing w:after="0"/>
              <w:jc w:val="center"/>
            </w:pPr>
          </w:p>
        </w:tc>
      </w:tr>
      <w:tr w:rsidR="008D5558" w:rsidRPr="00D14CE9" w:rsidTr="003637FD">
        <w:trPr>
          <w:trHeight w:val="20"/>
        </w:trPr>
        <w:tc>
          <w:tcPr>
            <w:tcW w:w="2618" w:type="pct"/>
            <w:noWrap/>
            <w:tcMar>
              <w:top w:w="28" w:type="dxa"/>
              <w:left w:w="28" w:type="dxa"/>
              <w:bottom w:w="28" w:type="dxa"/>
              <w:right w:w="28" w:type="dxa"/>
            </w:tcMar>
            <w:vAlign w:val="center"/>
          </w:tcPr>
          <w:p w:rsidR="008D5558" w:rsidRPr="00D14CE9" w:rsidRDefault="008D5558" w:rsidP="006C5CD3">
            <w:pPr>
              <w:pStyle w:val="EYTableNormal"/>
              <w:spacing w:after="0"/>
            </w:pPr>
            <w:r w:rsidRPr="00D14CE9">
              <w:t>Road Sub-Base (incl. Class 3 and 4 CR, NDCR and track material)</w:t>
            </w:r>
          </w:p>
        </w:tc>
        <w:tc>
          <w:tcPr>
            <w:tcW w:w="492" w:type="pct"/>
            <w:noWrap/>
            <w:tcMar>
              <w:top w:w="28" w:type="dxa"/>
              <w:left w:w="28" w:type="dxa"/>
              <w:bottom w:w="28" w:type="dxa"/>
              <w:right w:w="28" w:type="dxa"/>
            </w:tcMar>
            <w:vAlign w:val="center"/>
          </w:tcPr>
          <w:p w:rsidR="008D5558" w:rsidRPr="00D14CE9" w:rsidRDefault="008D5558" w:rsidP="006C5CD3">
            <w:pPr>
              <w:pStyle w:val="EYTableNormal"/>
              <w:spacing w:after="0"/>
              <w:jc w:val="center"/>
            </w:pPr>
          </w:p>
        </w:tc>
        <w:tc>
          <w:tcPr>
            <w:tcW w:w="467" w:type="pct"/>
            <w:noWrap/>
            <w:tcMar>
              <w:top w:w="28" w:type="dxa"/>
              <w:left w:w="28" w:type="dxa"/>
              <w:bottom w:w="28" w:type="dxa"/>
              <w:right w:w="28" w:type="dxa"/>
            </w:tcMar>
            <w:vAlign w:val="center"/>
          </w:tcPr>
          <w:p w:rsidR="008D5558" w:rsidRPr="00D14CE9" w:rsidRDefault="008D5558" w:rsidP="006C5CD3">
            <w:pPr>
              <w:pStyle w:val="EYTableNormal"/>
              <w:spacing w:after="0"/>
              <w:jc w:val="center"/>
            </w:pPr>
          </w:p>
        </w:tc>
        <w:tc>
          <w:tcPr>
            <w:tcW w:w="470" w:type="pct"/>
            <w:shd w:val="clear" w:color="auto" w:fill="FFE600"/>
            <w:noWrap/>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c>
          <w:tcPr>
            <w:tcW w:w="477" w:type="pct"/>
            <w:shd w:val="clear" w:color="auto" w:fill="FFE600"/>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c>
          <w:tcPr>
            <w:tcW w:w="476" w:type="pct"/>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r>
      <w:tr w:rsidR="008D5558" w:rsidRPr="00D14CE9" w:rsidTr="003637FD">
        <w:trPr>
          <w:trHeight w:val="20"/>
        </w:trPr>
        <w:tc>
          <w:tcPr>
            <w:tcW w:w="2618" w:type="pct"/>
            <w:noWrap/>
            <w:tcMar>
              <w:top w:w="28" w:type="dxa"/>
              <w:left w:w="28" w:type="dxa"/>
              <w:bottom w:w="28" w:type="dxa"/>
              <w:right w:w="28" w:type="dxa"/>
            </w:tcMar>
            <w:vAlign w:val="center"/>
          </w:tcPr>
          <w:p w:rsidR="008D5558" w:rsidRPr="00D14CE9" w:rsidRDefault="008D5558" w:rsidP="006C5CD3">
            <w:pPr>
              <w:pStyle w:val="EYTableNormal"/>
              <w:spacing w:after="0"/>
            </w:pPr>
            <w:r w:rsidRPr="00D14CE9">
              <w:t xml:space="preserve">Fill </w:t>
            </w:r>
          </w:p>
        </w:tc>
        <w:tc>
          <w:tcPr>
            <w:tcW w:w="492" w:type="pct"/>
            <w:noWrap/>
            <w:tcMar>
              <w:top w:w="28" w:type="dxa"/>
              <w:left w:w="28" w:type="dxa"/>
              <w:bottom w:w="28" w:type="dxa"/>
              <w:right w:w="28" w:type="dxa"/>
            </w:tcMar>
            <w:vAlign w:val="center"/>
          </w:tcPr>
          <w:p w:rsidR="008D5558" w:rsidRPr="00D14CE9" w:rsidRDefault="008D5558" w:rsidP="006C5CD3">
            <w:pPr>
              <w:pStyle w:val="EYTableNormal"/>
              <w:spacing w:after="0"/>
              <w:jc w:val="center"/>
            </w:pPr>
          </w:p>
        </w:tc>
        <w:tc>
          <w:tcPr>
            <w:tcW w:w="467" w:type="pct"/>
            <w:noWrap/>
            <w:tcMar>
              <w:top w:w="28" w:type="dxa"/>
              <w:left w:w="28" w:type="dxa"/>
              <w:bottom w:w="28" w:type="dxa"/>
              <w:right w:w="28" w:type="dxa"/>
            </w:tcMar>
            <w:vAlign w:val="center"/>
          </w:tcPr>
          <w:p w:rsidR="008D5558" w:rsidRPr="00D14CE9" w:rsidRDefault="008D5558" w:rsidP="006C5CD3">
            <w:pPr>
              <w:pStyle w:val="EYTableNormal"/>
              <w:spacing w:after="0"/>
              <w:jc w:val="center"/>
            </w:pPr>
          </w:p>
        </w:tc>
        <w:tc>
          <w:tcPr>
            <w:tcW w:w="470" w:type="pct"/>
            <w:shd w:val="clear" w:color="auto" w:fill="FFE600"/>
            <w:noWrap/>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p>
        </w:tc>
        <w:tc>
          <w:tcPr>
            <w:tcW w:w="477" w:type="pct"/>
            <w:shd w:val="clear" w:color="auto" w:fill="FFE600"/>
            <w:tcMar>
              <w:top w:w="28" w:type="dxa"/>
              <w:left w:w="28" w:type="dxa"/>
              <w:bottom w:w="28" w:type="dxa"/>
              <w:right w:w="28" w:type="dxa"/>
            </w:tcMar>
            <w:vAlign w:val="center"/>
          </w:tcPr>
          <w:p w:rsidR="008D5558" w:rsidRPr="00D14CE9" w:rsidRDefault="008D5558" w:rsidP="006C5CD3">
            <w:pPr>
              <w:pStyle w:val="EYTableNormal"/>
              <w:spacing w:after="0"/>
              <w:jc w:val="center"/>
            </w:pPr>
            <w:r w:rsidRPr="00D14CE9">
              <w:sym w:font="Wingdings" w:char="F0FC"/>
            </w:r>
            <w:r w:rsidRPr="00D14CE9">
              <w:t xml:space="preserve"> **</w:t>
            </w:r>
          </w:p>
        </w:tc>
        <w:tc>
          <w:tcPr>
            <w:tcW w:w="476" w:type="pct"/>
            <w:tcMar>
              <w:top w:w="28" w:type="dxa"/>
              <w:left w:w="28" w:type="dxa"/>
              <w:bottom w:w="28" w:type="dxa"/>
              <w:right w:w="28" w:type="dxa"/>
            </w:tcMar>
            <w:vAlign w:val="center"/>
          </w:tcPr>
          <w:p w:rsidR="008D5558" w:rsidRPr="00D14CE9" w:rsidRDefault="008D5558" w:rsidP="006C5CD3">
            <w:pPr>
              <w:pStyle w:val="EYTableNormal"/>
              <w:spacing w:after="0"/>
              <w:jc w:val="center"/>
            </w:pPr>
          </w:p>
        </w:tc>
      </w:tr>
      <w:tr w:rsidR="00354998" w:rsidRPr="00D14CE9" w:rsidTr="003637FD">
        <w:trPr>
          <w:trHeight w:val="20"/>
        </w:trPr>
        <w:tc>
          <w:tcPr>
            <w:tcW w:w="2618" w:type="pct"/>
            <w:noWrap/>
            <w:tcMar>
              <w:top w:w="28" w:type="dxa"/>
              <w:left w:w="28" w:type="dxa"/>
              <w:bottom w:w="28" w:type="dxa"/>
              <w:right w:w="28" w:type="dxa"/>
            </w:tcMar>
            <w:vAlign w:val="center"/>
          </w:tcPr>
          <w:p w:rsidR="00354998" w:rsidRPr="00D14CE9" w:rsidRDefault="00354998" w:rsidP="006C5CD3">
            <w:pPr>
              <w:pStyle w:val="EYTableNormal"/>
              <w:spacing w:after="0"/>
            </w:pPr>
            <w:r w:rsidRPr="00D14CE9">
              <w:t xml:space="preserve">Armour </w:t>
            </w:r>
          </w:p>
        </w:tc>
        <w:tc>
          <w:tcPr>
            <w:tcW w:w="492"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p>
        </w:tc>
        <w:tc>
          <w:tcPr>
            <w:tcW w:w="467"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p>
        </w:tc>
        <w:tc>
          <w:tcPr>
            <w:tcW w:w="470"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p>
        </w:tc>
        <w:tc>
          <w:tcPr>
            <w:tcW w:w="477" w:type="pct"/>
            <w:shd w:val="clear" w:color="auto" w:fill="FFE600"/>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r w:rsidRPr="00D14CE9">
              <w:t xml:space="preserve"> **</w:t>
            </w:r>
          </w:p>
        </w:tc>
        <w:tc>
          <w:tcPr>
            <w:tcW w:w="476" w:type="pct"/>
            <w:tcMar>
              <w:top w:w="28" w:type="dxa"/>
              <w:left w:w="28" w:type="dxa"/>
              <w:bottom w:w="28" w:type="dxa"/>
              <w:right w:w="28" w:type="dxa"/>
            </w:tcMar>
            <w:vAlign w:val="center"/>
          </w:tcPr>
          <w:p w:rsidR="00354998" w:rsidRPr="00D14CE9" w:rsidRDefault="00354998" w:rsidP="006C5CD3">
            <w:pPr>
              <w:pStyle w:val="EYTableNormal"/>
              <w:spacing w:after="0"/>
              <w:jc w:val="center"/>
            </w:pPr>
          </w:p>
        </w:tc>
      </w:tr>
      <w:tr w:rsidR="00354998" w:rsidRPr="00D14CE9" w:rsidTr="003637FD">
        <w:trPr>
          <w:trHeight w:val="20"/>
        </w:trPr>
        <w:tc>
          <w:tcPr>
            <w:tcW w:w="2618" w:type="pct"/>
            <w:noWrap/>
            <w:tcMar>
              <w:top w:w="28" w:type="dxa"/>
              <w:left w:w="28" w:type="dxa"/>
              <w:bottom w:w="28" w:type="dxa"/>
              <w:right w:w="28" w:type="dxa"/>
            </w:tcMar>
            <w:vAlign w:val="center"/>
          </w:tcPr>
          <w:p w:rsidR="00354998" w:rsidRPr="00D14CE9" w:rsidRDefault="00354998" w:rsidP="006C5CD3">
            <w:pPr>
              <w:pStyle w:val="EYTableNormal"/>
              <w:spacing w:after="0"/>
            </w:pPr>
            <w:r w:rsidRPr="00D14CE9">
              <w:t>Dimension stone</w:t>
            </w:r>
          </w:p>
        </w:tc>
        <w:tc>
          <w:tcPr>
            <w:tcW w:w="492"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p>
        </w:tc>
        <w:tc>
          <w:tcPr>
            <w:tcW w:w="467"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p>
        </w:tc>
        <w:tc>
          <w:tcPr>
            <w:tcW w:w="470"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p>
        </w:tc>
        <w:tc>
          <w:tcPr>
            <w:tcW w:w="477" w:type="pct"/>
            <w:tcMar>
              <w:top w:w="28" w:type="dxa"/>
              <w:left w:w="28" w:type="dxa"/>
              <w:bottom w:w="28" w:type="dxa"/>
              <w:right w:w="28" w:type="dxa"/>
            </w:tcMar>
            <w:vAlign w:val="center"/>
          </w:tcPr>
          <w:p w:rsidR="00354998" w:rsidRPr="00D14CE9" w:rsidRDefault="00354998" w:rsidP="006C5CD3">
            <w:pPr>
              <w:pStyle w:val="EYTableNormal"/>
              <w:spacing w:after="0"/>
              <w:jc w:val="center"/>
            </w:pPr>
          </w:p>
        </w:tc>
        <w:tc>
          <w:tcPr>
            <w:tcW w:w="476" w:type="pct"/>
            <w:tcMar>
              <w:top w:w="28" w:type="dxa"/>
              <w:left w:w="28" w:type="dxa"/>
              <w:bottom w:w="28" w:type="dxa"/>
              <w:right w:w="28" w:type="dxa"/>
            </w:tcMar>
            <w:vAlign w:val="center"/>
          </w:tcPr>
          <w:p w:rsidR="00354998" w:rsidRPr="00D14CE9" w:rsidRDefault="00354998" w:rsidP="006C5CD3">
            <w:pPr>
              <w:pStyle w:val="EYTableNormal"/>
              <w:spacing w:after="0"/>
              <w:jc w:val="center"/>
            </w:pPr>
          </w:p>
        </w:tc>
      </w:tr>
      <w:tr w:rsidR="00354998" w:rsidRPr="00D14CE9" w:rsidTr="003637FD">
        <w:trPr>
          <w:trHeight w:val="20"/>
        </w:trPr>
        <w:tc>
          <w:tcPr>
            <w:tcW w:w="2618" w:type="pct"/>
            <w:noWrap/>
            <w:tcMar>
              <w:top w:w="28" w:type="dxa"/>
              <w:left w:w="28" w:type="dxa"/>
              <w:bottom w:w="28" w:type="dxa"/>
              <w:right w:w="28" w:type="dxa"/>
            </w:tcMar>
            <w:vAlign w:val="center"/>
          </w:tcPr>
          <w:p w:rsidR="00354998" w:rsidRPr="00D14CE9" w:rsidRDefault="00354998" w:rsidP="006C5CD3">
            <w:pPr>
              <w:pStyle w:val="EYTableNormal"/>
              <w:spacing w:after="0"/>
            </w:pPr>
            <w:r w:rsidRPr="00D14CE9">
              <w:t>Cement</w:t>
            </w:r>
          </w:p>
        </w:tc>
        <w:tc>
          <w:tcPr>
            <w:tcW w:w="492" w:type="pct"/>
            <w:shd w:val="clear" w:color="auto" w:fill="FFE600"/>
            <w:noWrap/>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p>
        </w:tc>
        <w:tc>
          <w:tcPr>
            <w:tcW w:w="467" w:type="pct"/>
            <w:shd w:val="clear" w:color="auto" w:fill="FFE600"/>
            <w:noWrap/>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p>
        </w:tc>
        <w:tc>
          <w:tcPr>
            <w:tcW w:w="470"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p>
        </w:tc>
        <w:tc>
          <w:tcPr>
            <w:tcW w:w="477" w:type="pct"/>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p>
        </w:tc>
        <w:tc>
          <w:tcPr>
            <w:tcW w:w="476" w:type="pct"/>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p>
        </w:tc>
      </w:tr>
      <w:tr w:rsidR="00354998" w:rsidRPr="00D14CE9" w:rsidTr="003637FD">
        <w:trPr>
          <w:trHeight w:val="20"/>
        </w:trPr>
        <w:tc>
          <w:tcPr>
            <w:tcW w:w="2618" w:type="pct"/>
            <w:noWrap/>
            <w:tcMar>
              <w:top w:w="28" w:type="dxa"/>
              <w:left w:w="28" w:type="dxa"/>
              <w:bottom w:w="28" w:type="dxa"/>
              <w:right w:w="28" w:type="dxa"/>
            </w:tcMar>
            <w:vAlign w:val="center"/>
          </w:tcPr>
          <w:p w:rsidR="00354998" w:rsidRPr="00D14CE9" w:rsidRDefault="00354998" w:rsidP="006C5CD3">
            <w:pPr>
              <w:pStyle w:val="EYTableNormal"/>
              <w:spacing w:after="0"/>
            </w:pPr>
            <w:r w:rsidRPr="00D14CE9">
              <w:t>Agriculture</w:t>
            </w:r>
          </w:p>
        </w:tc>
        <w:tc>
          <w:tcPr>
            <w:tcW w:w="492"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p>
        </w:tc>
        <w:tc>
          <w:tcPr>
            <w:tcW w:w="467"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p>
        </w:tc>
        <w:tc>
          <w:tcPr>
            <w:tcW w:w="470"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p>
        </w:tc>
        <w:tc>
          <w:tcPr>
            <w:tcW w:w="477" w:type="pct"/>
            <w:tcMar>
              <w:top w:w="28" w:type="dxa"/>
              <w:left w:w="28" w:type="dxa"/>
              <w:bottom w:w="28" w:type="dxa"/>
              <w:right w:w="28" w:type="dxa"/>
            </w:tcMar>
            <w:vAlign w:val="center"/>
          </w:tcPr>
          <w:p w:rsidR="00354998" w:rsidRPr="00D14CE9" w:rsidRDefault="00354998" w:rsidP="006C5CD3">
            <w:pPr>
              <w:pStyle w:val="EYTableNormal"/>
              <w:spacing w:after="0"/>
              <w:jc w:val="center"/>
            </w:pPr>
          </w:p>
        </w:tc>
        <w:tc>
          <w:tcPr>
            <w:tcW w:w="476" w:type="pct"/>
            <w:tcMar>
              <w:top w:w="28" w:type="dxa"/>
              <w:left w:w="28" w:type="dxa"/>
              <w:bottom w:w="28" w:type="dxa"/>
              <w:right w:w="28" w:type="dxa"/>
            </w:tcMar>
            <w:vAlign w:val="center"/>
          </w:tcPr>
          <w:p w:rsidR="00354998" w:rsidRPr="00D14CE9" w:rsidRDefault="00354998" w:rsidP="006C5CD3">
            <w:pPr>
              <w:pStyle w:val="EYTableNormal"/>
              <w:spacing w:after="0"/>
              <w:jc w:val="center"/>
            </w:pPr>
          </w:p>
        </w:tc>
      </w:tr>
      <w:tr w:rsidR="00354998" w:rsidRPr="00D14CE9" w:rsidTr="003637FD">
        <w:trPr>
          <w:trHeight w:val="20"/>
        </w:trPr>
        <w:tc>
          <w:tcPr>
            <w:tcW w:w="2618" w:type="pct"/>
            <w:noWrap/>
            <w:tcMar>
              <w:top w:w="28" w:type="dxa"/>
              <w:left w:w="28" w:type="dxa"/>
              <w:bottom w:w="28" w:type="dxa"/>
              <w:right w:w="28" w:type="dxa"/>
            </w:tcMar>
            <w:vAlign w:val="center"/>
          </w:tcPr>
          <w:p w:rsidR="00354998" w:rsidRPr="00D14CE9" w:rsidRDefault="00354998" w:rsidP="006C5CD3">
            <w:pPr>
              <w:pStyle w:val="EYTableNormal"/>
              <w:spacing w:after="0"/>
            </w:pPr>
            <w:r w:rsidRPr="00D14CE9">
              <w:t>Lime</w:t>
            </w:r>
          </w:p>
        </w:tc>
        <w:tc>
          <w:tcPr>
            <w:tcW w:w="492"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p>
        </w:tc>
        <w:tc>
          <w:tcPr>
            <w:tcW w:w="467"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p>
        </w:tc>
        <w:tc>
          <w:tcPr>
            <w:tcW w:w="470" w:type="pct"/>
            <w:noWrap/>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p>
        </w:tc>
        <w:tc>
          <w:tcPr>
            <w:tcW w:w="477" w:type="pct"/>
            <w:tcMar>
              <w:top w:w="28" w:type="dxa"/>
              <w:left w:w="28" w:type="dxa"/>
              <w:bottom w:w="28" w:type="dxa"/>
              <w:right w:w="28" w:type="dxa"/>
            </w:tcMar>
            <w:vAlign w:val="center"/>
          </w:tcPr>
          <w:p w:rsidR="00354998" w:rsidRPr="00D14CE9" w:rsidRDefault="00354998" w:rsidP="006C5CD3">
            <w:pPr>
              <w:pStyle w:val="EYTableNormal"/>
              <w:spacing w:after="0"/>
              <w:jc w:val="center"/>
            </w:pPr>
            <w:r w:rsidRPr="00D14CE9">
              <w:sym w:font="Wingdings" w:char="F0FC"/>
            </w:r>
          </w:p>
        </w:tc>
        <w:tc>
          <w:tcPr>
            <w:tcW w:w="476" w:type="pct"/>
            <w:tcMar>
              <w:top w:w="28" w:type="dxa"/>
              <w:left w:w="28" w:type="dxa"/>
              <w:bottom w:w="28" w:type="dxa"/>
              <w:right w:w="28" w:type="dxa"/>
            </w:tcMar>
            <w:vAlign w:val="center"/>
          </w:tcPr>
          <w:p w:rsidR="00354998" w:rsidRPr="00D14CE9" w:rsidRDefault="00354998" w:rsidP="006C5CD3">
            <w:pPr>
              <w:pStyle w:val="EYTableNormal"/>
              <w:spacing w:after="0"/>
              <w:jc w:val="center"/>
            </w:pPr>
          </w:p>
        </w:tc>
      </w:tr>
      <w:tr w:rsidR="008E3591" w:rsidRPr="00D14CE9" w:rsidTr="003637FD">
        <w:trPr>
          <w:trHeight w:val="20"/>
        </w:trPr>
        <w:tc>
          <w:tcPr>
            <w:tcW w:w="2618" w:type="pct"/>
            <w:noWrap/>
            <w:tcMar>
              <w:top w:w="28" w:type="dxa"/>
              <w:left w:w="28" w:type="dxa"/>
              <w:bottom w:w="28" w:type="dxa"/>
              <w:right w:w="28" w:type="dxa"/>
            </w:tcMar>
            <w:vAlign w:val="center"/>
          </w:tcPr>
          <w:p w:rsidR="008E3591" w:rsidRPr="00D14CE9" w:rsidRDefault="008E3591" w:rsidP="006C5CD3">
            <w:pPr>
              <w:pStyle w:val="EYTableNormal"/>
              <w:spacing w:after="0"/>
            </w:pPr>
            <w:r w:rsidRPr="00D14CE9">
              <w:t>Flux</w:t>
            </w:r>
          </w:p>
        </w:tc>
        <w:tc>
          <w:tcPr>
            <w:tcW w:w="492"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67"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0"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7"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6"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r>
      <w:tr w:rsidR="008E3591" w:rsidRPr="00D14CE9" w:rsidTr="003637FD">
        <w:trPr>
          <w:trHeight w:val="20"/>
        </w:trPr>
        <w:tc>
          <w:tcPr>
            <w:tcW w:w="2618" w:type="pct"/>
            <w:noWrap/>
            <w:tcMar>
              <w:top w:w="28" w:type="dxa"/>
              <w:left w:w="28" w:type="dxa"/>
              <w:bottom w:w="28" w:type="dxa"/>
              <w:right w:w="28" w:type="dxa"/>
            </w:tcMar>
            <w:vAlign w:val="center"/>
          </w:tcPr>
          <w:p w:rsidR="008E3591" w:rsidRPr="00D14CE9" w:rsidRDefault="008E3591" w:rsidP="006C5CD3">
            <w:pPr>
              <w:pStyle w:val="EYTableNormal"/>
              <w:spacing w:after="0"/>
            </w:pPr>
            <w:r w:rsidRPr="00D14CE9">
              <w:t>Industrial Filters</w:t>
            </w:r>
          </w:p>
        </w:tc>
        <w:tc>
          <w:tcPr>
            <w:tcW w:w="492"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67"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0"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7"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6"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r>
      <w:tr w:rsidR="008E3591" w:rsidRPr="00D14CE9" w:rsidTr="003637FD">
        <w:trPr>
          <w:trHeight w:val="20"/>
        </w:trPr>
        <w:tc>
          <w:tcPr>
            <w:tcW w:w="2618" w:type="pct"/>
            <w:noWrap/>
            <w:tcMar>
              <w:top w:w="28" w:type="dxa"/>
              <w:left w:w="28" w:type="dxa"/>
              <w:bottom w:w="28" w:type="dxa"/>
              <w:right w:w="28" w:type="dxa"/>
            </w:tcMar>
            <w:vAlign w:val="center"/>
          </w:tcPr>
          <w:p w:rsidR="008E3591" w:rsidRPr="00D14CE9" w:rsidRDefault="008E3591" w:rsidP="006C5CD3">
            <w:pPr>
              <w:pStyle w:val="EYTableNormal"/>
              <w:spacing w:after="0"/>
            </w:pPr>
            <w:r w:rsidRPr="00D14CE9">
              <w:t>Concrete sand</w:t>
            </w:r>
          </w:p>
        </w:tc>
        <w:tc>
          <w:tcPr>
            <w:tcW w:w="492" w:type="pct"/>
            <w:shd w:val="clear" w:color="auto" w:fill="FFE600"/>
            <w:noWrap/>
            <w:tcMar>
              <w:top w:w="28" w:type="dxa"/>
              <w:left w:w="28" w:type="dxa"/>
              <w:bottom w:w="28" w:type="dxa"/>
              <w:right w:w="28" w:type="dxa"/>
            </w:tcMar>
            <w:vAlign w:val="center"/>
          </w:tcPr>
          <w:p w:rsidR="008E3591" w:rsidRPr="00D14CE9" w:rsidRDefault="008E3591" w:rsidP="006C5CD3">
            <w:pPr>
              <w:pStyle w:val="EYTableNormal"/>
              <w:spacing w:after="0"/>
              <w:jc w:val="center"/>
            </w:pPr>
            <w:r w:rsidRPr="00D14CE9">
              <w:sym w:font="Wingdings" w:char="F0FC"/>
            </w:r>
          </w:p>
        </w:tc>
        <w:tc>
          <w:tcPr>
            <w:tcW w:w="467" w:type="pct"/>
            <w:shd w:val="clear" w:color="auto" w:fill="FFE600"/>
            <w:noWrap/>
            <w:tcMar>
              <w:top w:w="28" w:type="dxa"/>
              <w:left w:w="28" w:type="dxa"/>
              <w:bottom w:w="28" w:type="dxa"/>
              <w:right w:w="28" w:type="dxa"/>
            </w:tcMar>
            <w:vAlign w:val="center"/>
          </w:tcPr>
          <w:p w:rsidR="008E3591" w:rsidRPr="00D14CE9" w:rsidRDefault="008E3591" w:rsidP="006C5CD3">
            <w:pPr>
              <w:pStyle w:val="EYTableNormal"/>
              <w:spacing w:after="0"/>
              <w:jc w:val="center"/>
            </w:pPr>
            <w:r w:rsidRPr="00D14CE9">
              <w:sym w:font="Wingdings" w:char="F0FC"/>
            </w:r>
          </w:p>
        </w:tc>
        <w:tc>
          <w:tcPr>
            <w:tcW w:w="470"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r w:rsidRPr="00D14CE9">
              <w:sym w:font="Wingdings" w:char="F0FC"/>
            </w:r>
          </w:p>
        </w:tc>
        <w:tc>
          <w:tcPr>
            <w:tcW w:w="477" w:type="pct"/>
            <w:tcMar>
              <w:top w:w="28" w:type="dxa"/>
              <w:left w:w="28" w:type="dxa"/>
              <w:bottom w:w="28" w:type="dxa"/>
              <w:right w:w="28" w:type="dxa"/>
            </w:tcMar>
            <w:vAlign w:val="center"/>
          </w:tcPr>
          <w:p w:rsidR="008E3591" w:rsidRPr="00D14CE9" w:rsidRDefault="008E3591" w:rsidP="006C5CD3">
            <w:pPr>
              <w:pStyle w:val="EYTableNormal"/>
              <w:spacing w:after="0"/>
              <w:jc w:val="center"/>
            </w:pPr>
            <w:r w:rsidRPr="00D14CE9">
              <w:sym w:font="Wingdings" w:char="F0FC"/>
            </w:r>
          </w:p>
        </w:tc>
        <w:tc>
          <w:tcPr>
            <w:tcW w:w="476" w:type="pct"/>
            <w:tcMar>
              <w:top w:w="28" w:type="dxa"/>
              <w:left w:w="28" w:type="dxa"/>
              <w:bottom w:w="28" w:type="dxa"/>
              <w:right w:w="28" w:type="dxa"/>
            </w:tcMar>
            <w:vAlign w:val="center"/>
          </w:tcPr>
          <w:p w:rsidR="008E3591" w:rsidRPr="00D14CE9" w:rsidRDefault="008E3591" w:rsidP="006C5CD3">
            <w:pPr>
              <w:pStyle w:val="EYTableNormal"/>
              <w:spacing w:after="0"/>
              <w:jc w:val="center"/>
            </w:pPr>
            <w:r w:rsidRPr="00D14CE9">
              <w:sym w:font="Wingdings" w:char="F0FC"/>
            </w:r>
          </w:p>
        </w:tc>
      </w:tr>
      <w:tr w:rsidR="008E3591" w:rsidRPr="00D14CE9" w:rsidTr="003637FD">
        <w:trPr>
          <w:trHeight w:val="20"/>
        </w:trPr>
        <w:tc>
          <w:tcPr>
            <w:tcW w:w="2618" w:type="pct"/>
            <w:noWrap/>
            <w:tcMar>
              <w:top w:w="28" w:type="dxa"/>
              <w:left w:w="28" w:type="dxa"/>
              <w:bottom w:w="28" w:type="dxa"/>
              <w:right w:w="28" w:type="dxa"/>
            </w:tcMar>
            <w:vAlign w:val="center"/>
          </w:tcPr>
          <w:p w:rsidR="008E3591" w:rsidRPr="00D14CE9" w:rsidRDefault="008E3591" w:rsidP="006C5CD3">
            <w:pPr>
              <w:pStyle w:val="EYTableNormal"/>
              <w:spacing w:after="0"/>
            </w:pPr>
            <w:r w:rsidRPr="00D14CE9">
              <w:t xml:space="preserve">Fine sand </w:t>
            </w:r>
          </w:p>
        </w:tc>
        <w:tc>
          <w:tcPr>
            <w:tcW w:w="492"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r w:rsidRPr="00D14CE9">
              <w:sym w:font="Wingdings" w:char="F0FC"/>
            </w:r>
          </w:p>
        </w:tc>
        <w:tc>
          <w:tcPr>
            <w:tcW w:w="467"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r w:rsidRPr="00D14CE9">
              <w:sym w:font="Wingdings" w:char="F0FC"/>
            </w:r>
          </w:p>
        </w:tc>
        <w:tc>
          <w:tcPr>
            <w:tcW w:w="470"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r w:rsidRPr="00D14CE9">
              <w:sym w:font="Wingdings" w:char="F0FC"/>
            </w:r>
          </w:p>
        </w:tc>
        <w:tc>
          <w:tcPr>
            <w:tcW w:w="477" w:type="pct"/>
            <w:tcMar>
              <w:top w:w="28" w:type="dxa"/>
              <w:left w:w="28" w:type="dxa"/>
              <w:bottom w:w="28" w:type="dxa"/>
              <w:right w:w="28" w:type="dxa"/>
            </w:tcMar>
            <w:vAlign w:val="center"/>
          </w:tcPr>
          <w:p w:rsidR="008E3591" w:rsidRPr="00D14CE9" w:rsidRDefault="008E3591" w:rsidP="006C5CD3">
            <w:pPr>
              <w:pStyle w:val="EYTableNormal"/>
              <w:spacing w:after="0"/>
              <w:jc w:val="center"/>
            </w:pPr>
            <w:r w:rsidRPr="00D14CE9">
              <w:sym w:font="Wingdings" w:char="F0FC"/>
            </w:r>
          </w:p>
        </w:tc>
        <w:tc>
          <w:tcPr>
            <w:tcW w:w="476"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r>
      <w:tr w:rsidR="008E3591" w:rsidRPr="00D14CE9" w:rsidTr="003637FD">
        <w:trPr>
          <w:trHeight w:val="20"/>
        </w:trPr>
        <w:tc>
          <w:tcPr>
            <w:tcW w:w="2618" w:type="pct"/>
            <w:noWrap/>
            <w:tcMar>
              <w:top w:w="28" w:type="dxa"/>
              <w:left w:w="28" w:type="dxa"/>
              <w:bottom w:w="28" w:type="dxa"/>
              <w:right w:w="28" w:type="dxa"/>
            </w:tcMar>
            <w:vAlign w:val="center"/>
          </w:tcPr>
          <w:p w:rsidR="008E3591" w:rsidRPr="00D14CE9" w:rsidRDefault="008E3591" w:rsidP="006C5CD3">
            <w:pPr>
              <w:pStyle w:val="EYTableNormal"/>
              <w:spacing w:after="0"/>
            </w:pPr>
            <w:r w:rsidRPr="00D14CE9">
              <w:t>Foundry sand</w:t>
            </w:r>
          </w:p>
        </w:tc>
        <w:tc>
          <w:tcPr>
            <w:tcW w:w="492"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67"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0"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7"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6"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r>
      <w:tr w:rsidR="008E3591" w:rsidRPr="00D14CE9" w:rsidTr="003637FD">
        <w:trPr>
          <w:trHeight w:val="20"/>
        </w:trPr>
        <w:tc>
          <w:tcPr>
            <w:tcW w:w="2618" w:type="pct"/>
            <w:noWrap/>
            <w:tcMar>
              <w:top w:w="28" w:type="dxa"/>
              <w:left w:w="28" w:type="dxa"/>
              <w:bottom w:w="28" w:type="dxa"/>
              <w:right w:w="28" w:type="dxa"/>
            </w:tcMar>
            <w:vAlign w:val="center"/>
          </w:tcPr>
          <w:p w:rsidR="008E3591" w:rsidRPr="00D14CE9" w:rsidRDefault="008E3591" w:rsidP="006C5CD3">
            <w:pPr>
              <w:pStyle w:val="EYTableNormal"/>
              <w:spacing w:after="0"/>
            </w:pPr>
            <w:r w:rsidRPr="00D14CE9">
              <w:t>Glass sand</w:t>
            </w:r>
          </w:p>
        </w:tc>
        <w:tc>
          <w:tcPr>
            <w:tcW w:w="492"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67"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0"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7"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6"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r>
      <w:tr w:rsidR="008E3591" w:rsidRPr="00D14CE9" w:rsidTr="003637FD">
        <w:trPr>
          <w:trHeight w:val="20"/>
        </w:trPr>
        <w:tc>
          <w:tcPr>
            <w:tcW w:w="2618" w:type="pct"/>
            <w:noWrap/>
            <w:tcMar>
              <w:top w:w="28" w:type="dxa"/>
              <w:left w:w="28" w:type="dxa"/>
              <w:bottom w:w="28" w:type="dxa"/>
              <w:right w:w="28" w:type="dxa"/>
            </w:tcMar>
            <w:vAlign w:val="center"/>
          </w:tcPr>
          <w:p w:rsidR="008E3591" w:rsidRPr="00D14CE9" w:rsidRDefault="008E3591" w:rsidP="006C5CD3">
            <w:pPr>
              <w:pStyle w:val="EYTableNormal"/>
              <w:spacing w:after="0"/>
            </w:pPr>
            <w:r w:rsidRPr="00D14CE9">
              <w:t xml:space="preserve">Industrial </w:t>
            </w:r>
          </w:p>
        </w:tc>
        <w:tc>
          <w:tcPr>
            <w:tcW w:w="492"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67"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0"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7"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6"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r>
      <w:tr w:rsidR="008E3591" w:rsidRPr="00D14CE9" w:rsidTr="003637FD">
        <w:trPr>
          <w:trHeight w:val="20"/>
        </w:trPr>
        <w:tc>
          <w:tcPr>
            <w:tcW w:w="2618" w:type="pct"/>
            <w:noWrap/>
            <w:tcMar>
              <w:top w:w="28" w:type="dxa"/>
              <w:left w:w="28" w:type="dxa"/>
              <w:bottom w:w="28" w:type="dxa"/>
              <w:right w:w="28" w:type="dxa"/>
            </w:tcMar>
            <w:vAlign w:val="center"/>
          </w:tcPr>
          <w:p w:rsidR="008E3591" w:rsidRPr="00D14CE9" w:rsidRDefault="008E3591" w:rsidP="006C5CD3">
            <w:pPr>
              <w:pStyle w:val="EYTableNormal"/>
              <w:spacing w:after="0"/>
            </w:pPr>
            <w:r w:rsidRPr="00D14CE9">
              <w:t xml:space="preserve">Brick </w:t>
            </w:r>
          </w:p>
        </w:tc>
        <w:tc>
          <w:tcPr>
            <w:tcW w:w="492"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67"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0"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7"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6"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r>
      <w:tr w:rsidR="008E3591" w:rsidRPr="00D14CE9" w:rsidTr="003637FD">
        <w:trPr>
          <w:trHeight w:val="20"/>
        </w:trPr>
        <w:tc>
          <w:tcPr>
            <w:tcW w:w="2618" w:type="pct"/>
            <w:noWrap/>
            <w:tcMar>
              <w:top w:w="28" w:type="dxa"/>
              <w:left w:w="28" w:type="dxa"/>
              <w:bottom w:w="28" w:type="dxa"/>
              <w:right w:w="28" w:type="dxa"/>
            </w:tcMar>
            <w:vAlign w:val="center"/>
          </w:tcPr>
          <w:p w:rsidR="008E3591" w:rsidRPr="00D14CE9" w:rsidRDefault="008E3591" w:rsidP="006C5CD3">
            <w:pPr>
              <w:pStyle w:val="EYTableNormal"/>
              <w:spacing w:after="0"/>
            </w:pPr>
            <w:r w:rsidRPr="00D14CE9">
              <w:t xml:space="preserve">Tile/Pipe </w:t>
            </w:r>
          </w:p>
        </w:tc>
        <w:tc>
          <w:tcPr>
            <w:tcW w:w="492"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67"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0"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7"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6"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r>
      <w:tr w:rsidR="008E3591" w:rsidRPr="00D14CE9" w:rsidTr="003637FD">
        <w:trPr>
          <w:trHeight w:val="20"/>
        </w:trPr>
        <w:tc>
          <w:tcPr>
            <w:tcW w:w="2618" w:type="pct"/>
            <w:noWrap/>
            <w:tcMar>
              <w:top w:w="28" w:type="dxa"/>
              <w:left w:w="28" w:type="dxa"/>
              <w:bottom w:w="28" w:type="dxa"/>
              <w:right w:w="28" w:type="dxa"/>
            </w:tcMar>
            <w:vAlign w:val="center"/>
          </w:tcPr>
          <w:p w:rsidR="008E3591" w:rsidRPr="00D14CE9" w:rsidRDefault="008E3591" w:rsidP="006C5CD3">
            <w:pPr>
              <w:pStyle w:val="EYTableNormal"/>
              <w:spacing w:after="0"/>
            </w:pPr>
            <w:r w:rsidRPr="00D14CE9">
              <w:t>Firebricks</w:t>
            </w:r>
          </w:p>
        </w:tc>
        <w:tc>
          <w:tcPr>
            <w:tcW w:w="492"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67"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0"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7"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6"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r>
      <w:tr w:rsidR="008E3591" w:rsidRPr="00D14CE9" w:rsidTr="003637FD">
        <w:trPr>
          <w:trHeight w:val="20"/>
        </w:trPr>
        <w:tc>
          <w:tcPr>
            <w:tcW w:w="2618" w:type="pct"/>
            <w:noWrap/>
            <w:tcMar>
              <w:top w:w="28" w:type="dxa"/>
              <w:left w:w="28" w:type="dxa"/>
              <w:bottom w:w="28" w:type="dxa"/>
              <w:right w:w="28" w:type="dxa"/>
            </w:tcMar>
            <w:vAlign w:val="center"/>
          </w:tcPr>
          <w:p w:rsidR="008E3591" w:rsidRPr="00D14CE9" w:rsidRDefault="008E3591" w:rsidP="006C5CD3">
            <w:pPr>
              <w:pStyle w:val="EYTableNormal"/>
              <w:spacing w:after="0"/>
            </w:pPr>
            <w:r w:rsidRPr="00D14CE9">
              <w:t xml:space="preserve">Stoneware </w:t>
            </w:r>
          </w:p>
        </w:tc>
        <w:tc>
          <w:tcPr>
            <w:tcW w:w="492"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67" w:type="pct"/>
            <w:shd w:val="clear" w:color="auto" w:fill="FFFFFF" w:themeFill="background1"/>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0" w:type="pct"/>
            <w:noWrap/>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7"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c>
          <w:tcPr>
            <w:tcW w:w="476" w:type="pct"/>
            <w:tcMar>
              <w:top w:w="28" w:type="dxa"/>
              <w:left w:w="28" w:type="dxa"/>
              <w:bottom w:w="28" w:type="dxa"/>
              <w:right w:w="28" w:type="dxa"/>
            </w:tcMar>
            <w:vAlign w:val="center"/>
          </w:tcPr>
          <w:p w:rsidR="008E3591" w:rsidRPr="00D14CE9" w:rsidRDefault="008E3591" w:rsidP="006C5CD3">
            <w:pPr>
              <w:pStyle w:val="EYTableNormal"/>
              <w:spacing w:after="0"/>
              <w:jc w:val="center"/>
            </w:pPr>
          </w:p>
        </w:tc>
      </w:tr>
    </w:tbl>
    <w:p w:rsidR="00640F33" w:rsidRPr="00D14CE9" w:rsidRDefault="00640F33" w:rsidP="006C5CD3">
      <w:pPr>
        <w:pStyle w:val="EYSource"/>
        <w:spacing w:before="0" w:after="0"/>
        <w:rPr>
          <w:lang w:val="en-AU"/>
        </w:rPr>
      </w:pPr>
      <w:r w:rsidRPr="00D14CE9">
        <w:rPr>
          <w:lang w:val="en-AU"/>
        </w:rPr>
        <w:t>Source: EY analysis relying up stakeholders consultation and AECOM works</w:t>
      </w:r>
    </w:p>
    <w:p w:rsidR="00640F33" w:rsidRPr="00D14CE9" w:rsidRDefault="00640F33" w:rsidP="006C5CD3">
      <w:pPr>
        <w:pStyle w:val="EYSource"/>
        <w:spacing w:before="0" w:after="0"/>
        <w:rPr>
          <w:lang w:val="en-AU"/>
        </w:rPr>
      </w:pPr>
      <w:r w:rsidRPr="00D14CE9">
        <w:rPr>
          <w:lang w:val="en-AU"/>
        </w:rPr>
        <w:t>* In relation to rail tunnels</w:t>
      </w:r>
    </w:p>
    <w:p w:rsidR="00640F33" w:rsidRPr="00D14CE9" w:rsidRDefault="00640F33" w:rsidP="006C5CD3">
      <w:pPr>
        <w:pStyle w:val="EYSource"/>
        <w:spacing w:before="0" w:after="0"/>
        <w:rPr>
          <w:lang w:val="en-AU"/>
        </w:rPr>
      </w:pPr>
      <w:r w:rsidRPr="00D14CE9">
        <w:rPr>
          <w:lang w:val="en-AU"/>
        </w:rPr>
        <w:t>** In relation to rail tracks</w:t>
      </w:r>
    </w:p>
    <w:p w:rsidR="006C5CD3" w:rsidRPr="004220F1" w:rsidRDefault="006C5CD3" w:rsidP="004220F1"/>
    <w:p w:rsidR="00A273F3" w:rsidRPr="00D14CE9" w:rsidRDefault="00A273F3" w:rsidP="00C200D0">
      <w:pPr>
        <w:pStyle w:val="EYBodytextwithparaspace"/>
        <w:rPr>
          <w:rFonts w:cstheme="majorHAnsi"/>
          <w:szCs w:val="20"/>
          <w:lang w:val="en-AU"/>
        </w:rPr>
      </w:pPr>
      <w:r w:rsidRPr="00D14CE9">
        <w:rPr>
          <w:rFonts w:cstheme="majorHAnsi"/>
          <w:szCs w:val="20"/>
          <w:lang w:val="en-AU"/>
        </w:rPr>
        <w:t>Glass sand, used for the manufacture of glass related products (such as facades), is not listed as a commonly used commodity product in the above table. This is related to a current trend in the construction market, most glass related products being procured outside of Australia and therefore not extracted in Victoria.</w:t>
      </w:r>
    </w:p>
    <w:p w:rsidR="00B278E8" w:rsidRPr="00D14CE9" w:rsidRDefault="00B278E8" w:rsidP="00B278E8">
      <w:pPr>
        <w:pStyle w:val="EYBodytextwithparaspace"/>
        <w:rPr>
          <w:b/>
          <w:lang w:val="en-AU"/>
        </w:rPr>
      </w:pPr>
      <w:r w:rsidRPr="00D14CE9">
        <w:rPr>
          <w:b/>
          <w:lang w:val="en-AU"/>
        </w:rPr>
        <w:t xml:space="preserve">Extractive Resources </w:t>
      </w:r>
    </w:p>
    <w:p w:rsidR="0096764E" w:rsidRPr="00D14CE9" w:rsidRDefault="00A273F3" w:rsidP="00C200D0">
      <w:pPr>
        <w:pStyle w:val="EYBodytextwithparaspace"/>
        <w:rPr>
          <w:rFonts w:cstheme="majorHAnsi"/>
          <w:szCs w:val="20"/>
          <w:lang w:val="en-AU"/>
        </w:rPr>
      </w:pPr>
      <w:r w:rsidRPr="00D14CE9">
        <w:rPr>
          <w:rFonts w:cstheme="majorHAnsi"/>
          <w:szCs w:val="20"/>
          <w:lang w:val="en-AU"/>
        </w:rPr>
        <w:t>For each of the most commonly used commodity products, the following main categories of extractive materials have been identified as playing a key role in their manufacturing process in Victoria:</w:t>
      </w:r>
    </w:p>
    <w:tbl>
      <w:tblPr>
        <w:tblW w:w="91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5"/>
        <w:tblDescription w:val="Table 5 shows the uses of extractive materials in the manufacture of commodity products.  Hard rock is used to make aggregate single size screenings, road base class 1 and 2, road sub-base (incl Class 3 and 4 crushed rock and track material), fill, armour and dimension stone. Sand and gravel (soft rock) is used to make fill, cement, concrete sand and fine sand. Limestone (soft rock) is used to make cement and lime. Clay and clay shale is used to make cement."/>
      </w:tblPr>
      <w:tblGrid>
        <w:gridCol w:w="4581"/>
        <w:gridCol w:w="4581"/>
      </w:tblGrid>
      <w:tr w:rsidR="00E804B6" w:rsidRPr="00D14CE9" w:rsidTr="006C5CD3">
        <w:trPr>
          <w:trHeight w:val="284"/>
        </w:trPr>
        <w:tc>
          <w:tcPr>
            <w:tcW w:w="9162" w:type="dxa"/>
            <w:gridSpan w:val="2"/>
            <w:shd w:val="clear" w:color="auto" w:fill="808080"/>
            <w:noWrap/>
            <w:vAlign w:val="bottom"/>
          </w:tcPr>
          <w:p w:rsidR="00E804B6" w:rsidRPr="00D14CE9" w:rsidRDefault="00E804B6" w:rsidP="003E25FF">
            <w:pPr>
              <w:pStyle w:val="EYTableHeadingWhite"/>
              <w:rPr>
                <w:rFonts w:eastAsia="Arial Unicode MS"/>
              </w:rPr>
            </w:pPr>
            <w:bookmarkStart w:id="395" w:name="_Ref448849707"/>
            <w:bookmarkStart w:id="396" w:name="_Toc445240941"/>
            <w:bookmarkStart w:id="397" w:name="_Toc448914632"/>
            <w:bookmarkStart w:id="398" w:name="_Toc448920449"/>
            <w:r w:rsidRPr="00D14CE9">
              <w:t xml:space="preserve">Table </w:t>
            </w:r>
            <w:r w:rsidR="000701D2">
              <w:fldChar w:fldCharType="begin"/>
            </w:r>
            <w:r w:rsidR="000701D2">
              <w:instrText xml:space="preserve"> SEQ Table \* ARABIC </w:instrText>
            </w:r>
            <w:r w:rsidR="000701D2">
              <w:fldChar w:fldCharType="separate"/>
            </w:r>
            <w:r w:rsidR="00525C82">
              <w:rPr>
                <w:noProof/>
              </w:rPr>
              <w:t>5</w:t>
            </w:r>
            <w:r w:rsidR="000701D2">
              <w:rPr>
                <w:noProof/>
              </w:rPr>
              <w:fldChar w:fldCharType="end"/>
            </w:r>
            <w:bookmarkEnd w:id="395"/>
            <w:r w:rsidRPr="00D14CE9">
              <w:t xml:space="preserve"> – Uses of extractive materials in the manufacture of commodity products</w:t>
            </w:r>
            <w:bookmarkEnd w:id="396"/>
            <w:bookmarkEnd w:id="397"/>
            <w:bookmarkEnd w:id="398"/>
          </w:p>
        </w:tc>
      </w:tr>
      <w:tr w:rsidR="00E804B6" w:rsidRPr="00D14CE9" w:rsidTr="004220F1">
        <w:trPr>
          <w:trHeight w:val="284"/>
        </w:trPr>
        <w:tc>
          <w:tcPr>
            <w:tcW w:w="4581" w:type="dxa"/>
            <w:shd w:val="clear" w:color="auto" w:fill="F0F0F0"/>
            <w:vAlign w:val="center"/>
          </w:tcPr>
          <w:p w:rsidR="00E804B6" w:rsidRPr="00D14CE9" w:rsidRDefault="00BA04F4" w:rsidP="004220F1">
            <w:pPr>
              <w:pStyle w:val="EYTableHeading"/>
              <w:spacing w:before="0" w:after="0"/>
              <w:rPr>
                <w:rFonts w:eastAsia="Arial Unicode MS"/>
              </w:rPr>
            </w:pPr>
            <w:r w:rsidRPr="00D14CE9">
              <w:t xml:space="preserve">Commodity products </w:t>
            </w:r>
          </w:p>
        </w:tc>
        <w:tc>
          <w:tcPr>
            <w:tcW w:w="4581" w:type="dxa"/>
            <w:shd w:val="clear" w:color="auto" w:fill="F0F0F0"/>
            <w:vAlign w:val="center"/>
          </w:tcPr>
          <w:p w:rsidR="00E804B6" w:rsidRPr="00D14CE9" w:rsidRDefault="00BA04F4" w:rsidP="004220F1">
            <w:pPr>
              <w:pStyle w:val="EYTableHeading"/>
              <w:spacing w:before="0" w:after="0"/>
              <w:rPr>
                <w:rFonts w:eastAsia="Arial Unicode MS"/>
              </w:rPr>
            </w:pPr>
            <w:r w:rsidRPr="00D14CE9">
              <w:t>Rock types</w:t>
            </w:r>
            <w:r w:rsidRPr="00D14CE9" w:rsidDel="00BA04F4">
              <w:t xml:space="preserve"> </w:t>
            </w:r>
          </w:p>
        </w:tc>
      </w:tr>
      <w:tr w:rsidR="00E804B6" w:rsidRPr="00D14CE9" w:rsidTr="006C5CD3">
        <w:trPr>
          <w:trHeight w:val="284"/>
        </w:trPr>
        <w:tc>
          <w:tcPr>
            <w:tcW w:w="4581" w:type="dxa"/>
            <w:noWrap/>
          </w:tcPr>
          <w:p w:rsidR="00E804B6" w:rsidRPr="00D14CE9" w:rsidRDefault="006C2586" w:rsidP="004220F1">
            <w:pPr>
              <w:pStyle w:val="Bullets1stindent"/>
              <w:numPr>
                <w:ilvl w:val="0"/>
                <w:numId w:val="11"/>
              </w:numPr>
              <w:spacing w:after="0"/>
            </w:pPr>
            <w:r w:rsidRPr="00D14CE9">
              <w:rPr>
                <w:rFonts w:ascii="EYInterstate Light" w:hAnsi="EYInterstate Light"/>
                <w:sz w:val="16"/>
              </w:rPr>
              <w:t xml:space="preserve">Aggregate single size screenings </w:t>
            </w:r>
          </w:p>
        </w:tc>
        <w:tc>
          <w:tcPr>
            <w:tcW w:w="4581" w:type="dxa"/>
            <w:noWrap/>
          </w:tcPr>
          <w:p w:rsidR="00E804B6" w:rsidRPr="00D14CE9" w:rsidRDefault="006C2586" w:rsidP="004220F1">
            <w:pPr>
              <w:pStyle w:val="ListParagraph"/>
              <w:numPr>
                <w:ilvl w:val="0"/>
                <w:numId w:val="11"/>
              </w:numPr>
              <w:spacing w:after="0"/>
            </w:pPr>
            <w:r w:rsidRPr="00D14CE9">
              <w:rPr>
                <w:rFonts w:ascii="EYInterstate Light" w:hAnsi="EYInterstate Light"/>
                <w:sz w:val="16"/>
                <w:szCs w:val="16"/>
              </w:rPr>
              <w:t>Hard Rock</w:t>
            </w:r>
          </w:p>
        </w:tc>
      </w:tr>
      <w:tr w:rsidR="000F4F3C" w:rsidRPr="00D14CE9" w:rsidTr="006C5CD3">
        <w:trPr>
          <w:trHeight w:val="284"/>
        </w:trPr>
        <w:tc>
          <w:tcPr>
            <w:tcW w:w="4581" w:type="dxa"/>
            <w:noWrap/>
          </w:tcPr>
          <w:p w:rsidR="000F4F3C" w:rsidRPr="00D14CE9" w:rsidRDefault="000F4F3C" w:rsidP="004220F1">
            <w:pPr>
              <w:pStyle w:val="Bullets1stindent"/>
              <w:numPr>
                <w:ilvl w:val="0"/>
                <w:numId w:val="11"/>
              </w:numPr>
              <w:spacing w:after="0"/>
              <w:rPr>
                <w:rFonts w:ascii="EYInterstate Light" w:hAnsi="EYInterstate Light"/>
                <w:sz w:val="16"/>
              </w:rPr>
            </w:pPr>
            <w:r w:rsidRPr="00D14CE9">
              <w:rPr>
                <w:rFonts w:ascii="EYInterstate Light" w:hAnsi="EYInterstate Light"/>
                <w:sz w:val="16"/>
              </w:rPr>
              <w:t xml:space="preserve">Road Base Class 1 and 2 </w:t>
            </w:r>
          </w:p>
        </w:tc>
        <w:tc>
          <w:tcPr>
            <w:tcW w:w="4581" w:type="dxa"/>
            <w:noWrap/>
          </w:tcPr>
          <w:p w:rsidR="000F4F3C" w:rsidRPr="00D14CE9" w:rsidRDefault="000F4F3C" w:rsidP="004220F1">
            <w:pPr>
              <w:pStyle w:val="ListParagraph"/>
              <w:numPr>
                <w:ilvl w:val="0"/>
                <w:numId w:val="11"/>
              </w:numPr>
              <w:spacing w:after="0"/>
              <w:rPr>
                <w:rFonts w:ascii="EYInterstate Light" w:hAnsi="EYInterstate Light"/>
                <w:sz w:val="16"/>
                <w:szCs w:val="16"/>
              </w:rPr>
            </w:pPr>
            <w:r w:rsidRPr="00D14CE9">
              <w:rPr>
                <w:rFonts w:ascii="EYInterstate Light" w:hAnsi="EYInterstate Light"/>
                <w:sz w:val="16"/>
                <w:szCs w:val="16"/>
              </w:rPr>
              <w:t>Hard Rock</w:t>
            </w:r>
          </w:p>
        </w:tc>
      </w:tr>
      <w:tr w:rsidR="000F4F3C" w:rsidRPr="00D14CE9" w:rsidTr="006C5CD3">
        <w:trPr>
          <w:trHeight w:val="284"/>
        </w:trPr>
        <w:tc>
          <w:tcPr>
            <w:tcW w:w="4581" w:type="dxa"/>
            <w:noWrap/>
          </w:tcPr>
          <w:p w:rsidR="000F4F3C" w:rsidRPr="00D14CE9" w:rsidRDefault="000F4F3C" w:rsidP="004220F1">
            <w:pPr>
              <w:pStyle w:val="Bullets1stindent"/>
              <w:numPr>
                <w:ilvl w:val="0"/>
                <w:numId w:val="11"/>
              </w:numPr>
              <w:spacing w:after="0"/>
              <w:rPr>
                <w:rFonts w:ascii="EYInterstate Light" w:hAnsi="EYInterstate Light"/>
                <w:sz w:val="16"/>
              </w:rPr>
            </w:pPr>
            <w:r w:rsidRPr="00D14CE9">
              <w:rPr>
                <w:rFonts w:ascii="EYInterstate Light" w:hAnsi="EYInterstate Light"/>
                <w:sz w:val="16"/>
              </w:rPr>
              <w:t>Road Sub-Base (incl. Class 3 and 4 CR, NDCR and track material)</w:t>
            </w:r>
          </w:p>
        </w:tc>
        <w:tc>
          <w:tcPr>
            <w:tcW w:w="4581" w:type="dxa"/>
            <w:noWrap/>
          </w:tcPr>
          <w:p w:rsidR="000F4F3C" w:rsidRPr="00D14CE9" w:rsidRDefault="000F4F3C" w:rsidP="004220F1">
            <w:pPr>
              <w:pStyle w:val="ListParagraph"/>
              <w:numPr>
                <w:ilvl w:val="0"/>
                <w:numId w:val="11"/>
              </w:numPr>
              <w:spacing w:after="0"/>
              <w:rPr>
                <w:rFonts w:ascii="EYInterstate Light" w:hAnsi="EYInterstate Light"/>
                <w:sz w:val="16"/>
                <w:szCs w:val="16"/>
              </w:rPr>
            </w:pPr>
            <w:r w:rsidRPr="00D14CE9">
              <w:rPr>
                <w:rFonts w:ascii="EYInterstate Light" w:hAnsi="EYInterstate Light"/>
                <w:sz w:val="16"/>
                <w:szCs w:val="16"/>
              </w:rPr>
              <w:t>Hard Rock</w:t>
            </w:r>
          </w:p>
        </w:tc>
      </w:tr>
      <w:tr w:rsidR="000F4F3C" w:rsidRPr="00D14CE9" w:rsidTr="006C5CD3">
        <w:trPr>
          <w:trHeight w:val="284"/>
        </w:trPr>
        <w:tc>
          <w:tcPr>
            <w:tcW w:w="4581" w:type="dxa"/>
            <w:noWrap/>
          </w:tcPr>
          <w:p w:rsidR="000F4F3C" w:rsidRPr="00D14CE9" w:rsidRDefault="000F4F3C" w:rsidP="004220F1">
            <w:pPr>
              <w:pStyle w:val="Bullets1stindent"/>
              <w:numPr>
                <w:ilvl w:val="0"/>
                <w:numId w:val="11"/>
              </w:numPr>
              <w:spacing w:after="0"/>
              <w:rPr>
                <w:rFonts w:ascii="EYInterstate Light" w:hAnsi="EYInterstate Light"/>
                <w:sz w:val="16"/>
              </w:rPr>
            </w:pPr>
            <w:r w:rsidRPr="00D14CE9">
              <w:rPr>
                <w:rFonts w:ascii="EYInterstate Light" w:hAnsi="EYInterstate Light"/>
                <w:sz w:val="16"/>
              </w:rPr>
              <w:t>Fill</w:t>
            </w:r>
          </w:p>
        </w:tc>
        <w:tc>
          <w:tcPr>
            <w:tcW w:w="4581" w:type="dxa"/>
            <w:noWrap/>
          </w:tcPr>
          <w:p w:rsidR="000F4F3C" w:rsidRDefault="000F4F3C" w:rsidP="004220F1">
            <w:pPr>
              <w:pStyle w:val="ListParagraph"/>
              <w:numPr>
                <w:ilvl w:val="0"/>
                <w:numId w:val="11"/>
              </w:numPr>
              <w:spacing w:after="0"/>
              <w:rPr>
                <w:rFonts w:ascii="EYInterstate Light" w:hAnsi="EYInterstate Light"/>
                <w:sz w:val="16"/>
                <w:szCs w:val="16"/>
              </w:rPr>
            </w:pPr>
            <w:r w:rsidRPr="00D14CE9">
              <w:rPr>
                <w:rFonts w:ascii="EYInterstate Light" w:hAnsi="EYInterstate Light"/>
                <w:sz w:val="16"/>
                <w:szCs w:val="16"/>
              </w:rPr>
              <w:t>Hard Rock</w:t>
            </w:r>
          </w:p>
          <w:p w:rsidR="00E55CEF" w:rsidRPr="00D14CE9" w:rsidRDefault="00E55CEF" w:rsidP="004220F1">
            <w:pPr>
              <w:pStyle w:val="ListParagraph"/>
              <w:numPr>
                <w:ilvl w:val="0"/>
                <w:numId w:val="11"/>
              </w:numPr>
              <w:spacing w:after="0"/>
              <w:rPr>
                <w:rFonts w:ascii="EYInterstate Light" w:hAnsi="EYInterstate Light"/>
                <w:sz w:val="16"/>
                <w:szCs w:val="16"/>
              </w:rPr>
            </w:pPr>
            <w:r>
              <w:rPr>
                <w:rFonts w:ascii="EYInterstate Light" w:hAnsi="EYInterstate Light"/>
                <w:sz w:val="16"/>
                <w:szCs w:val="16"/>
              </w:rPr>
              <w:t>Sand and Gravel (Soft Rock)</w:t>
            </w:r>
          </w:p>
        </w:tc>
      </w:tr>
      <w:tr w:rsidR="000F4F3C" w:rsidRPr="00D14CE9" w:rsidTr="006C5CD3">
        <w:trPr>
          <w:trHeight w:val="284"/>
        </w:trPr>
        <w:tc>
          <w:tcPr>
            <w:tcW w:w="4581" w:type="dxa"/>
            <w:noWrap/>
          </w:tcPr>
          <w:p w:rsidR="000F4F3C" w:rsidRPr="00D14CE9" w:rsidRDefault="000F4F3C" w:rsidP="004220F1">
            <w:pPr>
              <w:pStyle w:val="Bullets1stindent"/>
              <w:numPr>
                <w:ilvl w:val="0"/>
                <w:numId w:val="11"/>
              </w:numPr>
              <w:spacing w:after="0"/>
              <w:rPr>
                <w:rFonts w:ascii="EYInterstate Light" w:hAnsi="EYInterstate Light"/>
                <w:sz w:val="16"/>
              </w:rPr>
            </w:pPr>
            <w:r w:rsidRPr="00D14CE9">
              <w:rPr>
                <w:rFonts w:ascii="EYInterstate Light" w:hAnsi="EYInterstate Light"/>
                <w:sz w:val="16"/>
              </w:rPr>
              <w:t>Armour</w:t>
            </w:r>
          </w:p>
        </w:tc>
        <w:tc>
          <w:tcPr>
            <w:tcW w:w="4581" w:type="dxa"/>
            <w:noWrap/>
          </w:tcPr>
          <w:p w:rsidR="000F4F3C" w:rsidRPr="00D14CE9" w:rsidRDefault="000F4F3C" w:rsidP="004220F1">
            <w:pPr>
              <w:pStyle w:val="ListParagraph"/>
              <w:numPr>
                <w:ilvl w:val="0"/>
                <w:numId w:val="11"/>
              </w:numPr>
              <w:spacing w:after="0"/>
              <w:rPr>
                <w:rFonts w:ascii="EYInterstate Light" w:hAnsi="EYInterstate Light"/>
                <w:sz w:val="16"/>
                <w:szCs w:val="16"/>
              </w:rPr>
            </w:pPr>
            <w:r w:rsidRPr="00D14CE9">
              <w:rPr>
                <w:rFonts w:ascii="EYInterstate Light" w:hAnsi="EYInterstate Light"/>
                <w:sz w:val="16"/>
                <w:szCs w:val="16"/>
              </w:rPr>
              <w:t>Hard Rock</w:t>
            </w:r>
          </w:p>
        </w:tc>
      </w:tr>
      <w:tr w:rsidR="000F4F3C" w:rsidRPr="00D14CE9" w:rsidTr="006C5CD3">
        <w:trPr>
          <w:trHeight w:val="284"/>
        </w:trPr>
        <w:tc>
          <w:tcPr>
            <w:tcW w:w="4581" w:type="dxa"/>
            <w:noWrap/>
          </w:tcPr>
          <w:p w:rsidR="000F4F3C" w:rsidRPr="00D14CE9" w:rsidRDefault="000F4F3C" w:rsidP="004220F1">
            <w:pPr>
              <w:pStyle w:val="Bullets1stindent"/>
              <w:numPr>
                <w:ilvl w:val="0"/>
                <w:numId w:val="11"/>
              </w:numPr>
              <w:spacing w:after="0"/>
              <w:rPr>
                <w:rFonts w:ascii="EYInterstate Light" w:hAnsi="EYInterstate Light"/>
                <w:sz w:val="16"/>
              </w:rPr>
            </w:pPr>
            <w:r w:rsidRPr="00D14CE9">
              <w:rPr>
                <w:rFonts w:ascii="EYInterstate Light" w:hAnsi="EYInterstate Light"/>
                <w:sz w:val="16"/>
              </w:rPr>
              <w:t>Dimension Stone</w:t>
            </w:r>
          </w:p>
        </w:tc>
        <w:tc>
          <w:tcPr>
            <w:tcW w:w="4581" w:type="dxa"/>
            <w:noWrap/>
          </w:tcPr>
          <w:p w:rsidR="000F4F3C" w:rsidRPr="00D14CE9" w:rsidRDefault="000F4F3C" w:rsidP="004220F1">
            <w:pPr>
              <w:pStyle w:val="ListParagraph"/>
              <w:numPr>
                <w:ilvl w:val="0"/>
                <w:numId w:val="11"/>
              </w:numPr>
              <w:spacing w:after="0"/>
              <w:rPr>
                <w:rFonts w:ascii="EYInterstate Light" w:hAnsi="EYInterstate Light"/>
                <w:sz w:val="16"/>
                <w:szCs w:val="16"/>
              </w:rPr>
            </w:pPr>
            <w:r w:rsidRPr="00D14CE9">
              <w:rPr>
                <w:rFonts w:ascii="EYInterstate Light" w:hAnsi="EYInterstate Light"/>
                <w:sz w:val="16"/>
                <w:szCs w:val="16"/>
              </w:rPr>
              <w:t>Hard Rock</w:t>
            </w:r>
          </w:p>
        </w:tc>
      </w:tr>
      <w:tr w:rsidR="000F4F3C" w:rsidRPr="00D14CE9" w:rsidTr="006C5CD3">
        <w:trPr>
          <w:trHeight w:val="284"/>
        </w:trPr>
        <w:tc>
          <w:tcPr>
            <w:tcW w:w="4581" w:type="dxa"/>
            <w:noWrap/>
          </w:tcPr>
          <w:p w:rsidR="000F4F3C" w:rsidRPr="00D14CE9" w:rsidRDefault="00360EC7" w:rsidP="004220F1">
            <w:pPr>
              <w:pStyle w:val="Bullets1stindent"/>
              <w:numPr>
                <w:ilvl w:val="0"/>
                <w:numId w:val="11"/>
              </w:numPr>
              <w:spacing w:after="0"/>
              <w:rPr>
                <w:rFonts w:ascii="EYInterstate Light" w:hAnsi="EYInterstate Light"/>
                <w:sz w:val="16"/>
              </w:rPr>
            </w:pPr>
            <w:r w:rsidRPr="00D14CE9">
              <w:rPr>
                <w:rFonts w:ascii="EYInterstate Light" w:hAnsi="EYInterstate Light"/>
                <w:sz w:val="16"/>
              </w:rPr>
              <w:t>Cement</w:t>
            </w:r>
          </w:p>
        </w:tc>
        <w:tc>
          <w:tcPr>
            <w:tcW w:w="4581" w:type="dxa"/>
            <w:noWrap/>
          </w:tcPr>
          <w:p w:rsidR="00360EC7" w:rsidRPr="00D14CE9" w:rsidRDefault="00360EC7" w:rsidP="004220F1">
            <w:pPr>
              <w:pStyle w:val="ListParagraph"/>
              <w:numPr>
                <w:ilvl w:val="0"/>
                <w:numId w:val="11"/>
              </w:numPr>
              <w:spacing w:after="0"/>
              <w:rPr>
                <w:rFonts w:ascii="EYInterstate Light" w:hAnsi="EYInterstate Light"/>
                <w:sz w:val="16"/>
                <w:szCs w:val="16"/>
              </w:rPr>
            </w:pPr>
            <w:r w:rsidRPr="00D14CE9">
              <w:rPr>
                <w:rFonts w:ascii="EYInterstate Light" w:hAnsi="EYInterstate Light"/>
                <w:sz w:val="16"/>
                <w:szCs w:val="16"/>
              </w:rPr>
              <w:t>Limestone (Soft Rock)</w:t>
            </w:r>
          </w:p>
          <w:p w:rsidR="00360EC7" w:rsidRPr="00D14CE9" w:rsidRDefault="00360EC7" w:rsidP="004220F1">
            <w:pPr>
              <w:pStyle w:val="ListParagraph"/>
              <w:numPr>
                <w:ilvl w:val="0"/>
                <w:numId w:val="11"/>
              </w:numPr>
              <w:spacing w:after="0"/>
              <w:rPr>
                <w:rFonts w:ascii="EYInterstate Light" w:hAnsi="EYInterstate Light"/>
                <w:sz w:val="16"/>
                <w:szCs w:val="16"/>
              </w:rPr>
            </w:pPr>
            <w:r w:rsidRPr="00D14CE9">
              <w:rPr>
                <w:rFonts w:ascii="EYInterstate Light" w:hAnsi="EYInterstate Light"/>
                <w:sz w:val="16"/>
                <w:szCs w:val="16"/>
              </w:rPr>
              <w:t>Sand and Gravel (Soft Rock)</w:t>
            </w:r>
          </w:p>
          <w:p w:rsidR="000F4F3C" w:rsidRPr="00D14CE9" w:rsidRDefault="00360EC7" w:rsidP="004220F1">
            <w:pPr>
              <w:pStyle w:val="ListParagraph"/>
              <w:numPr>
                <w:ilvl w:val="0"/>
                <w:numId w:val="11"/>
              </w:numPr>
              <w:spacing w:after="0"/>
              <w:rPr>
                <w:rFonts w:ascii="EYInterstate Light" w:hAnsi="EYInterstate Light"/>
                <w:sz w:val="16"/>
                <w:szCs w:val="16"/>
              </w:rPr>
            </w:pPr>
            <w:r w:rsidRPr="00D14CE9">
              <w:rPr>
                <w:rFonts w:ascii="EYInterstate Light" w:hAnsi="EYInterstate Light"/>
                <w:sz w:val="16"/>
                <w:szCs w:val="16"/>
              </w:rPr>
              <w:t>Clay and Clay Shale (Soft Rock)</w:t>
            </w:r>
          </w:p>
        </w:tc>
      </w:tr>
      <w:tr w:rsidR="000F4F3C" w:rsidRPr="00D14CE9" w:rsidTr="006C5CD3">
        <w:trPr>
          <w:trHeight w:val="284"/>
        </w:trPr>
        <w:tc>
          <w:tcPr>
            <w:tcW w:w="4581" w:type="dxa"/>
            <w:noWrap/>
          </w:tcPr>
          <w:p w:rsidR="000F4F3C" w:rsidRPr="00D14CE9" w:rsidRDefault="00360EC7" w:rsidP="004220F1">
            <w:pPr>
              <w:pStyle w:val="Bullets1stindent"/>
              <w:numPr>
                <w:ilvl w:val="0"/>
                <w:numId w:val="11"/>
              </w:numPr>
              <w:spacing w:after="0"/>
              <w:rPr>
                <w:rFonts w:ascii="EYInterstate Light" w:hAnsi="EYInterstate Light"/>
                <w:sz w:val="16"/>
              </w:rPr>
            </w:pPr>
            <w:r w:rsidRPr="00D14CE9">
              <w:rPr>
                <w:rFonts w:ascii="EYInterstate Light" w:hAnsi="EYInterstate Light"/>
                <w:sz w:val="16"/>
              </w:rPr>
              <w:t>Lime</w:t>
            </w:r>
          </w:p>
        </w:tc>
        <w:tc>
          <w:tcPr>
            <w:tcW w:w="4581" w:type="dxa"/>
            <w:noWrap/>
          </w:tcPr>
          <w:p w:rsidR="000F4F3C" w:rsidRPr="00D14CE9" w:rsidRDefault="00360EC7" w:rsidP="004220F1">
            <w:pPr>
              <w:pStyle w:val="ListParagraph"/>
              <w:numPr>
                <w:ilvl w:val="0"/>
                <w:numId w:val="11"/>
              </w:numPr>
              <w:spacing w:after="0"/>
              <w:rPr>
                <w:rFonts w:ascii="EYInterstate Light" w:hAnsi="EYInterstate Light"/>
                <w:sz w:val="16"/>
                <w:szCs w:val="16"/>
              </w:rPr>
            </w:pPr>
            <w:r w:rsidRPr="00D14CE9">
              <w:rPr>
                <w:rFonts w:ascii="EYInterstate Light" w:hAnsi="EYInterstate Light"/>
                <w:sz w:val="16"/>
                <w:szCs w:val="16"/>
              </w:rPr>
              <w:t>Limestone (Soft Rock)</w:t>
            </w:r>
          </w:p>
        </w:tc>
      </w:tr>
      <w:tr w:rsidR="000F4F3C" w:rsidRPr="00D14CE9" w:rsidTr="006C5CD3">
        <w:trPr>
          <w:trHeight w:val="284"/>
        </w:trPr>
        <w:tc>
          <w:tcPr>
            <w:tcW w:w="4581" w:type="dxa"/>
            <w:noWrap/>
          </w:tcPr>
          <w:p w:rsidR="000F4F3C" w:rsidRPr="00D14CE9" w:rsidRDefault="00360EC7" w:rsidP="004220F1">
            <w:pPr>
              <w:pStyle w:val="Bullets1stindent"/>
              <w:numPr>
                <w:ilvl w:val="0"/>
                <w:numId w:val="11"/>
              </w:numPr>
              <w:spacing w:after="0"/>
              <w:rPr>
                <w:rFonts w:ascii="EYInterstate Light" w:hAnsi="EYInterstate Light"/>
                <w:sz w:val="16"/>
              </w:rPr>
            </w:pPr>
            <w:r w:rsidRPr="00D14CE9">
              <w:rPr>
                <w:rFonts w:ascii="EYInterstate Light" w:hAnsi="EYInterstate Light"/>
                <w:sz w:val="16"/>
              </w:rPr>
              <w:t>Concrete Sand</w:t>
            </w:r>
          </w:p>
        </w:tc>
        <w:tc>
          <w:tcPr>
            <w:tcW w:w="4581" w:type="dxa"/>
            <w:noWrap/>
          </w:tcPr>
          <w:p w:rsidR="000F4F3C" w:rsidRPr="00D14CE9" w:rsidRDefault="00360EC7" w:rsidP="004220F1">
            <w:pPr>
              <w:pStyle w:val="ListParagraph"/>
              <w:numPr>
                <w:ilvl w:val="0"/>
                <w:numId w:val="11"/>
              </w:numPr>
              <w:spacing w:after="0"/>
              <w:rPr>
                <w:rFonts w:ascii="EYInterstate Light" w:hAnsi="EYInterstate Light"/>
                <w:sz w:val="16"/>
                <w:szCs w:val="16"/>
              </w:rPr>
            </w:pPr>
            <w:r w:rsidRPr="00D14CE9">
              <w:rPr>
                <w:rFonts w:ascii="EYInterstate Light" w:hAnsi="EYInterstate Light"/>
                <w:sz w:val="16"/>
                <w:szCs w:val="16"/>
              </w:rPr>
              <w:t>Sand and Gravel (Soft Rock)</w:t>
            </w:r>
          </w:p>
        </w:tc>
      </w:tr>
      <w:tr w:rsidR="000F4F3C" w:rsidRPr="00D14CE9" w:rsidTr="006C5CD3">
        <w:trPr>
          <w:trHeight w:val="284"/>
        </w:trPr>
        <w:tc>
          <w:tcPr>
            <w:tcW w:w="4581" w:type="dxa"/>
            <w:noWrap/>
          </w:tcPr>
          <w:p w:rsidR="000F4F3C" w:rsidRPr="00D14CE9" w:rsidRDefault="00360EC7" w:rsidP="004220F1">
            <w:pPr>
              <w:pStyle w:val="Bullets1stindent"/>
              <w:numPr>
                <w:ilvl w:val="0"/>
                <w:numId w:val="11"/>
              </w:numPr>
              <w:spacing w:after="0"/>
              <w:rPr>
                <w:rFonts w:ascii="EYInterstate Light" w:hAnsi="EYInterstate Light"/>
                <w:sz w:val="16"/>
              </w:rPr>
            </w:pPr>
            <w:r w:rsidRPr="00D14CE9">
              <w:rPr>
                <w:rFonts w:ascii="EYInterstate Light" w:hAnsi="EYInterstate Light"/>
                <w:sz w:val="16"/>
              </w:rPr>
              <w:t xml:space="preserve">Fine Sand </w:t>
            </w:r>
          </w:p>
        </w:tc>
        <w:tc>
          <w:tcPr>
            <w:tcW w:w="4581" w:type="dxa"/>
            <w:noWrap/>
          </w:tcPr>
          <w:p w:rsidR="000F4F3C" w:rsidRPr="00D14CE9" w:rsidRDefault="00360EC7" w:rsidP="004220F1">
            <w:pPr>
              <w:pStyle w:val="ListParagraph"/>
              <w:numPr>
                <w:ilvl w:val="0"/>
                <w:numId w:val="11"/>
              </w:numPr>
              <w:spacing w:after="0"/>
              <w:rPr>
                <w:rFonts w:ascii="EYInterstate Light" w:hAnsi="EYInterstate Light"/>
                <w:sz w:val="16"/>
                <w:szCs w:val="16"/>
              </w:rPr>
            </w:pPr>
            <w:r w:rsidRPr="00D14CE9">
              <w:rPr>
                <w:rFonts w:ascii="EYInterstate Light" w:hAnsi="EYInterstate Light"/>
                <w:sz w:val="16"/>
                <w:szCs w:val="16"/>
              </w:rPr>
              <w:t>Sand and Gravel (Soft Rock)</w:t>
            </w:r>
          </w:p>
        </w:tc>
      </w:tr>
    </w:tbl>
    <w:p w:rsidR="00360EC7" w:rsidRPr="00D14CE9" w:rsidRDefault="00360EC7" w:rsidP="00C15F5A">
      <w:pPr>
        <w:pStyle w:val="EYSource"/>
        <w:rPr>
          <w:lang w:val="en-AU"/>
        </w:rPr>
      </w:pPr>
      <w:r w:rsidRPr="00D14CE9">
        <w:rPr>
          <w:lang w:val="en-AU"/>
        </w:rPr>
        <w:t xml:space="preserve">Source: AECOM </w:t>
      </w:r>
    </w:p>
    <w:p w:rsidR="00C15F5A" w:rsidRPr="00D14CE9" w:rsidRDefault="00C15F5A" w:rsidP="00C15F5A"/>
    <w:p w:rsidR="00A273F3" w:rsidRPr="00D14CE9" w:rsidRDefault="00A273F3" w:rsidP="00C200D0">
      <w:pPr>
        <w:pStyle w:val="EYBodytextwithparaspace"/>
        <w:rPr>
          <w:rFonts w:cstheme="majorHAnsi"/>
          <w:szCs w:val="20"/>
          <w:lang w:val="en-AU"/>
        </w:rPr>
      </w:pPr>
      <w:r w:rsidRPr="00D14CE9">
        <w:rPr>
          <w:rFonts w:cstheme="majorHAnsi"/>
          <w:szCs w:val="20"/>
          <w:lang w:val="en-AU"/>
        </w:rPr>
        <w:t xml:space="preserve">Construction stakeholders consultation as well as AECOM works led to identify that </w:t>
      </w:r>
      <w:r w:rsidR="0004746C" w:rsidRPr="00D14CE9">
        <w:rPr>
          <w:rFonts w:cstheme="majorHAnsi"/>
          <w:szCs w:val="20"/>
          <w:lang w:val="en-AU"/>
        </w:rPr>
        <w:t>amongst</w:t>
      </w:r>
      <w:r w:rsidRPr="00D14CE9">
        <w:rPr>
          <w:rFonts w:cstheme="majorHAnsi"/>
          <w:szCs w:val="20"/>
          <w:lang w:val="en-AU"/>
        </w:rPr>
        <w:t xml:space="preserve"> the extractive materials listed in the above</w:t>
      </w:r>
      <w:r w:rsidR="000B447A">
        <w:rPr>
          <w:rFonts w:cstheme="majorHAnsi"/>
          <w:szCs w:val="20"/>
          <w:lang w:val="en-AU"/>
        </w:rPr>
        <w:t xml:space="preserve"> </w:t>
      </w:r>
      <w:r w:rsidR="000B447A">
        <w:rPr>
          <w:rFonts w:cstheme="majorHAnsi"/>
          <w:szCs w:val="20"/>
          <w:lang w:val="en-AU"/>
        </w:rPr>
        <w:fldChar w:fldCharType="begin"/>
      </w:r>
      <w:r w:rsidR="000B447A">
        <w:rPr>
          <w:rFonts w:cstheme="majorHAnsi"/>
          <w:szCs w:val="20"/>
          <w:lang w:val="en-AU"/>
        </w:rPr>
        <w:instrText xml:space="preserve"> REF _Ref448849707 \h </w:instrText>
      </w:r>
      <w:r w:rsidR="000B447A">
        <w:rPr>
          <w:rFonts w:cstheme="majorHAnsi"/>
          <w:szCs w:val="20"/>
          <w:lang w:val="en-AU"/>
        </w:rPr>
      </w:r>
      <w:r w:rsidR="000B447A">
        <w:rPr>
          <w:rFonts w:cstheme="majorHAnsi"/>
          <w:szCs w:val="20"/>
          <w:lang w:val="en-AU"/>
        </w:rPr>
        <w:fldChar w:fldCharType="separate"/>
      </w:r>
      <w:r w:rsidR="00525C82" w:rsidRPr="00D14CE9">
        <w:t xml:space="preserve">Table </w:t>
      </w:r>
      <w:r w:rsidR="00525C82">
        <w:rPr>
          <w:noProof/>
        </w:rPr>
        <w:t>5</w:t>
      </w:r>
      <w:r w:rsidR="000B447A">
        <w:rPr>
          <w:rFonts w:cstheme="majorHAnsi"/>
          <w:szCs w:val="20"/>
          <w:lang w:val="en-AU"/>
        </w:rPr>
        <w:fldChar w:fldCharType="end"/>
      </w:r>
      <w:r w:rsidRPr="00D14CE9">
        <w:rPr>
          <w:rFonts w:cstheme="majorHAnsi"/>
          <w:szCs w:val="20"/>
          <w:lang w:val="en-AU"/>
        </w:rPr>
        <w:t xml:space="preserve">, soil and peat were not consumed by the construction activities driving the overall consumption of extractive resources in Victoria. Those categories have therefore been excluded from the demand analysis and consequently from the </w:t>
      </w:r>
      <w:r w:rsidR="00162F3B" w:rsidRPr="00D14CE9">
        <w:rPr>
          <w:rFonts w:cstheme="majorHAnsi"/>
          <w:szCs w:val="20"/>
          <w:lang w:val="en-AU"/>
        </w:rPr>
        <w:t xml:space="preserve">baseline </w:t>
      </w:r>
      <w:r w:rsidRPr="00D14CE9">
        <w:rPr>
          <w:rFonts w:cstheme="majorHAnsi"/>
          <w:szCs w:val="20"/>
          <w:lang w:val="en-AU"/>
        </w:rPr>
        <w:t>demand data set.</w:t>
      </w:r>
    </w:p>
    <w:p w:rsidR="00A273F3" w:rsidRPr="00D14CE9" w:rsidRDefault="00A273F3" w:rsidP="00C200D0">
      <w:pPr>
        <w:pStyle w:val="EYBodytextwithparaspace"/>
        <w:rPr>
          <w:rFonts w:cstheme="majorHAnsi"/>
          <w:szCs w:val="20"/>
          <w:lang w:val="en-AU"/>
        </w:rPr>
      </w:pPr>
      <w:r w:rsidRPr="00D14CE9">
        <w:rPr>
          <w:rFonts w:cstheme="majorHAnsi"/>
          <w:szCs w:val="20"/>
          <w:lang w:val="en-AU"/>
        </w:rPr>
        <w:lastRenderedPageBreak/>
        <w:t xml:space="preserve">Within the Hard Rock category, the construction stakeholders consultation as well as AECOM works also led to identify that hard rocks’ sub-categories listed in the above </w:t>
      </w:r>
      <w:r w:rsidR="000B447A">
        <w:rPr>
          <w:rFonts w:cstheme="majorHAnsi"/>
          <w:szCs w:val="20"/>
          <w:lang w:val="en-AU"/>
        </w:rPr>
        <w:fldChar w:fldCharType="begin"/>
      </w:r>
      <w:r w:rsidR="000B447A">
        <w:rPr>
          <w:rFonts w:cstheme="majorHAnsi"/>
          <w:szCs w:val="20"/>
          <w:lang w:val="en-AU"/>
        </w:rPr>
        <w:instrText xml:space="preserve"> REF _Ref448849707 \h </w:instrText>
      </w:r>
      <w:r w:rsidR="000B447A">
        <w:rPr>
          <w:rFonts w:cstheme="majorHAnsi"/>
          <w:szCs w:val="20"/>
          <w:lang w:val="en-AU"/>
        </w:rPr>
      </w:r>
      <w:r w:rsidR="000B447A">
        <w:rPr>
          <w:rFonts w:cstheme="majorHAnsi"/>
          <w:szCs w:val="20"/>
          <w:lang w:val="en-AU"/>
        </w:rPr>
        <w:fldChar w:fldCharType="separate"/>
      </w:r>
      <w:r w:rsidR="00525C82" w:rsidRPr="00D14CE9">
        <w:t xml:space="preserve">Table </w:t>
      </w:r>
      <w:r w:rsidR="00525C82">
        <w:rPr>
          <w:noProof/>
        </w:rPr>
        <w:t>5</w:t>
      </w:r>
      <w:r w:rsidR="000B447A">
        <w:rPr>
          <w:rFonts w:cstheme="majorHAnsi"/>
          <w:szCs w:val="20"/>
          <w:lang w:val="en-AU"/>
        </w:rPr>
        <w:fldChar w:fldCharType="end"/>
      </w:r>
      <w:r w:rsidR="000B447A">
        <w:rPr>
          <w:rFonts w:cstheme="majorHAnsi"/>
          <w:szCs w:val="20"/>
          <w:lang w:val="en-AU"/>
        </w:rPr>
        <w:t xml:space="preserve"> </w:t>
      </w:r>
      <w:r w:rsidRPr="00D14CE9">
        <w:rPr>
          <w:rFonts w:cstheme="majorHAnsi"/>
          <w:szCs w:val="20"/>
          <w:lang w:val="en-AU"/>
        </w:rPr>
        <w:t xml:space="preserve">were not all consumed by the key construction activities driving the overall consumption of extractive resources in Victoria, while a few of them were used more significantly than others. Out of the 15 different categories of hard rocks provided in the Schedule 2 of the Mineral Resources (Sustainable Development) Extractive Industries Regulations Act 2010:  </w:t>
      </w:r>
    </w:p>
    <w:p w:rsidR="00A273F3" w:rsidRPr="00D14CE9" w:rsidRDefault="00A273F3" w:rsidP="00C200D0">
      <w:pPr>
        <w:pStyle w:val="EYBulletedList1"/>
        <w:spacing w:after="120"/>
        <w:rPr>
          <w:rFonts w:cstheme="majorHAnsi"/>
          <w:szCs w:val="20"/>
          <w:lang w:val="en-AU"/>
        </w:rPr>
      </w:pPr>
      <w:r w:rsidRPr="00D14CE9">
        <w:rPr>
          <w:rFonts w:cstheme="majorHAnsi"/>
          <w:szCs w:val="20"/>
          <w:lang w:val="en-AU"/>
        </w:rPr>
        <w:t>Dolerite and marble are not used, either directly or for the manufacture of commodity products consumed by the residential, non-residential, transport and energy and utilities construction activities.</w:t>
      </w:r>
    </w:p>
    <w:p w:rsidR="00A273F3" w:rsidRDefault="00A273F3" w:rsidP="00E65C9D">
      <w:pPr>
        <w:pStyle w:val="EYBulletedList1"/>
        <w:spacing w:after="240"/>
        <w:rPr>
          <w:rFonts w:cstheme="majorHAnsi"/>
          <w:szCs w:val="20"/>
          <w:lang w:val="en-AU"/>
        </w:rPr>
      </w:pPr>
      <w:r w:rsidRPr="00D14CE9">
        <w:rPr>
          <w:rFonts w:cstheme="majorHAnsi"/>
          <w:szCs w:val="20"/>
          <w:lang w:val="en-AU"/>
        </w:rPr>
        <w:t xml:space="preserve">Basalt Old, Basalt New, Hornfels, Granite and Rhyodacite are the most commonly used hard rocks in Victoria, subject to the regional availability of extractive materials. </w:t>
      </w:r>
    </w:p>
    <w:p w:rsidR="00A21144" w:rsidRDefault="00DD5FFD" w:rsidP="00DD5FFD">
      <w:pPr>
        <w:pStyle w:val="EYBodytextwithparaspace"/>
        <w:rPr>
          <w:rFonts w:cstheme="majorHAnsi"/>
          <w:szCs w:val="20"/>
          <w:lang w:val="en-AU"/>
        </w:rPr>
      </w:pPr>
      <w:r w:rsidRPr="00D14CE9">
        <w:rPr>
          <w:rFonts w:cstheme="majorHAnsi"/>
          <w:szCs w:val="20"/>
          <w:lang w:val="en-AU"/>
        </w:rPr>
        <w:t xml:space="preserve">Within the </w:t>
      </w:r>
      <w:r>
        <w:rPr>
          <w:rFonts w:cstheme="majorHAnsi"/>
          <w:szCs w:val="20"/>
          <w:lang w:val="en-AU"/>
        </w:rPr>
        <w:t>Sand and Gravel</w:t>
      </w:r>
      <w:r w:rsidRPr="00D14CE9">
        <w:rPr>
          <w:rFonts w:cstheme="majorHAnsi"/>
          <w:szCs w:val="20"/>
          <w:lang w:val="en-AU"/>
        </w:rPr>
        <w:t xml:space="preserve"> category, </w:t>
      </w:r>
      <w:r w:rsidR="00333DED">
        <w:rPr>
          <w:rFonts w:cstheme="majorHAnsi"/>
          <w:szCs w:val="20"/>
          <w:lang w:val="en-AU"/>
        </w:rPr>
        <w:t>the detailed industry analysis</w:t>
      </w:r>
      <w:r w:rsidRPr="00D14CE9">
        <w:rPr>
          <w:rFonts w:cstheme="majorHAnsi"/>
          <w:szCs w:val="20"/>
          <w:lang w:val="en-AU"/>
        </w:rPr>
        <w:t xml:space="preserve"> </w:t>
      </w:r>
      <w:r>
        <w:rPr>
          <w:rFonts w:cstheme="majorHAnsi"/>
          <w:szCs w:val="20"/>
          <w:lang w:val="en-AU"/>
        </w:rPr>
        <w:t>enabled</w:t>
      </w:r>
      <w:r w:rsidRPr="00D14CE9">
        <w:rPr>
          <w:rFonts w:cstheme="majorHAnsi"/>
          <w:szCs w:val="20"/>
          <w:lang w:val="en-AU"/>
        </w:rPr>
        <w:t xml:space="preserve"> to identify</w:t>
      </w:r>
      <w:r>
        <w:rPr>
          <w:rFonts w:cstheme="majorHAnsi"/>
          <w:szCs w:val="20"/>
          <w:lang w:val="en-AU"/>
        </w:rPr>
        <w:t xml:space="preserve"> the share of soft rocks attributable to concrete sand</w:t>
      </w:r>
      <w:r w:rsidR="00A21144">
        <w:rPr>
          <w:rFonts w:cstheme="majorHAnsi"/>
          <w:szCs w:val="20"/>
          <w:lang w:val="en-AU"/>
        </w:rPr>
        <w:t xml:space="preserve"> (combined with subsurface drainage sand)</w:t>
      </w:r>
      <w:r>
        <w:rPr>
          <w:rFonts w:cstheme="majorHAnsi"/>
          <w:szCs w:val="20"/>
          <w:lang w:val="en-AU"/>
        </w:rPr>
        <w:t xml:space="preserve"> and fine sand</w:t>
      </w:r>
      <w:r w:rsidR="00A21144">
        <w:rPr>
          <w:rFonts w:cstheme="majorHAnsi"/>
          <w:szCs w:val="20"/>
          <w:lang w:val="en-AU"/>
        </w:rPr>
        <w:t>,</w:t>
      </w:r>
      <w:r>
        <w:rPr>
          <w:rFonts w:cstheme="majorHAnsi"/>
          <w:szCs w:val="20"/>
          <w:lang w:val="en-AU"/>
        </w:rPr>
        <w:t xml:space="preserve"> per </w:t>
      </w:r>
      <w:r w:rsidR="00333DED">
        <w:rPr>
          <w:rFonts w:cstheme="majorHAnsi"/>
          <w:szCs w:val="20"/>
          <w:lang w:val="en-AU"/>
        </w:rPr>
        <w:t xml:space="preserve">type of </w:t>
      </w:r>
      <w:r>
        <w:rPr>
          <w:rFonts w:cstheme="majorHAnsi"/>
          <w:szCs w:val="20"/>
          <w:lang w:val="en-AU"/>
        </w:rPr>
        <w:t xml:space="preserve">construction </w:t>
      </w:r>
      <w:r w:rsidR="00AD6683">
        <w:rPr>
          <w:rFonts w:cstheme="majorHAnsi"/>
          <w:szCs w:val="20"/>
          <w:lang w:val="en-AU"/>
        </w:rPr>
        <w:t>activities</w:t>
      </w:r>
      <w:r>
        <w:rPr>
          <w:rFonts w:cstheme="majorHAnsi"/>
          <w:szCs w:val="20"/>
          <w:lang w:val="en-AU"/>
        </w:rPr>
        <w:t>.</w:t>
      </w:r>
      <w:r w:rsidR="00A21144">
        <w:rPr>
          <w:rFonts w:cstheme="majorHAnsi"/>
          <w:szCs w:val="20"/>
          <w:lang w:val="en-AU"/>
        </w:rPr>
        <w:t xml:space="preserve"> The table below presents </w:t>
      </w:r>
      <w:r w:rsidR="00333DED">
        <w:rPr>
          <w:rFonts w:cstheme="majorHAnsi"/>
          <w:szCs w:val="20"/>
          <w:lang w:val="en-AU"/>
        </w:rPr>
        <w:t xml:space="preserve">the </w:t>
      </w:r>
      <w:r w:rsidR="00A21144">
        <w:rPr>
          <w:rFonts w:cstheme="majorHAnsi"/>
          <w:szCs w:val="20"/>
          <w:lang w:val="en-AU"/>
        </w:rPr>
        <w:t>consolidated findings</w:t>
      </w:r>
      <w:r w:rsidR="00333DED">
        <w:rPr>
          <w:rFonts w:cstheme="majorHAnsi"/>
          <w:szCs w:val="20"/>
          <w:lang w:val="en-AU"/>
        </w:rPr>
        <w:t xml:space="preserve"> </w:t>
      </w:r>
      <w:r w:rsidR="002E741F">
        <w:rPr>
          <w:rFonts w:cstheme="majorHAnsi"/>
          <w:szCs w:val="20"/>
          <w:lang w:val="en-AU"/>
        </w:rPr>
        <w:t>of</w:t>
      </w:r>
      <w:r w:rsidR="00333DED">
        <w:rPr>
          <w:rFonts w:cstheme="majorHAnsi"/>
          <w:szCs w:val="20"/>
          <w:lang w:val="en-AU"/>
        </w:rPr>
        <w:t xml:space="preserve"> this analysis</w:t>
      </w:r>
      <w:r w:rsidR="00A21144">
        <w:rPr>
          <w:rFonts w:cstheme="majorHAnsi"/>
          <w:szCs w:val="20"/>
          <w:lang w:val="en-AU"/>
        </w:rPr>
        <w:t>. Sand and gravel is also extracted as a key resource for the following construction materials</w:t>
      </w:r>
      <w:r w:rsidR="002E741F">
        <w:rPr>
          <w:rFonts w:cstheme="majorHAnsi"/>
          <w:szCs w:val="20"/>
          <w:lang w:val="en-AU"/>
        </w:rPr>
        <w:t xml:space="preserve"> and elements</w:t>
      </w:r>
      <w:r w:rsidR="00A21144">
        <w:rPr>
          <w:rFonts w:cstheme="majorHAnsi"/>
          <w:szCs w:val="20"/>
          <w:lang w:val="en-AU"/>
        </w:rPr>
        <w:t>:</w:t>
      </w:r>
    </w:p>
    <w:p w:rsidR="00A21144" w:rsidRDefault="00A21144" w:rsidP="00A21144">
      <w:pPr>
        <w:pStyle w:val="EYBulletedList1"/>
        <w:spacing w:after="120"/>
        <w:rPr>
          <w:rFonts w:cstheme="majorHAnsi"/>
          <w:szCs w:val="20"/>
          <w:lang w:val="en-AU"/>
        </w:rPr>
      </w:pPr>
      <w:r>
        <w:rPr>
          <w:rFonts w:cstheme="majorHAnsi"/>
          <w:szCs w:val="20"/>
          <w:lang w:val="en-AU"/>
        </w:rPr>
        <w:t>Cement, across all construction activities.</w:t>
      </w:r>
    </w:p>
    <w:p w:rsidR="00A21144" w:rsidRDefault="00A21144" w:rsidP="00A21144">
      <w:pPr>
        <w:pStyle w:val="EYBulletedList1"/>
        <w:spacing w:after="120"/>
        <w:rPr>
          <w:rFonts w:cstheme="majorHAnsi"/>
          <w:szCs w:val="20"/>
          <w:lang w:val="en-AU"/>
        </w:rPr>
      </w:pPr>
      <w:r>
        <w:rPr>
          <w:rFonts w:cstheme="majorHAnsi"/>
          <w:szCs w:val="20"/>
          <w:lang w:val="en-AU"/>
        </w:rPr>
        <w:t>Fill, mainly within the transport construction activity, including major transport projects.</w:t>
      </w:r>
    </w:p>
    <w:p w:rsidR="00DD5FFD" w:rsidRPr="00D14CE9" w:rsidRDefault="00A21144" w:rsidP="002A1D72">
      <w:pPr>
        <w:pStyle w:val="EYBulletedList1"/>
        <w:spacing w:after="200"/>
        <w:rPr>
          <w:rFonts w:cstheme="majorHAnsi"/>
          <w:szCs w:val="20"/>
          <w:lang w:val="en-AU"/>
        </w:rPr>
      </w:pPr>
      <w:r>
        <w:rPr>
          <w:rFonts w:cstheme="majorHAnsi"/>
          <w:szCs w:val="20"/>
          <w:lang w:val="en-AU"/>
        </w:rPr>
        <w:t xml:space="preserve">Brick, mainly within the residential construction activity. </w:t>
      </w:r>
      <w:r w:rsidR="00DD5FFD">
        <w:rPr>
          <w:rFonts w:cstheme="majorHAnsi"/>
          <w:szCs w:val="20"/>
          <w:lang w:val="en-AU"/>
        </w:rPr>
        <w:t xml:space="preserve">  </w:t>
      </w:r>
      <w:r w:rsidR="00DD5FFD" w:rsidRPr="00D14CE9">
        <w:rPr>
          <w:rFonts w:cstheme="majorHAnsi"/>
          <w:szCs w:val="20"/>
          <w:lang w:val="en-AU"/>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6"/>
        <w:tblDescription w:val="Table 6 is a breakdown of sand and gravel uses per type of construction activities in Victoria. Concrete sand and subsurface sand is used in 60% of residential activity, 86% of non residential activity, 11% of transport (excluding major projects) activity, 26% in transport major projects, and 87% in energy and utilities activity.  Fine sand (brick, bedding, mortar) is used in 23%of residential activity, 1% of non residential activity, 2% of transport (excluding major projects) activity, 0% in transport major projects, and 0% in energy and utilities activity.  Other sand and gravel types (cement, fill) is used in 17%of residential activity, 13% of non residential activity, 88% of transport (excluding major projects) activity, 74% in transport major projects, and 13% in energy and utilities activity"/>
      </w:tblPr>
      <w:tblGrid>
        <w:gridCol w:w="3034"/>
        <w:gridCol w:w="1578"/>
        <w:gridCol w:w="1821"/>
        <w:gridCol w:w="1578"/>
        <w:gridCol w:w="1694"/>
      </w:tblGrid>
      <w:tr w:rsidR="00333DED" w:rsidRPr="00D14CE9" w:rsidTr="002A1D72">
        <w:trPr>
          <w:trHeight w:val="315"/>
        </w:trPr>
        <w:tc>
          <w:tcPr>
            <w:tcW w:w="5000" w:type="pct"/>
            <w:gridSpan w:val="5"/>
            <w:shd w:val="clear" w:color="auto" w:fill="808080"/>
            <w:noWrap/>
            <w:vAlign w:val="bottom"/>
          </w:tcPr>
          <w:p w:rsidR="00333DED" w:rsidRPr="00E26D85" w:rsidRDefault="00333DED" w:rsidP="00645A96">
            <w:pPr>
              <w:pStyle w:val="EYTableHeadingWhite"/>
              <w:rPr>
                <w:rFonts w:eastAsia="Arial Unicode MS"/>
              </w:rPr>
            </w:pPr>
            <w:bookmarkStart w:id="399" w:name="_Toc448914633"/>
            <w:bookmarkStart w:id="400" w:name="_Toc448920450"/>
            <w:r w:rsidRPr="00D14CE9">
              <w:t xml:space="preserve">Table </w:t>
            </w:r>
            <w:r w:rsidR="000701D2">
              <w:fldChar w:fldCharType="begin"/>
            </w:r>
            <w:r w:rsidR="000701D2">
              <w:instrText xml:space="preserve"> SEQ Table \* ARABIC </w:instrText>
            </w:r>
            <w:r w:rsidR="000701D2">
              <w:fldChar w:fldCharType="separate"/>
            </w:r>
            <w:r w:rsidR="00525C82">
              <w:rPr>
                <w:noProof/>
              </w:rPr>
              <w:t>6</w:t>
            </w:r>
            <w:r w:rsidR="000701D2">
              <w:rPr>
                <w:noProof/>
              </w:rPr>
              <w:fldChar w:fldCharType="end"/>
            </w:r>
            <w:r w:rsidRPr="00D14CE9">
              <w:t xml:space="preserve"> – </w:t>
            </w:r>
            <w:r>
              <w:t>Breakdown of Sand and Gravel uses</w:t>
            </w:r>
            <w:r w:rsidRPr="00D14CE9">
              <w:t xml:space="preserve"> per </w:t>
            </w:r>
            <w:r>
              <w:t xml:space="preserve">type of </w:t>
            </w:r>
            <w:r w:rsidRPr="00D14CE9">
              <w:t xml:space="preserve">construction </w:t>
            </w:r>
            <w:r w:rsidR="00645A96" w:rsidRPr="00D14CE9">
              <w:t>activit</w:t>
            </w:r>
            <w:r w:rsidR="00645A96">
              <w:t>ies</w:t>
            </w:r>
            <w:r w:rsidR="00645A96" w:rsidRPr="00D14CE9">
              <w:t xml:space="preserve"> </w:t>
            </w:r>
            <w:r w:rsidRPr="00D14CE9">
              <w:t>in Victoria</w:t>
            </w:r>
            <w:bookmarkEnd w:id="399"/>
            <w:bookmarkEnd w:id="400"/>
          </w:p>
        </w:tc>
      </w:tr>
      <w:tr w:rsidR="00333DED" w:rsidRPr="00D14CE9" w:rsidTr="003637FD">
        <w:tc>
          <w:tcPr>
            <w:tcW w:w="1563" w:type="pct"/>
            <w:shd w:val="clear" w:color="auto" w:fill="F0F0F0"/>
          </w:tcPr>
          <w:p w:rsidR="00333DED" w:rsidRPr="00D14CE9" w:rsidRDefault="00333DED" w:rsidP="006D3E01">
            <w:pPr>
              <w:pStyle w:val="EYTableHeading"/>
              <w:jc w:val="center"/>
              <w:rPr>
                <w:rFonts w:eastAsia="Arial Unicode MS"/>
              </w:rPr>
            </w:pPr>
          </w:p>
        </w:tc>
        <w:tc>
          <w:tcPr>
            <w:tcW w:w="813" w:type="pct"/>
            <w:shd w:val="clear" w:color="auto" w:fill="F0F0F0"/>
          </w:tcPr>
          <w:p w:rsidR="00333DED" w:rsidRPr="00D14CE9" w:rsidRDefault="00333DED" w:rsidP="00525C82">
            <w:pPr>
              <w:pStyle w:val="EYTableHeading"/>
              <w:jc w:val="center"/>
              <w:rPr>
                <w:rFonts w:eastAsia="Arial Unicode MS"/>
              </w:rPr>
            </w:pPr>
            <w:r>
              <w:t xml:space="preserve">Concrete </w:t>
            </w:r>
            <w:r w:rsidR="008C7E23">
              <w:t>s</w:t>
            </w:r>
            <w:r>
              <w:t>and and subsurface drainage sand</w:t>
            </w:r>
            <w:r w:rsidR="007348D8">
              <w:rPr>
                <w:rStyle w:val="FootnoteReference"/>
              </w:rPr>
              <w:footnoteReference w:id="3"/>
            </w:r>
            <w:r w:rsidR="00525C82">
              <w:br/>
            </w:r>
            <w:r w:rsidRPr="00D14CE9">
              <w:t xml:space="preserve"> (%)</w:t>
            </w:r>
          </w:p>
        </w:tc>
        <w:tc>
          <w:tcPr>
            <w:tcW w:w="938" w:type="pct"/>
            <w:shd w:val="clear" w:color="auto" w:fill="F0F0F0"/>
          </w:tcPr>
          <w:p w:rsidR="00333DED" w:rsidRPr="00D14CE9" w:rsidRDefault="00333DED" w:rsidP="006D3E01">
            <w:pPr>
              <w:pStyle w:val="EYTableHeading"/>
              <w:jc w:val="center"/>
              <w:rPr>
                <w:rFonts w:eastAsia="Arial Unicode MS"/>
              </w:rPr>
            </w:pPr>
            <w:r>
              <w:t xml:space="preserve">Fine Sand </w:t>
            </w:r>
            <w:r w:rsidRPr="00333DED">
              <w:t>(Brick, Bedding, Mortar)</w:t>
            </w:r>
            <w:r w:rsidRPr="00D14CE9">
              <w:t xml:space="preserve"> </w:t>
            </w:r>
            <w:r w:rsidRPr="00D14CE9">
              <w:br/>
              <w:t>(%)</w:t>
            </w:r>
          </w:p>
        </w:tc>
        <w:tc>
          <w:tcPr>
            <w:tcW w:w="813" w:type="pct"/>
            <w:shd w:val="clear" w:color="auto" w:fill="F0F0F0"/>
          </w:tcPr>
          <w:p w:rsidR="00333DED" w:rsidRPr="00D14CE9" w:rsidRDefault="00333DED" w:rsidP="00525C82">
            <w:pPr>
              <w:pStyle w:val="EYTableHeading"/>
              <w:jc w:val="center"/>
            </w:pPr>
            <w:r>
              <w:t>Others (cement, fill)</w:t>
            </w:r>
            <w:r w:rsidR="00525C82">
              <w:br/>
            </w:r>
            <w:r w:rsidRPr="00D14CE9">
              <w:t xml:space="preserve"> (%)</w:t>
            </w:r>
          </w:p>
        </w:tc>
        <w:tc>
          <w:tcPr>
            <w:tcW w:w="873" w:type="pct"/>
            <w:shd w:val="clear" w:color="auto" w:fill="F0F0F0"/>
          </w:tcPr>
          <w:p w:rsidR="002E741F" w:rsidRPr="00D14CE9" w:rsidRDefault="002E741F" w:rsidP="00525C82">
            <w:pPr>
              <w:pStyle w:val="EYTableHeading"/>
              <w:jc w:val="center"/>
            </w:pPr>
            <w:r>
              <w:t xml:space="preserve">Total </w:t>
            </w:r>
            <w:r w:rsidR="00525C82">
              <w:br/>
            </w:r>
            <w:r>
              <w:t>(%)</w:t>
            </w:r>
          </w:p>
        </w:tc>
      </w:tr>
      <w:tr w:rsidR="00333DED" w:rsidRPr="00D14CE9" w:rsidTr="002A1D72">
        <w:trPr>
          <w:trHeight w:val="315"/>
        </w:trPr>
        <w:tc>
          <w:tcPr>
            <w:tcW w:w="1563" w:type="pct"/>
            <w:noWrap/>
            <w:vAlign w:val="center"/>
          </w:tcPr>
          <w:p w:rsidR="00333DED" w:rsidRPr="00D14CE9" w:rsidRDefault="00333DED" w:rsidP="006D3E01">
            <w:pPr>
              <w:rPr>
                <w:rFonts w:cs="Calibri"/>
                <w:color w:val="000000"/>
                <w:sz w:val="16"/>
                <w:szCs w:val="16"/>
              </w:rPr>
            </w:pPr>
            <w:r w:rsidRPr="00D14CE9">
              <w:rPr>
                <w:rFonts w:cs="Calibri"/>
                <w:color w:val="000000"/>
                <w:sz w:val="16"/>
                <w:szCs w:val="16"/>
              </w:rPr>
              <w:t>Residential Activity</w:t>
            </w:r>
          </w:p>
        </w:tc>
        <w:tc>
          <w:tcPr>
            <w:tcW w:w="813" w:type="pct"/>
            <w:noWrap/>
            <w:vAlign w:val="center"/>
          </w:tcPr>
          <w:p w:rsidR="00333DED" w:rsidRPr="00D14CE9" w:rsidRDefault="002E741F" w:rsidP="006D3E01">
            <w:pPr>
              <w:jc w:val="center"/>
              <w:rPr>
                <w:rFonts w:cs="Calibri"/>
                <w:color w:val="000000"/>
                <w:sz w:val="16"/>
                <w:szCs w:val="16"/>
              </w:rPr>
            </w:pPr>
            <w:r>
              <w:rPr>
                <w:rFonts w:cs="Calibri"/>
                <w:color w:val="000000"/>
                <w:sz w:val="16"/>
                <w:szCs w:val="16"/>
              </w:rPr>
              <w:t>60</w:t>
            </w:r>
            <w:r w:rsidR="00333DED" w:rsidRPr="00D14CE9">
              <w:rPr>
                <w:rFonts w:cs="Calibri"/>
                <w:color w:val="000000"/>
                <w:sz w:val="16"/>
                <w:szCs w:val="16"/>
              </w:rPr>
              <w:t>%</w:t>
            </w:r>
          </w:p>
        </w:tc>
        <w:tc>
          <w:tcPr>
            <w:tcW w:w="938" w:type="pct"/>
            <w:noWrap/>
            <w:vAlign w:val="center"/>
          </w:tcPr>
          <w:p w:rsidR="00333DED" w:rsidRPr="00D14CE9" w:rsidRDefault="002E741F" w:rsidP="006D3E01">
            <w:pPr>
              <w:jc w:val="center"/>
              <w:rPr>
                <w:rFonts w:cs="Calibri"/>
                <w:color w:val="000000"/>
                <w:sz w:val="16"/>
                <w:szCs w:val="16"/>
              </w:rPr>
            </w:pPr>
            <w:r>
              <w:rPr>
                <w:rFonts w:cs="Calibri"/>
                <w:color w:val="000000"/>
                <w:sz w:val="16"/>
                <w:szCs w:val="16"/>
              </w:rPr>
              <w:t>23%</w:t>
            </w:r>
          </w:p>
        </w:tc>
        <w:tc>
          <w:tcPr>
            <w:tcW w:w="813" w:type="pct"/>
            <w:vAlign w:val="center"/>
          </w:tcPr>
          <w:p w:rsidR="00333DED" w:rsidRPr="00D14CE9" w:rsidRDefault="002E741F" w:rsidP="006D3E01">
            <w:pPr>
              <w:jc w:val="center"/>
              <w:rPr>
                <w:rFonts w:cs="Calibri"/>
                <w:color w:val="000000"/>
                <w:sz w:val="16"/>
                <w:szCs w:val="16"/>
              </w:rPr>
            </w:pPr>
            <w:r>
              <w:rPr>
                <w:rFonts w:cs="Calibri"/>
                <w:color w:val="000000"/>
                <w:sz w:val="16"/>
                <w:szCs w:val="16"/>
              </w:rPr>
              <w:t>17%</w:t>
            </w:r>
          </w:p>
        </w:tc>
        <w:tc>
          <w:tcPr>
            <w:tcW w:w="873" w:type="pct"/>
            <w:vAlign w:val="center"/>
          </w:tcPr>
          <w:p w:rsidR="00333DED" w:rsidRPr="00D14CE9" w:rsidRDefault="002E741F" w:rsidP="006D3E01">
            <w:pPr>
              <w:jc w:val="center"/>
              <w:rPr>
                <w:rFonts w:cs="Calibri"/>
                <w:color w:val="000000"/>
                <w:sz w:val="16"/>
                <w:szCs w:val="16"/>
              </w:rPr>
            </w:pPr>
            <w:r>
              <w:rPr>
                <w:rFonts w:cs="Calibri"/>
                <w:color w:val="000000"/>
                <w:sz w:val="16"/>
                <w:szCs w:val="16"/>
              </w:rPr>
              <w:t>100%</w:t>
            </w:r>
          </w:p>
        </w:tc>
      </w:tr>
      <w:tr w:rsidR="00333DED" w:rsidRPr="00D14CE9" w:rsidTr="002A1D72">
        <w:trPr>
          <w:trHeight w:val="315"/>
        </w:trPr>
        <w:tc>
          <w:tcPr>
            <w:tcW w:w="1563" w:type="pct"/>
            <w:noWrap/>
            <w:vAlign w:val="center"/>
          </w:tcPr>
          <w:p w:rsidR="00333DED" w:rsidRPr="00D14CE9" w:rsidRDefault="00333DED" w:rsidP="006D3E01">
            <w:pPr>
              <w:rPr>
                <w:rFonts w:cs="Calibri"/>
                <w:color w:val="000000"/>
                <w:sz w:val="16"/>
                <w:szCs w:val="16"/>
              </w:rPr>
            </w:pPr>
            <w:r w:rsidRPr="00D14CE9">
              <w:rPr>
                <w:rFonts w:cs="Calibri"/>
                <w:color w:val="000000"/>
                <w:sz w:val="16"/>
                <w:szCs w:val="16"/>
              </w:rPr>
              <w:t>Non Residential Activity</w:t>
            </w:r>
          </w:p>
        </w:tc>
        <w:tc>
          <w:tcPr>
            <w:tcW w:w="813" w:type="pct"/>
            <w:noWrap/>
            <w:vAlign w:val="center"/>
          </w:tcPr>
          <w:p w:rsidR="00333DED" w:rsidRPr="00D14CE9" w:rsidRDefault="002E741F" w:rsidP="006D3E01">
            <w:pPr>
              <w:jc w:val="center"/>
              <w:rPr>
                <w:rFonts w:cs="Calibri"/>
                <w:color w:val="000000"/>
                <w:sz w:val="16"/>
                <w:szCs w:val="16"/>
              </w:rPr>
            </w:pPr>
            <w:r>
              <w:rPr>
                <w:rFonts w:cs="Calibri"/>
                <w:color w:val="000000"/>
                <w:sz w:val="16"/>
                <w:szCs w:val="16"/>
              </w:rPr>
              <w:t>86%</w:t>
            </w:r>
          </w:p>
        </w:tc>
        <w:tc>
          <w:tcPr>
            <w:tcW w:w="938" w:type="pct"/>
            <w:noWrap/>
            <w:vAlign w:val="center"/>
          </w:tcPr>
          <w:p w:rsidR="00333DED" w:rsidRPr="00D14CE9" w:rsidRDefault="002E741F" w:rsidP="006D3E01">
            <w:pPr>
              <w:jc w:val="center"/>
              <w:rPr>
                <w:rFonts w:cs="Calibri"/>
                <w:color w:val="000000"/>
                <w:sz w:val="16"/>
                <w:szCs w:val="16"/>
              </w:rPr>
            </w:pPr>
            <w:r>
              <w:rPr>
                <w:rFonts w:cs="Calibri"/>
                <w:color w:val="000000"/>
                <w:sz w:val="16"/>
                <w:szCs w:val="16"/>
              </w:rPr>
              <w:t>1%</w:t>
            </w:r>
          </w:p>
        </w:tc>
        <w:tc>
          <w:tcPr>
            <w:tcW w:w="813" w:type="pct"/>
            <w:vAlign w:val="center"/>
          </w:tcPr>
          <w:p w:rsidR="00333DED" w:rsidRPr="00D14CE9" w:rsidRDefault="002E741F" w:rsidP="006D3E01">
            <w:pPr>
              <w:jc w:val="center"/>
              <w:rPr>
                <w:rFonts w:cs="Calibri"/>
                <w:color w:val="000000"/>
                <w:sz w:val="16"/>
                <w:szCs w:val="16"/>
              </w:rPr>
            </w:pPr>
            <w:r>
              <w:rPr>
                <w:rFonts w:cs="Calibri"/>
                <w:color w:val="000000"/>
                <w:sz w:val="16"/>
                <w:szCs w:val="16"/>
              </w:rPr>
              <w:t>13%</w:t>
            </w:r>
          </w:p>
        </w:tc>
        <w:tc>
          <w:tcPr>
            <w:tcW w:w="873" w:type="pct"/>
            <w:vAlign w:val="center"/>
          </w:tcPr>
          <w:p w:rsidR="00333DED" w:rsidRPr="00D14CE9" w:rsidRDefault="002E741F" w:rsidP="006D3E01">
            <w:pPr>
              <w:jc w:val="center"/>
              <w:rPr>
                <w:rFonts w:cs="Calibri"/>
                <w:color w:val="000000"/>
                <w:sz w:val="16"/>
                <w:szCs w:val="16"/>
              </w:rPr>
            </w:pPr>
            <w:r>
              <w:rPr>
                <w:rFonts w:cs="Calibri"/>
                <w:color w:val="000000"/>
                <w:sz w:val="16"/>
                <w:szCs w:val="16"/>
              </w:rPr>
              <w:t>100%</w:t>
            </w:r>
          </w:p>
        </w:tc>
      </w:tr>
      <w:tr w:rsidR="00333DED" w:rsidRPr="00D14CE9" w:rsidTr="002A1D72">
        <w:trPr>
          <w:trHeight w:val="315"/>
        </w:trPr>
        <w:tc>
          <w:tcPr>
            <w:tcW w:w="1563" w:type="pct"/>
            <w:noWrap/>
            <w:vAlign w:val="center"/>
          </w:tcPr>
          <w:p w:rsidR="00333DED" w:rsidRPr="00D14CE9" w:rsidRDefault="00333DED" w:rsidP="006D3E01">
            <w:pPr>
              <w:rPr>
                <w:rFonts w:cs="Calibri"/>
                <w:color w:val="000000"/>
                <w:sz w:val="16"/>
                <w:szCs w:val="16"/>
              </w:rPr>
            </w:pPr>
            <w:r w:rsidRPr="00D14CE9">
              <w:rPr>
                <w:rFonts w:cs="Calibri"/>
                <w:color w:val="000000"/>
                <w:sz w:val="16"/>
                <w:szCs w:val="16"/>
              </w:rPr>
              <w:t>Transport (excluding major projects) Activity</w:t>
            </w:r>
          </w:p>
        </w:tc>
        <w:tc>
          <w:tcPr>
            <w:tcW w:w="813" w:type="pct"/>
            <w:noWrap/>
            <w:vAlign w:val="center"/>
          </w:tcPr>
          <w:p w:rsidR="00333DED" w:rsidRPr="00D14CE9" w:rsidRDefault="002E741F" w:rsidP="006D3E01">
            <w:pPr>
              <w:jc w:val="center"/>
              <w:rPr>
                <w:rFonts w:cs="Calibri"/>
                <w:color w:val="000000"/>
                <w:sz w:val="16"/>
                <w:szCs w:val="16"/>
              </w:rPr>
            </w:pPr>
            <w:r>
              <w:rPr>
                <w:rFonts w:cs="Calibri"/>
                <w:color w:val="000000"/>
                <w:sz w:val="16"/>
                <w:szCs w:val="16"/>
              </w:rPr>
              <w:t>11%</w:t>
            </w:r>
          </w:p>
        </w:tc>
        <w:tc>
          <w:tcPr>
            <w:tcW w:w="938" w:type="pct"/>
            <w:noWrap/>
            <w:vAlign w:val="center"/>
          </w:tcPr>
          <w:p w:rsidR="00333DED" w:rsidRPr="00D14CE9" w:rsidRDefault="002E741F" w:rsidP="006D3E01">
            <w:pPr>
              <w:jc w:val="center"/>
              <w:rPr>
                <w:rFonts w:cs="Calibri"/>
                <w:color w:val="000000"/>
                <w:sz w:val="16"/>
                <w:szCs w:val="16"/>
              </w:rPr>
            </w:pPr>
            <w:r>
              <w:rPr>
                <w:rFonts w:cs="Calibri"/>
                <w:color w:val="000000"/>
                <w:sz w:val="16"/>
                <w:szCs w:val="16"/>
              </w:rPr>
              <w:t>2%</w:t>
            </w:r>
          </w:p>
        </w:tc>
        <w:tc>
          <w:tcPr>
            <w:tcW w:w="813" w:type="pct"/>
            <w:vAlign w:val="center"/>
          </w:tcPr>
          <w:p w:rsidR="00333DED" w:rsidRPr="00D14CE9" w:rsidRDefault="002E741F" w:rsidP="006D3E01">
            <w:pPr>
              <w:jc w:val="center"/>
              <w:rPr>
                <w:rFonts w:cs="Calibri"/>
                <w:color w:val="000000"/>
                <w:sz w:val="16"/>
                <w:szCs w:val="16"/>
              </w:rPr>
            </w:pPr>
            <w:r>
              <w:rPr>
                <w:rFonts w:cs="Calibri"/>
                <w:color w:val="000000"/>
                <w:sz w:val="16"/>
                <w:szCs w:val="16"/>
              </w:rPr>
              <w:t>88%</w:t>
            </w:r>
          </w:p>
        </w:tc>
        <w:tc>
          <w:tcPr>
            <w:tcW w:w="873" w:type="pct"/>
            <w:vAlign w:val="center"/>
          </w:tcPr>
          <w:p w:rsidR="00333DED" w:rsidRPr="00D14CE9" w:rsidRDefault="002E741F" w:rsidP="006D3E01">
            <w:pPr>
              <w:jc w:val="center"/>
              <w:rPr>
                <w:rFonts w:cs="Calibri"/>
                <w:color w:val="000000"/>
                <w:sz w:val="16"/>
                <w:szCs w:val="16"/>
              </w:rPr>
            </w:pPr>
            <w:r>
              <w:rPr>
                <w:rFonts w:cs="Calibri"/>
                <w:color w:val="000000"/>
                <w:sz w:val="16"/>
                <w:szCs w:val="16"/>
              </w:rPr>
              <w:t>100%</w:t>
            </w:r>
          </w:p>
        </w:tc>
      </w:tr>
      <w:tr w:rsidR="00333DED" w:rsidRPr="00D14CE9" w:rsidTr="002A1D72">
        <w:trPr>
          <w:trHeight w:val="315"/>
        </w:trPr>
        <w:tc>
          <w:tcPr>
            <w:tcW w:w="1563" w:type="pct"/>
            <w:noWrap/>
            <w:vAlign w:val="center"/>
          </w:tcPr>
          <w:p w:rsidR="00333DED" w:rsidRPr="00D14CE9" w:rsidRDefault="00333DED" w:rsidP="006D3E01">
            <w:pPr>
              <w:rPr>
                <w:rFonts w:cs="Calibri"/>
                <w:color w:val="000000"/>
                <w:sz w:val="16"/>
                <w:szCs w:val="16"/>
              </w:rPr>
            </w:pPr>
            <w:r w:rsidRPr="00D14CE9">
              <w:rPr>
                <w:rFonts w:cs="Calibri"/>
                <w:color w:val="000000"/>
                <w:sz w:val="16"/>
                <w:szCs w:val="16"/>
              </w:rPr>
              <w:t>Transport Major Projects</w:t>
            </w:r>
          </w:p>
        </w:tc>
        <w:tc>
          <w:tcPr>
            <w:tcW w:w="813" w:type="pct"/>
            <w:noWrap/>
            <w:vAlign w:val="center"/>
          </w:tcPr>
          <w:p w:rsidR="00333DED" w:rsidRPr="00D14CE9" w:rsidRDefault="002E741F" w:rsidP="006D3E01">
            <w:pPr>
              <w:jc w:val="center"/>
              <w:rPr>
                <w:rFonts w:cs="Calibri"/>
                <w:color w:val="000000"/>
                <w:sz w:val="16"/>
                <w:szCs w:val="16"/>
              </w:rPr>
            </w:pPr>
            <w:r>
              <w:rPr>
                <w:rFonts w:cs="Calibri"/>
                <w:color w:val="000000"/>
                <w:sz w:val="16"/>
                <w:szCs w:val="16"/>
              </w:rPr>
              <w:t>26%</w:t>
            </w:r>
          </w:p>
        </w:tc>
        <w:tc>
          <w:tcPr>
            <w:tcW w:w="938" w:type="pct"/>
            <w:noWrap/>
            <w:vAlign w:val="center"/>
          </w:tcPr>
          <w:p w:rsidR="00333DED" w:rsidRPr="00D14CE9" w:rsidRDefault="002E741F" w:rsidP="006D3E01">
            <w:pPr>
              <w:jc w:val="center"/>
              <w:rPr>
                <w:rFonts w:cs="Calibri"/>
                <w:color w:val="000000"/>
                <w:sz w:val="16"/>
                <w:szCs w:val="16"/>
              </w:rPr>
            </w:pPr>
            <w:r>
              <w:rPr>
                <w:rFonts w:cs="Calibri"/>
                <w:color w:val="000000"/>
                <w:sz w:val="16"/>
                <w:szCs w:val="16"/>
              </w:rPr>
              <w:t>0%</w:t>
            </w:r>
          </w:p>
        </w:tc>
        <w:tc>
          <w:tcPr>
            <w:tcW w:w="813" w:type="pct"/>
            <w:vAlign w:val="center"/>
          </w:tcPr>
          <w:p w:rsidR="00333DED" w:rsidRPr="00D14CE9" w:rsidRDefault="002E741F" w:rsidP="006D3E01">
            <w:pPr>
              <w:jc w:val="center"/>
              <w:rPr>
                <w:rFonts w:cs="Calibri"/>
                <w:color w:val="000000"/>
                <w:sz w:val="16"/>
                <w:szCs w:val="16"/>
              </w:rPr>
            </w:pPr>
            <w:r>
              <w:rPr>
                <w:rFonts w:cs="Calibri"/>
                <w:color w:val="000000"/>
                <w:sz w:val="16"/>
                <w:szCs w:val="16"/>
              </w:rPr>
              <w:t>74%</w:t>
            </w:r>
          </w:p>
        </w:tc>
        <w:tc>
          <w:tcPr>
            <w:tcW w:w="873" w:type="pct"/>
            <w:vAlign w:val="center"/>
          </w:tcPr>
          <w:p w:rsidR="00333DED" w:rsidRPr="00D14CE9" w:rsidRDefault="002E741F" w:rsidP="006D3E01">
            <w:pPr>
              <w:jc w:val="center"/>
              <w:rPr>
                <w:rFonts w:cs="Calibri"/>
                <w:color w:val="000000"/>
                <w:sz w:val="16"/>
                <w:szCs w:val="16"/>
              </w:rPr>
            </w:pPr>
            <w:r>
              <w:rPr>
                <w:rFonts w:cs="Calibri"/>
                <w:color w:val="000000"/>
                <w:sz w:val="16"/>
                <w:szCs w:val="16"/>
              </w:rPr>
              <w:t>100%</w:t>
            </w:r>
          </w:p>
        </w:tc>
      </w:tr>
      <w:tr w:rsidR="00333DED" w:rsidRPr="00D14CE9" w:rsidTr="002A1D72">
        <w:trPr>
          <w:trHeight w:val="315"/>
        </w:trPr>
        <w:tc>
          <w:tcPr>
            <w:tcW w:w="1563" w:type="pct"/>
            <w:noWrap/>
            <w:vAlign w:val="center"/>
          </w:tcPr>
          <w:p w:rsidR="00333DED" w:rsidRPr="00D14CE9" w:rsidRDefault="00333DED" w:rsidP="00333DED">
            <w:pPr>
              <w:rPr>
                <w:rFonts w:cs="Calibri"/>
                <w:color w:val="000000"/>
                <w:sz w:val="16"/>
                <w:szCs w:val="16"/>
              </w:rPr>
            </w:pPr>
            <w:r w:rsidRPr="00E26D85">
              <w:rPr>
                <w:rFonts w:cs="Calibri"/>
                <w:color w:val="000000"/>
                <w:sz w:val="16"/>
                <w:szCs w:val="16"/>
              </w:rPr>
              <w:t xml:space="preserve">Energy and </w:t>
            </w:r>
            <w:r w:rsidRPr="00C7148F">
              <w:rPr>
                <w:rFonts w:cs="Calibri"/>
                <w:color w:val="000000"/>
                <w:sz w:val="16"/>
                <w:szCs w:val="16"/>
              </w:rPr>
              <w:t>Utilities Activity</w:t>
            </w:r>
            <w:r w:rsidRPr="00D14CE9">
              <w:rPr>
                <w:rStyle w:val="FootnoteReference"/>
                <w:rFonts w:cs="Calibri"/>
                <w:color w:val="000000"/>
              </w:rPr>
              <w:footnoteReference w:id="4"/>
            </w:r>
          </w:p>
        </w:tc>
        <w:tc>
          <w:tcPr>
            <w:tcW w:w="813" w:type="pct"/>
            <w:noWrap/>
            <w:vAlign w:val="center"/>
          </w:tcPr>
          <w:p w:rsidR="00333DED" w:rsidRPr="00D14CE9" w:rsidRDefault="002E741F" w:rsidP="006D3E01">
            <w:pPr>
              <w:jc w:val="center"/>
              <w:rPr>
                <w:rFonts w:cs="Calibri"/>
                <w:color w:val="000000"/>
                <w:sz w:val="16"/>
                <w:szCs w:val="16"/>
              </w:rPr>
            </w:pPr>
            <w:r>
              <w:rPr>
                <w:rFonts w:cs="Calibri"/>
                <w:color w:val="000000"/>
                <w:sz w:val="16"/>
                <w:szCs w:val="16"/>
              </w:rPr>
              <w:t>87%</w:t>
            </w:r>
          </w:p>
        </w:tc>
        <w:tc>
          <w:tcPr>
            <w:tcW w:w="938" w:type="pct"/>
            <w:noWrap/>
            <w:vAlign w:val="center"/>
          </w:tcPr>
          <w:p w:rsidR="00333DED" w:rsidRPr="00D14CE9" w:rsidRDefault="002E741F" w:rsidP="006D3E01">
            <w:pPr>
              <w:jc w:val="center"/>
              <w:rPr>
                <w:rFonts w:cs="Calibri"/>
                <w:color w:val="000000"/>
                <w:sz w:val="16"/>
                <w:szCs w:val="16"/>
              </w:rPr>
            </w:pPr>
            <w:r>
              <w:rPr>
                <w:rFonts w:cs="Calibri"/>
                <w:color w:val="000000"/>
                <w:sz w:val="16"/>
                <w:szCs w:val="16"/>
              </w:rPr>
              <w:t>0%</w:t>
            </w:r>
          </w:p>
        </w:tc>
        <w:tc>
          <w:tcPr>
            <w:tcW w:w="813" w:type="pct"/>
            <w:vAlign w:val="center"/>
          </w:tcPr>
          <w:p w:rsidR="00333DED" w:rsidRPr="00D14CE9" w:rsidRDefault="002E741F" w:rsidP="006D3E01">
            <w:pPr>
              <w:jc w:val="center"/>
              <w:rPr>
                <w:rFonts w:cs="Calibri"/>
                <w:color w:val="000000"/>
                <w:sz w:val="16"/>
                <w:szCs w:val="16"/>
              </w:rPr>
            </w:pPr>
            <w:r>
              <w:rPr>
                <w:rFonts w:cs="Calibri"/>
                <w:color w:val="000000"/>
                <w:sz w:val="16"/>
                <w:szCs w:val="16"/>
              </w:rPr>
              <w:t>13%</w:t>
            </w:r>
          </w:p>
        </w:tc>
        <w:tc>
          <w:tcPr>
            <w:tcW w:w="873" w:type="pct"/>
            <w:vAlign w:val="center"/>
          </w:tcPr>
          <w:p w:rsidR="00333DED" w:rsidRPr="00D14CE9" w:rsidRDefault="002E741F" w:rsidP="006D3E01">
            <w:pPr>
              <w:jc w:val="center"/>
              <w:rPr>
                <w:rFonts w:cs="Calibri"/>
                <w:color w:val="000000"/>
                <w:sz w:val="16"/>
                <w:szCs w:val="16"/>
              </w:rPr>
            </w:pPr>
            <w:r>
              <w:rPr>
                <w:rFonts w:cs="Calibri"/>
                <w:color w:val="000000"/>
                <w:sz w:val="16"/>
                <w:szCs w:val="16"/>
              </w:rPr>
              <w:t>100%</w:t>
            </w:r>
          </w:p>
        </w:tc>
      </w:tr>
    </w:tbl>
    <w:p w:rsidR="00333DED" w:rsidRPr="00D14CE9" w:rsidRDefault="00333DED" w:rsidP="00333DED">
      <w:pPr>
        <w:pStyle w:val="EYSource"/>
        <w:rPr>
          <w:lang w:val="en-AU"/>
        </w:rPr>
      </w:pPr>
      <w:r w:rsidRPr="00D14CE9">
        <w:rPr>
          <w:lang w:val="en-AU"/>
        </w:rPr>
        <w:t xml:space="preserve">Source: </w:t>
      </w:r>
      <w:r>
        <w:rPr>
          <w:lang w:val="en-AU"/>
        </w:rPr>
        <w:t>EY analysis based on AECOM inputs</w:t>
      </w:r>
      <w:r w:rsidRPr="00D14CE9">
        <w:rPr>
          <w:lang w:val="en-AU"/>
        </w:rPr>
        <w:t xml:space="preserve"> </w:t>
      </w:r>
    </w:p>
    <w:p w:rsidR="002E741F" w:rsidRDefault="002E741F" w:rsidP="002A1D72">
      <w:pPr>
        <w:pStyle w:val="EYBodytextwithparaspace"/>
        <w:spacing w:after="0"/>
        <w:rPr>
          <w:b/>
          <w:lang w:val="en-AU"/>
        </w:rPr>
      </w:pPr>
    </w:p>
    <w:p w:rsidR="002E741F" w:rsidRDefault="008C7E23" w:rsidP="00B278E8">
      <w:pPr>
        <w:pStyle w:val="EYBodytextwithparaspace"/>
        <w:rPr>
          <w:rFonts w:cstheme="majorHAnsi"/>
          <w:szCs w:val="20"/>
          <w:lang w:val="en-AU"/>
        </w:rPr>
      </w:pPr>
      <w:r>
        <w:rPr>
          <w:rFonts w:cstheme="majorHAnsi"/>
          <w:szCs w:val="20"/>
          <w:lang w:val="en-AU"/>
        </w:rPr>
        <w:t>The detailed industry analysis identified that these shares of Sand and Gravel attributable to specific commodity products are stable over time for all construction activities</w:t>
      </w:r>
      <w:r w:rsidR="00A47D60">
        <w:rPr>
          <w:rFonts w:cstheme="majorHAnsi"/>
          <w:szCs w:val="20"/>
          <w:lang w:val="en-AU"/>
        </w:rPr>
        <w:t xml:space="preserve">. </w:t>
      </w:r>
      <w:r w:rsidR="00801505">
        <w:rPr>
          <w:rFonts w:cstheme="majorHAnsi"/>
          <w:szCs w:val="20"/>
          <w:lang w:val="en-AU"/>
        </w:rPr>
        <w:t>As such, consumption of concrete and fine sand varies with the evolving mix of construction activity.</w:t>
      </w:r>
    </w:p>
    <w:p w:rsidR="00B278E8" w:rsidRPr="00D14CE9" w:rsidRDefault="00545C8C" w:rsidP="00B278E8">
      <w:pPr>
        <w:pStyle w:val="EYBodytextwithparaspace"/>
        <w:rPr>
          <w:b/>
          <w:lang w:val="en-AU"/>
        </w:rPr>
      </w:pPr>
      <w:r w:rsidRPr="00D14CE9">
        <w:rPr>
          <w:b/>
          <w:lang w:val="en-AU"/>
        </w:rPr>
        <w:t>R</w:t>
      </w:r>
      <w:r w:rsidR="00B278E8" w:rsidRPr="00D14CE9">
        <w:rPr>
          <w:b/>
          <w:lang w:val="en-AU"/>
        </w:rPr>
        <w:t xml:space="preserve">egional allocation </w:t>
      </w:r>
      <w:r w:rsidRPr="00D14CE9">
        <w:rPr>
          <w:b/>
          <w:lang w:val="en-AU"/>
        </w:rPr>
        <w:t xml:space="preserve">of hard rocks </w:t>
      </w:r>
      <w:r w:rsidR="00B278E8" w:rsidRPr="00D14CE9">
        <w:rPr>
          <w:b/>
          <w:lang w:val="en-AU"/>
        </w:rPr>
        <w:t>in Victoria</w:t>
      </w:r>
    </w:p>
    <w:p w:rsidR="00A273F3" w:rsidRPr="00D14CE9" w:rsidRDefault="00A273F3">
      <w:pPr>
        <w:pStyle w:val="EYBodytextwithparaspace"/>
        <w:rPr>
          <w:rFonts w:cstheme="majorHAnsi"/>
          <w:szCs w:val="20"/>
          <w:lang w:val="en-AU"/>
        </w:rPr>
      </w:pPr>
      <w:r w:rsidRPr="00D14CE9">
        <w:rPr>
          <w:rFonts w:cstheme="majorHAnsi"/>
          <w:szCs w:val="20"/>
          <w:lang w:val="en-AU"/>
        </w:rPr>
        <w:t xml:space="preserve">Works performed by AECOM </w:t>
      </w:r>
      <w:r w:rsidR="00162F3B" w:rsidRPr="00D14CE9">
        <w:rPr>
          <w:rFonts w:cstheme="majorHAnsi"/>
          <w:szCs w:val="20"/>
          <w:lang w:val="en-AU"/>
        </w:rPr>
        <w:t xml:space="preserve">also </w:t>
      </w:r>
      <w:r w:rsidRPr="00D14CE9">
        <w:rPr>
          <w:rFonts w:cstheme="majorHAnsi"/>
          <w:szCs w:val="20"/>
          <w:lang w:val="en-AU"/>
        </w:rPr>
        <w:t xml:space="preserve">helped inform the potential break down of the uses of hard rocks on a regional basis, relying on the availability of the materials in those specific areas. Concordance between the regions considered in AECOM analysis and the LGAs considered for the demand analysis is provided in </w:t>
      </w:r>
      <w:r w:rsidR="00D45341" w:rsidRPr="00474B05">
        <w:rPr>
          <w:rFonts w:cstheme="majorHAnsi"/>
          <w:lang w:val="en-AU"/>
        </w:rPr>
        <w:fldChar w:fldCharType="begin" w:fldLock="1"/>
      </w:r>
      <w:r w:rsidR="00D45341" w:rsidRPr="00D14CE9">
        <w:rPr>
          <w:rFonts w:cstheme="majorHAnsi"/>
          <w:szCs w:val="20"/>
          <w:lang w:val="en-AU"/>
        </w:rPr>
        <w:instrText xml:space="preserve"> REF _Ref441835942 \r \h </w:instrText>
      </w:r>
      <w:r w:rsidR="00D45341" w:rsidRPr="00474B05">
        <w:rPr>
          <w:rFonts w:cstheme="majorHAnsi"/>
          <w:lang w:val="en-AU"/>
        </w:rPr>
      </w:r>
      <w:r w:rsidR="00D45341" w:rsidRPr="00474B05">
        <w:rPr>
          <w:rFonts w:cstheme="majorHAnsi"/>
          <w:lang w:val="en-AU"/>
        </w:rPr>
        <w:fldChar w:fldCharType="separate"/>
      </w:r>
      <w:r w:rsidR="00895089">
        <w:rPr>
          <w:rFonts w:cstheme="majorHAnsi"/>
          <w:szCs w:val="20"/>
          <w:lang w:val="en-AU"/>
        </w:rPr>
        <w:t>Appendix B</w:t>
      </w:r>
      <w:r w:rsidR="00D45341" w:rsidRPr="00474B05">
        <w:rPr>
          <w:rFonts w:cstheme="majorHAnsi"/>
          <w:lang w:val="en-AU"/>
        </w:rPr>
        <w:fldChar w:fldCharType="end"/>
      </w:r>
      <w:r w:rsidR="00D45341" w:rsidRPr="00D14CE9">
        <w:rPr>
          <w:rFonts w:cstheme="majorHAnsi"/>
          <w:szCs w:val="20"/>
          <w:lang w:val="en-AU"/>
        </w:rPr>
        <w:t xml:space="preserve"> </w:t>
      </w:r>
      <w:r w:rsidRPr="00D14CE9">
        <w:rPr>
          <w:rFonts w:cstheme="majorHAnsi"/>
          <w:szCs w:val="20"/>
          <w:lang w:val="en-AU"/>
        </w:rPr>
        <w:t xml:space="preserve">of the Report. </w:t>
      </w:r>
      <w:r w:rsidR="00A05027">
        <w:rPr>
          <w:rFonts w:cstheme="majorHAnsi"/>
          <w:szCs w:val="20"/>
          <w:lang w:val="en-AU"/>
        </w:rPr>
        <w:fldChar w:fldCharType="begin"/>
      </w:r>
      <w:r w:rsidR="00A05027">
        <w:rPr>
          <w:rFonts w:cstheme="majorHAnsi"/>
          <w:szCs w:val="20"/>
          <w:lang w:val="en-AU"/>
        </w:rPr>
        <w:instrText xml:space="preserve"> REF _Ref441497654 \h </w:instrText>
      </w:r>
      <w:r w:rsidR="00A05027">
        <w:rPr>
          <w:rFonts w:cstheme="majorHAnsi"/>
          <w:szCs w:val="20"/>
          <w:lang w:val="en-AU"/>
        </w:rPr>
      </w:r>
      <w:r w:rsidR="00A05027">
        <w:rPr>
          <w:rFonts w:cstheme="majorHAnsi"/>
          <w:szCs w:val="20"/>
          <w:lang w:val="en-AU"/>
        </w:rPr>
        <w:fldChar w:fldCharType="separate"/>
      </w:r>
      <w:r w:rsidR="00525C82" w:rsidRPr="00D14CE9">
        <w:t xml:space="preserve">Table </w:t>
      </w:r>
      <w:r w:rsidR="00525C82">
        <w:rPr>
          <w:noProof/>
        </w:rPr>
        <w:t>7</w:t>
      </w:r>
      <w:r w:rsidR="00A05027">
        <w:rPr>
          <w:rFonts w:cstheme="majorHAnsi"/>
          <w:szCs w:val="20"/>
          <w:lang w:val="en-AU"/>
        </w:rPr>
        <w:fldChar w:fldCharType="end"/>
      </w:r>
      <w:r w:rsidR="00A05027">
        <w:rPr>
          <w:rFonts w:cstheme="majorHAnsi"/>
          <w:szCs w:val="20"/>
          <w:lang w:val="en-AU"/>
        </w:rPr>
        <w:t xml:space="preserve"> </w:t>
      </w:r>
      <w:r w:rsidRPr="00D14CE9">
        <w:rPr>
          <w:rFonts w:cstheme="majorHAnsi"/>
          <w:szCs w:val="20"/>
          <w:lang w:val="en-AU"/>
        </w:rPr>
        <w:t>below summarizes the key findings, in terms of spatial allocation of the demand for hard rocks, derived from AECOM works.</w:t>
      </w:r>
    </w:p>
    <w:p w:rsidR="006805FC" w:rsidRPr="00D14CE9" w:rsidRDefault="006805FC" w:rsidP="00C200D0">
      <w:pPr>
        <w:pStyle w:val="EYBodytextwithparaspace"/>
        <w:rPr>
          <w:kern w:val="0"/>
          <w:szCs w:val="20"/>
          <w:lang w:val="en-AU"/>
        </w:rPr>
        <w:sectPr w:rsidR="006805FC" w:rsidRPr="00D14CE9" w:rsidSect="003E25FF">
          <w:footerReference w:type="default" r:id="rId27"/>
          <w:pgSz w:w="11909" w:h="16834" w:code="9"/>
          <w:pgMar w:top="1440" w:right="994" w:bottom="851" w:left="1440" w:header="720" w:footer="567" w:gutter="0"/>
          <w:cols w:space="720"/>
          <w:docGrid w:linePitch="360"/>
        </w:sect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7 "/>
        <w:tblDescription w:val="Table 7 shows a special allocation of hard rocks in Victoria. The highest percentage of rock type in single LGAs is basalt new in the LGAs of Barwon, Central Highlands and Great South Coast."/>
      </w:tblPr>
      <w:tblGrid>
        <w:gridCol w:w="2381"/>
        <w:gridCol w:w="689"/>
        <w:gridCol w:w="689"/>
        <w:gridCol w:w="689"/>
        <w:gridCol w:w="687"/>
        <w:gridCol w:w="687"/>
        <w:gridCol w:w="687"/>
        <w:gridCol w:w="687"/>
        <w:gridCol w:w="687"/>
        <w:gridCol w:w="687"/>
        <w:gridCol w:w="689"/>
      </w:tblGrid>
      <w:tr w:rsidR="006805FC" w:rsidRPr="00D14CE9" w:rsidTr="003E25FF">
        <w:trPr>
          <w:trHeight w:val="315"/>
        </w:trPr>
        <w:tc>
          <w:tcPr>
            <w:tcW w:w="5000" w:type="pct"/>
            <w:gridSpan w:val="11"/>
            <w:shd w:val="clear" w:color="auto" w:fill="808080"/>
            <w:noWrap/>
            <w:vAlign w:val="bottom"/>
          </w:tcPr>
          <w:p w:rsidR="006805FC" w:rsidRPr="00D14CE9" w:rsidRDefault="006805FC" w:rsidP="00802792">
            <w:pPr>
              <w:pStyle w:val="EYTableHeadingWhite"/>
              <w:rPr>
                <w:rFonts w:eastAsia="Arial Unicode MS"/>
              </w:rPr>
            </w:pPr>
            <w:bookmarkStart w:id="401" w:name="_Ref441497654"/>
            <w:bookmarkStart w:id="402" w:name="_Toc445240942"/>
            <w:bookmarkStart w:id="403" w:name="_Ref448848216"/>
            <w:bookmarkStart w:id="404" w:name="_Toc448914634"/>
            <w:bookmarkStart w:id="405" w:name="_Toc448920451"/>
            <w:bookmarkStart w:id="406" w:name="_Ref441403682"/>
            <w:bookmarkStart w:id="407" w:name="_Ref441410947"/>
            <w:r w:rsidRPr="00D14CE9">
              <w:lastRenderedPageBreak/>
              <w:t xml:space="preserve">Table </w:t>
            </w:r>
            <w:r w:rsidR="000701D2">
              <w:fldChar w:fldCharType="begin"/>
            </w:r>
            <w:r w:rsidR="000701D2">
              <w:instrText xml:space="preserve"> SEQ Table \* ARABIC </w:instrText>
            </w:r>
            <w:r w:rsidR="000701D2">
              <w:fldChar w:fldCharType="separate"/>
            </w:r>
            <w:r w:rsidR="00525C82">
              <w:rPr>
                <w:noProof/>
              </w:rPr>
              <w:t>7</w:t>
            </w:r>
            <w:r w:rsidR="000701D2">
              <w:rPr>
                <w:noProof/>
              </w:rPr>
              <w:fldChar w:fldCharType="end"/>
            </w:r>
            <w:bookmarkEnd w:id="401"/>
            <w:r w:rsidRPr="00D14CE9">
              <w:t xml:space="preserve"> – Spatial allocation of hard rocks in Victoria</w:t>
            </w:r>
            <w:bookmarkEnd w:id="402"/>
            <w:bookmarkEnd w:id="403"/>
            <w:bookmarkEnd w:id="404"/>
            <w:bookmarkEnd w:id="405"/>
          </w:p>
        </w:tc>
      </w:tr>
      <w:tr w:rsidR="00623D7D" w:rsidRPr="00D14CE9" w:rsidTr="003637FD">
        <w:trPr>
          <w:cantSplit/>
          <w:trHeight w:val="1484"/>
        </w:trPr>
        <w:tc>
          <w:tcPr>
            <w:tcW w:w="1286" w:type="pct"/>
            <w:shd w:val="clear" w:color="auto" w:fill="F0F0F0"/>
            <w:vAlign w:val="center"/>
          </w:tcPr>
          <w:p w:rsidR="00623D7D" w:rsidRPr="00D14CE9" w:rsidRDefault="00623D7D" w:rsidP="00E65C9D">
            <w:pPr>
              <w:pStyle w:val="EYTableHeading"/>
              <w:rPr>
                <w:rFonts w:eastAsia="Arial Unicode MS"/>
              </w:rPr>
            </w:pPr>
          </w:p>
        </w:tc>
        <w:tc>
          <w:tcPr>
            <w:tcW w:w="372" w:type="pct"/>
            <w:shd w:val="clear" w:color="auto" w:fill="F0F0F0"/>
            <w:tcMar>
              <w:top w:w="0" w:type="dxa"/>
              <w:left w:w="0" w:type="dxa"/>
              <w:bottom w:w="0" w:type="dxa"/>
              <w:right w:w="0" w:type="dxa"/>
            </w:tcMar>
            <w:textDirection w:val="tbRl"/>
            <w:vAlign w:val="center"/>
          </w:tcPr>
          <w:p w:rsidR="00623D7D" w:rsidRPr="00D14CE9" w:rsidRDefault="00623D7D" w:rsidP="003637FD">
            <w:pPr>
              <w:pStyle w:val="EYTableHeading"/>
              <w:ind w:left="113" w:right="113"/>
              <w:rPr>
                <w:rFonts w:eastAsia="Arial Unicode MS"/>
              </w:rPr>
            </w:pPr>
            <w:r w:rsidRPr="00D14CE9">
              <w:t>Barwon</w:t>
            </w:r>
          </w:p>
        </w:tc>
        <w:tc>
          <w:tcPr>
            <w:tcW w:w="372" w:type="pct"/>
            <w:shd w:val="clear" w:color="auto" w:fill="F0F0F0"/>
            <w:tcMar>
              <w:top w:w="0" w:type="dxa"/>
              <w:left w:w="0" w:type="dxa"/>
              <w:bottom w:w="0" w:type="dxa"/>
              <w:right w:w="0" w:type="dxa"/>
            </w:tcMar>
            <w:textDirection w:val="tbRl"/>
            <w:vAlign w:val="center"/>
          </w:tcPr>
          <w:p w:rsidR="00623D7D" w:rsidRPr="00D14CE9" w:rsidRDefault="00623D7D" w:rsidP="003637FD">
            <w:pPr>
              <w:pStyle w:val="EYTableHeading"/>
              <w:ind w:left="113" w:right="113"/>
              <w:rPr>
                <w:rFonts w:eastAsia="Arial Unicode MS"/>
              </w:rPr>
            </w:pPr>
            <w:r w:rsidRPr="00D14CE9">
              <w:t>Central Highlands</w:t>
            </w:r>
          </w:p>
        </w:tc>
        <w:tc>
          <w:tcPr>
            <w:tcW w:w="372" w:type="pct"/>
            <w:shd w:val="clear" w:color="auto" w:fill="F0F0F0"/>
            <w:tcMar>
              <w:top w:w="0" w:type="dxa"/>
              <w:left w:w="0" w:type="dxa"/>
              <w:bottom w:w="0" w:type="dxa"/>
              <w:right w:w="0" w:type="dxa"/>
            </w:tcMar>
            <w:textDirection w:val="tbRl"/>
            <w:vAlign w:val="center"/>
          </w:tcPr>
          <w:p w:rsidR="00623D7D" w:rsidRPr="00D14CE9" w:rsidRDefault="00623D7D" w:rsidP="003637FD">
            <w:pPr>
              <w:pStyle w:val="EYTableHeading"/>
              <w:ind w:left="113" w:right="113"/>
              <w:rPr>
                <w:rFonts w:eastAsia="Arial Unicode MS"/>
              </w:rPr>
            </w:pPr>
            <w:r w:rsidRPr="00D14CE9">
              <w:t>Gippsland</w:t>
            </w:r>
          </w:p>
        </w:tc>
        <w:tc>
          <w:tcPr>
            <w:tcW w:w="371" w:type="pct"/>
            <w:shd w:val="clear" w:color="auto" w:fill="F0F0F0"/>
            <w:tcMar>
              <w:top w:w="0" w:type="dxa"/>
              <w:left w:w="0" w:type="dxa"/>
              <w:bottom w:w="0" w:type="dxa"/>
              <w:right w:w="0" w:type="dxa"/>
            </w:tcMar>
            <w:textDirection w:val="tbRl"/>
            <w:vAlign w:val="center"/>
          </w:tcPr>
          <w:p w:rsidR="00623D7D" w:rsidRPr="00D14CE9" w:rsidRDefault="00623D7D" w:rsidP="003637FD">
            <w:pPr>
              <w:pStyle w:val="EYTableHeading"/>
              <w:ind w:left="113" w:right="113"/>
            </w:pPr>
            <w:r w:rsidRPr="00D14CE9">
              <w:t>Goulburn</w:t>
            </w:r>
          </w:p>
        </w:tc>
        <w:tc>
          <w:tcPr>
            <w:tcW w:w="371" w:type="pct"/>
            <w:shd w:val="clear" w:color="auto" w:fill="F0F0F0"/>
            <w:tcMar>
              <w:top w:w="0" w:type="dxa"/>
              <w:left w:w="0" w:type="dxa"/>
              <w:bottom w:w="0" w:type="dxa"/>
              <w:right w:w="0" w:type="dxa"/>
            </w:tcMar>
            <w:textDirection w:val="tbRl"/>
            <w:vAlign w:val="center"/>
          </w:tcPr>
          <w:p w:rsidR="00623D7D" w:rsidRPr="00D14CE9" w:rsidRDefault="00623D7D" w:rsidP="003637FD">
            <w:pPr>
              <w:pStyle w:val="EYTableHeading"/>
              <w:ind w:left="113" w:right="113"/>
            </w:pPr>
            <w:r w:rsidRPr="00D14CE9">
              <w:t>Great South Coast</w:t>
            </w:r>
          </w:p>
        </w:tc>
        <w:tc>
          <w:tcPr>
            <w:tcW w:w="371" w:type="pct"/>
            <w:shd w:val="clear" w:color="auto" w:fill="F0F0F0"/>
            <w:tcMar>
              <w:top w:w="0" w:type="dxa"/>
              <w:left w:w="0" w:type="dxa"/>
              <w:bottom w:w="0" w:type="dxa"/>
              <w:right w:w="0" w:type="dxa"/>
            </w:tcMar>
            <w:textDirection w:val="tbRl"/>
            <w:vAlign w:val="center"/>
          </w:tcPr>
          <w:p w:rsidR="00623D7D" w:rsidRPr="00D14CE9" w:rsidRDefault="00623D7D" w:rsidP="003637FD">
            <w:pPr>
              <w:pStyle w:val="EYTableHeading"/>
              <w:ind w:left="113" w:right="113"/>
            </w:pPr>
            <w:r w:rsidRPr="00D14CE9">
              <w:t>Greater Melbourne</w:t>
            </w:r>
          </w:p>
        </w:tc>
        <w:tc>
          <w:tcPr>
            <w:tcW w:w="371" w:type="pct"/>
            <w:shd w:val="clear" w:color="auto" w:fill="F0F0F0"/>
            <w:tcMar>
              <w:top w:w="0" w:type="dxa"/>
              <w:left w:w="0" w:type="dxa"/>
              <w:bottom w:w="0" w:type="dxa"/>
              <w:right w:w="0" w:type="dxa"/>
            </w:tcMar>
            <w:textDirection w:val="tbRl"/>
            <w:vAlign w:val="center"/>
          </w:tcPr>
          <w:p w:rsidR="00623D7D" w:rsidRPr="00D14CE9" w:rsidRDefault="00623D7D" w:rsidP="003637FD">
            <w:pPr>
              <w:pStyle w:val="EYTableHeading"/>
              <w:ind w:left="113" w:right="113"/>
            </w:pPr>
            <w:r w:rsidRPr="00D14CE9">
              <w:t>Loddon Campaspe</w:t>
            </w:r>
          </w:p>
        </w:tc>
        <w:tc>
          <w:tcPr>
            <w:tcW w:w="371" w:type="pct"/>
            <w:shd w:val="clear" w:color="auto" w:fill="F0F0F0"/>
            <w:tcMar>
              <w:top w:w="0" w:type="dxa"/>
              <w:left w:w="0" w:type="dxa"/>
              <w:bottom w:w="0" w:type="dxa"/>
              <w:right w:w="0" w:type="dxa"/>
            </w:tcMar>
            <w:textDirection w:val="tbRl"/>
            <w:vAlign w:val="center"/>
          </w:tcPr>
          <w:p w:rsidR="00623D7D" w:rsidRPr="00D14CE9" w:rsidRDefault="00623D7D" w:rsidP="003637FD">
            <w:pPr>
              <w:pStyle w:val="EYTableHeading"/>
              <w:ind w:left="113" w:right="113"/>
            </w:pPr>
            <w:r w:rsidRPr="00D14CE9">
              <w:t>Mallee</w:t>
            </w:r>
          </w:p>
        </w:tc>
        <w:tc>
          <w:tcPr>
            <w:tcW w:w="371" w:type="pct"/>
            <w:shd w:val="clear" w:color="auto" w:fill="F0F0F0"/>
            <w:tcMar>
              <w:top w:w="0" w:type="dxa"/>
              <w:left w:w="0" w:type="dxa"/>
              <w:bottom w:w="0" w:type="dxa"/>
              <w:right w:w="0" w:type="dxa"/>
            </w:tcMar>
            <w:textDirection w:val="tbRl"/>
            <w:vAlign w:val="center"/>
          </w:tcPr>
          <w:p w:rsidR="00623D7D" w:rsidRPr="00D14CE9" w:rsidRDefault="00623D7D" w:rsidP="003637FD">
            <w:pPr>
              <w:pStyle w:val="EYTableHeading"/>
              <w:ind w:left="113" w:right="113"/>
            </w:pPr>
            <w:r w:rsidRPr="00D14CE9">
              <w:t>Ovens Murray</w:t>
            </w:r>
          </w:p>
        </w:tc>
        <w:tc>
          <w:tcPr>
            <w:tcW w:w="371" w:type="pct"/>
            <w:shd w:val="clear" w:color="auto" w:fill="F0F0F0"/>
            <w:tcMar>
              <w:top w:w="0" w:type="dxa"/>
              <w:left w:w="0" w:type="dxa"/>
              <w:bottom w:w="0" w:type="dxa"/>
              <w:right w:w="0" w:type="dxa"/>
            </w:tcMar>
            <w:textDirection w:val="tbRl"/>
            <w:vAlign w:val="center"/>
          </w:tcPr>
          <w:p w:rsidR="00623D7D" w:rsidRPr="00D14CE9" w:rsidRDefault="00623D7D" w:rsidP="003637FD">
            <w:pPr>
              <w:pStyle w:val="EYTableHeading"/>
              <w:ind w:left="113" w:right="113"/>
            </w:pPr>
            <w:r w:rsidRPr="00D14CE9">
              <w:t>Wimmera Southern Mallee</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rsidP="003637FD">
            <w:pPr>
              <w:pStyle w:val="EYTableNormal"/>
              <w:spacing w:after="0"/>
            </w:pPr>
            <w:r w:rsidRPr="00D14CE9">
              <w:t>Basalt Old</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1.60%</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51.33%</w:t>
            </w:r>
          </w:p>
        </w:tc>
        <w:tc>
          <w:tcPr>
            <w:tcW w:w="371" w:type="pct"/>
            <w:shd w:val="clear" w:color="auto" w:fill="auto"/>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16.04%</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1.21%</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6.62%</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13.00%</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rsidP="003637FD">
            <w:pPr>
              <w:pStyle w:val="EYTableNormal"/>
              <w:spacing w:after="0"/>
            </w:pPr>
            <w:r w:rsidRPr="00D14CE9">
              <w:t>Basalt New</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97.99%</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90.17%</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26.70%</w:t>
            </w:r>
          </w:p>
        </w:tc>
        <w:tc>
          <w:tcPr>
            <w:tcW w:w="371" w:type="pct"/>
            <w:shd w:val="clear" w:color="auto" w:fill="auto"/>
            <w:tcMar>
              <w:top w:w="0" w:type="dxa"/>
              <w:left w:w="0" w:type="dxa"/>
              <w:bottom w:w="0" w:type="dxa"/>
              <w:right w:w="0" w:type="dxa"/>
            </w:tcMar>
            <w:vAlign w:val="center"/>
          </w:tcPr>
          <w:p w:rsidR="00623D7D" w:rsidRPr="00D14CE9" w:rsidRDefault="00623D7D" w:rsidP="003637FD">
            <w:pPr>
              <w:pStyle w:val="EYTableNormal"/>
              <w:spacing w:after="0"/>
              <w:jc w:val="right"/>
            </w:pPr>
            <w:r w:rsidRPr="00D14CE9">
              <w:t>59.14%</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91.47%</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47.92%</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56.42%</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28.94%</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rsidP="003637FD">
            <w:pPr>
              <w:pStyle w:val="EYTableNormal"/>
              <w:spacing w:after="0"/>
            </w:pPr>
            <w:r w:rsidRPr="00D14CE9">
              <w:t>Trachyte</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shd w:val="clear" w:color="auto" w:fill="auto"/>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2.10%</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rsidP="003637FD">
            <w:pPr>
              <w:pStyle w:val="EYTableNormal"/>
              <w:spacing w:after="0"/>
            </w:pPr>
            <w:r w:rsidRPr="00D14CE9">
              <w:t>Dolerite</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shd w:val="clear" w:color="auto" w:fill="auto"/>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rsidP="003637FD">
            <w:pPr>
              <w:pStyle w:val="EYTableNormal"/>
              <w:spacing w:after="0"/>
            </w:pPr>
            <w:r w:rsidRPr="00D14CE9">
              <w:t>Scoria</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0.30%</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0.49%</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shd w:val="clear" w:color="auto" w:fill="auto"/>
            <w:tcMar>
              <w:top w:w="0" w:type="dxa"/>
              <w:left w:w="0" w:type="dxa"/>
              <w:bottom w:w="0" w:type="dxa"/>
              <w:right w:w="0" w:type="dxa"/>
            </w:tcMar>
            <w:vAlign w:val="center"/>
          </w:tcPr>
          <w:p w:rsidR="00623D7D" w:rsidRPr="00D14CE9" w:rsidRDefault="00623D7D" w:rsidP="003637FD">
            <w:pPr>
              <w:pStyle w:val="EYTableNormal"/>
              <w:spacing w:after="0"/>
              <w:jc w:val="right"/>
            </w:pPr>
            <w:r w:rsidRPr="00D14CE9">
              <w:t>0.05%</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1.70%</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0.03%</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rsidP="003637FD">
            <w:pPr>
              <w:pStyle w:val="EYTableNormal"/>
              <w:spacing w:after="0"/>
            </w:pPr>
            <w:r w:rsidRPr="00D14CE9">
              <w:t>Tuff</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0.05%</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0.002%</w:t>
            </w:r>
          </w:p>
        </w:tc>
        <w:tc>
          <w:tcPr>
            <w:tcW w:w="371" w:type="pct"/>
            <w:shd w:val="clear" w:color="auto" w:fill="auto"/>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0.95%</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rsidP="003637FD">
            <w:pPr>
              <w:pStyle w:val="EYTableNormal"/>
              <w:spacing w:after="0"/>
            </w:pPr>
            <w:r w:rsidRPr="00D14CE9">
              <w:t>Granite</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2.37%</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14.66%</w:t>
            </w:r>
          </w:p>
        </w:tc>
        <w:tc>
          <w:tcPr>
            <w:tcW w:w="371" w:type="pct"/>
            <w:shd w:val="clear" w:color="auto" w:fill="auto"/>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1.49%</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1.94%</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13.60%</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10.25%</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53.08%</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55.28%</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0.11%</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rsidP="003637FD">
            <w:pPr>
              <w:pStyle w:val="EYTableNormal"/>
              <w:spacing w:after="0"/>
            </w:pPr>
            <w:r w:rsidRPr="00D14CE9">
              <w:t>Rhyodacite</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shd w:val="clear" w:color="auto" w:fill="auto"/>
            <w:tcMar>
              <w:top w:w="0" w:type="dxa"/>
              <w:left w:w="0" w:type="dxa"/>
              <w:bottom w:w="0" w:type="dxa"/>
              <w:right w:w="0" w:type="dxa"/>
            </w:tcMar>
            <w:vAlign w:val="center"/>
          </w:tcPr>
          <w:p w:rsidR="00623D7D" w:rsidRPr="00D14CE9" w:rsidRDefault="00623D7D" w:rsidP="003637FD">
            <w:pPr>
              <w:pStyle w:val="EYTableNormal"/>
              <w:spacing w:after="0"/>
              <w:jc w:val="right"/>
            </w:pPr>
            <w:r w:rsidRPr="00D14CE9">
              <w:t>0.79%</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6.45%</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19.56%</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20.18%</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8.40%</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rsidP="003637FD">
            <w:pPr>
              <w:pStyle w:val="EYTableNormal"/>
              <w:spacing w:after="0"/>
            </w:pPr>
            <w:r w:rsidRPr="00D14CE9">
              <w:t>Gneiss</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2" w:type="pct"/>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shd w:val="clear" w:color="auto" w:fill="auto"/>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1.10%</w:t>
            </w:r>
          </w:p>
        </w:tc>
        <w:tc>
          <w:tcPr>
            <w:tcW w:w="371" w:type="pct"/>
            <w:tcMar>
              <w:top w:w="0" w:type="dxa"/>
              <w:left w:w="0" w:type="dxa"/>
              <w:bottom w:w="0" w:type="dxa"/>
              <w:right w:w="0" w:type="dxa"/>
            </w:tcMar>
            <w:vAlign w:val="center"/>
          </w:tcPr>
          <w:p w:rsidR="00623D7D" w:rsidRPr="00D14CE9" w:rsidRDefault="00623D7D" w:rsidP="003637FD">
            <w:pPr>
              <w:pStyle w:val="EYTableNormal"/>
              <w:spacing w:after="0"/>
              <w:jc w:val="right"/>
            </w:pPr>
            <w:r w:rsidRPr="00D14CE9">
              <w:t>-</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pPr>
              <w:spacing w:beforeLines="20" w:before="48" w:afterLines="20" w:after="48"/>
              <w:rPr>
                <w:sz w:val="16"/>
                <w:szCs w:val="16"/>
              </w:rPr>
            </w:pPr>
            <w:r w:rsidRPr="00D14CE9">
              <w:rPr>
                <w:sz w:val="16"/>
                <w:szCs w:val="16"/>
              </w:rPr>
              <w:t>Hornfels</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0.15%</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5.80%</w:t>
            </w:r>
          </w:p>
        </w:tc>
        <w:tc>
          <w:tcPr>
            <w:tcW w:w="371" w:type="pct"/>
            <w:shd w:val="clear" w:color="auto" w:fill="auto"/>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22.30%</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25.18%</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0.52%</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18.05%</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57.00%</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pPr>
              <w:spacing w:beforeLines="20" w:before="48" w:afterLines="20" w:after="48"/>
              <w:rPr>
                <w:sz w:val="16"/>
                <w:szCs w:val="16"/>
              </w:rPr>
            </w:pPr>
            <w:r w:rsidRPr="00D14CE9">
              <w:rPr>
                <w:sz w:val="16"/>
                <w:szCs w:val="16"/>
              </w:rPr>
              <w:t>Marble</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shd w:val="clear" w:color="auto" w:fill="auto"/>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pPr>
              <w:spacing w:beforeLines="20" w:before="48" w:afterLines="20" w:after="48"/>
              <w:rPr>
                <w:sz w:val="16"/>
                <w:szCs w:val="16"/>
              </w:rPr>
            </w:pPr>
            <w:r w:rsidRPr="00D14CE9">
              <w:rPr>
                <w:sz w:val="16"/>
                <w:szCs w:val="16"/>
              </w:rPr>
              <w:t>Quartzite</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0.06%</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6.76%</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1.31%</w:t>
            </w:r>
          </w:p>
        </w:tc>
        <w:tc>
          <w:tcPr>
            <w:tcW w:w="371" w:type="pct"/>
            <w:shd w:val="clear" w:color="auto" w:fill="auto"/>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0.09%</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1.96%</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pPr>
              <w:spacing w:beforeLines="20" w:before="48" w:afterLines="20" w:after="48"/>
              <w:rPr>
                <w:sz w:val="16"/>
                <w:szCs w:val="16"/>
              </w:rPr>
            </w:pPr>
            <w:r w:rsidRPr="00D14CE9">
              <w:rPr>
                <w:sz w:val="16"/>
                <w:szCs w:val="16"/>
              </w:rPr>
              <w:t>Schist</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shd w:val="clear" w:color="auto" w:fill="auto"/>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42.00%</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4.39%</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pPr>
              <w:spacing w:beforeLines="20" w:before="48" w:afterLines="20" w:after="48"/>
              <w:rPr>
                <w:sz w:val="16"/>
                <w:szCs w:val="16"/>
              </w:rPr>
            </w:pPr>
            <w:r w:rsidRPr="00D14CE9">
              <w:rPr>
                <w:sz w:val="16"/>
                <w:szCs w:val="16"/>
              </w:rPr>
              <w:t>Slate</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0.03%</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shd w:val="clear" w:color="auto" w:fill="auto"/>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0.07%</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r>
      <w:tr w:rsidR="00623D7D" w:rsidRPr="00D14CE9" w:rsidTr="003637FD">
        <w:trPr>
          <w:trHeight w:val="315"/>
        </w:trPr>
        <w:tc>
          <w:tcPr>
            <w:tcW w:w="1286" w:type="pct"/>
            <w:noWrap/>
            <w:tcMar>
              <w:top w:w="0" w:type="dxa"/>
              <w:left w:w="0" w:type="dxa"/>
              <w:bottom w:w="0" w:type="dxa"/>
              <w:right w:w="0" w:type="dxa"/>
            </w:tcMar>
            <w:vAlign w:val="center"/>
          </w:tcPr>
          <w:p w:rsidR="00623D7D" w:rsidRPr="00D14CE9" w:rsidRDefault="00623D7D">
            <w:pPr>
              <w:spacing w:beforeLines="20" w:before="48" w:afterLines="20" w:after="48"/>
              <w:rPr>
                <w:sz w:val="16"/>
                <w:szCs w:val="16"/>
              </w:rPr>
            </w:pPr>
            <w:r w:rsidRPr="00D14CE9">
              <w:rPr>
                <w:sz w:val="16"/>
                <w:szCs w:val="16"/>
              </w:rPr>
              <w:t>Sedimentary</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sz w:val="16"/>
                <w:szCs w:val="16"/>
              </w:rPr>
              <w:t>-</w:t>
            </w:r>
          </w:p>
        </w:tc>
        <w:tc>
          <w:tcPr>
            <w:tcW w:w="372" w:type="pct"/>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0.03%</w:t>
            </w:r>
          </w:p>
        </w:tc>
        <w:tc>
          <w:tcPr>
            <w:tcW w:w="372" w:type="pct"/>
            <w:shd w:val="clear" w:color="auto" w:fill="auto"/>
            <w:noWrap/>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0.20%</w:t>
            </w:r>
          </w:p>
        </w:tc>
        <w:tc>
          <w:tcPr>
            <w:tcW w:w="371" w:type="pct"/>
            <w:shd w:val="clear" w:color="auto" w:fill="auto"/>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0.20%</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0.63%</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0.21%</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0.09%</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4.92%</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1.00%</w:t>
            </w:r>
          </w:p>
        </w:tc>
        <w:tc>
          <w:tcPr>
            <w:tcW w:w="371" w:type="pct"/>
            <w:tcMar>
              <w:top w:w="0" w:type="dxa"/>
              <w:left w:w="0" w:type="dxa"/>
              <w:bottom w:w="0" w:type="dxa"/>
              <w:right w:w="0" w:type="dxa"/>
            </w:tcMar>
            <w:vAlign w:val="center"/>
          </w:tcPr>
          <w:p w:rsidR="00623D7D" w:rsidRPr="00D14CE9" w:rsidRDefault="00623D7D" w:rsidP="003637FD">
            <w:pPr>
              <w:spacing w:beforeLines="20" w:before="48" w:afterLines="20" w:after="48"/>
              <w:jc w:val="right"/>
              <w:rPr>
                <w:rFonts w:cs="Calibri"/>
                <w:color w:val="000000"/>
                <w:sz w:val="16"/>
                <w:szCs w:val="16"/>
              </w:rPr>
            </w:pPr>
            <w:r w:rsidRPr="00D14CE9">
              <w:rPr>
                <w:rFonts w:cs="Calibri"/>
                <w:color w:val="000000"/>
                <w:sz w:val="16"/>
                <w:szCs w:val="16"/>
              </w:rPr>
              <w:t>3.60%</w:t>
            </w:r>
          </w:p>
        </w:tc>
      </w:tr>
    </w:tbl>
    <w:bookmarkEnd w:id="406"/>
    <w:bookmarkEnd w:id="407"/>
    <w:p w:rsidR="006805FC" w:rsidRPr="00D14CE9" w:rsidRDefault="00F15856" w:rsidP="00C15F5A">
      <w:pPr>
        <w:pStyle w:val="EYSource"/>
        <w:rPr>
          <w:lang w:val="en-AU"/>
        </w:rPr>
      </w:pPr>
      <w:r w:rsidRPr="00D14CE9">
        <w:rPr>
          <w:lang w:val="en-AU"/>
        </w:rPr>
        <w:t>So</w:t>
      </w:r>
      <w:r w:rsidR="006805FC" w:rsidRPr="00D14CE9">
        <w:rPr>
          <w:lang w:val="en-AU"/>
        </w:rPr>
        <w:t>urce: EY analysis based on AECOM inputs</w:t>
      </w:r>
    </w:p>
    <w:p w:rsidR="002654CF" w:rsidRPr="00D14CE9" w:rsidRDefault="002654CF" w:rsidP="002654CF">
      <w:pPr>
        <w:pStyle w:val="EYHeading3"/>
        <w:rPr>
          <w:b/>
        </w:rPr>
      </w:pPr>
      <w:bookmarkStart w:id="408" w:name="_Toc441675291"/>
      <w:bookmarkStart w:id="409" w:name="_Toc441675527"/>
      <w:bookmarkStart w:id="410" w:name="_Toc441675768"/>
      <w:bookmarkStart w:id="411" w:name="_Toc441683127"/>
      <w:bookmarkStart w:id="412" w:name="_Toc441685166"/>
      <w:bookmarkStart w:id="413" w:name="_Toc441686117"/>
      <w:bookmarkStart w:id="414" w:name="_Toc441686214"/>
      <w:bookmarkEnd w:id="408"/>
      <w:bookmarkEnd w:id="409"/>
      <w:bookmarkEnd w:id="410"/>
      <w:bookmarkEnd w:id="411"/>
      <w:bookmarkEnd w:id="412"/>
      <w:bookmarkEnd w:id="413"/>
      <w:bookmarkEnd w:id="414"/>
      <w:r w:rsidRPr="00D14CE9">
        <w:t>Use of recycled materials in the Victorian construction sector</w:t>
      </w:r>
    </w:p>
    <w:p w:rsidR="00F15856" w:rsidRPr="00D14CE9" w:rsidRDefault="00F15856" w:rsidP="00C200D0">
      <w:pPr>
        <w:pStyle w:val="EYBodytextwithparaspace"/>
        <w:rPr>
          <w:rFonts w:cstheme="majorHAnsi"/>
          <w:szCs w:val="20"/>
          <w:lang w:val="en-AU"/>
        </w:rPr>
      </w:pPr>
      <w:r w:rsidRPr="00D14CE9">
        <w:rPr>
          <w:rFonts w:cstheme="majorHAnsi"/>
          <w:szCs w:val="20"/>
          <w:lang w:val="en-AU"/>
        </w:rPr>
        <w:t>Recycling is a burgeoning industry in Victoria as an initiative to reduce cost and improve environmental sustainability.</w:t>
      </w:r>
    </w:p>
    <w:p w:rsidR="00F15856" w:rsidRPr="00D14CE9" w:rsidRDefault="00F15856" w:rsidP="00C200D0">
      <w:pPr>
        <w:pStyle w:val="EYBodytextwithparaspace"/>
        <w:rPr>
          <w:rFonts w:cstheme="majorHAnsi"/>
          <w:szCs w:val="20"/>
          <w:lang w:val="en-AU"/>
        </w:rPr>
      </w:pPr>
      <w:r w:rsidRPr="00D14CE9">
        <w:rPr>
          <w:rFonts w:cstheme="majorHAnsi"/>
          <w:szCs w:val="20"/>
          <w:lang w:val="en-AU"/>
        </w:rPr>
        <w:t xml:space="preserve">While not providing quantities estimates, AECOM works indicated that substitute materials are currently used during the manufacturing process of commodity products used by construction end-users: </w:t>
      </w:r>
    </w:p>
    <w:p w:rsidR="00F15856" w:rsidRPr="00D14CE9" w:rsidRDefault="00F15856" w:rsidP="00C200D0">
      <w:pPr>
        <w:pStyle w:val="EYBulletedList1"/>
        <w:spacing w:after="120"/>
        <w:rPr>
          <w:rFonts w:cstheme="majorHAnsi"/>
          <w:szCs w:val="20"/>
          <w:lang w:val="en-AU"/>
        </w:rPr>
      </w:pPr>
      <w:r w:rsidRPr="00D14CE9">
        <w:rPr>
          <w:rFonts w:cstheme="majorHAnsi"/>
          <w:szCs w:val="20"/>
          <w:lang w:val="en-AU"/>
        </w:rPr>
        <w:t>Recycled concrete materials can be used in the required mix to manufacture Road Base Class 1 and 2 and Single Size Aggregate commodity products.</w:t>
      </w:r>
    </w:p>
    <w:p w:rsidR="00F15856" w:rsidRPr="00D14CE9" w:rsidRDefault="00F15856" w:rsidP="00C200D0">
      <w:pPr>
        <w:pStyle w:val="EYBulletedList1"/>
        <w:spacing w:after="120"/>
        <w:rPr>
          <w:rFonts w:cstheme="majorHAnsi"/>
          <w:szCs w:val="20"/>
          <w:lang w:val="en-AU"/>
        </w:rPr>
      </w:pPr>
      <w:r w:rsidRPr="00D14CE9">
        <w:rPr>
          <w:rFonts w:cstheme="majorHAnsi"/>
          <w:szCs w:val="20"/>
          <w:lang w:val="en-AU"/>
        </w:rPr>
        <w:t xml:space="preserve">Reclaimed asphalt can be used in the required mix to manufacture asphalt out of Road Base Class 1 and 2 commodity product. Reclaimed asphalt is currently representing on average 15% of the quantity of asphalt consumed, proportion that could potential increase to up to 30% over the next 20 to 30 years. </w:t>
      </w:r>
    </w:p>
    <w:p w:rsidR="00F15856" w:rsidRPr="00D14CE9" w:rsidRDefault="00F15856" w:rsidP="00C200D0">
      <w:pPr>
        <w:pStyle w:val="EYBodytextwithparaspace"/>
        <w:rPr>
          <w:rFonts w:cstheme="majorHAnsi"/>
          <w:szCs w:val="20"/>
          <w:lang w:val="en-AU"/>
        </w:rPr>
      </w:pPr>
      <w:r w:rsidRPr="00D14CE9">
        <w:rPr>
          <w:rFonts w:cstheme="majorHAnsi"/>
          <w:szCs w:val="20"/>
          <w:lang w:val="en-AU"/>
        </w:rPr>
        <w:t xml:space="preserve">VicRoads furthermore indicated that it adjusted its specifications in the latest years to accommodate the use of materials for Road Base Sub-Base Class 3 and 4 and Type A materials, subject to the suitability of those materials to their intended use, to be identified on a project by project basis. Recycled materials are also commonly used to fill batters and for other landscaping purposes where the properties required (e.g. strength or permeability) are different to road construction and structure. </w:t>
      </w:r>
    </w:p>
    <w:p w:rsidR="00F15856" w:rsidRPr="00D14CE9" w:rsidRDefault="00F15856" w:rsidP="00C200D0">
      <w:pPr>
        <w:pStyle w:val="EYBodytextwithparaspace"/>
        <w:rPr>
          <w:rFonts w:cstheme="majorHAnsi"/>
          <w:szCs w:val="20"/>
          <w:lang w:val="en-AU"/>
        </w:rPr>
      </w:pPr>
      <w:r w:rsidRPr="00D14CE9">
        <w:rPr>
          <w:rFonts w:cstheme="majorHAnsi"/>
          <w:szCs w:val="20"/>
          <w:lang w:val="en-AU"/>
        </w:rPr>
        <w:t>Manufactured (or reclaimed) sand can also be used as a substitute to natural concrete sand in the concrete mix. This is a growing trend as natural available resources in terms of natural concrete sand used in the concrete mix are declining, for instance in metropolitan Melbourne.</w:t>
      </w:r>
    </w:p>
    <w:p w:rsidR="003E25FF" w:rsidRDefault="003E25FF" w:rsidP="00C200D0">
      <w:pPr>
        <w:pStyle w:val="EYBodytextwithparaspace"/>
        <w:rPr>
          <w:rFonts w:cstheme="majorHAnsi"/>
          <w:szCs w:val="20"/>
          <w:lang w:val="en-AU"/>
        </w:rPr>
      </w:pPr>
      <w:r>
        <w:rPr>
          <w:rFonts w:cstheme="majorHAnsi"/>
          <w:szCs w:val="20"/>
          <w:lang w:val="en-AU"/>
        </w:rPr>
        <w:br w:type="page"/>
      </w:r>
    </w:p>
    <w:p w:rsidR="00F15856" w:rsidRPr="00D14CE9" w:rsidRDefault="00F15856" w:rsidP="00C200D0">
      <w:pPr>
        <w:pStyle w:val="EYBodytextwithparaspace"/>
        <w:rPr>
          <w:rFonts w:cstheme="majorHAnsi"/>
          <w:szCs w:val="20"/>
          <w:lang w:val="en-AU"/>
        </w:rPr>
      </w:pPr>
      <w:r w:rsidRPr="00D14CE9">
        <w:rPr>
          <w:rFonts w:cstheme="majorHAnsi"/>
          <w:szCs w:val="20"/>
          <w:lang w:val="en-AU"/>
        </w:rPr>
        <w:lastRenderedPageBreak/>
        <w:t>However, it should be noted that the use of recycled materials has its own limitations:</w:t>
      </w:r>
    </w:p>
    <w:p w:rsidR="00F15856" w:rsidRPr="00D14CE9" w:rsidRDefault="00F15856" w:rsidP="00C200D0">
      <w:pPr>
        <w:pStyle w:val="EYBulletedList1"/>
        <w:spacing w:after="120"/>
        <w:rPr>
          <w:rFonts w:cstheme="majorHAnsi"/>
          <w:szCs w:val="20"/>
          <w:lang w:val="en-AU"/>
        </w:rPr>
      </w:pPr>
      <w:r w:rsidRPr="00D14CE9">
        <w:rPr>
          <w:rFonts w:cstheme="majorHAnsi"/>
          <w:szCs w:val="20"/>
          <w:lang w:val="en-AU"/>
        </w:rPr>
        <w:t xml:space="preserve">Within the transport construction activity, the use of recycled materials, which could potentially be optimized through a more consistent use within the State, is not expected to increase substantially unless a higher amount of materials from demolition activities is available in the coming years. </w:t>
      </w:r>
    </w:p>
    <w:p w:rsidR="00F15856" w:rsidRPr="00D14CE9" w:rsidRDefault="00F15856" w:rsidP="00C200D0">
      <w:pPr>
        <w:pStyle w:val="EYBulletedList1"/>
        <w:spacing w:after="120"/>
        <w:rPr>
          <w:rFonts w:cstheme="majorHAnsi"/>
          <w:szCs w:val="20"/>
          <w:lang w:val="en-AU"/>
        </w:rPr>
      </w:pPr>
      <w:r w:rsidRPr="00D14CE9">
        <w:rPr>
          <w:rFonts w:cstheme="majorHAnsi"/>
          <w:szCs w:val="20"/>
          <w:lang w:val="en-AU"/>
        </w:rPr>
        <w:t xml:space="preserve">Higher quality materials required for instance for roads construction works (e.g. Road Base Class 1 and 2) cannot be substituted. </w:t>
      </w:r>
    </w:p>
    <w:p w:rsidR="00F15856" w:rsidRPr="00D14CE9" w:rsidRDefault="00F15856" w:rsidP="00C200D0">
      <w:pPr>
        <w:pStyle w:val="EYBulletedList1"/>
        <w:spacing w:after="120"/>
        <w:rPr>
          <w:rFonts w:cstheme="majorHAnsi"/>
          <w:szCs w:val="20"/>
          <w:lang w:val="en-AU"/>
        </w:rPr>
      </w:pPr>
      <w:r w:rsidRPr="00D14CE9">
        <w:rPr>
          <w:rFonts w:cstheme="majorHAnsi"/>
          <w:szCs w:val="20"/>
          <w:lang w:val="en-AU"/>
        </w:rPr>
        <w:t>The use of recycled concrete is generally limited as, being a product from demolition activities, its particular properties tend to limit its use. It requires for instance to remove steel and fire materials, such as plastic and timber, from the demolition products before a potential use as a substitute. As such, it also requires specific approval prior to any use, which creates additional limitations to its use.</w:t>
      </w:r>
    </w:p>
    <w:p w:rsidR="00F15856" w:rsidRPr="00D14CE9" w:rsidRDefault="00F15856" w:rsidP="00C200D0">
      <w:pPr>
        <w:pStyle w:val="EYBulletedList1"/>
        <w:spacing w:after="120"/>
        <w:rPr>
          <w:rFonts w:cstheme="majorHAnsi"/>
          <w:szCs w:val="20"/>
          <w:lang w:val="en-AU"/>
        </w:rPr>
      </w:pPr>
      <w:r w:rsidRPr="00D14CE9">
        <w:rPr>
          <w:rFonts w:cstheme="majorHAnsi"/>
          <w:szCs w:val="20"/>
          <w:lang w:val="en-AU"/>
        </w:rPr>
        <w:t xml:space="preserve">The use of manufactured sand in the concrete mix highly depends on the required technical specifications on a project by project basis, depending for instance on the required strength of concrete for any type of constructions. In addition, from a cost </w:t>
      </w:r>
      <w:r w:rsidR="00545C8C" w:rsidRPr="00D14CE9">
        <w:rPr>
          <w:rFonts w:cstheme="majorHAnsi"/>
          <w:szCs w:val="20"/>
          <w:lang w:val="en-AU"/>
        </w:rPr>
        <w:t>perspective</w:t>
      </w:r>
      <w:r w:rsidRPr="00D14CE9">
        <w:rPr>
          <w:rFonts w:cstheme="majorHAnsi"/>
          <w:szCs w:val="20"/>
          <w:lang w:val="en-AU"/>
        </w:rPr>
        <w:t>, the use of reclaimed sand may not always add value for money to the projects.</w:t>
      </w:r>
    </w:p>
    <w:p w:rsidR="00F15856" w:rsidRDefault="00F15856" w:rsidP="00C200D0">
      <w:pPr>
        <w:pStyle w:val="EYBodytextwithparaspace"/>
        <w:rPr>
          <w:rFonts w:cstheme="majorHAnsi"/>
          <w:szCs w:val="20"/>
          <w:lang w:val="en-AU"/>
        </w:rPr>
      </w:pPr>
      <w:r w:rsidRPr="00D14CE9">
        <w:rPr>
          <w:rFonts w:cstheme="majorHAnsi"/>
          <w:szCs w:val="20"/>
          <w:lang w:val="en-AU"/>
        </w:rPr>
        <w:t>In conclusion, although the use of recycled materials is a growing trend, some commodity products that are the most significantly used by the construction industry, such as Road Base Class 1 and 2, Single Size Aggregate (concrete) and concrete sand, are not easily substitutable and should as a result be considered as areas of concern in terms of cost to the State, should extractive resources paramount to their manufacture (i.e. high quality hard rock for concrete) be constrained or exhausted.</w:t>
      </w:r>
    </w:p>
    <w:p w:rsidR="00D00F13" w:rsidRDefault="00D00F13" w:rsidP="00C200D0">
      <w:pPr>
        <w:pStyle w:val="EYBodytextwithparaspace"/>
        <w:rPr>
          <w:rFonts w:cstheme="majorHAnsi"/>
          <w:szCs w:val="20"/>
          <w:lang w:val="en-AU"/>
        </w:rPr>
        <w:sectPr w:rsidR="00D00F13" w:rsidSect="000B6297">
          <w:footerReference w:type="default" r:id="rId28"/>
          <w:pgSz w:w="11909" w:h="16834" w:code="9"/>
          <w:pgMar w:top="1440" w:right="1440" w:bottom="1440" w:left="1440" w:header="720" w:footer="567" w:gutter="0"/>
          <w:cols w:space="720"/>
          <w:docGrid w:linePitch="360"/>
        </w:sectPr>
      </w:pPr>
    </w:p>
    <w:p w:rsidR="00D00F13" w:rsidRPr="00D14CE9" w:rsidRDefault="00606F4A" w:rsidP="00C200D0">
      <w:pPr>
        <w:pStyle w:val="EYBodytextwithparaspace"/>
        <w:rPr>
          <w:rFonts w:cstheme="majorHAnsi"/>
          <w:szCs w:val="20"/>
          <w:lang w:val="en-AU"/>
        </w:rPr>
      </w:pPr>
      <w:r>
        <w:rPr>
          <w:noProof/>
          <w:lang w:val="en-AU" w:eastAsia="en-AU"/>
        </w:rPr>
        <w:lastRenderedPageBreak/>
        <mc:AlternateContent>
          <mc:Choice Requires="wps">
            <w:drawing>
              <wp:anchor distT="0" distB="0" distL="114300" distR="114300" simplePos="0" relativeHeight="251669504" behindDoc="0" locked="0" layoutInCell="1" allowOverlap="1" wp14:anchorId="53A1706F" wp14:editId="736344D0">
                <wp:simplePos x="0" y="0"/>
                <wp:positionH relativeFrom="column">
                  <wp:posOffset>-243840</wp:posOffset>
                </wp:positionH>
                <wp:positionV relativeFrom="paragraph">
                  <wp:posOffset>60960</wp:posOffset>
                </wp:positionV>
                <wp:extent cx="6385560" cy="1310640"/>
                <wp:effectExtent l="0" t="0" r="0" b="3810"/>
                <wp:wrapNone/>
                <wp:docPr id="2163" name="Text Box 2163"/>
                <wp:cNvGraphicFramePr/>
                <a:graphic xmlns:a="http://schemas.openxmlformats.org/drawingml/2006/main">
                  <a:graphicData uri="http://schemas.microsoft.com/office/word/2010/wordprocessingShape">
                    <wps:wsp>
                      <wps:cNvSpPr txBox="1"/>
                      <wps:spPr>
                        <a:xfrm>
                          <a:off x="0" y="0"/>
                          <a:ext cx="638556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754" w:rsidRDefault="003C7754" w:rsidP="00D00F13">
                            <w:pPr>
                              <w:pStyle w:val="EYCoverTitle"/>
                            </w:pPr>
                            <w:r>
                              <w:t>Historic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63" o:spid="_x0000_s1030" type="#_x0000_t202" style="position:absolute;margin-left:-19.2pt;margin-top:4.8pt;width:502.8pt;height:103.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mEgwIAAHAFAAAOAAAAZHJzL2Uyb0RvYy54bWysVN1v0zAQf0fif7D8ztJ0bRnV0qlsGkKa&#10;tokO7dl17DXC8Rn72qT89ZydpK0GL0O8JOe7331/XF61tWE75UMFtuD52YgzZSWUlX0p+Pen2w8X&#10;nAUUthQGrCr4XgV+tXj/7rJxczWGDZhSeUZGbJg3ruAbRDfPsiA3qhbhDJyyJNTga4H09C9Z6UVD&#10;1muTjUejWdaAL50HqUIg7k0n5ItkX2sl8UHroJCZglNsmL4+fdfxmy0uxfzFC7epZB+G+IcoalFZ&#10;cnowdSNQsK2v/jBVV9JDAI1nEuoMtK6kSjlQNvnoVTarjXAq5ULFCe5QpvD/zMr73aNnVVnwcT47&#10;58yKmrr0pFpkn6FliUk1alyYE3TlCIwtSajXsXaRH4gZU2+1r+OfkmIkp2rvDxWO9iQxZ+cX0+mM&#10;RJJk+Xk+mk1SD7KjuvMBvyioWSQK7qmFqbJidxeQXBJ0gERvFm4rY1IbjWVNdDEdJYWDhDSMjViV&#10;BqI3cww9Ubg3KmKM/aY0FSRlEBlpFNW18WwnaIiElMpiSj7ZJXREaQriLYo9/hjVW5S7PAbPYPGg&#10;XFcWfMr+VdjljyFk3eGpkCd5RxLbdZsmYTJ0dg3lnhruoVub4ORtRU25EwEfhac9oUbS7uMDfbQB&#10;Kj70FGcb8L/+xo94Gl+SctbQ3hU8/NwKrzgzXy0N9qd8QiPBMD0m049jevhTyfpUYrf1NVBXcroy&#10;TiYy4tEMpPZQP9OJWEavJBJWku+C40BeY3cN6MRItVwmEK2mE3hnV05G07FJceSe2mfhXT+XSCN9&#10;D8OGivmr8eywUdPCcougqzS7sc5dVfv601qnke5PULwbp++EOh7KxW8AAAD//wMAUEsDBBQABgAI&#10;AAAAIQAi8VkE4QAAAAkBAAAPAAAAZHJzL2Rvd25yZXYueG1sTI9BT4NAFITvJv6HzTPx1i5FRYos&#10;TUPSmBh7aO3F24N9BSL7Ftlti/5615MeJzOZ+SZfTaYXZxpdZ1nBYh6BIK6t7rhRcHjbzFIQziNr&#10;7C2Tgi9ysCqur3LMtL3wjs5734hQwi5DBa33Qyalq1sy6OZ2IA7e0Y4GfZBjI/WIl1BuehlHUSIN&#10;dhwWWhyobKn+2J+Mgpdys8VdFZv0uy+fX4/r4fPw/qDU7c20fgLhafJ/YfjFD+hQBKbKnlg70SuY&#10;3aX3IapgmYAI/jJ5jEFUCuJFEoEscvn/QfEDAAD//wMAUEsBAi0AFAAGAAgAAAAhALaDOJL+AAAA&#10;4QEAABMAAAAAAAAAAAAAAAAAAAAAAFtDb250ZW50X1R5cGVzXS54bWxQSwECLQAUAAYACAAAACEA&#10;OP0h/9YAAACUAQAACwAAAAAAAAAAAAAAAAAvAQAAX3JlbHMvLnJlbHNQSwECLQAUAAYACAAAACEA&#10;6LWphIMCAABwBQAADgAAAAAAAAAAAAAAAAAuAgAAZHJzL2Uyb0RvYy54bWxQSwECLQAUAAYACAAA&#10;ACEAIvFZBOEAAAAJAQAADwAAAAAAAAAAAAAAAADdBAAAZHJzL2Rvd25yZXYueG1sUEsFBgAAAAAE&#10;AAQA8wAAAOsFAAAAAA==&#10;" filled="f" stroked="f" strokeweight=".5pt">
                <v:textbox>
                  <w:txbxContent>
                    <w:p w:rsidR="003C7754" w:rsidRDefault="003C7754" w:rsidP="00D00F13">
                      <w:pPr>
                        <w:pStyle w:val="EYCoverTitle"/>
                      </w:pPr>
                      <w:r>
                        <w:t>Historic analysis</w:t>
                      </w:r>
                    </w:p>
                  </w:txbxContent>
                </v:textbox>
              </v:shape>
            </w:pict>
          </mc:Fallback>
        </mc:AlternateContent>
      </w:r>
      <w:r>
        <w:rPr>
          <w:noProof/>
          <w:lang w:val="en-AU" w:eastAsia="en-AU"/>
        </w:rPr>
        <w:drawing>
          <wp:anchor distT="0" distB="0" distL="114300" distR="114300" simplePos="0" relativeHeight="251683840" behindDoc="1" locked="1" layoutInCell="1" allowOverlap="1" wp14:anchorId="4253CE62" wp14:editId="242151F5">
            <wp:simplePos x="0" y="0"/>
            <wp:positionH relativeFrom="column">
              <wp:posOffset>-1021080</wp:posOffset>
            </wp:positionH>
            <wp:positionV relativeFrom="paragraph">
              <wp:posOffset>-960120</wp:posOffset>
            </wp:positionV>
            <wp:extent cx="7741920" cy="10939780"/>
            <wp:effectExtent l="0" t="0" r="0" b="0"/>
            <wp:wrapNone/>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7741920" cy="10939780"/>
                    </a:xfrm>
                    <a:prstGeom prst="rect">
                      <a:avLst/>
                    </a:prstGeom>
                  </pic:spPr>
                </pic:pic>
              </a:graphicData>
            </a:graphic>
            <wp14:sizeRelH relativeFrom="margin">
              <wp14:pctWidth>0</wp14:pctWidth>
            </wp14:sizeRelH>
            <wp14:sizeRelV relativeFrom="margin">
              <wp14:pctHeight>0</wp14:pctHeight>
            </wp14:sizeRelV>
          </wp:anchor>
        </w:drawing>
      </w:r>
    </w:p>
    <w:p w:rsidR="002654CF" w:rsidRPr="00D14CE9" w:rsidRDefault="002654CF" w:rsidP="002654CF">
      <w:pPr>
        <w:pStyle w:val="EYHeading1"/>
      </w:pPr>
      <w:bookmarkStart w:id="415" w:name="_Toc441675293"/>
      <w:bookmarkStart w:id="416" w:name="_Toc441675529"/>
      <w:bookmarkStart w:id="417" w:name="_Toc441675770"/>
      <w:bookmarkStart w:id="418" w:name="_Toc441683129"/>
      <w:bookmarkStart w:id="419" w:name="_Toc441685168"/>
      <w:bookmarkStart w:id="420" w:name="_Toc441686119"/>
      <w:bookmarkStart w:id="421" w:name="_Toc441686216"/>
      <w:bookmarkStart w:id="422" w:name="_Ref442111151"/>
      <w:bookmarkStart w:id="423" w:name="_Toc451847076"/>
      <w:bookmarkStart w:id="424" w:name="_Ref441409012"/>
      <w:bookmarkStart w:id="425" w:name="_Toc441435312"/>
      <w:bookmarkEnd w:id="415"/>
      <w:bookmarkEnd w:id="416"/>
      <w:bookmarkEnd w:id="417"/>
      <w:bookmarkEnd w:id="418"/>
      <w:bookmarkEnd w:id="419"/>
      <w:bookmarkEnd w:id="420"/>
      <w:bookmarkEnd w:id="421"/>
      <w:r w:rsidRPr="00D14CE9">
        <w:lastRenderedPageBreak/>
        <w:t>Historic analysis</w:t>
      </w:r>
      <w:bookmarkEnd w:id="422"/>
      <w:bookmarkEnd w:id="423"/>
    </w:p>
    <w:p w:rsidR="002654CF" w:rsidRPr="00D14CE9" w:rsidRDefault="002654CF" w:rsidP="002654CF">
      <w:pPr>
        <w:pStyle w:val="EYBodytextwithparaspace"/>
        <w:rPr>
          <w:kern w:val="0"/>
          <w:szCs w:val="20"/>
          <w:lang w:val="en-AU"/>
        </w:rPr>
      </w:pPr>
      <w:r w:rsidRPr="00D14CE9">
        <w:rPr>
          <w:kern w:val="0"/>
          <w:szCs w:val="20"/>
          <w:lang w:val="en-AU"/>
        </w:rPr>
        <w:t xml:space="preserve">The baseline model to assess the demand for extractive resources, from 2015 to 2050, has been developed based on the analysis of the historic relationships between the production of extractive resources, different construction types and selected drivers of demand, including fundamental trends in the economic and Victoria’s demographic profile. </w:t>
      </w:r>
    </w:p>
    <w:p w:rsidR="002654CF" w:rsidRPr="00D14CE9" w:rsidRDefault="002654CF" w:rsidP="002654CF">
      <w:pPr>
        <w:pStyle w:val="EYBodytextwithparaspace"/>
        <w:rPr>
          <w:kern w:val="0"/>
          <w:szCs w:val="20"/>
          <w:lang w:val="en-AU"/>
        </w:rPr>
      </w:pPr>
      <w:r w:rsidRPr="00D14CE9">
        <w:rPr>
          <w:kern w:val="0"/>
          <w:szCs w:val="20"/>
          <w:lang w:val="en-AU"/>
        </w:rPr>
        <w:t>This section focuses on the historic relationships established between the total production of extractive resources, the construction activities and the macro-economic demand drivers, to identify trends and help develop a robust forecast framework.</w:t>
      </w:r>
    </w:p>
    <w:p w:rsidR="002654CF" w:rsidRPr="00D14CE9" w:rsidRDefault="002654CF" w:rsidP="002654CF">
      <w:pPr>
        <w:pStyle w:val="EYHeading2"/>
      </w:pPr>
      <w:bookmarkStart w:id="426" w:name="_Toc451847077"/>
      <w:r w:rsidRPr="00D14CE9">
        <w:t>Historic  relationships between macro-economic demand drivers and construction activities</w:t>
      </w:r>
      <w:bookmarkEnd w:id="426"/>
    </w:p>
    <w:p w:rsidR="002654CF" w:rsidRPr="00D14CE9" w:rsidRDefault="002654CF" w:rsidP="002654CF">
      <w:pPr>
        <w:pStyle w:val="EYHeading3"/>
      </w:pPr>
      <w:r w:rsidRPr="00D14CE9">
        <w:t>Process</w:t>
      </w:r>
    </w:p>
    <w:p w:rsidR="002654CF" w:rsidRPr="00D14CE9" w:rsidRDefault="002654CF" w:rsidP="002654CF">
      <w:pPr>
        <w:pStyle w:val="EYBodytextwithparaspace"/>
        <w:rPr>
          <w:lang w:val="en-AU"/>
        </w:rPr>
      </w:pPr>
      <w:r w:rsidRPr="00D14CE9">
        <w:rPr>
          <w:lang w:val="en-AU"/>
        </w:rPr>
        <w:t xml:space="preserve">The initial starting point for the development of our macro-driven model was the analysis of the strong correlation between extractive resource production in </w:t>
      </w:r>
      <w:r w:rsidR="00AF7B96" w:rsidRPr="00D14CE9">
        <w:rPr>
          <w:lang w:val="en-AU"/>
        </w:rPr>
        <w:t>one</w:t>
      </w:r>
      <w:r w:rsidRPr="00D14CE9">
        <w:rPr>
          <w:lang w:val="en-AU"/>
        </w:rPr>
        <w:t xml:space="preserve"> year</w:t>
      </w:r>
      <w:r w:rsidR="00AF7B96" w:rsidRPr="00D14CE9">
        <w:rPr>
          <w:lang w:val="en-AU"/>
        </w:rPr>
        <w:t xml:space="preserve"> and population </w:t>
      </w:r>
      <w:r w:rsidR="00BD6AD3" w:rsidRPr="00D14CE9">
        <w:rPr>
          <w:lang w:val="en-AU"/>
        </w:rPr>
        <w:t>growth</w:t>
      </w:r>
      <w:r w:rsidR="00AF7B96" w:rsidRPr="00D14CE9">
        <w:rPr>
          <w:lang w:val="en-AU"/>
        </w:rPr>
        <w:t xml:space="preserve"> in the following year</w:t>
      </w:r>
      <w:r w:rsidRPr="00D14CE9">
        <w:rPr>
          <w:lang w:val="en-AU"/>
        </w:rPr>
        <w:t xml:space="preserve">, particularly in relation to hard rock which accounts for around 65% of extractive resource production. This strong correlation is illustrated in the below </w:t>
      </w:r>
      <w:r w:rsidR="002056F0" w:rsidRPr="00474B05">
        <w:rPr>
          <w:lang w:val="en-AU"/>
        </w:rPr>
        <w:fldChar w:fldCharType="begin" w:fldLock="1"/>
      </w:r>
      <w:r w:rsidR="002056F0" w:rsidRPr="00D14CE9">
        <w:rPr>
          <w:lang w:val="en-AU"/>
        </w:rPr>
        <w:instrText xml:space="preserve"> REF _Ref442112754 \h  \* MERGEFORMAT </w:instrText>
      </w:r>
      <w:r w:rsidR="002056F0" w:rsidRPr="00474B05">
        <w:rPr>
          <w:lang w:val="en-AU"/>
        </w:rPr>
      </w:r>
      <w:r w:rsidR="002056F0" w:rsidRPr="00474B05">
        <w:rPr>
          <w:lang w:val="en-AU"/>
        </w:rPr>
        <w:fldChar w:fldCharType="separate"/>
      </w:r>
      <w:r w:rsidR="00895089" w:rsidRPr="00E65C9D">
        <w:rPr>
          <w:lang w:val="en-AU"/>
        </w:rPr>
        <w:t>Figure 5</w:t>
      </w:r>
      <w:r w:rsidR="002056F0" w:rsidRPr="00474B05">
        <w:rPr>
          <w:lang w:val="en-AU"/>
        </w:rPr>
        <w:fldChar w:fldCharType="end"/>
      </w:r>
      <w:r w:rsidRPr="00D14CE9">
        <w:rPr>
          <w:lang w:val="en-AU"/>
        </w:rPr>
        <w:t>.</w:t>
      </w:r>
    </w:p>
    <w:p w:rsidR="002654CF" w:rsidRPr="00D14CE9" w:rsidRDefault="002654CF" w:rsidP="002654CF">
      <w:pPr>
        <w:pStyle w:val="Caption"/>
        <w:numPr>
          <w:ilvl w:val="0"/>
          <w:numId w:val="9"/>
        </w:numPr>
        <w:ind w:right="-601"/>
      </w:pPr>
      <w:bookmarkStart w:id="427" w:name="_Ref442112754"/>
      <w:bookmarkStart w:id="428" w:name="_Toc445240904"/>
      <w:bookmarkStart w:id="429" w:name="_Toc448914567"/>
      <w:r w:rsidRPr="00D14CE9">
        <w:rPr>
          <w:sz w:val="16"/>
          <w:szCs w:val="18"/>
        </w:rPr>
        <w:t xml:space="preserve">Figure </w:t>
      </w:r>
      <w:r w:rsidRPr="00133B47">
        <w:rPr>
          <w:sz w:val="16"/>
          <w:szCs w:val="18"/>
        </w:rPr>
        <w:fldChar w:fldCharType="begin"/>
      </w:r>
      <w:r w:rsidRPr="00D14CE9">
        <w:rPr>
          <w:sz w:val="16"/>
          <w:szCs w:val="18"/>
        </w:rPr>
        <w:instrText xml:space="preserve"> SEQ Figure \* ARABIC </w:instrText>
      </w:r>
      <w:r w:rsidRPr="00133B47">
        <w:rPr>
          <w:sz w:val="16"/>
          <w:szCs w:val="18"/>
        </w:rPr>
        <w:fldChar w:fldCharType="separate"/>
      </w:r>
      <w:r w:rsidR="00525C82">
        <w:rPr>
          <w:noProof/>
          <w:sz w:val="16"/>
          <w:szCs w:val="18"/>
        </w:rPr>
        <w:t>5</w:t>
      </w:r>
      <w:r w:rsidRPr="00133B47">
        <w:rPr>
          <w:sz w:val="16"/>
          <w:szCs w:val="18"/>
        </w:rPr>
        <w:fldChar w:fldCharType="end"/>
      </w:r>
      <w:bookmarkEnd w:id="427"/>
      <w:r w:rsidRPr="00D14CE9">
        <w:rPr>
          <w:sz w:val="16"/>
          <w:szCs w:val="18"/>
        </w:rPr>
        <w:t xml:space="preserve"> – Historic relationship between population </w:t>
      </w:r>
      <w:r w:rsidR="00BD6AD3" w:rsidRPr="00D14CE9">
        <w:rPr>
          <w:sz w:val="16"/>
          <w:szCs w:val="18"/>
        </w:rPr>
        <w:t>growth</w:t>
      </w:r>
      <w:r w:rsidR="00F304A8" w:rsidRPr="00D14CE9">
        <w:rPr>
          <w:sz w:val="16"/>
          <w:szCs w:val="18"/>
        </w:rPr>
        <w:t xml:space="preserve"> </w:t>
      </w:r>
      <w:r w:rsidRPr="00D14CE9">
        <w:rPr>
          <w:sz w:val="16"/>
          <w:szCs w:val="18"/>
        </w:rPr>
        <w:t>and extractive resources production</w:t>
      </w:r>
      <w:r w:rsidR="00F304A8" w:rsidRPr="00D14CE9">
        <w:rPr>
          <w:sz w:val="16"/>
          <w:szCs w:val="18"/>
        </w:rPr>
        <w:t xml:space="preserve"> from 2002 to 2014</w:t>
      </w:r>
      <w:bookmarkEnd w:id="428"/>
      <w:bookmarkEnd w:id="429"/>
      <w:r w:rsidRPr="00D14CE9">
        <w:rPr>
          <w:sz w:val="16"/>
          <w:szCs w:val="18"/>
        </w:rPr>
        <w:t xml:space="preserve"> </w:t>
      </w:r>
    </w:p>
    <w:p w:rsidR="00174607" w:rsidRDefault="00931CBF" w:rsidP="002654CF">
      <w:pPr>
        <w:pStyle w:val="EYBodytextwithparaspace"/>
        <w:rPr>
          <w:lang w:val="en-AU"/>
        </w:rPr>
      </w:pPr>
      <w:r w:rsidRPr="00474B05">
        <w:rPr>
          <w:noProof/>
          <w:lang w:val="en-AU" w:eastAsia="en-AU"/>
        </w:rPr>
        <w:drawing>
          <wp:inline distT="0" distB="0" distL="0" distR="0" wp14:anchorId="2D51DB01" wp14:editId="384B7547">
            <wp:extent cx="5686023" cy="3200400"/>
            <wp:effectExtent l="0" t="0" r="0" b="0"/>
            <wp:docPr id="9" name="Picture 9" descr="Figure 5 is a graph showing the historic relationship between population growth and extractive resources production from 2002 to 2014. It shows that production is broadly relative to population growth.&#10;&#10;"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892" t="790" r="590" b="1088"/>
                    <a:stretch/>
                  </pic:blipFill>
                  <pic:spPr bwMode="auto">
                    <a:xfrm>
                      <a:off x="0" y="0"/>
                      <a:ext cx="5688717" cy="3201916"/>
                    </a:xfrm>
                    <a:prstGeom prst="rect">
                      <a:avLst/>
                    </a:prstGeom>
                    <a:noFill/>
                    <a:ln>
                      <a:noFill/>
                    </a:ln>
                    <a:extLst>
                      <a:ext uri="{53640926-AAD7-44D8-BBD7-CCE9431645EC}">
                        <a14:shadowObscured xmlns:a14="http://schemas.microsoft.com/office/drawing/2010/main"/>
                      </a:ext>
                    </a:extLst>
                  </pic:spPr>
                </pic:pic>
              </a:graphicData>
            </a:graphic>
          </wp:inline>
        </w:drawing>
      </w:r>
    </w:p>
    <w:p w:rsidR="00931CBF" w:rsidRPr="003637FD" w:rsidRDefault="00931CBF" w:rsidP="002654CF">
      <w:pPr>
        <w:pStyle w:val="EYBodytextwithparaspace"/>
        <w:rPr>
          <w:i/>
          <w:sz w:val="16"/>
          <w:szCs w:val="16"/>
          <w:lang w:val="en-AU"/>
        </w:rPr>
      </w:pPr>
      <w:r w:rsidRPr="003637FD">
        <w:rPr>
          <w:i/>
          <w:sz w:val="16"/>
          <w:szCs w:val="16"/>
          <w:lang w:val="en-AU"/>
        </w:rPr>
        <w:t>Source: EY analysis</w:t>
      </w:r>
    </w:p>
    <w:p w:rsidR="002654CF" w:rsidRPr="00D14CE9" w:rsidRDefault="002654CF" w:rsidP="002654CF">
      <w:pPr>
        <w:pStyle w:val="EYBodytextwithparaspace"/>
        <w:rPr>
          <w:lang w:val="en-AU"/>
        </w:rPr>
      </w:pPr>
      <w:r w:rsidRPr="00D14CE9">
        <w:rPr>
          <w:lang w:val="en-AU"/>
        </w:rPr>
        <w:t>However, in order to enhance the robustness of our analysis and ensure our model could be validated with detailed sector analysis, EY has developed a forecasting methodology that links production with a set of disaggregated demand drivers linked to each of the construction types identified throughout the supply-demand value chain process.</w:t>
      </w:r>
    </w:p>
    <w:p w:rsidR="002654CF" w:rsidRPr="00D14CE9" w:rsidRDefault="002654CF" w:rsidP="002654CF">
      <w:pPr>
        <w:pStyle w:val="EYBodytextwithparaspace"/>
        <w:rPr>
          <w:kern w:val="0"/>
          <w:szCs w:val="20"/>
          <w:lang w:val="en-AU"/>
        </w:rPr>
      </w:pPr>
      <w:r w:rsidRPr="00D14CE9">
        <w:rPr>
          <w:kern w:val="0"/>
          <w:szCs w:val="20"/>
          <w:lang w:val="en-AU"/>
        </w:rPr>
        <w:t xml:space="preserve">Building a macro-driven forecast therefore first consisted of identifying strong historic relationships between macro-economic demand drivers and construction activities. </w:t>
      </w:r>
    </w:p>
    <w:p w:rsidR="002654CF" w:rsidRPr="00D14CE9" w:rsidRDefault="002654CF" w:rsidP="002654CF">
      <w:pPr>
        <w:pStyle w:val="EYBodytextwithparaspace"/>
        <w:rPr>
          <w:kern w:val="0"/>
          <w:szCs w:val="20"/>
          <w:lang w:val="en-AU"/>
        </w:rPr>
      </w:pPr>
      <w:r w:rsidRPr="00D14CE9">
        <w:rPr>
          <w:kern w:val="0"/>
          <w:szCs w:val="20"/>
          <w:lang w:val="en-AU"/>
        </w:rPr>
        <w:t xml:space="preserve">The following historic data sets have been sourced to perform the analyses required to identify robust historic relationships. Official sources of those data have been listed in </w:t>
      </w:r>
      <w:r w:rsidRPr="00474B05">
        <w:rPr>
          <w:kern w:val="0"/>
          <w:szCs w:val="20"/>
          <w:lang w:val="en-AU"/>
        </w:rPr>
        <w:fldChar w:fldCharType="begin" w:fldLock="1"/>
      </w:r>
      <w:r w:rsidRPr="00D14CE9">
        <w:rPr>
          <w:kern w:val="0"/>
          <w:szCs w:val="20"/>
          <w:lang w:val="en-AU"/>
        </w:rPr>
        <w:instrText xml:space="preserve"> REF _Ref441133802 \r \h  \* MERGEFORMAT </w:instrText>
      </w:r>
      <w:r w:rsidRPr="00474B05">
        <w:rPr>
          <w:kern w:val="0"/>
          <w:szCs w:val="20"/>
          <w:lang w:val="en-AU"/>
        </w:rPr>
      </w:r>
      <w:r w:rsidRPr="00474B05">
        <w:rPr>
          <w:kern w:val="0"/>
          <w:szCs w:val="20"/>
          <w:lang w:val="en-AU"/>
        </w:rPr>
        <w:fldChar w:fldCharType="separate"/>
      </w:r>
      <w:r w:rsidR="00895089">
        <w:rPr>
          <w:kern w:val="0"/>
          <w:szCs w:val="20"/>
          <w:lang w:val="en-AU"/>
        </w:rPr>
        <w:t>Appendix C</w:t>
      </w:r>
      <w:r w:rsidRPr="00474B05">
        <w:rPr>
          <w:kern w:val="0"/>
          <w:szCs w:val="20"/>
          <w:lang w:val="en-AU"/>
        </w:rPr>
        <w:fldChar w:fldCharType="end"/>
      </w:r>
      <w:r w:rsidRPr="00D14CE9">
        <w:rPr>
          <w:kern w:val="0"/>
          <w:szCs w:val="20"/>
          <w:lang w:val="en-AU"/>
        </w:rPr>
        <w:t xml:space="preserve"> of the Report.</w:t>
      </w:r>
    </w:p>
    <w:p w:rsidR="002654CF" w:rsidRPr="00D14CE9" w:rsidRDefault="002654CF" w:rsidP="002654CF">
      <w:pPr>
        <w:pStyle w:val="EYBulletedList1"/>
        <w:spacing w:after="120"/>
        <w:rPr>
          <w:rFonts w:cstheme="majorHAnsi"/>
          <w:szCs w:val="20"/>
          <w:lang w:val="en-AU"/>
        </w:rPr>
      </w:pPr>
      <w:r w:rsidRPr="00D14CE9">
        <w:rPr>
          <w:rFonts w:cstheme="majorHAnsi"/>
          <w:szCs w:val="20"/>
          <w:lang w:val="en-AU"/>
        </w:rPr>
        <w:t xml:space="preserve">With respect to potential macro-economic demand drivers, the following have been </w:t>
      </w:r>
      <w:r w:rsidR="004C693E" w:rsidRPr="00D14CE9">
        <w:rPr>
          <w:rFonts w:cstheme="majorHAnsi"/>
          <w:szCs w:val="20"/>
          <w:lang w:val="en-AU"/>
        </w:rPr>
        <w:t>analysed</w:t>
      </w:r>
      <w:r w:rsidRPr="00D14CE9">
        <w:rPr>
          <w:rFonts w:cstheme="majorHAnsi"/>
          <w:szCs w:val="20"/>
          <w:lang w:val="en-AU"/>
        </w:rPr>
        <w:t>:</w:t>
      </w:r>
    </w:p>
    <w:p w:rsidR="002654CF" w:rsidRPr="00D14CE9" w:rsidRDefault="002654CF" w:rsidP="002654CF">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Population growth (in number of people)</w:t>
      </w:r>
    </w:p>
    <w:p w:rsidR="002654CF" w:rsidRPr="00D14CE9" w:rsidRDefault="002654CF" w:rsidP="002654CF">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GSP (in real $m)</w:t>
      </w:r>
    </w:p>
    <w:p w:rsidR="002654CF" w:rsidRPr="00D14CE9" w:rsidRDefault="002654CF" w:rsidP="002654CF">
      <w:pPr>
        <w:pStyle w:val="EYBulletedList1"/>
        <w:tabs>
          <w:tab w:val="clear" w:pos="288"/>
          <w:tab w:val="num" w:pos="576"/>
        </w:tabs>
        <w:spacing w:after="120"/>
        <w:ind w:left="576"/>
        <w:rPr>
          <w:rFonts w:cstheme="majorHAnsi"/>
          <w:szCs w:val="20"/>
          <w:lang w:val="en-AU"/>
        </w:rPr>
      </w:pPr>
      <w:r w:rsidRPr="00D14CE9">
        <w:rPr>
          <w:rFonts w:cstheme="majorHAnsi"/>
          <w:szCs w:val="20"/>
          <w:lang w:val="en-AU"/>
        </w:rPr>
        <w:lastRenderedPageBreak/>
        <w:t>Interest Rate (in %)</w:t>
      </w:r>
    </w:p>
    <w:p w:rsidR="002654CF" w:rsidRPr="00D14CE9" w:rsidRDefault="002654CF" w:rsidP="002654CF">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Employment growth (in number of people)</w:t>
      </w:r>
    </w:p>
    <w:p w:rsidR="002654CF" w:rsidRPr="00D14CE9" w:rsidRDefault="002654CF" w:rsidP="002654CF">
      <w:pPr>
        <w:pStyle w:val="EYBulletedList1"/>
        <w:spacing w:after="120"/>
        <w:rPr>
          <w:rFonts w:cstheme="majorHAnsi"/>
          <w:szCs w:val="20"/>
          <w:lang w:val="en-AU"/>
        </w:rPr>
      </w:pPr>
      <w:r w:rsidRPr="00D14CE9">
        <w:rPr>
          <w:rFonts w:cstheme="majorHAnsi"/>
          <w:szCs w:val="20"/>
          <w:lang w:val="en-AU"/>
        </w:rPr>
        <w:t>In accordance with the key construction activities identified as relevant for the extractive resources sector, through the supply value chain analysis presented in Section 3 of the Report, the following activities have been analysed</w:t>
      </w:r>
      <w:r w:rsidR="00637296" w:rsidRPr="00D14CE9">
        <w:rPr>
          <w:rFonts w:cstheme="majorHAnsi"/>
          <w:szCs w:val="20"/>
          <w:lang w:val="en-AU"/>
        </w:rPr>
        <w:t>, in 2015 prices to remove the yearly impact of inflation over the period of analysis</w:t>
      </w:r>
      <w:r w:rsidRPr="00D14CE9">
        <w:rPr>
          <w:rFonts w:cstheme="majorHAnsi"/>
          <w:szCs w:val="20"/>
          <w:lang w:val="en-AU"/>
        </w:rPr>
        <w:t>:</w:t>
      </w:r>
    </w:p>
    <w:p w:rsidR="002654CF" w:rsidRPr="00D14CE9" w:rsidRDefault="002654CF" w:rsidP="002654CF">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 xml:space="preserve">Residential activity </w:t>
      </w:r>
    </w:p>
    <w:p w:rsidR="002654CF" w:rsidRPr="00D14CE9" w:rsidRDefault="002654CF" w:rsidP="002654CF">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 xml:space="preserve">Non-Residential activity </w:t>
      </w:r>
    </w:p>
    <w:p w:rsidR="002654CF" w:rsidRPr="00D14CE9" w:rsidRDefault="002654CF" w:rsidP="002654CF">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 xml:space="preserve">Transport activity </w:t>
      </w:r>
    </w:p>
    <w:p w:rsidR="002654CF" w:rsidRPr="00D14CE9" w:rsidRDefault="002654CF" w:rsidP="002654CF">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 xml:space="preserve">Energy and Utility activity </w:t>
      </w:r>
    </w:p>
    <w:p w:rsidR="002654CF" w:rsidRPr="00D14CE9" w:rsidRDefault="002654CF" w:rsidP="002654CF">
      <w:pPr>
        <w:pStyle w:val="EYHeading3"/>
      </w:pPr>
      <w:r w:rsidRPr="00D14CE9">
        <w:t>Findings</w:t>
      </w:r>
    </w:p>
    <w:p w:rsidR="002654CF" w:rsidRPr="00D14CE9" w:rsidRDefault="002654CF" w:rsidP="002654CF">
      <w:pPr>
        <w:pStyle w:val="EYBodytextwithparaspace"/>
        <w:rPr>
          <w:kern w:val="0"/>
          <w:szCs w:val="20"/>
          <w:lang w:val="en-AU"/>
        </w:rPr>
      </w:pPr>
      <w:r w:rsidRPr="00D14CE9">
        <w:rPr>
          <w:kern w:val="0"/>
          <w:szCs w:val="20"/>
          <w:lang w:val="en-AU"/>
        </w:rPr>
        <w:t>Analysis conducted between macro-economic demand drivers and construction activities identified the following relationships, based on historic data available:</w:t>
      </w:r>
    </w:p>
    <w:p w:rsidR="002654CF" w:rsidRPr="00D14CE9" w:rsidRDefault="002654CF" w:rsidP="002654CF">
      <w:pPr>
        <w:pStyle w:val="EYBulletedList1"/>
        <w:spacing w:after="120"/>
        <w:rPr>
          <w:rFonts w:cstheme="majorHAnsi"/>
          <w:szCs w:val="20"/>
          <w:lang w:val="en-AU"/>
        </w:rPr>
      </w:pPr>
      <w:r w:rsidRPr="00D14CE9">
        <w:rPr>
          <w:rFonts w:cstheme="majorHAnsi"/>
          <w:szCs w:val="20"/>
          <w:lang w:val="en-AU"/>
        </w:rPr>
        <w:t>Residential construction activity is historically correlated with population growth, as illustrated in the below graph.</w:t>
      </w:r>
    </w:p>
    <w:p w:rsidR="002654CF" w:rsidRPr="00E65C9D" w:rsidRDefault="002654CF" w:rsidP="00E65C9D">
      <w:pPr>
        <w:pStyle w:val="Caption"/>
        <w:numPr>
          <w:ilvl w:val="0"/>
          <w:numId w:val="9"/>
        </w:numPr>
        <w:ind w:right="-601"/>
        <w:rPr>
          <w:sz w:val="16"/>
          <w:szCs w:val="18"/>
        </w:rPr>
      </w:pPr>
      <w:bookmarkStart w:id="430" w:name="_Toc445240905"/>
      <w:bookmarkStart w:id="431" w:name="_Toc448914568"/>
      <w:r w:rsidRPr="002469B5">
        <w:rPr>
          <w:sz w:val="16"/>
          <w:szCs w:val="18"/>
        </w:rPr>
        <w:t xml:space="preserve">Figure </w:t>
      </w:r>
      <w:r w:rsidRPr="00133B47">
        <w:rPr>
          <w:sz w:val="16"/>
          <w:szCs w:val="18"/>
        </w:rPr>
        <w:fldChar w:fldCharType="begin"/>
      </w:r>
      <w:r w:rsidRPr="00906667">
        <w:rPr>
          <w:b w:val="0"/>
          <w:bCs w:val="0"/>
          <w:sz w:val="16"/>
          <w:szCs w:val="18"/>
        </w:rPr>
        <w:instrText xml:space="preserve"> SEQ Figure \* ARABIC </w:instrText>
      </w:r>
      <w:r w:rsidRPr="00133B47">
        <w:rPr>
          <w:sz w:val="16"/>
          <w:szCs w:val="18"/>
        </w:rPr>
        <w:fldChar w:fldCharType="separate"/>
      </w:r>
      <w:r w:rsidR="00525C82">
        <w:rPr>
          <w:b w:val="0"/>
          <w:bCs w:val="0"/>
          <w:noProof/>
          <w:sz w:val="16"/>
          <w:szCs w:val="18"/>
        </w:rPr>
        <w:t>6</w:t>
      </w:r>
      <w:r w:rsidRPr="00133B47">
        <w:rPr>
          <w:sz w:val="16"/>
          <w:szCs w:val="18"/>
        </w:rPr>
        <w:fldChar w:fldCharType="end"/>
      </w:r>
      <w:r w:rsidRPr="002469B5">
        <w:rPr>
          <w:sz w:val="16"/>
          <w:szCs w:val="18"/>
        </w:rPr>
        <w:t xml:space="preserve"> – Historic </w:t>
      </w:r>
      <w:r w:rsidRPr="00D14CE9">
        <w:rPr>
          <w:sz w:val="16"/>
          <w:szCs w:val="18"/>
        </w:rPr>
        <w:t>Relationship between residential activity and population growth</w:t>
      </w:r>
      <w:bookmarkEnd w:id="430"/>
      <w:bookmarkEnd w:id="431"/>
      <w:r w:rsidRPr="00D14CE9">
        <w:rPr>
          <w:sz w:val="16"/>
          <w:szCs w:val="18"/>
        </w:rPr>
        <w:t xml:space="preserve"> </w:t>
      </w:r>
    </w:p>
    <w:p w:rsidR="00931CBF" w:rsidRDefault="0046188B" w:rsidP="002654CF">
      <w:pPr>
        <w:widowControl/>
        <w:autoSpaceDE/>
        <w:autoSpaceDN/>
        <w:adjustRightInd/>
      </w:pPr>
      <w:r w:rsidRPr="00474B05">
        <w:rPr>
          <w:noProof/>
          <w:lang w:eastAsia="en-AU"/>
        </w:rPr>
        <w:drawing>
          <wp:inline distT="0" distB="0" distL="0" distR="0" wp14:anchorId="41DEFC4F" wp14:editId="22824289">
            <wp:extent cx="5703282" cy="3058733"/>
            <wp:effectExtent l="0" t="0" r="0" b="8890"/>
            <wp:docPr id="2108" name="Picture 2108" descr="Figure 6 is a graph showing the historic relationship between residential activity and population growth.  It shows that broadly, residential activity follows, rather than leads, population growth." title="Figur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781" t="1427" r="376" b="1633"/>
                    <a:stretch/>
                  </pic:blipFill>
                  <pic:spPr bwMode="auto">
                    <a:xfrm>
                      <a:off x="0" y="0"/>
                      <a:ext cx="5703282" cy="3058733"/>
                    </a:xfrm>
                    <a:prstGeom prst="rect">
                      <a:avLst/>
                    </a:prstGeom>
                    <a:noFill/>
                    <a:ln>
                      <a:noFill/>
                    </a:ln>
                    <a:extLst>
                      <a:ext uri="{53640926-AAD7-44D8-BBD7-CCE9431645EC}">
                        <a14:shadowObscured xmlns:a14="http://schemas.microsoft.com/office/drawing/2010/main"/>
                      </a:ext>
                    </a:extLst>
                  </pic:spPr>
                </pic:pic>
              </a:graphicData>
            </a:graphic>
          </wp:inline>
        </w:drawing>
      </w:r>
    </w:p>
    <w:p w:rsidR="002654CF" w:rsidRPr="003637FD" w:rsidRDefault="00931CBF" w:rsidP="002654CF">
      <w:pPr>
        <w:widowControl/>
        <w:autoSpaceDE/>
        <w:autoSpaceDN/>
        <w:adjustRightInd/>
        <w:rPr>
          <w:rFonts w:cs="Arial"/>
          <w:i/>
          <w:sz w:val="16"/>
          <w:szCs w:val="16"/>
        </w:rPr>
      </w:pPr>
      <w:r w:rsidRPr="003637FD">
        <w:rPr>
          <w:i/>
          <w:sz w:val="16"/>
          <w:szCs w:val="16"/>
        </w:rPr>
        <w:t xml:space="preserve">Source: EY analysis </w:t>
      </w:r>
      <w:r w:rsidR="002654CF" w:rsidRPr="003637FD">
        <w:rPr>
          <w:i/>
          <w:sz w:val="16"/>
          <w:szCs w:val="16"/>
        </w:rPr>
        <w:br w:type="page"/>
      </w:r>
    </w:p>
    <w:p w:rsidR="002654CF" w:rsidRPr="00D14CE9" w:rsidRDefault="002654CF" w:rsidP="002654CF">
      <w:pPr>
        <w:pStyle w:val="EYBulletedList1"/>
        <w:spacing w:after="120"/>
        <w:rPr>
          <w:rFonts w:cstheme="majorHAnsi"/>
          <w:szCs w:val="20"/>
          <w:lang w:val="en-AU"/>
        </w:rPr>
      </w:pPr>
      <w:r w:rsidRPr="00D14CE9">
        <w:rPr>
          <w:rFonts w:cstheme="majorHAnsi"/>
          <w:szCs w:val="20"/>
          <w:lang w:val="en-AU"/>
        </w:rPr>
        <w:lastRenderedPageBreak/>
        <w:t>Non-residential construction activity is historically correlated with the GSP, as illustrated in the below graph.</w:t>
      </w:r>
    </w:p>
    <w:p w:rsidR="009878A2" w:rsidRPr="00E65C9D" w:rsidRDefault="002654CF" w:rsidP="00E65C9D">
      <w:pPr>
        <w:pStyle w:val="Caption"/>
        <w:numPr>
          <w:ilvl w:val="0"/>
          <w:numId w:val="9"/>
        </w:numPr>
        <w:ind w:right="-601"/>
        <w:rPr>
          <w:sz w:val="16"/>
          <w:szCs w:val="18"/>
        </w:rPr>
      </w:pPr>
      <w:bookmarkStart w:id="432" w:name="_Toc445240906"/>
      <w:bookmarkStart w:id="433" w:name="_Toc448914569"/>
      <w:r w:rsidRPr="002469B5">
        <w:rPr>
          <w:sz w:val="16"/>
          <w:szCs w:val="18"/>
        </w:rPr>
        <w:t xml:space="preserve">Figure </w:t>
      </w:r>
      <w:r w:rsidRPr="002469B5">
        <w:rPr>
          <w:b w:val="0"/>
          <w:bCs w:val="0"/>
          <w:sz w:val="16"/>
          <w:szCs w:val="18"/>
        </w:rPr>
        <w:fldChar w:fldCharType="begin"/>
      </w:r>
      <w:r w:rsidRPr="00906667">
        <w:rPr>
          <w:b w:val="0"/>
          <w:bCs w:val="0"/>
          <w:sz w:val="16"/>
          <w:szCs w:val="18"/>
        </w:rPr>
        <w:instrText xml:space="preserve"> SEQ Figure \* ARABIC </w:instrText>
      </w:r>
      <w:r w:rsidRPr="002469B5">
        <w:rPr>
          <w:b w:val="0"/>
          <w:bCs w:val="0"/>
          <w:sz w:val="16"/>
          <w:szCs w:val="18"/>
        </w:rPr>
        <w:fldChar w:fldCharType="separate"/>
      </w:r>
      <w:r w:rsidR="00525C82">
        <w:rPr>
          <w:b w:val="0"/>
          <w:bCs w:val="0"/>
          <w:noProof/>
          <w:sz w:val="16"/>
          <w:szCs w:val="18"/>
        </w:rPr>
        <w:t>7</w:t>
      </w:r>
      <w:r w:rsidRPr="002469B5">
        <w:rPr>
          <w:b w:val="0"/>
          <w:bCs w:val="0"/>
          <w:sz w:val="16"/>
          <w:szCs w:val="18"/>
        </w:rPr>
        <w:fldChar w:fldCharType="end"/>
      </w:r>
      <w:r w:rsidRPr="002469B5">
        <w:rPr>
          <w:sz w:val="16"/>
          <w:szCs w:val="18"/>
        </w:rPr>
        <w:t xml:space="preserve"> – Historic</w:t>
      </w:r>
      <w:r w:rsidRPr="00D14CE9">
        <w:rPr>
          <w:sz w:val="16"/>
          <w:szCs w:val="18"/>
        </w:rPr>
        <w:t xml:space="preserve"> relationship between non-residential activity and GSP</w:t>
      </w:r>
      <w:bookmarkEnd w:id="432"/>
      <w:bookmarkEnd w:id="433"/>
      <w:r w:rsidRPr="00D14CE9">
        <w:rPr>
          <w:sz w:val="16"/>
          <w:szCs w:val="18"/>
        </w:rPr>
        <w:t xml:space="preserve"> </w:t>
      </w:r>
    </w:p>
    <w:p w:rsidR="0046188B" w:rsidRDefault="0046188B" w:rsidP="002654CF">
      <w:pPr>
        <w:pStyle w:val="ListParagraph"/>
        <w:ind w:left="0"/>
        <w:rPr>
          <w:rFonts w:ascii="EYInterstate Light" w:hAnsi="EYInterstate Light"/>
        </w:rPr>
      </w:pPr>
      <w:r w:rsidRPr="00474B05">
        <w:rPr>
          <w:rFonts w:ascii="EYInterstate Light" w:hAnsi="EYInterstate Light"/>
          <w:noProof/>
          <w:lang w:eastAsia="en-AU"/>
        </w:rPr>
        <w:drawing>
          <wp:inline distT="0" distB="0" distL="0" distR="0" wp14:anchorId="7A3F4175" wp14:editId="67BF0E7A">
            <wp:extent cx="5686023" cy="3084195"/>
            <wp:effectExtent l="0" t="0" r="0" b="1905"/>
            <wp:docPr id="2109" name="Picture 2109" descr="Figure 7 is a graph showing the historic relationship between non-residential activity and Gross State Product (GSP). It shows that while GSP increases consistently over the period 2002 – 2014, non-residential activity increases significantly in the period 2006 – 2008 and then decreases slightly by 2014."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l="1113" t="817" r="525" b="1456"/>
                    <a:stretch/>
                  </pic:blipFill>
                  <pic:spPr bwMode="auto">
                    <a:xfrm>
                      <a:off x="0" y="0"/>
                      <a:ext cx="5683556" cy="3082857"/>
                    </a:xfrm>
                    <a:prstGeom prst="rect">
                      <a:avLst/>
                    </a:prstGeom>
                    <a:noFill/>
                    <a:ln>
                      <a:noFill/>
                    </a:ln>
                    <a:extLst>
                      <a:ext uri="{53640926-AAD7-44D8-BBD7-CCE9431645EC}">
                        <a14:shadowObscured xmlns:a14="http://schemas.microsoft.com/office/drawing/2010/main"/>
                      </a:ext>
                    </a:extLst>
                  </pic:spPr>
                </pic:pic>
              </a:graphicData>
            </a:graphic>
          </wp:inline>
        </w:drawing>
      </w:r>
    </w:p>
    <w:p w:rsidR="00BF2DEF" w:rsidRPr="003637FD" w:rsidRDefault="00931CBF" w:rsidP="003637FD">
      <w:pPr>
        <w:widowControl/>
        <w:autoSpaceDE/>
        <w:autoSpaceDN/>
        <w:adjustRightInd/>
        <w:rPr>
          <w:i/>
          <w:sz w:val="16"/>
          <w:szCs w:val="16"/>
        </w:rPr>
      </w:pPr>
      <w:r w:rsidRPr="003637FD">
        <w:rPr>
          <w:i/>
          <w:sz w:val="16"/>
          <w:szCs w:val="16"/>
        </w:rPr>
        <w:t>Source: EY analysis</w:t>
      </w:r>
    </w:p>
    <w:p w:rsidR="00931CBF" w:rsidRPr="00D14CE9" w:rsidRDefault="00931CBF" w:rsidP="003637FD">
      <w:pPr>
        <w:widowControl/>
        <w:autoSpaceDE/>
        <w:autoSpaceDN/>
        <w:adjustRightInd/>
      </w:pPr>
    </w:p>
    <w:p w:rsidR="002654CF" w:rsidRPr="00D14CE9" w:rsidRDefault="002654CF" w:rsidP="002654CF">
      <w:pPr>
        <w:pStyle w:val="EYBulletedList1"/>
        <w:spacing w:after="120"/>
        <w:rPr>
          <w:rFonts w:cstheme="majorHAnsi"/>
          <w:szCs w:val="20"/>
          <w:lang w:val="en-AU"/>
        </w:rPr>
      </w:pPr>
      <w:r w:rsidRPr="00D14CE9">
        <w:rPr>
          <w:rFonts w:cstheme="majorHAnsi"/>
          <w:szCs w:val="20"/>
          <w:lang w:val="en-AU"/>
        </w:rPr>
        <w:t>Transport construction activity is highly cyclical, however is generally correlated with the long term movement in GSP, as illustrated in the below graph.</w:t>
      </w:r>
    </w:p>
    <w:p w:rsidR="002654CF" w:rsidRPr="00E65C9D" w:rsidRDefault="002654CF" w:rsidP="00E65C9D">
      <w:pPr>
        <w:pStyle w:val="Caption"/>
        <w:numPr>
          <w:ilvl w:val="0"/>
          <w:numId w:val="9"/>
        </w:numPr>
        <w:ind w:right="-601"/>
        <w:rPr>
          <w:sz w:val="16"/>
          <w:szCs w:val="18"/>
        </w:rPr>
      </w:pPr>
      <w:bookmarkStart w:id="434" w:name="_Toc445240907"/>
      <w:bookmarkStart w:id="435" w:name="_Toc448914570"/>
      <w:r w:rsidRPr="002469B5">
        <w:rPr>
          <w:sz w:val="16"/>
          <w:szCs w:val="18"/>
        </w:rPr>
        <w:t xml:space="preserve">Figure </w:t>
      </w:r>
      <w:r w:rsidRPr="003637FD">
        <w:rPr>
          <w:sz w:val="16"/>
          <w:szCs w:val="18"/>
        </w:rPr>
        <w:fldChar w:fldCharType="begin"/>
      </w:r>
      <w:r w:rsidRPr="003637FD">
        <w:rPr>
          <w:bCs w:val="0"/>
          <w:sz w:val="16"/>
          <w:szCs w:val="18"/>
        </w:rPr>
        <w:instrText xml:space="preserve"> SEQ Figure \* ARABIC </w:instrText>
      </w:r>
      <w:r w:rsidRPr="003637FD">
        <w:rPr>
          <w:sz w:val="16"/>
          <w:szCs w:val="18"/>
        </w:rPr>
        <w:fldChar w:fldCharType="separate"/>
      </w:r>
      <w:r w:rsidR="00525C82">
        <w:rPr>
          <w:bCs w:val="0"/>
          <w:noProof/>
          <w:sz w:val="16"/>
          <w:szCs w:val="18"/>
        </w:rPr>
        <w:t>8</w:t>
      </w:r>
      <w:r w:rsidRPr="003637FD">
        <w:rPr>
          <w:sz w:val="16"/>
          <w:szCs w:val="18"/>
        </w:rPr>
        <w:fldChar w:fldCharType="end"/>
      </w:r>
      <w:r w:rsidRPr="002469B5">
        <w:rPr>
          <w:sz w:val="16"/>
          <w:szCs w:val="18"/>
        </w:rPr>
        <w:t xml:space="preserve"> – Historic relationship</w:t>
      </w:r>
      <w:r w:rsidRPr="00D14CE9">
        <w:rPr>
          <w:sz w:val="16"/>
          <w:szCs w:val="18"/>
        </w:rPr>
        <w:t xml:space="preserve"> between transport activity and GSP</w:t>
      </w:r>
      <w:bookmarkEnd w:id="434"/>
      <w:bookmarkEnd w:id="435"/>
      <w:r w:rsidRPr="00D14CE9">
        <w:rPr>
          <w:sz w:val="16"/>
          <w:szCs w:val="18"/>
        </w:rPr>
        <w:t xml:space="preserve"> </w:t>
      </w:r>
    </w:p>
    <w:p w:rsidR="00931CBF" w:rsidRDefault="0046188B" w:rsidP="002654CF">
      <w:pPr>
        <w:widowControl/>
        <w:autoSpaceDE/>
        <w:autoSpaceDN/>
        <w:adjustRightInd/>
        <w:rPr>
          <w:rFonts w:cstheme="majorHAnsi"/>
        </w:rPr>
      </w:pPr>
      <w:r w:rsidRPr="00474B05">
        <w:rPr>
          <w:rFonts w:cstheme="majorHAnsi"/>
          <w:noProof/>
          <w:lang w:eastAsia="en-AU"/>
        </w:rPr>
        <w:drawing>
          <wp:inline distT="0" distB="0" distL="0" distR="0" wp14:anchorId="279B4A98" wp14:editId="0B896EC1">
            <wp:extent cx="5627117" cy="3090929"/>
            <wp:effectExtent l="0" t="0" r="0" b="0"/>
            <wp:docPr id="2110" name="Picture 2110" descr="Figure 8 is a graph showing the historic relationship between transport activity and Gross State Product (GSP). It shows that while GSP increases consistently over the period 1992 – 2014, transport activity peaks sharply in 1998, 2007 and 2012."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l="2336" t="1221" r="373" b="1053"/>
                    <a:stretch/>
                  </pic:blipFill>
                  <pic:spPr bwMode="auto">
                    <a:xfrm>
                      <a:off x="0" y="0"/>
                      <a:ext cx="5626442" cy="3090558"/>
                    </a:xfrm>
                    <a:prstGeom prst="rect">
                      <a:avLst/>
                    </a:prstGeom>
                    <a:noFill/>
                    <a:ln>
                      <a:noFill/>
                    </a:ln>
                    <a:extLst>
                      <a:ext uri="{53640926-AAD7-44D8-BBD7-CCE9431645EC}">
                        <a14:shadowObscured xmlns:a14="http://schemas.microsoft.com/office/drawing/2010/main"/>
                      </a:ext>
                    </a:extLst>
                  </pic:spPr>
                </pic:pic>
              </a:graphicData>
            </a:graphic>
          </wp:inline>
        </w:drawing>
      </w:r>
    </w:p>
    <w:p w:rsidR="00931CBF" w:rsidRPr="006B35A2" w:rsidRDefault="00931CBF" w:rsidP="00931CBF">
      <w:pPr>
        <w:widowControl/>
        <w:autoSpaceDE/>
        <w:autoSpaceDN/>
        <w:adjustRightInd/>
        <w:rPr>
          <w:i/>
          <w:sz w:val="16"/>
          <w:szCs w:val="16"/>
        </w:rPr>
      </w:pPr>
      <w:r w:rsidRPr="006B35A2">
        <w:rPr>
          <w:i/>
          <w:sz w:val="16"/>
          <w:szCs w:val="16"/>
        </w:rPr>
        <w:t>Source: EY analysis</w:t>
      </w:r>
    </w:p>
    <w:p w:rsidR="002654CF" w:rsidRPr="00D14CE9" w:rsidRDefault="002654CF" w:rsidP="002654CF">
      <w:pPr>
        <w:widowControl/>
        <w:autoSpaceDE/>
        <w:autoSpaceDN/>
        <w:adjustRightInd/>
        <w:rPr>
          <w:rFonts w:cstheme="majorHAnsi"/>
          <w:kern w:val="12"/>
        </w:rPr>
      </w:pPr>
      <w:r w:rsidRPr="00D14CE9">
        <w:rPr>
          <w:rFonts w:cstheme="majorHAnsi"/>
        </w:rPr>
        <w:br w:type="page"/>
      </w:r>
    </w:p>
    <w:p w:rsidR="002654CF" w:rsidRPr="00D14CE9" w:rsidRDefault="002654CF" w:rsidP="002654CF">
      <w:pPr>
        <w:pStyle w:val="EYBulletedList1"/>
        <w:spacing w:after="120"/>
        <w:rPr>
          <w:rFonts w:cstheme="majorHAnsi"/>
          <w:szCs w:val="20"/>
          <w:lang w:val="en-AU"/>
        </w:rPr>
      </w:pPr>
      <w:r w:rsidRPr="00D14CE9">
        <w:rPr>
          <w:rFonts w:cstheme="majorHAnsi"/>
          <w:szCs w:val="20"/>
          <w:lang w:val="en-AU"/>
        </w:rPr>
        <w:lastRenderedPageBreak/>
        <w:t>Energy and utilities related construction activity is also cyclical and broadly correlated with the long term movement in GSP, as illustrated in the below graph:</w:t>
      </w:r>
    </w:p>
    <w:p w:rsidR="002654CF" w:rsidRPr="00E65C9D" w:rsidRDefault="002654CF" w:rsidP="00E65C9D">
      <w:pPr>
        <w:pStyle w:val="Caption"/>
        <w:numPr>
          <w:ilvl w:val="0"/>
          <w:numId w:val="9"/>
        </w:numPr>
        <w:ind w:right="-601"/>
        <w:rPr>
          <w:sz w:val="16"/>
          <w:szCs w:val="18"/>
        </w:rPr>
      </w:pPr>
      <w:bookmarkStart w:id="436" w:name="_Ref448827684"/>
      <w:bookmarkStart w:id="437" w:name="_Toc445240908"/>
      <w:bookmarkStart w:id="438" w:name="_Toc448914571"/>
      <w:r w:rsidRPr="002469B5">
        <w:rPr>
          <w:sz w:val="16"/>
          <w:szCs w:val="18"/>
        </w:rPr>
        <w:t xml:space="preserve">Figure </w:t>
      </w:r>
      <w:r w:rsidRPr="00133B47">
        <w:rPr>
          <w:sz w:val="16"/>
          <w:szCs w:val="18"/>
        </w:rPr>
        <w:fldChar w:fldCharType="begin"/>
      </w:r>
      <w:r w:rsidRPr="00906667">
        <w:rPr>
          <w:b w:val="0"/>
          <w:bCs w:val="0"/>
          <w:sz w:val="16"/>
          <w:szCs w:val="18"/>
        </w:rPr>
        <w:instrText xml:space="preserve"> SEQ Figure \* ARABIC </w:instrText>
      </w:r>
      <w:r w:rsidRPr="00133B47">
        <w:rPr>
          <w:sz w:val="16"/>
          <w:szCs w:val="18"/>
        </w:rPr>
        <w:fldChar w:fldCharType="separate"/>
      </w:r>
      <w:r w:rsidR="00525C82">
        <w:rPr>
          <w:b w:val="0"/>
          <w:bCs w:val="0"/>
          <w:noProof/>
          <w:sz w:val="16"/>
          <w:szCs w:val="18"/>
        </w:rPr>
        <w:t>9</w:t>
      </w:r>
      <w:r w:rsidRPr="00133B47">
        <w:rPr>
          <w:sz w:val="16"/>
          <w:szCs w:val="18"/>
        </w:rPr>
        <w:fldChar w:fldCharType="end"/>
      </w:r>
      <w:bookmarkEnd w:id="436"/>
      <w:r w:rsidRPr="002469B5">
        <w:rPr>
          <w:sz w:val="16"/>
          <w:szCs w:val="18"/>
        </w:rPr>
        <w:t xml:space="preserve"> – Historic</w:t>
      </w:r>
      <w:r w:rsidRPr="00D14CE9">
        <w:rPr>
          <w:sz w:val="16"/>
          <w:szCs w:val="18"/>
        </w:rPr>
        <w:t xml:space="preserve"> relationship between energy and utility activity and GSP</w:t>
      </w:r>
      <w:bookmarkEnd w:id="437"/>
      <w:bookmarkEnd w:id="438"/>
    </w:p>
    <w:p w:rsidR="004661AE" w:rsidRDefault="00F304A8" w:rsidP="002654CF">
      <w:r w:rsidRPr="00474B05">
        <w:rPr>
          <w:noProof/>
          <w:lang w:eastAsia="en-AU"/>
        </w:rPr>
        <w:drawing>
          <wp:inline distT="0" distB="0" distL="0" distR="0" wp14:anchorId="326AAB2B" wp14:editId="41356E48">
            <wp:extent cx="5576552" cy="3058160"/>
            <wp:effectExtent l="0" t="0" r="5715" b="8890"/>
            <wp:docPr id="2112" name="Picture 2112" descr="Figure 9 is a graph showing the historic relationship between energy and utility activity and Gross State Product (GSP). It shows that while GSP increases consistently over the period 1992 – 2014, energy and utilities increases significantly from 2007 and peaks sharply in 2011. &#10;&#10;" title="Figure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l="1915" t="1029" r="505" b="1300"/>
                    <a:stretch/>
                  </pic:blipFill>
                  <pic:spPr bwMode="auto">
                    <a:xfrm>
                      <a:off x="0" y="0"/>
                      <a:ext cx="5581514" cy="3060881"/>
                    </a:xfrm>
                    <a:prstGeom prst="rect">
                      <a:avLst/>
                    </a:prstGeom>
                    <a:noFill/>
                    <a:ln>
                      <a:noFill/>
                    </a:ln>
                    <a:extLst>
                      <a:ext uri="{53640926-AAD7-44D8-BBD7-CCE9431645EC}">
                        <a14:shadowObscured xmlns:a14="http://schemas.microsoft.com/office/drawing/2010/main"/>
                      </a:ext>
                    </a:extLst>
                  </pic:spPr>
                </pic:pic>
              </a:graphicData>
            </a:graphic>
          </wp:inline>
        </w:drawing>
      </w:r>
    </w:p>
    <w:p w:rsidR="00931CBF" w:rsidRPr="006B35A2" w:rsidRDefault="00931CBF" w:rsidP="00931CBF">
      <w:pPr>
        <w:widowControl/>
        <w:autoSpaceDE/>
        <w:autoSpaceDN/>
        <w:adjustRightInd/>
        <w:rPr>
          <w:i/>
          <w:sz w:val="16"/>
          <w:szCs w:val="16"/>
        </w:rPr>
      </w:pPr>
      <w:r w:rsidRPr="006B35A2">
        <w:rPr>
          <w:i/>
          <w:sz w:val="16"/>
          <w:szCs w:val="16"/>
        </w:rPr>
        <w:t>Source: EY analysis</w:t>
      </w:r>
    </w:p>
    <w:p w:rsidR="00931CBF" w:rsidRPr="00D14CE9" w:rsidRDefault="00931CBF" w:rsidP="002654CF"/>
    <w:p w:rsidR="00902448" w:rsidRDefault="00802792" w:rsidP="00E65C9D">
      <w:pPr>
        <w:pStyle w:val="EYBodytextwithparaspace"/>
        <w:rPr>
          <w:kern w:val="0"/>
          <w:szCs w:val="20"/>
          <w:lang w:val="en-AU"/>
        </w:rPr>
      </w:pPr>
      <w:r w:rsidRPr="00372DE0">
        <w:rPr>
          <w:kern w:val="0"/>
          <w:szCs w:val="20"/>
          <w:lang w:val="en-AU"/>
        </w:rPr>
        <w:t xml:space="preserve">The surge in energy and utilities related construction activity from 2008 to 2011 is related to a strong increase during this period of the construction spend ($) within the water storage and supply, sewerage and drainage and electricity generation, transmission and pipeline sectors, proportionately more important in the water sector which grew by a yearly increase of 63% over the period, compared to 21% in the electricity sector. </w:t>
      </w:r>
    </w:p>
    <w:p w:rsidR="00820007" w:rsidRDefault="00902448" w:rsidP="00E65C9D">
      <w:pPr>
        <w:pStyle w:val="EYBodytextwithparaspace"/>
        <w:rPr>
          <w:kern w:val="0"/>
          <w:szCs w:val="20"/>
          <w:lang w:val="en-AU"/>
        </w:rPr>
      </w:pPr>
      <w:r>
        <w:rPr>
          <w:kern w:val="0"/>
          <w:szCs w:val="20"/>
          <w:lang w:val="en-AU"/>
        </w:rPr>
        <w:t xml:space="preserve">These trends reflected the </w:t>
      </w:r>
      <w:r w:rsidR="00820007">
        <w:rPr>
          <w:kern w:val="0"/>
          <w:szCs w:val="20"/>
          <w:lang w:val="en-AU"/>
        </w:rPr>
        <w:t>Victorian Government</w:t>
      </w:r>
      <w:r>
        <w:rPr>
          <w:kern w:val="0"/>
          <w:szCs w:val="20"/>
          <w:lang w:val="en-AU"/>
        </w:rPr>
        <w:t>’s</w:t>
      </w:r>
      <w:r w:rsidR="00820007">
        <w:rPr>
          <w:kern w:val="0"/>
          <w:szCs w:val="20"/>
          <w:lang w:val="en-AU"/>
        </w:rPr>
        <w:t xml:space="preserve"> significant investments</w:t>
      </w:r>
      <w:r>
        <w:rPr>
          <w:kern w:val="0"/>
          <w:szCs w:val="20"/>
          <w:lang w:val="en-AU"/>
        </w:rPr>
        <w:t xml:space="preserve"> in water infrastructure</w:t>
      </w:r>
      <w:r w:rsidR="00820007">
        <w:rPr>
          <w:kern w:val="0"/>
          <w:szCs w:val="20"/>
          <w:lang w:val="en-AU"/>
        </w:rPr>
        <w:t xml:space="preserve"> over the last decade to ensure the State’s water security, including</w:t>
      </w:r>
      <w:r w:rsidR="00820007">
        <w:rPr>
          <w:rStyle w:val="FootnoteReference"/>
          <w:kern w:val="0"/>
          <w:lang w:val="en-AU"/>
        </w:rPr>
        <w:footnoteReference w:id="5"/>
      </w:r>
      <w:r w:rsidR="00820007">
        <w:rPr>
          <w:kern w:val="0"/>
          <w:szCs w:val="20"/>
          <w:lang w:val="en-AU"/>
        </w:rPr>
        <w:t>:</w:t>
      </w:r>
    </w:p>
    <w:p w:rsidR="00820007" w:rsidRDefault="00820007" w:rsidP="00820007">
      <w:pPr>
        <w:pStyle w:val="EYBulletedList1"/>
        <w:spacing w:after="120"/>
        <w:rPr>
          <w:rFonts w:cstheme="majorHAnsi"/>
          <w:szCs w:val="20"/>
          <w:lang w:val="en-AU"/>
        </w:rPr>
      </w:pPr>
      <w:r>
        <w:rPr>
          <w:rFonts w:cstheme="majorHAnsi"/>
          <w:szCs w:val="20"/>
          <w:lang w:val="en-AU"/>
        </w:rPr>
        <w:t>Melbourne Desalination Plant</w:t>
      </w:r>
    </w:p>
    <w:p w:rsidR="00820007" w:rsidRDefault="00820007" w:rsidP="00820007">
      <w:pPr>
        <w:pStyle w:val="EYBulletedList1"/>
        <w:spacing w:after="120"/>
        <w:rPr>
          <w:rFonts w:cstheme="majorHAnsi"/>
          <w:szCs w:val="20"/>
          <w:lang w:val="en-AU"/>
        </w:rPr>
      </w:pPr>
      <w:r>
        <w:rPr>
          <w:rFonts w:cstheme="majorHAnsi"/>
          <w:szCs w:val="20"/>
          <w:lang w:val="en-AU"/>
        </w:rPr>
        <w:t>Sugarloaf (North-South) Pipeline</w:t>
      </w:r>
    </w:p>
    <w:p w:rsidR="00820007" w:rsidRDefault="00820007" w:rsidP="00820007">
      <w:pPr>
        <w:pStyle w:val="EYBulletedList1"/>
        <w:spacing w:after="120"/>
        <w:rPr>
          <w:rFonts w:cstheme="majorHAnsi"/>
          <w:szCs w:val="20"/>
          <w:lang w:val="en-AU"/>
        </w:rPr>
      </w:pPr>
      <w:r>
        <w:rPr>
          <w:rFonts w:cstheme="majorHAnsi"/>
          <w:szCs w:val="20"/>
          <w:lang w:val="en-AU"/>
        </w:rPr>
        <w:t>Tarago-Warragul-Moe Pipeline</w:t>
      </w:r>
    </w:p>
    <w:p w:rsidR="00820007" w:rsidRDefault="00820007" w:rsidP="00820007">
      <w:pPr>
        <w:pStyle w:val="EYBulletedList1"/>
        <w:spacing w:after="120"/>
        <w:rPr>
          <w:rFonts w:cstheme="majorHAnsi"/>
          <w:szCs w:val="20"/>
          <w:lang w:val="en-AU"/>
        </w:rPr>
      </w:pPr>
      <w:r>
        <w:rPr>
          <w:rFonts w:cstheme="majorHAnsi"/>
          <w:szCs w:val="20"/>
          <w:lang w:val="en-AU"/>
        </w:rPr>
        <w:t>Wimmera Mallee Interconnector</w:t>
      </w:r>
    </w:p>
    <w:p w:rsidR="00820007" w:rsidRDefault="00820007" w:rsidP="00820007">
      <w:pPr>
        <w:pStyle w:val="EYBulletedList1"/>
        <w:spacing w:after="120"/>
        <w:rPr>
          <w:rFonts w:cstheme="majorHAnsi"/>
          <w:szCs w:val="20"/>
          <w:lang w:val="en-AU"/>
        </w:rPr>
      </w:pPr>
      <w:r>
        <w:rPr>
          <w:rFonts w:cstheme="majorHAnsi"/>
          <w:szCs w:val="20"/>
          <w:lang w:val="en-AU"/>
        </w:rPr>
        <w:t>Goldfields Superpipe</w:t>
      </w:r>
    </w:p>
    <w:p w:rsidR="00820007" w:rsidRDefault="00820007" w:rsidP="00820007">
      <w:pPr>
        <w:pStyle w:val="EYBulletedList1"/>
        <w:spacing w:after="120"/>
        <w:rPr>
          <w:rFonts w:cstheme="majorHAnsi"/>
          <w:szCs w:val="20"/>
          <w:lang w:val="en-AU"/>
        </w:rPr>
      </w:pPr>
      <w:r>
        <w:rPr>
          <w:rFonts w:cstheme="majorHAnsi"/>
          <w:szCs w:val="20"/>
          <w:lang w:val="en-AU"/>
        </w:rPr>
        <w:t>Hamilton Grampians Interconnector</w:t>
      </w:r>
    </w:p>
    <w:p w:rsidR="00802792" w:rsidRPr="00372DE0" w:rsidRDefault="00802792" w:rsidP="002A1D72">
      <w:pPr>
        <w:pStyle w:val="EYBodytextwithparaspace"/>
        <w:spacing w:before="120"/>
        <w:rPr>
          <w:kern w:val="0"/>
          <w:szCs w:val="20"/>
          <w:lang w:val="en-AU"/>
        </w:rPr>
      </w:pPr>
      <w:r w:rsidRPr="00372DE0">
        <w:rPr>
          <w:kern w:val="0"/>
          <w:szCs w:val="20"/>
          <w:lang w:val="en-AU"/>
        </w:rPr>
        <w:t xml:space="preserve">From 2012 onward, the construction spend within the Energy and Utilities related construction activity decreased overall, although this trend was more significant within the water sector.  </w:t>
      </w:r>
    </w:p>
    <w:p w:rsidR="004F47D5" w:rsidRPr="00AB2F47" w:rsidRDefault="004F47D5" w:rsidP="003637FD">
      <w:bookmarkStart w:id="439" w:name="_Toc444699270"/>
      <w:bookmarkStart w:id="440" w:name="_Toc444700229"/>
      <w:bookmarkStart w:id="441" w:name="_Toc445151281"/>
      <w:bookmarkStart w:id="442" w:name="_Toc445208507"/>
      <w:bookmarkStart w:id="443" w:name="_Toc445215978"/>
      <w:bookmarkStart w:id="444" w:name="_Toc445218334"/>
      <w:bookmarkStart w:id="445" w:name="_Toc445219418"/>
      <w:bookmarkStart w:id="446" w:name="_Toc445219627"/>
      <w:bookmarkStart w:id="447" w:name="_Toc445219977"/>
      <w:bookmarkStart w:id="448" w:name="_Toc445220351"/>
      <w:bookmarkStart w:id="449" w:name="_Toc445220495"/>
      <w:bookmarkStart w:id="450" w:name="_Toc445220613"/>
      <w:bookmarkStart w:id="451" w:name="_Toc445239628"/>
      <w:bookmarkStart w:id="452" w:name="_Toc445240871"/>
      <w:bookmarkStart w:id="453" w:name="_Toc445382963"/>
      <w:bookmarkStart w:id="454" w:name="_Toc445383562"/>
      <w:bookmarkStart w:id="455" w:name="_Toc445383862"/>
      <w:bookmarkStart w:id="456" w:name="_Toc445384033"/>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AB2F47">
        <w:br w:type="page"/>
      </w:r>
    </w:p>
    <w:p w:rsidR="002654CF" w:rsidRPr="00D14CE9" w:rsidRDefault="002654CF" w:rsidP="002654CF">
      <w:pPr>
        <w:pStyle w:val="EYHeading2"/>
      </w:pPr>
      <w:bookmarkStart w:id="457" w:name="_Toc451847078"/>
      <w:r w:rsidRPr="00D14CE9">
        <w:lastRenderedPageBreak/>
        <w:t>Historic relationships between construction activities and the total production of extractive resources</w:t>
      </w:r>
      <w:bookmarkEnd w:id="457"/>
    </w:p>
    <w:p w:rsidR="002654CF" w:rsidRPr="00D14CE9" w:rsidRDefault="002654CF" w:rsidP="002654CF">
      <w:pPr>
        <w:pStyle w:val="EYHeading3"/>
        <w:rPr>
          <w:b/>
        </w:rPr>
      </w:pPr>
      <w:r w:rsidRPr="00D14CE9">
        <w:t>Process</w:t>
      </w:r>
    </w:p>
    <w:p w:rsidR="002654CF" w:rsidRPr="00D14CE9" w:rsidRDefault="002654CF" w:rsidP="002654CF">
      <w:pPr>
        <w:pStyle w:val="EYBodytextwithparaspace"/>
        <w:rPr>
          <w:kern w:val="0"/>
          <w:szCs w:val="20"/>
          <w:lang w:val="en-AU"/>
        </w:rPr>
      </w:pPr>
      <w:r w:rsidRPr="00D14CE9">
        <w:rPr>
          <w:kern w:val="0"/>
          <w:szCs w:val="20"/>
          <w:lang w:val="en-AU"/>
        </w:rPr>
        <w:t xml:space="preserve">Building a macro-driven forecast secondly consisted of identifying strong historic relationships between construction activities and the total production of extractive resources. </w:t>
      </w:r>
    </w:p>
    <w:p w:rsidR="002654CF" w:rsidRDefault="002654CF" w:rsidP="002654CF">
      <w:pPr>
        <w:pStyle w:val="EYBodytextwithparaspace"/>
        <w:rPr>
          <w:kern w:val="0"/>
          <w:szCs w:val="20"/>
          <w:lang w:val="en-AU"/>
        </w:rPr>
      </w:pPr>
      <w:r w:rsidRPr="00D14CE9">
        <w:rPr>
          <w:kern w:val="0"/>
          <w:szCs w:val="20"/>
          <w:lang w:val="en-AU"/>
        </w:rPr>
        <w:t xml:space="preserve">The following historic data sets have been sourced to identify robust relationships. Official sources of those data have been listed in </w:t>
      </w:r>
      <w:r w:rsidRPr="00474B05">
        <w:rPr>
          <w:kern w:val="0"/>
          <w:szCs w:val="20"/>
          <w:lang w:val="en-AU"/>
        </w:rPr>
        <w:fldChar w:fldCharType="begin" w:fldLock="1"/>
      </w:r>
      <w:r w:rsidRPr="00D14CE9">
        <w:rPr>
          <w:kern w:val="0"/>
          <w:szCs w:val="20"/>
          <w:lang w:val="en-AU"/>
        </w:rPr>
        <w:instrText xml:space="preserve"> REF _Ref441133802 \r \h  \* MERGEFORMAT </w:instrText>
      </w:r>
      <w:r w:rsidRPr="00474B05">
        <w:rPr>
          <w:kern w:val="0"/>
          <w:szCs w:val="20"/>
          <w:lang w:val="en-AU"/>
        </w:rPr>
      </w:r>
      <w:r w:rsidRPr="00474B05">
        <w:rPr>
          <w:kern w:val="0"/>
          <w:szCs w:val="20"/>
          <w:lang w:val="en-AU"/>
        </w:rPr>
        <w:fldChar w:fldCharType="separate"/>
      </w:r>
      <w:r w:rsidR="00895089">
        <w:rPr>
          <w:kern w:val="0"/>
          <w:szCs w:val="20"/>
          <w:lang w:val="en-AU"/>
        </w:rPr>
        <w:t>Appendix C</w:t>
      </w:r>
      <w:r w:rsidRPr="00474B05">
        <w:rPr>
          <w:kern w:val="0"/>
          <w:szCs w:val="20"/>
          <w:lang w:val="en-AU"/>
        </w:rPr>
        <w:fldChar w:fldCharType="end"/>
      </w:r>
      <w:r w:rsidRPr="00D14CE9">
        <w:rPr>
          <w:kern w:val="0"/>
          <w:szCs w:val="20"/>
          <w:lang w:val="en-AU"/>
        </w:rPr>
        <w:t xml:space="preserve"> of the Report.</w:t>
      </w:r>
    </w:p>
    <w:p w:rsidR="002654CF" w:rsidRPr="00D14CE9" w:rsidRDefault="002654CF" w:rsidP="002A1D72">
      <w:pPr>
        <w:pStyle w:val="EYBodytextwithparaspace"/>
        <w:rPr>
          <w:rFonts w:cstheme="majorHAnsi"/>
          <w:szCs w:val="20"/>
          <w:lang w:val="en-AU"/>
        </w:rPr>
      </w:pPr>
      <w:r w:rsidRPr="00D14CE9">
        <w:rPr>
          <w:rFonts w:cstheme="majorHAnsi"/>
          <w:szCs w:val="20"/>
          <w:lang w:val="en-AU"/>
        </w:rPr>
        <w:t xml:space="preserve">Historic data used in relation to the production of extractive resources in Victoria have been provided by the DEDJTR, on a financial year basis, in May 2015, from </w:t>
      </w:r>
      <w:r w:rsidR="0045582A" w:rsidRPr="00D14CE9">
        <w:rPr>
          <w:rFonts w:cstheme="majorHAnsi"/>
          <w:szCs w:val="20"/>
          <w:lang w:val="en-AU"/>
        </w:rPr>
        <w:t xml:space="preserve">1991 </w:t>
      </w:r>
      <w:r w:rsidRPr="00D14CE9">
        <w:rPr>
          <w:rFonts w:cstheme="majorHAnsi"/>
          <w:szCs w:val="20"/>
          <w:lang w:val="en-AU"/>
        </w:rPr>
        <w:t xml:space="preserve">to </w:t>
      </w:r>
      <w:r w:rsidR="002542FD" w:rsidRPr="00D14CE9">
        <w:rPr>
          <w:rFonts w:cstheme="majorHAnsi"/>
          <w:szCs w:val="20"/>
          <w:lang w:val="en-AU"/>
        </w:rPr>
        <w:t>2014</w:t>
      </w:r>
      <w:r w:rsidRPr="00D14CE9">
        <w:rPr>
          <w:rFonts w:cstheme="majorHAnsi"/>
          <w:szCs w:val="20"/>
          <w:lang w:val="en-AU"/>
        </w:rPr>
        <w:t>. The inputs used for the analysis</w:t>
      </w:r>
      <w:r w:rsidR="008B1A30">
        <w:rPr>
          <w:rFonts w:cstheme="majorHAnsi"/>
          <w:szCs w:val="20"/>
          <w:lang w:val="en-AU"/>
        </w:rPr>
        <w:t>, from 2002 to 2014,</w:t>
      </w:r>
      <w:r w:rsidRPr="00D14CE9">
        <w:rPr>
          <w:rFonts w:cstheme="majorHAnsi"/>
          <w:szCs w:val="20"/>
          <w:lang w:val="en-AU"/>
        </w:rPr>
        <w:t xml:space="preserve"> are summarized in the </w:t>
      </w:r>
      <w:r w:rsidR="005E25DE">
        <w:rPr>
          <w:rFonts w:cstheme="majorHAnsi"/>
          <w:szCs w:val="20"/>
          <w:lang w:val="en-AU"/>
        </w:rPr>
        <w:fldChar w:fldCharType="begin"/>
      </w:r>
      <w:r w:rsidR="005E25DE">
        <w:rPr>
          <w:rFonts w:cstheme="majorHAnsi"/>
          <w:szCs w:val="20"/>
          <w:lang w:val="en-AU"/>
        </w:rPr>
        <w:instrText xml:space="preserve"> REF _Ref442112782 \h </w:instrText>
      </w:r>
      <w:r w:rsidR="005E25DE">
        <w:rPr>
          <w:rFonts w:cstheme="majorHAnsi"/>
          <w:szCs w:val="20"/>
          <w:lang w:val="en-AU"/>
        </w:rPr>
      </w:r>
      <w:r w:rsidR="005E25DE">
        <w:rPr>
          <w:rFonts w:cstheme="majorHAnsi"/>
          <w:szCs w:val="20"/>
          <w:lang w:val="en-AU"/>
        </w:rPr>
        <w:fldChar w:fldCharType="separate"/>
      </w:r>
      <w:r w:rsidR="00525C82" w:rsidRPr="00D14CE9">
        <w:t xml:space="preserve">Table </w:t>
      </w:r>
      <w:r w:rsidR="00525C82">
        <w:rPr>
          <w:noProof/>
        </w:rPr>
        <w:t>8</w:t>
      </w:r>
      <w:r w:rsidR="005E25DE">
        <w:rPr>
          <w:rFonts w:cstheme="majorHAnsi"/>
          <w:szCs w:val="20"/>
          <w:lang w:val="en-AU"/>
        </w:rPr>
        <w:fldChar w:fldCharType="end"/>
      </w:r>
      <w:r w:rsidR="005E25DE">
        <w:rPr>
          <w:rFonts w:cstheme="majorHAnsi"/>
          <w:szCs w:val="20"/>
          <w:lang w:val="en-AU"/>
        </w:rPr>
        <w:t xml:space="preserve"> </w:t>
      </w:r>
      <w:r w:rsidRPr="00D14CE9">
        <w:rPr>
          <w:rFonts w:cstheme="majorHAnsi"/>
          <w:szCs w:val="20"/>
          <w:lang w:val="en-AU"/>
        </w:rPr>
        <w:t xml:space="preserve">below.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8 "/>
        <w:tblDescription w:val="Table 8 shows production of extractive resources from 2002 to 2014. In 2002 hard rock production was 25 million tonnes and in 2014 it was`27.4 million tonnes. In 2002 clay and clay shale production was 1.3 million tonnes and in 2014 it was 600,000 tonnes.  In 2002 limestone production was 1.8 million tonnes and in 2014 it was 1.5 million tonnes. In 2002 sand and gravel production was 11.4 million tonnes and in 2014 it was 10.8 million tonnes.  Total production over the period for all rock types was 39.5 million tonnes in 2002 and 40.3 million tonnes in 2014."/>
      </w:tblPr>
      <w:tblGrid>
        <w:gridCol w:w="1655"/>
        <w:gridCol w:w="584"/>
        <w:gridCol w:w="585"/>
        <w:gridCol w:w="585"/>
        <w:gridCol w:w="585"/>
        <w:gridCol w:w="585"/>
        <w:gridCol w:w="585"/>
        <w:gridCol w:w="585"/>
        <w:gridCol w:w="585"/>
        <w:gridCol w:w="585"/>
        <w:gridCol w:w="585"/>
        <w:gridCol w:w="585"/>
        <w:gridCol w:w="585"/>
        <w:gridCol w:w="585"/>
      </w:tblGrid>
      <w:tr w:rsidR="009C182E" w:rsidRPr="00D14CE9" w:rsidTr="008525FA">
        <w:trPr>
          <w:trHeight w:val="304"/>
        </w:trPr>
        <w:tc>
          <w:tcPr>
            <w:tcW w:w="5000" w:type="pct"/>
            <w:gridSpan w:val="14"/>
            <w:shd w:val="clear" w:color="auto" w:fill="808080"/>
            <w:noWrap/>
            <w:vAlign w:val="bottom"/>
          </w:tcPr>
          <w:p w:rsidR="009C182E" w:rsidRPr="00D14CE9" w:rsidRDefault="009C182E" w:rsidP="00802792">
            <w:pPr>
              <w:pStyle w:val="EYTableHeadingWhite"/>
            </w:pPr>
            <w:bookmarkStart w:id="458" w:name="_Ref442112782"/>
            <w:bookmarkStart w:id="459" w:name="_Toc445240943"/>
            <w:bookmarkStart w:id="460" w:name="_Toc448914635"/>
            <w:bookmarkStart w:id="461" w:name="_Toc448920452"/>
            <w:r w:rsidRPr="00D14CE9">
              <w:t xml:space="preserve">Table </w:t>
            </w:r>
            <w:r w:rsidRPr="00802792">
              <w:fldChar w:fldCharType="begin"/>
            </w:r>
            <w:r w:rsidRPr="00D14CE9">
              <w:instrText xml:space="preserve"> SEQ Table \* ARABIC </w:instrText>
            </w:r>
            <w:r w:rsidRPr="00802792">
              <w:fldChar w:fldCharType="separate"/>
            </w:r>
            <w:r w:rsidR="00525C82">
              <w:rPr>
                <w:noProof/>
              </w:rPr>
              <w:t>8</w:t>
            </w:r>
            <w:r w:rsidRPr="00802792">
              <w:fldChar w:fldCharType="end"/>
            </w:r>
            <w:bookmarkEnd w:id="458"/>
            <w:r w:rsidRPr="00D14CE9">
              <w:t xml:space="preserve"> – Production of Extractive Resources 2002 – 2014 (in million tonnes)</w:t>
            </w:r>
            <w:bookmarkEnd w:id="459"/>
            <w:bookmarkEnd w:id="460"/>
            <w:bookmarkEnd w:id="461"/>
          </w:p>
        </w:tc>
      </w:tr>
      <w:tr w:rsidR="00C97112" w:rsidRPr="00D14CE9" w:rsidTr="003637FD">
        <w:trPr>
          <w:trHeight w:val="290"/>
        </w:trPr>
        <w:tc>
          <w:tcPr>
            <w:tcW w:w="893" w:type="pct"/>
            <w:shd w:val="clear" w:color="auto" w:fill="F0F0F0"/>
            <w:vAlign w:val="bottom"/>
          </w:tcPr>
          <w:p w:rsidR="009C182E" w:rsidRPr="00D14CE9" w:rsidRDefault="009C182E" w:rsidP="00E65C9D">
            <w:pPr>
              <w:pStyle w:val="EYTableHeading"/>
              <w:rPr>
                <w:rFonts w:eastAsia="Arial Unicode MS"/>
              </w:rPr>
            </w:pPr>
            <w:r w:rsidRPr="00D14CE9">
              <w:t>Rock type</w:t>
            </w:r>
          </w:p>
        </w:tc>
        <w:tc>
          <w:tcPr>
            <w:tcW w:w="315" w:type="pct"/>
            <w:shd w:val="clear" w:color="auto" w:fill="F0F0F0"/>
            <w:tcMar>
              <w:left w:w="0" w:type="dxa"/>
              <w:right w:w="0" w:type="dxa"/>
            </w:tcMar>
            <w:vAlign w:val="bottom"/>
          </w:tcPr>
          <w:p w:rsidR="009C182E" w:rsidRPr="00D14CE9" w:rsidRDefault="009C182E" w:rsidP="003637FD">
            <w:pPr>
              <w:pStyle w:val="EYTableHeading"/>
              <w:jc w:val="center"/>
              <w:rPr>
                <w:rFonts w:eastAsia="Arial Unicode MS"/>
              </w:rPr>
            </w:pPr>
            <w:r w:rsidRPr="00D14CE9">
              <w:rPr>
                <w:rFonts w:eastAsia="Arial Unicode MS"/>
              </w:rPr>
              <w:t>2002</w:t>
            </w:r>
          </w:p>
        </w:tc>
        <w:tc>
          <w:tcPr>
            <w:tcW w:w="316" w:type="pct"/>
            <w:shd w:val="clear" w:color="auto" w:fill="F0F0F0"/>
            <w:tcMar>
              <w:left w:w="0" w:type="dxa"/>
              <w:right w:w="0" w:type="dxa"/>
            </w:tcMar>
            <w:vAlign w:val="bottom"/>
          </w:tcPr>
          <w:p w:rsidR="009C182E" w:rsidRPr="00D14CE9" w:rsidRDefault="009C182E" w:rsidP="003637FD">
            <w:pPr>
              <w:pStyle w:val="EYTableHeading"/>
              <w:jc w:val="center"/>
              <w:rPr>
                <w:rFonts w:eastAsia="Arial Unicode MS"/>
              </w:rPr>
            </w:pPr>
            <w:r w:rsidRPr="00D14CE9">
              <w:rPr>
                <w:rFonts w:eastAsia="Arial Unicode MS"/>
              </w:rPr>
              <w:t>2003</w:t>
            </w:r>
          </w:p>
        </w:tc>
        <w:tc>
          <w:tcPr>
            <w:tcW w:w="316" w:type="pct"/>
            <w:shd w:val="clear" w:color="auto" w:fill="F0F0F0"/>
            <w:tcMar>
              <w:left w:w="0" w:type="dxa"/>
              <w:right w:w="0" w:type="dxa"/>
            </w:tcMar>
            <w:vAlign w:val="bottom"/>
          </w:tcPr>
          <w:p w:rsidR="009C182E" w:rsidRPr="00D14CE9" w:rsidRDefault="009C182E" w:rsidP="003637FD">
            <w:pPr>
              <w:pStyle w:val="EYTableHeading"/>
              <w:jc w:val="center"/>
              <w:rPr>
                <w:rFonts w:eastAsia="Arial Unicode MS"/>
              </w:rPr>
            </w:pPr>
            <w:r w:rsidRPr="00D14CE9">
              <w:rPr>
                <w:rFonts w:eastAsia="Arial Unicode MS"/>
              </w:rPr>
              <w:t>2004</w:t>
            </w:r>
          </w:p>
        </w:tc>
        <w:tc>
          <w:tcPr>
            <w:tcW w:w="316" w:type="pct"/>
            <w:shd w:val="clear" w:color="auto" w:fill="F0F0F0"/>
            <w:tcMar>
              <w:left w:w="0" w:type="dxa"/>
              <w:right w:w="0" w:type="dxa"/>
            </w:tcMar>
          </w:tcPr>
          <w:p w:rsidR="009C182E" w:rsidRPr="00D14CE9" w:rsidRDefault="009C182E" w:rsidP="003637FD">
            <w:pPr>
              <w:pStyle w:val="EYTableHeading"/>
              <w:jc w:val="center"/>
              <w:rPr>
                <w:rFonts w:eastAsia="Arial Unicode MS"/>
              </w:rPr>
            </w:pPr>
            <w:r w:rsidRPr="00D14CE9">
              <w:rPr>
                <w:rFonts w:eastAsia="Arial Unicode MS"/>
              </w:rPr>
              <w:t>2005</w:t>
            </w:r>
          </w:p>
        </w:tc>
        <w:tc>
          <w:tcPr>
            <w:tcW w:w="316" w:type="pct"/>
            <w:shd w:val="clear" w:color="auto" w:fill="F0F0F0"/>
            <w:tcMar>
              <w:left w:w="0" w:type="dxa"/>
              <w:right w:w="0" w:type="dxa"/>
            </w:tcMar>
          </w:tcPr>
          <w:p w:rsidR="009C182E" w:rsidRPr="00D14CE9" w:rsidRDefault="009C182E" w:rsidP="003637FD">
            <w:pPr>
              <w:pStyle w:val="EYTableHeading"/>
              <w:jc w:val="center"/>
              <w:rPr>
                <w:rFonts w:eastAsia="Arial Unicode MS"/>
              </w:rPr>
            </w:pPr>
            <w:r w:rsidRPr="00D14CE9">
              <w:rPr>
                <w:rFonts w:eastAsia="Arial Unicode MS"/>
              </w:rPr>
              <w:t>2006</w:t>
            </w:r>
          </w:p>
        </w:tc>
        <w:tc>
          <w:tcPr>
            <w:tcW w:w="316" w:type="pct"/>
            <w:shd w:val="clear" w:color="auto" w:fill="F0F0F0"/>
            <w:tcMar>
              <w:left w:w="0" w:type="dxa"/>
              <w:right w:w="0" w:type="dxa"/>
            </w:tcMar>
          </w:tcPr>
          <w:p w:rsidR="009C182E" w:rsidRPr="00D14CE9" w:rsidRDefault="009C182E" w:rsidP="003637FD">
            <w:pPr>
              <w:pStyle w:val="EYTableHeading"/>
              <w:jc w:val="center"/>
              <w:rPr>
                <w:rFonts w:eastAsia="Arial Unicode MS"/>
              </w:rPr>
            </w:pPr>
            <w:r w:rsidRPr="00D14CE9">
              <w:rPr>
                <w:rFonts w:eastAsia="Arial Unicode MS"/>
              </w:rPr>
              <w:t>2007</w:t>
            </w:r>
          </w:p>
        </w:tc>
        <w:tc>
          <w:tcPr>
            <w:tcW w:w="316" w:type="pct"/>
            <w:shd w:val="clear" w:color="auto" w:fill="F0F0F0"/>
            <w:tcMar>
              <w:left w:w="0" w:type="dxa"/>
              <w:right w:w="0" w:type="dxa"/>
            </w:tcMar>
          </w:tcPr>
          <w:p w:rsidR="009C182E" w:rsidRPr="00D14CE9" w:rsidRDefault="009C182E" w:rsidP="003637FD">
            <w:pPr>
              <w:pStyle w:val="EYTableHeading"/>
              <w:jc w:val="center"/>
              <w:rPr>
                <w:rFonts w:eastAsia="Arial Unicode MS"/>
              </w:rPr>
            </w:pPr>
            <w:r w:rsidRPr="00D14CE9">
              <w:rPr>
                <w:rFonts w:eastAsia="Arial Unicode MS"/>
              </w:rPr>
              <w:t>2008</w:t>
            </w:r>
          </w:p>
        </w:tc>
        <w:tc>
          <w:tcPr>
            <w:tcW w:w="316" w:type="pct"/>
            <w:shd w:val="clear" w:color="auto" w:fill="F0F0F0"/>
            <w:tcMar>
              <w:left w:w="0" w:type="dxa"/>
              <w:right w:w="0" w:type="dxa"/>
            </w:tcMar>
          </w:tcPr>
          <w:p w:rsidR="009C182E" w:rsidRPr="00D14CE9" w:rsidRDefault="009C182E" w:rsidP="003637FD">
            <w:pPr>
              <w:pStyle w:val="EYTableHeading"/>
              <w:jc w:val="center"/>
              <w:rPr>
                <w:rFonts w:eastAsia="Arial Unicode MS"/>
              </w:rPr>
            </w:pPr>
            <w:r w:rsidRPr="00D14CE9">
              <w:rPr>
                <w:rFonts w:eastAsia="Arial Unicode MS"/>
              </w:rPr>
              <w:t>2009</w:t>
            </w:r>
          </w:p>
        </w:tc>
        <w:tc>
          <w:tcPr>
            <w:tcW w:w="316" w:type="pct"/>
            <w:shd w:val="clear" w:color="auto" w:fill="F0F0F0"/>
            <w:tcMar>
              <w:left w:w="0" w:type="dxa"/>
              <w:right w:w="0" w:type="dxa"/>
            </w:tcMar>
          </w:tcPr>
          <w:p w:rsidR="009C182E" w:rsidRPr="00D14CE9" w:rsidRDefault="009C182E" w:rsidP="003637FD">
            <w:pPr>
              <w:pStyle w:val="EYTableHeading"/>
              <w:jc w:val="center"/>
              <w:rPr>
                <w:rFonts w:eastAsia="Arial Unicode MS"/>
              </w:rPr>
            </w:pPr>
            <w:r w:rsidRPr="00D14CE9">
              <w:rPr>
                <w:rFonts w:eastAsia="Arial Unicode MS"/>
              </w:rPr>
              <w:t>2010</w:t>
            </w:r>
          </w:p>
        </w:tc>
        <w:tc>
          <w:tcPr>
            <w:tcW w:w="316" w:type="pct"/>
            <w:shd w:val="clear" w:color="auto" w:fill="F0F0F0"/>
            <w:tcMar>
              <w:left w:w="0" w:type="dxa"/>
              <w:right w:w="0" w:type="dxa"/>
            </w:tcMar>
          </w:tcPr>
          <w:p w:rsidR="009C182E" w:rsidRPr="00D14CE9" w:rsidRDefault="009C182E" w:rsidP="003637FD">
            <w:pPr>
              <w:pStyle w:val="EYTableHeading"/>
              <w:jc w:val="center"/>
              <w:rPr>
                <w:rFonts w:eastAsia="Arial Unicode MS"/>
              </w:rPr>
            </w:pPr>
            <w:r w:rsidRPr="00D14CE9">
              <w:rPr>
                <w:rFonts w:eastAsia="Arial Unicode MS"/>
              </w:rPr>
              <w:t>2011</w:t>
            </w:r>
          </w:p>
        </w:tc>
        <w:tc>
          <w:tcPr>
            <w:tcW w:w="316" w:type="pct"/>
            <w:shd w:val="clear" w:color="auto" w:fill="F0F0F0"/>
            <w:tcMar>
              <w:left w:w="0" w:type="dxa"/>
              <w:right w:w="0" w:type="dxa"/>
            </w:tcMar>
          </w:tcPr>
          <w:p w:rsidR="009C182E" w:rsidRPr="00D14CE9" w:rsidRDefault="009C182E" w:rsidP="003637FD">
            <w:pPr>
              <w:pStyle w:val="EYTableHeading"/>
              <w:jc w:val="center"/>
              <w:rPr>
                <w:rFonts w:eastAsia="Arial Unicode MS"/>
              </w:rPr>
            </w:pPr>
            <w:r w:rsidRPr="00D14CE9">
              <w:rPr>
                <w:rFonts w:eastAsia="Arial Unicode MS"/>
              </w:rPr>
              <w:t>2012</w:t>
            </w:r>
          </w:p>
        </w:tc>
        <w:tc>
          <w:tcPr>
            <w:tcW w:w="316" w:type="pct"/>
            <w:shd w:val="clear" w:color="auto" w:fill="F0F0F0"/>
            <w:tcMar>
              <w:left w:w="0" w:type="dxa"/>
              <w:right w:w="0" w:type="dxa"/>
            </w:tcMar>
          </w:tcPr>
          <w:p w:rsidR="009C182E" w:rsidRPr="00D14CE9" w:rsidRDefault="009C182E" w:rsidP="003637FD">
            <w:pPr>
              <w:pStyle w:val="EYTableHeading"/>
              <w:jc w:val="center"/>
              <w:rPr>
                <w:rFonts w:eastAsia="Arial Unicode MS"/>
              </w:rPr>
            </w:pPr>
            <w:r w:rsidRPr="00D14CE9">
              <w:rPr>
                <w:rFonts w:eastAsia="Arial Unicode MS"/>
              </w:rPr>
              <w:t>2013</w:t>
            </w:r>
          </w:p>
        </w:tc>
        <w:tc>
          <w:tcPr>
            <w:tcW w:w="316" w:type="pct"/>
            <w:shd w:val="clear" w:color="auto" w:fill="F0F0F0"/>
            <w:tcMar>
              <w:left w:w="0" w:type="dxa"/>
              <w:right w:w="0" w:type="dxa"/>
            </w:tcMar>
          </w:tcPr>
          <w:p w:rsidR="009C182E" w:rsidRPr="00D14CE9" w:rsidRDefault="009C182E" w:rsidP="003637FD">
            <w:pPr>
              <w:pStyle w:val="EYTableHeading"/>
              <w:jc w:val="center"/>
              <w:rPr>
                <w:rFonts w:eastAsia="Arial Unicode MS"/>
              </w:rPr>
            </w:pPr>
            <w:r w:rsidRPr="00D14CE9">
              <w:rPr>
                <w:rFonts w:eastAsia="Arial Unicode MS"/>
              </w:rPr>
              <w:t>201</w:t>
            </w:r>
            <w:r w:rsidR="005A1B12" w:rsidRPr="00D14CE9">
              <w:rPr>
                <w:rFonts w:eastAsia="Arial Unicode MS"/>
              </w:rPr>
              <w:t>4</w:t>
            </w:r>
          </w:p>
        </w:tc>
      </w:tr>
      <w:tr w:rsidR="009C182E" w:rsidRPr="00D14CE9" w:rsidTr="003637FD">
        <w:trPr>
          <w:trHeight w:val="304"/>
        </w:trPr>
        <w:tc>
          <w:tcPr>
            <w:tcW w:w="893" w:type="pct"/>
            <w:noWrap/>
            <w:vAlign w:val="center"/>
          </w:tcPr>
          <w:p w:rsidR="009C182E" w:rsidRPr="00D14CE9" w:rsidRDefault="009C182E" w:rsidP="00162F3B">
            <w:pPr>
              <w:rPr>
                <w:sz w:val="16"/>
                <w:szCs w:val="16"/>
              </w:rPr>
            </w:pPr>
            <w:r w:rsidRPr="00D14CE9">
              <w:rPr>
                <w:sz w:val="16"/>
                <w:szCs w:val="16"/>
              </w:rPr>
              <w:t>Hard Rock</w:t>
            </w:r>
          </w:p>
        </w:tc>
        <w:tc>
          <w:tcPr>
            <w:tcW w:w="315"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25.0</w:t>
            </w:r>
          </w:p>
        </w:tc>
        <w:tc>
          <w:tcPr>
            <w:tcW w:w="316"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23.8</w:t>
            </w:r>
          </w:p>
        </w:tc>
        <w:tc>
          <w:tcPr>
            <w:tcW w:w="316"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24.9</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26.7</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29.8</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34.2</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35.4</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31.1</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30.3</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33.5</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39.3</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28.9</w:t>
            </w:r>
          </w:p>
        </w:tc>
        <w:tc>
          <w:tcPr>
            <w:tcW w:w="316" w:type="pct"/>
            <w:tcMar>
              <w:left w:w="0" w:type="dxa"/>
              <w:right w:w="0" w:type="dxa"/>
            </w:tcMar>
            <w:vAlign w:val="center"/>
          </w:tcPr>
          <w:p w:rsidR="009C182E" w:rsidRPr="00D14CE9" w:rsidRDefault="009C182E" w:rsidP="009C182E">
            <w:pPr>
              <w:jc w:val="right"/>
              <w:rPr>
                <w:rFonts w:cs="Calibri"/>
                <w:color w:val="000000"/>
                <w:sz w:val="16"/>
                <w:szCs w:val="16"/>
              </w:rPr>
            </w:pPr>
            <w:r w:rsidRPr="00D14CE9">
              <w:rPr>
                <w:rFonts w:cs="Calibri"/>
                <w:color w:val="000000"/>
                <w:sz w:val="16"/>
                <w:szCs w:val="16"/>
              </w:rPr>
              <w:t>27.4</w:t>
            </w:r>
          </w:p>
        </w:tc>
      </w:tr>
      <w:tr w:rsidR="009C182E" w:rsidRPr="00D14CE9" w:rsidTr="003637FD">
        <w:trPr>
          <w:trHeight w:val="304"/>
        </w:trPr>
        <w:tc>
          <w:tcPr>
            <w:tcW w:w="893" w:type="pct"/>
            <w:noWrap/>
            <w:vAlign w:val="center"/>
          </w:tcPr>
          <w:p w:rsidR="009C182E" w:rsidRPr="00D14CE9" w:rsidRDefault="009C182E" w:rsidP="00162F3B">
            <w:pPr>
              <w:rPr>
                <w:sz w:val="16"/>
                <w:szCs w:val="16"/>
              </w:rPr>
            </w:pPr>
            <w:r w:rsidRPr="00D14CE9">
              <w:rPr>
                <w:sz w:val="16"/>
                <w:szCs w:val="16"/>
              </w:rPr>
              <w:t>Clay and Clay Shale</w:t>
            </w:r>
          </w:p>
        </w:tc>
        <w:tc>
          <w:tcPr>
            <w:tcW w:w="315"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1.3</w:t>
            </w:r>
          </w:p>
        </w:tc>
        <w:tc>
          <w:tcPr>
            <w:tcW w:w="316"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1.1</w:t>
            </w:r>
          </w:p>
        </w:tc>
        <w:tc>
          <w:tcPr>
            <w:tcW w:w="316"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1.5</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1.4</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1.5</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2.5</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1.7</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1.3</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1.5</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1.9</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1.8</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1.6</w:t>
            </w:r>
          </w:p>
        </w:tc>
        <w:tc>
          <w:tcPr>
            <w:tcW w:w="316" w:type="pct"/>
            <w:tcMar>
              <w:left w:w="0" w:type="dxa"/>
              <w:right w:w="0" w:type="dxa"/>
            </w:tcMar>
            <w:vAlign w:val="center"/>
          </w:tcPr>
          <w:p w:rsidR="009C182E" w:rsidRPr="00D14CE9" w:rsidRDefault="009C182E" w:rsidP="00162F3B">
            <w:pPr>
              <w:jc w:val="right"/>
              <w:rPr>
                <w:rFonts w:cs="Calibri"/>
                <w:color w:val="000000"/>
                <w:sz w:val="16"/>
                <w:szCs w:val="16"/>
              </w:rPr>
            </w:pPr>
            <w:r w:rsidRPr="00D14CE9">
              <w:rPr>
                <w:rFonts w:cs="Calibri"/>
                <w:color w:val="000000"/>
                <w:sz w:val="16"/>
                <w:szCs w:val="16"/>
              </w:rPr>
              <w:t>0.6</w:t>
            </w:r>
          </w:p>
        </w:tc>
      </w:tr>
      <w:tr w:rsidR="009C182E" w:rsidRPr="00D14CE9" w:rsidTr="003637FD">
        <w:trPr>
          <w:trHeight w:val="304"/>
        </w:trPr>
        <w:tc>
          <w:tcPr>
            <w:tcW w:w="893" w:type="pct"/>
            <w:noWrap/>
            <w:vAlign w:val="center"/>
          </w:tcPr>
          <w:p w:rsidR="009C182E" w:rsidRPr="00D14CE9" w:rsidRDefault="009C182E" w:rsidP="00162F3B">
            <w:pPr>
              <w:rPr>
                <w:sz w:val="16"/>
                <w:szCs w:val="16"/>
              </w:rPr>
            </w:pPr>
            <w:r w:rsidRPr="00D14CE9">
              <w:rPr>
                <w:sz w:val="16"/>
                <w:szCs w:val="16"/>
              </w:rPr>
              <w:t>Limestone</w:t>
            </w:r>
          </w:p>
        </w:tc>
        <w:tc>
          <w:tcPr>
            <w:tcW w:w="315"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1.8</w:t>
            </w:r>
          </w:p>
        </w:tc>
        <w:tc>
          <w:tcPr>
            <w:tcW w:w="316"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1.8</w:t>
            </w:r>
          </w:p>
        </w:tc>
        <w:tc>
          <w:tcPr>
            <w:tcW w:w="316"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1.9</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2.0</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2.0</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2.5</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3.0</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2.8</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2.4</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2.6</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2.9</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2.7</w:t>
            </w:r>
          </w:p>
        </w:tc>
        <w:tc>
          <w:tcPr>
            <w:tcW w:w="316" w:type="pct"/>
            <w:tcMar>
              <w:left w:w="0" w:type="dxa"/>
              <w:right w:w="0" w:type="dxa"/>
            </w:tcMar>
            <w:vAlign w:val="center"/>
          </w:tcPr>
          <w:p w:rsidR="009C182E" w:rsidRPr="00D14CE9" w:rsidRDefault="009C182E" w:rsidP="00162F3B">
            <w:pPr>
              <w:jc w:val="right"/>
              <w:rPr>
                <w:rFonts w:cs="Calibri"/>
                <w:color w:val="000000"/>
                <w:sz w:val="16"/>
                <w:szCs w:val="16"/>
              </w:rPr>
            </w:pPr>
            <w:r w:rsidRPr="00D14CE9">
              <w:rPr>
                <w:rFonts w:cs="Calibri"/>
                <w:color w:val="000000"/>
                <w:sz w:val="16"/>
                <w:szCs w:val="16"/>
              </w:rPr>
              <w:t>1.5</w:t>
            </w:r>
          </w:p>
        </w:tc>
      </w:tr>
      <w:tr w:rsidR="009C182E" w:rsidRPr="00D14CE9" w:rsidTr="003637FD">
        <w:trPr>
          <w:trHeight w:val="304"/>
        </w:trPr>
        <w:tc>
          <w:tcPr>
            <w:tcW w:w="893" w:type="pct"/>
            <w:noWrap/>
            <w:vAlign w:val="center"/>
          </w:tcPr>
          <w:p w:rsidR="009C182E" w:rsidRPr="00D14CE9" w:rsidRDefault="009C182E" w:rsidP="00162F3B">
            <w:pPr>
              <w:rPr>
                <w:sz w:val="16"/>
                <w:szCs w:val="16"/>
              </w:rPr>
            </w:pPr>
            <w:r w:rsidRPr="00D14CE9">
              <w:rPr>
                <w:sz w:val="16"/>
                <w:szCs w:val="16"/>
              </w:rPr>
              <w:t>Sand and Gravel</w:t>
            </w:r>
          </w:p>
        </w:tc>
        <w:tc>
          <w:tcPr>
            <w:tcW w:w="315"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11.4</w:t>
            </w:r>
          </w:p>
        </w:tc>
        <w:tc>
          <w:tcPr>
            <w:tcW w:w="316"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10.9</w:t>
            </w:r>
          </w:p>
        </w:tc>
        <w:tc>
          <w:tcPr>
            <w:tcW w:w="316"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10.5</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11.5</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13.0</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13.1</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14.2</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13.5</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11.9</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14.0</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14.1</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14.0</w:t>
            </w:r>
          </w:p>
        </w:tc>
        <w:tc>
          <w:tcPr>
            <w:tcW w:w="316" w:type="pct"/>
            <w:tcMar>
              <w:left w:w="0" w:type="dxa"/>
              <w:right w:w="0" w:type="dxa"/>
            </w:tcMar>
            <w:vAlign w:val="center"/>
          </w:tcPr>
          <w:p w:rsidR="009C182E" w:rsidRPr="00D14CE9" w:rsidRDefault="009C182E" w:rsidP="00162F3B">
            <w:pPr>
              <w:jc w:val="right"/>
              <w:rPr>
                <w:rFonts w:cs="Calibri"/>
                <w:color w:val="000000"/>
                <w:sz w:val="16"/>
                <w:szCs w:val="16"/>
              </w:rPr>
            </w:pPr>
            <w:r w:rsidRPr="00D14CE9">
              <w:rPr>
                <w:rFonts w:cs="Calibri"/>
                <w:color w:val="000000"/>
                <w:sz w:val="16"/>
                <w:szCs w:val="16"/>
              </w:rPr>
              <w:t>10.8</w:t>
            </w:r>
          </w:p>
        </w:tc>
      </w:tr>
      <w:tr w:rsidR="009C182E" w:rsidRPr="00D14CE9" w:rsidTr="003637FD">
        <w:trPr>
          <w:trHeight w:val="304"/>
        </w:trPr>
        <w:tc>
          <w:tcPr>
            <w:tcW w:w="893" w:type="pct"/>
            <w:noWrap/>
            <w:vAlign w:val="center"/>
          </w:tcPr>
          <w:p w:rsidR="009C182E" w:rsidRPr="00D14CE9" w:rsidRDefault="009C182E" w:rsidP="00162F3B">
            <w:pPr>
              <w:rPr>
                <w:sz w:val="16"/>
                <w:szCs w:val="16"/>
              </w:rPr>
            </w:pPr>
            <w:r w:rsidRPr="00D14CE9">
              <w:rPr>
                <w:b/>
                <w:sz w:val="16"/>
                <w:szCs w:val="16"/>
              </w:rPr>
              <w:t>Total</w:t>
            </w:r>
          </w:p>
        </w:tc>
        <w:tc>
          <w:tcPr>
            <w:tcW w:w="315"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39.5</w:t>
            </w:r>
          </w:p>
        </w:tc>
        <w:tc>
          <w:tcPr>
            <w:tcW w:w="316"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37.6</w:t>
            </w:r>
          </w:p>
        </w:tc>
        <w:tc>
          <w:tcPr>
            <w:tcW w:w="316" w:type="pct"/>
            <w:noWrap/>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38.8</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41.6</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46.4</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52.3</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54.2</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48.7</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46.1</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52.1</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58.1</w:t>
            </w:r>
          </w:p>
        </w:tc>
        <w:tc>
          <w:tcPr>
            <w:tcW w:w="316" w:type="pct"/>
            <w:tcMar>
              <w:left w:w="0" w:type="dxa"/>
              <w:right w:w="0" w:type="dxa"/>
            </w:tcMar>
            <w:vAlign w:val="center"/>
          </w:tcPr>
          <w:p w:rsidR="009C182E" w:rsidRPr="00D14CE9" w:rsidRDefault="009C182E" w:rsidP="00162F3B">
            <w:pPr>
              <w:jc w:val="right"/>
              <w:rPr>
                <w:sz w:val="16"/>
                <w:szCs w:val="16"/>
              </w:rPr>
            </w:pPr>
            <w:r w:rsidRPr="00D14CE9">
              <w:rPr>
                <w:rFonts w:cs="Calibri"/>
                <w:color w:val="000000"/>
                <w:sz w:val="16"/>
                <w:szCs w:val="16"/>
              </w:rPr>
              <w:t>47.2</w:t>
            </w:r>
          </w:p>
        </w:tc>
        <w:tc>
          <w:tcPr>
            <w:tcW w:w="316" w:type="pct"/>
            <w:tcMar>
              <w:left w:w="0" w:type="dxa"/>
              <w:right w:w="0" w:type="dxa"/>
            </w:tcMar>
            <w:vAlign w:val="center"/>
          </w:tcPr>
          <w:p w:rsidR="009C182E" w:rsidRPr="00D14CE9" w:rsidRDefault="009C182E" w:rsidP="00162F3B">
            <w:pPr>
              <w:jc w:val="right"/>
              <w:rPr>
                <w:rFonts w:cs="Calibri"/>
                <w:color w:val="000000"/>
                <w:sz w:val="16"/>
                <w:szCs w:val="16"/>
              </w:rPr>
            </w:pPr>
            <w:r w:rsidRPr="00D14CE9">
              <w:rPr>
                <w:rFonts w:cs="Calibri"/>
                <w:color w:val="000000"/>
                <w:sz w:val="16"/>
                <w:szCs w:val="16"/>
              </w:rPr>
              <w:t>40.3</w:t>
            </w:r>
          </w:p>
        </w:tc>
      </w:tr>
    </w:tbl>
    <w:p w:rsidR="002654CF" w:rsidRPr="00D14CE9" w:rsidRDefault="002654CF" w:rsidP="002654CF">
      <w:pPr>
        <w:pStyle w:val="Bullets1stindent"/>
        <w:rPr>
          <w:rFonts w:ascii="EYInterstate Light" w:hAnsi="EYInterstate Light" w:cstheme="majorHAnsi"/>
          <w:i/>
          <w:sz w:val="16"/>
          <w:szCs w:val="16"/>
        </w:rPr>
      </w:pPr>
      <w:r w:rsidRPr="00D14CE9">
        <w:rPr>
          <w:rFonts w:ascii="EYInterstate Light" w:hAnsi="EYInterstate Light" w:cstheme="majorHAnsi"/>
          <w:i/>
          <w:sz w:val="16"/>
          <w:szCs w:val="16"/>
        </w:rPr>
        <w:t>Source: DEDJTR</w:t>
      </w:r>
    </w:p>
    <w:p w:rsidR="002654CF" w:rsidRPr="00D14CE9" w:rsidRDefault="002654CF" w:rsidP="002A1D72">
      <w:pPr>
        <w:pStyle w:val="EYBulletedList1"/>
        <w:numPr>
          <w:ilvl w:val="0"/>
          <w:numId w:val="0"/>
        </w:numPr>
        <w:spacing w:after="120"/>
        <w:rPr>
          <w:rFonts w:cstheme="majorHAnsi"/>
          <w:szCs w:val="20"/>
          <w:lang w:val="en-AU"/>
        </w:rPr>
      </w:pPr>
      <w:r w:rsidRPr="00D14CE9">
        <w:rPr>
          <w:rFonts w:cstheme="majorHAnsi"/>
          <w:szCs w:val="20"/>
          <w:lang w:val="en-AU"/>
        </w:rPr>
        <w:t xml:space="preserve">In accordance with the key construction activities identified as relevant for the extractive resources sector, through the supply value chain analysis presented in Section </w:t>
      </w:r>
      <w:r w:rsidR="00AD6683">
        <w:rPr>
          <w:rFonts w:cstheme="majorHAnsi"/>
          <w:szCs w:val="20"/>
          <w:lang w:val="en-AU"/>
        </w:rPr>
        <w:t>2</w:t>
      </w:r>
      <w:r w:rsidR="00AD6683" w:rsidRPr="00D14CE9">
        <w:rPr>
          <w:rFonts w:cstheme="majorHAnsi"/>
          <w:szCs w:val="20"/>
          <w:lang w:val="en-AU"/>
        </w:rPr>
        <w:t xml:space="preserve"> </w:t>
      </w:r>
      <w:r w:rsidRPr="00D14CE9">
        <w:rPr>
          <w:rFonts w:cstheme="majorHAnsi"/>
          <w:szCs w:val="20"/>
          <w:lang w:val="en-AU"/>
        </w:rPr>
        <w:t>of the Report, the following activities have been analysed</w:t>
      </w:r>
      <w:r w:rsidR="003D732F" w:rsidRPr="00D14CE9">
        <w:rPr>
          <w:rFonts w:cstheme="majorHAnsi"/>
          <w:szCs w:val="20"/>
          <w:lang w:val="en-AU"/>
        </w:rPr>
        <w:t xml:space="preserve">, </w:t>
      </w:r>
      <w:r w:rsidR="00637296" w:rsidRPr="00D14CE9">
        <w:rPr>
          <w:rFonts w:cstheme="majorHAnsi"/>
          <w:szCs w:val="20"/>
          <w:lang w:val="en-AU"/>
        </w:rPr>
        <w:t>in 2015 prices to remove the yearly impact of inflation over the period of analysis</w:t>
      </w:r>
      <w:r w:rsidRPr="00D14CE9">
        <w:rPr>
          <w:rFonts w:cstheme="majorHAnsi"/>
          <w:szCs w:val="20"/>
          <w:lang w:val="en-AU"/>
        </w:rPr>
        <w:t>:</w:t>
      </w:r>
    </w:p>
    <w:p w:rsidR="002654CF" w:rsidRPr="00D14CE9" w:rsidRDefault="002654CF" w:rsidP="002A1D72">
      <w:pPr>
        <w:pStyle w:val="EYBulletedList1"/>
        <w:tabs>
          <w:tab w:val="clear" w:pos="288"/>
          <w:tab w:val="num" w:pos="576"/>
        </w:tabs>
        <w:spacing w:after="120"/>
        <w:rPr>
          <w:rFonts w:cstheme="majorHAnsi"/>
          <w:szCs w:val="20"/>
          <w:lang w:val="en-AU"/>
        </w:rPr>
      </w:pPr>
      <w:r w:rsidRPr="00D14CE9">
        <w:rPr>
          <w:rFonts w:cstheme="majorHAnsi"/>
          <w:szCs w:val="20"/>
          <w:lang w:val="en-AU"/>
        </w:rPr>
        <w:t xml:space="preserve">Residential activity </w:t>
      </w:r>
    </w:p>
    <w:p w:rsidR="002654CF" w:rsidRPr="00D14CE9" w:rsidRDefault="002654CF" w:rsidP="002A1D72">
      <w:pPr>
        <w:pStyle w:val="EYBulletedList1"/>
        <w:tabs>
          <w:tab w:val="clear" w:pos="288"/>
          <w:tab w:val="num" w:pos="576"/>
        </w:tabs>
        <w:spacing w:after="120"/>
        <w:rPr>
          <w:rFonts w:cstheme="majorHAnsi"/>
          <w:szCs w:val="20"/>
          <w:lang w:val="en-AU"/>
        </w:rPr>
      </w:pPr>
      <w:r w:rsidRPr="00D14CE9">
        <w:rPr>
          <w:rFonts w:cstheme="majorHAnsi"/>
          <w:szCs w:val="20"/>
          <w:lang w:val="en-AU"/>
        </w:rPr>
        <w:t xml:space="preserve">Non-Residential activity </w:t>
      </w:r>
    </w:p>
    <w:p w:rsidR="002654CF" w:rsidRPr="00D14CE9" w:rsidRDefault="002654CF" w:rsidP="002A1D72">
      <w:pPr>
        <w:pStyle w:val="EYBulletedList1"/>
        <w:tabs>
          <w:tab w:val="clear" w:pos="288"/>
          <w:tab w:val="num" w:pos="576"/>
        </w:tabs>
        <w:spacing w:after="120"/>
        <w:rPr>
          <w:rFonts w:cstheme="majorHAnsi"/>
          <w:szCs w:val="20"/>
          <w:lang w:val="en-AU"/>
        </w:rPr>
      </w:pPr>
      <w:r w:rsidRPr="00D14CE9">
        <w:rPr>
          <w:rFonts w:cstheme="majorHAnsi"/>
          <w:szCs w:val="20"/>
          <w:lang w:val="en-AU"/>
        </w:rPr>
        <w:t xml:space="preserve">Transport activity </w:t>
      </w:r>
    </w:p>
    <w:p w:rsidR="002654CF" w:rsidRPr="00D14CE9" w:rsidRDefault="002654CF" w:rsidP="002A1D72">
      <w:pPr>
        <w:pStyle w:val="EYBulletedList1"/>
        <w:tabs>
          <w:tab w:val="clear" w:pos="288"/>
          <w:tab w:val="num" w:pos="576"/>
        </w:tabs>
        <w:spacing w:after="120"/>
        <w:rPr>
          <w:rFonts w:cstheme="majorHAnsi"/>
          <w:szCs w:val="20"/>
          <w:lang w:val="en-AU"/>
        </w:rPr>
      </w:pPr>
      <w:r w:rsidRPr="00D14CE9">
        <w:rPr>
          <w:rFonts w:cstheme="majorHAnsi"/>
          <w:szCs w:val="20"/>
          <w:lang w:val="en-AU"/>
        </w:rPr>
        <w:t xml:space="preserve">Energy and Utility activity </w:t>
      </w:r>
    </w:p>
    <w:p w:rsidR="002654CF" w:rsidRPr="00D14CE9" w:rsidRDefault="002654CF" w:rsidP="002654CF">
      <w:pPr>
        <w:pStyle w:val="EYHeading3"/>
        <w:rPr>
          <w:b/>
        </w:rPr>
      </w:pPr>
      <w:r w:rsidRPr="00D14CE9">
        <w:t>Findings</w:t>
      </w:r>
    </w:p>
    <w:p w:rsidR="002654CF" w:rsidRPr="00D14CE9" w:rsidRDefault="002654CF" w:rsidP="002654CF">
      <w:pPr>
        <w:pStyle w:val="EYBodytextwithparaspace"/>
        <w:rPr>
          <w:kern w:val="0"/>
          <w:szCs w:val="20"/>
          <w:lang w:val="en-AU"/>
        </w:rPr>
      </w:pPr>
      <w:r w:rsidRPr="00D14CE9">
        <w:rPr>
          <w:kern w:val="0"/>
          <w:szCs w:val="20"/>
          <w:lang w:val="en-AU"/>
        </w:rPr>
        <w:t>Analyses conducted between construction activities and the total production of extractive resources identified the following relationships, based on historic data available:</w:t>
      </w:r>
    </w:p>
    <w:p w:rsidR="002654CF" w:rsidRPr="00D14CE9" w:rsidRDefault="002654CF" w:rsidP="002654CF">
      <w:pPr>
        <w:pStyle w:val="EYBulletedList1"/>
        <w:spacing w:after="120"/>
        <w:rPr>
          <w:rFonts w:cstheme="majorHAnsi"/>
          <w:szCs w:val="20"/>
          <w:lang w:val="en-AU"/>
        </w:rPr>
      </w:pPr>
      <w:r w:rsidRPr="00D14CE9">
        <w:rPr>
          <w:rFonts w:cstheme="majorHAnsi"/>
          <w:szCs w:val="20"/>
          <w:lang w:val="en-AU"/>
        </w:rPr>
        <w:t>Hard rock production moves in line with residential and non-residential construction activities.</w:t>
      </w:r>
    </w:p>
    <w:p w:rsidR="002654CF" w:rsidRPr="00D14CE9" w:rsidRDefault="002654CF" w:rsidP="002654CF">
      <w:pPr>
        <w:pStyle w:val="EYBulletedList1"/>
        <w:spacing w:after="120"/>
        <w:rPr>
          <w:rFonts w:cstheme="majorHAnsi"/>
          <w:szCs w:val="20"/>
          <w:lang w:val="en-AU"/>
        </w:rPr>
      </w:pPr>
      <w:r w:rsidRPr="00D14CE9">
        <w:rPr>
          <w:rFonts w:cstheme="majorHAnsi"/>
          <w:szCs w:val="20"/>
          <w:lang w:val="en-AU"/>
        </w:rPr>
        <w:t>Clay and clay shale production moves with residential construction activities, albeit on a lower scale.</w:t>
      </w:r>
    </w:p>
    <w:p w:rsidR="002654CF" w:rsidRPr="00D14CE9" w:rsidRDefault="002654CF" w:rsidP="002654CF">
      <w:pPr>
        <w:pStyle w:val="EYBulletedList1"/>
        <w:spacing w:after="120"/>
        <w:rPr>
          <w:rFonts w:cstheme="majorHAnsi"/>
          <w:szCs w:val="20"/>
          <w:lang w:val="en-AU"/>
        </w:rPr>
      </w:pPr>
      <w:r w:rsidRPr="00D14CE9">
        <w:rPr>
          <w:rFonts w:cstheme="majorHAnsi"/>
          <w:szCs w:val="20"/>
          <w:lang w:val="en-AU"/>
        </w:rPr>
        <w:t>Limestone production is historically correlated with non-residential construction activities, also on a lower scale.</w:t>
      </w:r>
    </w:p>
    <w:p w:rsidR="002654CF" w:rsidRPr="00D14CE9" w:rsidRDefault="002654CF" w:rsidP="002654CF">
      <w:pPr>
        <w:pStyle w:val="EYBulletedList1"/>
        <w:spacing w:after="120"/>
        <w:rPr>
          <w:rFonts w:cstheme="majorHAnsi"/>
          <w:szCs w:val="20"/>
          <w:lang w:val="en-AU"/>
        </w:rPr>
      </w:pPr>
      <w:r w:rsidRPr="00D14CE9">
        <w:rPr>
          <w:rFonts w:cstheme="majorHAnsi"/>
          <w:szCs w:val="20"/>
          <w:lang w:val="en-AU"/>
        </w:rPr>
        <w:t>Sand and gravel production is historically correlated with residential construction activities.</w:t>
      </w:r>
    </w:p>
    <w:p w:rsidR="002654CF" w:rsidRPr="00D14CE9" w:rsidRDefault="008B073C" w:rsidP="002654CF">
      <w:pPr>
        <w:pStyle w:val="EYBodytextwithparaspace"/>
        <w:rPr>
          <w:rFonts w:cstheme="majorHAnsi"/>
          <w:szCs w:val="20"/>
          <w:lang w:val="en-AU"/>
        </w:rPr>
      </w:pPr>
      <w:r w:rsidRPr="00474B05">
        <w:rPr>
          <w:rFonts w:cstheme="majorHAnsi"/>
        </w:rPr>
        <w:fldChar w:fldCharType="begin" w:fldLock="1"/>
      </w:r>
      <w:r w:rsidRPr="00D14CE9">
        <w:rPr>
          <w:rFonts w:cstheme="majorHAnsi"/>
          <w:szCs w:val="20"/>
          <w:lang w:val="en-AU"/>
        </w:rPr>
        <w:instrText xml:space="preserve"> REF _Ref442112591 \h  \* MERGEFORMAT </w:instrText>
      </w:r>
      <w:r w:rsidRPr="00474B05">
        <w:rPr>
          <w:rFonts w:cstheme="majorHAnsi"/>
        </w:rPr>
      </w:r>
      <w:r w:rsidRPr="00474B05">
        <w:rPr>
          <w:rFonts w:cstheme="majorHAnsi"/>
        </w:rPr>
        <w:fldChar w:fldCharType="separate"/>
      </w:r>
      <w:r w:rsidR="00895089" w:rsidRPr="00E65C9D">
        <w:rPr>
          <w:rFonts w:cstheme="majorHAnsi"/>
          <w:szCs w:val="20"/>
          <w:lang w:val="en-AU"/>
        </w:rPr>
        <w:t>Figure 10</w:t>
      </w:r>
      <w:r w:rsidRPr="00474B05">
        <w:rPr>
          <w:rFonts w:cstheme="majorHAnsi"/>
        </w:rPr>
        <w:fldChar w:fldCharType="end"/>
      </w:r>
      <w:r w:rsidR="002654CF" w:rsidRPr="00D14CE9">
        <w:rPr>
          <w:rFonts w:cstheme="majorHAnsi"/>
          <w:szCs w:val="20"/>
          <w:lang w:val="en-AU"/>
        </w:rPr>
        <w:t xml:space="preserve"> illustrates the correlations between the residential construction activities and hard rock, clay and clay shale and sand and gravel productions, while </w:t>
      </w:r>
      <w:r w:rsidRPr="00474B05">
        <w:rPr>
          <w:rFonts w:cstheme="majorHAnsi"/>
          <w:szCs w:val="20"/>
          <w:lang w:val="en-AU"/>
        </w:rPr>
        <w:fldChar w:fldCharType="begin" w:fldLock="1"/>
      </w:r>
      <w:r w:rsidRPr="00D14CE9">
        <w:rPr>
          <w:rFonts w:cstheme="majorHAnsi"/>
          <w:szCs w:val="20"/>
          <w:lang w:val="en-AU"/>
        </w:rPr>
        <w:instrText xml:space="preserve"> REF _Ref442112608 \h  \* MERGEFORMAT </w:instrText>
      </w:r>
      <w:r w:rsidRPr="00474B05">
        <w:rPr>
          <w:rFonts w:cstheme="majorHAnsi"/>
          <w:szCs w:val="20"/>
          <w:lang w:val="en-AU"/>
        </w:rPr>
      </w:r>
      <w:r w:rsidRPr="00474B05">
        <w:rPr>
          <w:rFonts w:cstheme="majorHAnsi"/>
          <w:szCs w:val="20"/>
          <w:lang w:val="en-AU"/>
        </w:rPr>
        <w:fldChar w:fldCharType="separate"/>
      </w:r>
      <w:r w:rsidR="00895089" w:rsidRPr="00E65C9D">
        <w:rPr>
          <w:rFonts w:cstheme="majorHAnsi"/>
          <w:szCs w:val="20"/>
          <w:lang w:val="en-AU"/>
        </w:rPr>
        <w:t>Figure 11</w:t>
      </w:r>
      <w:r w:rsidRPr="00474B05">
        <w:rPr>
          <w:rFonts w:cstheme="majorHAnsi"/>
          <w:szCs w:val="20"/>
          <w:lang w:val="en-AU"/>
        </w:rPr>
        <w:fldChar w:fldCharType="end"/>
      </w:r>
      <w:r w:rsidR="002654CF" w:rsidRPr="00D14CE9">
        <w:rPr>
          <w:rFonts w:cstheme="majorHAnsi"/>
          <w:szCs w:val="20"/>
          <w:lang w:val="en-AU"/>
        </w:rPr>
        <w:t xml:space="preserve"> illustrates the correlations between the non-residential construction activities and hard rock and limestone productions. </w:t>
      </w:r>
    </w:p>
    <w:p w:rsidR="002654CF" w:rsidRPr="00D14CE9" w:rsidRDefault="002654CF" w:rsidP="002654CF">
      <w:pPr>
        <w:pStyle w:val="Caption"/>
        <w:rPr>
          <w:highlight w:val="yellow"/>
        </w:rPr>
      </w:pPr>
      <w:bookmarkStart w:id="462" w:name="_Ref442112591"/>
      <w:bookmarkStart w:id="463" w:name="_Toc445240909"/>
      <w:bookmarkStart w:id="464" w:name="_Toc448914572"/>
      <w:r w:rsidRPr="00D14CE9">
        <w:rPr>
          <w:sz w:val="16"/>
          <w:szCs w:val="18"/>
        </w:rPr>
        <w:lastRenderedPageBreak/>
        <w:t xml:space="preserve">Figure </w:t>
      </w:r>
      <w:r w:rsidRPr="00133B47">
        <w:rPr>
          <w:b w:val="0"/>
          <w:bCs w:val="0"/>
          <w:sz w:val="16"/>
          <w:szCs w:val="18"/>
        </w:rPr>
        <w:fldChar w:fldCharType="begin"/>
      </w:r>
      <w:r w:rsidRPr="00D14CE9">
        <w:rPr>
          <w:sz w:val="16"/>
          <w:szCs w:val="18"/>
        </w:rPr>
        <w:instrText xml:space="preserve"> SEQ Figure \* ARABIC </w:instrText>
      </w:r>
      <w:r w:rsidRPr="00133B47">
        <w:rPr>
          <w:b w:val="0"/>
          <w:bCs w:val="0"/>
          <w:sz w:val="16"/>
          <w:szCs w:val="18"/>
        </w:rPr>
        <w:fldChar w:fldCharType="separate"/>
      </w:r>
      <w:r w:rsidR="00525C82">
        <w:rPr>
          <w:noProof/>
          <w:sz w:val="16"/>
          <w:szCs w:val="18"/>
        </w:rPr>
        <w:t>10</w:t>
      </w:r>
      <w:r w:rsidRPr="00133B47">
        <w:rPr>
          <w:b w:val="0"/>
          <w:bCs w:val="0"/>
          <w:sz w:val="16"/>
          <w:szCs w:val="18"/>
        </w:rPr>
        <w:fldChar w:fldCharType="end"/>
      </w:r>
      <w:bookmarkEnd w:id="462"/>
      <w:r w:rsidRPr="00D14CE9">
        <w:rPr>
          <w:sz w:val="16"/>
          <w:szCs w:val="18"/>
        </w:rPr>
        <w:t xml:space="preserve"> – Historic relationship between residential activity and total production of hard rock, clay and clay shale and sand and gravel</w:t>
      </w:r>
      <w:bookmarkEnd w:id="463"/>
      <w:bookmarkEnd w:id="464"/>
      <w:r w:rsidRPr="00D14CE9">
        <w:rPr>
          <w:sz w:val="16"/>
          <w:szCs w:val="18"/>
        </w:rPr>
        <w:t xml:space="preserve"> </w:t>
      </w:r>
    </w:p>
    <w:p w:rsidR="00A33EDB" w:rsidRPr="00D14CE9" w:rsidRDefault="00A33EDB" w:rsidP="002654CF">
      <w:pPr>
        <w:rPr>
          <w:highlight w:val="yellow"/>
        </w:rPr>
      </w:pPr>
      <w:r w:rsidRPr="00474B05">
        <w:rPr>
          <w:noProof/>
          <w:lang w:eastAsia="en-AU"/>
        </w:rPr>
        <w:drawing>
          <wp:inline distT="0" distB="0" distL="0" distR="0" wp14:anchorId="39D49BF2" wp14:editId="2C6F59F3">
            <wp:extent cx="5659605" cy="3071611"/>
            <wp:effectExtent l="0" t="0" r="0" b="0"/>
            <wp:docPr id="11" name="Picture 11" descr="Figure 10 shows the historic relationship between residential activity and total production of hard rock, clay and clay shale and sand and gravel. It shows while residential activity increases over the period 2007 to 2011, production of hard rock, clay and clay shale, and sand and gravel peaks around 2008 and then falls again.&#10;&#10;"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674" t="822" r="557" b="1152"/>
                    <a:stretch/>
                  </pic:blipFill>
                  <pic:spPr bwMode="auto">
                    <a:xfrm>
                      <a:off x="0" y="0"/>
                      <a:ext cx="5659732" cy="3071680"/>
                    </a:xfrm>
                    <a:prstGeom prst="rect">
                      <a:avLst/>
                    </a:prstGeom>
                    <a:noFill/>
                    <a:ln>
                      <a:noFill/>
                    </a:ln>
                    <a:extLst>
                      <a:ext uri="{53640926-AAD7-44D8-BBD7-CCE9431645EC}">
                        <a14:shadowObscured xmlns:a14="http://schemas.microsoft.com/office/drawing/2010/main"/>
                      </a:ext>
                    </a:extLst>
                  </pic:spPr>
                </pic:pic>
              </a:graphicData>
            </a:graphic>
          </wp:inline>
        </w:drawing>
      </w:r>
    </w:p>
    <w:p w:rsidR="00FF3A07" w:rsidRDefault="00931CBF" w:rsidP="003637FD">
      <w:pPr>
        <w:rPr>
          <w:i/>
          <w:sz w:val="16"/>
          <w:szCs w:val="16"/>
        </w:rPr>
      </w:pPr>
      <w:bookmarkStart w:id="465" w:name="_Ref442112608"/>
      <w:r w:rsidRPr="006B35A2">
        <w:rPr>
          <w:i/>
          <w:sz w:val="16"/>
          <w:szCs w:val="16"/>
        </w:rPr>
        <w:t>Source: EY analysis</w:t>
      </w:r>
    </w:p>
    <w:p w:rsidR="00931CBF" w:rsidRPr="003637FD" w:rsidRDefault="00931CBF" w:rsidP="003637FD">
      <w:pPr>
        <w:rPr>
          <w:sz w:val="14"/>
        </w:rPr>
      </w:pPr>
    </w:p>
    <w:p w:rsidR="002654CF" w:rsidRPr="00E26D85" w:rsidRDefault="002654CF" w:rsidP="002654CF">
      <w:pPr>
        <w:pStyle w:val="Caption"/>
        <w:rPr>
          <w:highlight w:val="yellow"/>
        </w:rPr>
      </w:pPr>
      <w:bookmarkStart w:id="466" w:name="_Toc445240910"/>
      <w:bookmarkStart w:id="467" w:name="_Toc448914573"/>
      <w:r w:rsidRPr="00D14CE9">
        <w:rPr>
          <w:sz w:val="16"/>
          <w:szCs w:val="18"/>
        </w:rPr>
        <w:t xml:space="preserve">Figure </w:t>
      </w:r>
      <w:r w:rsidRPr="00802792">
        <w:rPr>
          <w:b w:val="0"/>
          <w:bCs w:val="0"/>
          <w:sz w:val="16"/>
          <w:szCs w:val="18"/>
        </w:rPr>
        <w:fldChar w:fldCharType="begin"/>
      </w:r>
      <w:r w:rsidRPr="00D14CE9">
        <w:rPr>
          <w:sz w:val="16"/>
          <w:szCs w:val="18"/>
        </w:rPr>
        <w:instrText xml:space="preserve"> SEQ Figure \* ARABIC </w:instrText>
      </w:r>
      <w:r w:rsidRPr="00802792">
        <w:rPr>
          <w:b w:val="0"/>
          <w:bCs w:val="0"/>
          <w:sz w:val="16"/>
          <w:szCs w:val="18"/>
        </w:rPr>
        <w:fldChar w:fldCharType="separate"/>
      </w:r>
      <w:r w:rsidR="00525C82">
        <w:rPr>
          <w:noProof/>
          <w:sz w:val="16"/>
          <w:szCs w:val="18"/>
        </w:rPr>
        <w:t>11</w:t>
      </w:r>
      <w:r w:rsidRPr="00802792">
        <w:rPr>
          <w:b w:val="0"/>
          <w:bCs w:val="0"/>
          <w:sz w:val="16"/>
          <w:szCs w:val="18"/>
        </w:rPr>
        <w:fldChar w:fldCharType="end"/>
      </w:r>
      <w:bookmarkEnd w:id="465"/>
      <w:r w:rsidRPr="00D14CE9">
        <w:rPr>
          <w:sz w:val="16"/>
          <w:szCs w:val="18"/>
        </w:rPr>
        <w:t xml:space="preserve"> – Historic relationship between non-residential activity and the total production of hard rock and limestone</w:t>
      </w:r>
      <w:bookmarkEnd w:id="466"/>
      <w:bookmarkEnd w:id="467"/>
      <w:r w:rsidRPr="00D14CE9">
        <w:rPr>
          <w:sz w:val="16"/>
          <w:szCs w:val="18"/>
        </w:rPr>
        <w:t xml:space="preserve"> </w:t>
      </w:r>
    </w:p>
    <w:p w:rsidR="00024A4C" w:rsidRDefault="00024A4C" w:rsidP="00B86723">
      <w:pPr>
        <w:pStyle w:val="EYBodytextwithparaspace"/>
        <w:spacing w:after="0"/>
        <w:rPr>
          <w:lang w:val="en-AU"/>
        </w:rPr>
      </w:pPr>
      <w:r w:rsidRPr="00474B05">
        <w:rPr>
          <w:noProof/>
          <w:lang w:val="en-AU" w:eastAsia="en-AU"/>
        </w:rPr>
        <w:drawing>
          <wp:inline distT="0" distB="0" distL="0" distR="0" wp14:anchorId="46DA7A3F" wp14:editId="46909ADA">
            <wp:extent cx="5582920" cy="3045853"/>
            <wp:effectExtent l="0" t="0" r="0" b="2540"/>
            <wp:docPr id="16" name="Picture 16" descr="Figure 11 shows the historic relationship between non-residential activity and the total production of hard rock and limestone between 2002 and 2014. They broadly follow the same pattern, with hard rock and non-residential activity showing greater peaks and falls. "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l="1347" t="1233" r="1225" b="1567"/>
                    <a:stretch/>
                  </pic:blipFill>
                  <pic:spPr bwMode="auto">
                    <a:xfrm>
                      <a:off x="0" y="0"/>
                      <a:ext cx="5581479" cy="3045067"/>
                    </a:xfrm>
                    <a:prstGeom prst="rect">
                      <a:avLst/>
                    </a:prstGeom>
                    <a:noFill/>
                    <a:ln>
                      <a:noFill/>
                    </a:ln>
                    <a:extLst>
                      <a:ext uri="{53640926-AAD7-44D8-BBD7-CCE9431645EC}">
                        <a14:shadowObscured xmlns:a14="http://schemas.microsoft.com/office/drawing/2010/main"/>
                      </a:ext>
                    </a:extLst>
                  </pic:spPr>
                </pic:pic>
              </a:graphicData>
            </a:graphic>
          </wp:inline>
        </w:drawing>
      </w:r>
    </w:p>
    <w:p w:rsidR="00931CBF" w:rsidRPr="00D14CE9" w:rsidRDefault="00931CBF" w:rsidP="00CF11FB">
      <w:pPr>
        <w:pStyle w:val="EYBodytextwithparaspace"/>
        <w:rPr>
          <w:lang w:val="en-AU"/>
        </w:rPr>
      </w:pPr>
      <w:r w:rsidRPr="006B35A2">
        <w:rPr>
          <w:i/>
          <w:sz w:val="16"/>
          <w:szCs w:val="16"/>
          <w:lang w:val="en-AU"/>
        </w:rPr>
        <w:t>Source: EY analysis</w:t>
      </w:r>
    </w:p>
    <w:p w:rsidR="00637296" w:rsidRPr="00D14CE9" w:rsidRDefault="00830A44" w:rsidP="00637296">
      <w:pPr>
        <w:pStyle w:val="EYBodytextwithparaspace"/>
        <w:rPr>
          <w:lang w:val="en-AU"/>
        </w:rPr>
      </w:pPr>
      <w:r w:rsidRPr="00D14CE9">
        <w:rPr>
          <w:kern w:val="0"/>
          <w:szCs w:val="20"/>
          <w:lang w:val="en-AU"/>
        </w:rPr>
        <w:t>Note that t</w:t>
      </w:r>
      <w:r w:rsidR="00637296" w:rsidRPr="00D14CE9">
        <w:rPr>
          <w:kern w:val="0"/>
          <w:szCs w:val="20"/>
          <w:lang w:val="en-AU"/>
        </w:rPr>
        <w:t xml:space="preserve">he analyses conducted </w:t>
      </w:r>
      <w:r w:rsidRPr="00D14CE9">
        <w:rPr>
          <w:kern w:val="0"/>
          <w:szCs w:val="20"/>
          <w:lang w:val="en-AU"/>
        </w:rPr>
        <w:t xml:space="preserve">in relation to historic relationships </w:t>
      </w:r>
      <w:r w:rsidR="00637296" w:rsidRPr="00D14CE9">
        <w:rPr>
          <w:kern w:val="0"/>
          <w:szCs w:val="20"/>
          <w:lang w:val="en-AU"/>
        </w:rPr>
        <w:t>between construction activities</w:t>
      </w:r>
      <w:r w:rsidRPr="00D14CE9">
        <w:rPr>
          <w:kern w:val="0"/>
          <w:szCs w:val="20"/>
          <w:lang w:val="en-AU"/>
        </w:rPr>
        <w:t>,</w:t>
      </w:r>
      <w:r w:rsidR="00637296" w:rsidRPr="00D14CE9">
        <w:rPr>
          <w:kern w:val="0"/>
          <w:szCs w:val="20"/>
          <w:lang w:val="en-AU"/>
        </w:rPr>
        <w:t xml:space="preserve"> based on the value of work done</w:t>
      </w:r>
      <w:r w:rsidRPr="00D14CE9">
        <w:rPr>
          <w:kern w:val="0"/>
          <w:szCs w:val="20"/>
          <w:lang w:val="en-AU"/>
        </w:rPr>
        <w:t>,</w:t>
      </w:r>
      <w:r w:rsidR="00637296" w:rsidRPr="00D14CE9">
        <w:rPr>
          <w:kern w:val="0"/>
          <w:szCs w:val="20"/>
          <w:lang w:val="en-AU"/>
        </w:rPr>
        <w:t xml:space="preserve"> and the total production of extractive resources</w:t>
      </w:r>
      <w:r w:rsidRPr="00D14CE9">
        <w:rPr>
          <w:kern w:val="0"/>
          <w:szCs w:val="20"/>
          <w:lang w:val="en-AU"/>
        </w:rPr>
        <w:t xml:space="preserve"> over the last 12 years,</w:t>
      </w:r>
      <w:r w:rsidR="00637296" w:rsidRPr="00D14CE9">
        <w:rPr>
          <w:kern w:val="0"/>
          <w:szCs w:val="20"/>
          <w:lang w:val="en-AU"/>
        </w:rPr>
        <w:t xml:space="preserve"> led </w:t>
      </w:r>
      <w:r w:rsidR="00DD232E">
        <w:rPr>
          <w:kern w:val="0"/>
          <w:szCs w:val="20"/>
          <w:lang w:val="en-AU"/>
        </w:rPr>
        <w:t xml:space="preserve">us </w:t>
      </w:r>
      <w:r w:rsidR="00637296" w:rsidRPr="00D14CE9">
        <w:rPr>
          <w:kern w:val="0"/>
          <w:szCs w:val="20"/>
          <w:lang w:val="en-AU"/>
        </w:rPr>
        <w:t>identify</w:t>
      </w:r>
      <w:r w:rsidR="00DD232E">
        <w:rPr>
          <w:kern w:val="0"/>
          <w:szCs w:val="20"/>
          <w:lang w:val="en-AU"/>
        </w:rPr>
        <w:t>ing</w:t>
      </w:r>
      <w:r w:rsidR="00637296" w:rsidRPr="00D14CE9">
        <w:rPr>
          <w:kern w:val="0"/>
          <w:szCs w:val="20"/>
          <w:lang w:val="en-AU"/>
        </w:rPr>
        <w:t xml:space="preserve"> </w:t>
      </w:r>
      <w:r w:rsidRPr="00D14CE9">
        <w:rPr>
          <w:kern w:val="0"/>
          <w:szCs w:val="20"/>
          <w:lang w:val="en-AU"/>
        </w:rPr>
        <w:t>a break in the trends observed</w:t>
      </w:r>
      <w:r w:rsidR="0009474F" w:rsidRPr="00D14CE9">
        <w:rPr>
          <w:kern w:val="0"/>
          <w:szCs w:val="20"/>
          <w:lang w:val="en-AU"/>
        </w:rPr>
        <w:t>. We illustrated this break in trend</w:t>
      </w:r>
      <w:r w:rsidR="00F66DB4" w:rsidRPr="00D14CE9">
        <w:rPr>
          <w:kern w:val="0"/>
          <w:szCs w:val="20"/>
          <w:lang w:val="en-AU"/>
        </w:rPr>
        <w:t xml:space="preserve"> in the recent years</w:t>
      </w:r>
      <w:r w:rsidR="0009474F" w:rsidRPr="00D14CE9">
        <w:rPr>
          <w:kern w:val="0"/>
          <w:szCs w:val="20"/>
          <w:lang w:val="en-AU"/>
        </w:rPr>
        <w:t xml:space="preserve"> in </w:t>
      </w:r>
      <w:r w:rsidR="0009474F" w:rsidRPr="00474B05">
        <w:rPr>
          <w:kern w:val="0"/>
          <w:szCs w:val="20"/>
          <w:lang w:val="en-AU"/>
        </w:rPr>
        <w:fldChar w:fldCharType="begin" w:fldLock="1"/>
      </w:r>
      <w:r w:rsidR="0009474F" w:rsidRPr="00D14CE9">
        <w:rPr>
          <w:kern w:val="0"/>
          <w:szCs w:val="20"/>
          <w:lang w:val="en-AU"/>
        </w:rPr>
        <w:instrText xml:space="preserve"> REF _Ref444523640 \h  \* MERGEFORMAT </w:instrText>
      </w:r>
      <w:r w:rsidR="0009474F" w:rsidRPr="00474B05">
        <w:rPr>
          <w:kern w:val="0"/>
          <w:szCs w:val="20"/>
          <w:lang w:val="en-AU"/>
        </w:rPr>
      </w:r>
      <w:r w:rsidR="0009474F" w:rsidRPr="00474B05">
        <w:rPr>
          <w:kern w:val="0"/>
          <w:szCs w:val="20"/>
          <w:lang w:val="en-AU"/>
        </w:rPr>
        <w:fldChar w:fldCharType="separate"/>
      </w:r>
      <w:r w:rsidR="00895089" w:rsidRPr="00E65C9D">
        <w:rPr>
          <w:kern w:val="0"/>
          <w:szCs w:val="20"/>
          <w:lang w:val="en-AU"/>
        </w:rPr>
        <w:t>Figure 12</w:t>
      </w:r>
      <w:r w:rsidR="0009474F" w:rsidRPr="00474B05">
        <w:rPr>
          <w:kern w:val="0"/>
          <w:szCs w:val="20"/>
          <w:lang w:val="en-AU"/>
        </w:rPr>
        <w:fldChar w:fldCharType="end"/>
      </w:r>
      <w:r w:rsidRPr="00D14CE9">
        <w:rPr>
          <w:kern w:val="0"/>
          <w:szCs w:val="20"/>
          <w:lang w:val="en-AU"/>
        </w:rPr>
        <w:t xml:space="preserve"> below</w:t>
      </w:r>
      <w:r w:rsidR="00F66DB4" w:rsidRPr="00D14CE9">
        <w:rPr>
          <w:kern w:val="0"/>
          <w:szCs w:val="20"/>
          <w:lang w:val="en-AU"/>
        </w:rPr>
        <w:t>,</w:t>
      </w:r>
      <w:r w:rsidR="0009474F" w:rsidRPr="00D14CE9">
        <w:rPr>
          <w:kern w:val="0"/>
          <w:szCs w:val="20"/>
          <w:lang w:val="en-AU"/>
        </w:rPr>
        <w:t xml:space="preserve"> through the analysis of aggregate construction from 2002 to 2015 and aggregate production of extractive resources from 2002 to 2014, based on data available</w:t>
      </w:r>
      <w:r w:rsidRPr="00D14CE9">
        <w:rPr>
          <w:kern w:val="0"/>
          <w:szCs w:val="20"/>
          <w:lang w:val="en-AU"/>
        </w:rPr>
        <w:t>.</w:t>
      </w:r>
    </w:p>
    <w:p w:rsidR="00830A44" w:rsidRPr="00D14CE9" w:rsidRDefault="00830A44" w:rsidP="00830A44">
      <w:pPr>
        <w:pStyle w:val="Caption"/>
        <w:numPr>
          <w:ilvl w:val="0"/>
          <w:numId w:val="9"/>
        </w:numPr>
        <w:rPr>
          <w:highlight w:val="yellow"/>
        </w:rPr>
      </w:pPr>
      <w:bookmarkStart w:id="468" w:name="_Ref444523640"/>
      <w:bookmarkStart w:id="469" w:name="_Toc445240911"/>
      <w:bookmarkStart w:id="470" w:name="_Toc448914574"/>
      <w:r w:rsidRPr="00D14CE9">
        <w:rPr>
          <w:sz w:val="16"/>
          <w:szCs w:val="18"/>
        </w:rPr>
        <w:lastRenderedPageBreak/>
        <w:t xml:space="preserve">Figure </w:t>
      </w:r>
      <w:r w:rsidRPr="00802792">
        <w:rPr>
          <w:b w:val="0"/>
          <w:bCs w:val="0"/>
          <w:sz w:val="16"/>
          <w:szCs w:val="18"/>
        </w:rPr>
        <w:fldChar w:fldCharType="begin"/>
      </w:r>
      <w:r w:rsidRPr="00D14CE9">
        <w:rPr>
          <w:sz w:val="16"/>
          <w:szCs w:val="18"/>
        </w:rPr>
        <w:instrText xml:space="preserve"> SEQ Figure \* ARABIC </w:instrText>
      </w:r>
      <w:r w:rsidRPr="00802792">
        <w:rPr>
          <w:b w:val="0"/>
          <w:bCs w:val="0"/>
          <w:sz w:val="16"/>
          <w:szCs w:val="18"/>
        </w:rPr>
        <w:fldChar w:fldCharType="separate"/>
      </w:r>
      <w:r w:rsidR="00525C82">
        <w:rPr>
          <w:noProof/>
          <w:sz w:val="16"/>
          <w:szCs w:val="18"/>
        </w:rPr>
        <w:t>12</w:t>
      </w:r>
      <w:r w:rsidRPr="00802792">
        <w:rPr>
          <w:b w:val="0"/>
          <w:bCs w:val="0"/>
          <w:sz w:val="16"/>
          <w:szCs w:val="18"/>
        </w:rPr>
        <w:fldChar w:fldCharType="end"/>
      </w:r>
      <w:bookmarkEnd w:id="468"/>
      <w:r w:rsidRPr="00D14CE9">
        <w:rPr>
          <w:sz w:val="16"/>
          <w:szCs w:val="18"/>
        </w:rPr>
        <w:t xml:space="preserve"> – </w:t>
      </w:r>
      <w:r w:rsidR="0009474F" w:rsidRPr="00D14CE9">
        <w:rPr>
          <w:sz w:val="16"/>
          <w:szCs w:val="18"/>
        </w:rPr>
        <w:t>High level analysis of historic resource production and construction</w:t>
      </w:r>
      <w:r w:rsidR="002C62EF" w:rsidRPr="00D14CE9">
        <w:rPr>
          <w:sz w:val="16"/>
          <w:szCs w:val="18"/>
        </w:rPr>
        <w:t xml:space="preserve"> activities</w:t>
      </w:r>
      <w:bookmarkEnd w:id="469"/>
      <w:bookmarkEnd w:id="470"/>
      <w:r w:rsidRPr="00D14CE9">
        <w:rPr>
          <w:sz w:val="16"/>
          <w:szCs w:val="18"/>
        </w:rPr>
        <w:t xml:space="preserve"> </w:t>
      </w:r>
    </w:p>
    <w:p w:rsidR="00830A44" w:rsidRPr="00D14CE9" w:rsidRDefault="0009474F" w:rsidP="00637296">
      <w:pPr>
        <w:pStyle w:val="EYBodytextwithparaspace"/>
        <w:rPr>
          <w:lang w:val="en-AU"/>
        </w:rPr>
      </w:pPr>
      <w:r w:rsidRPr="00474B05">
        <w:rPr>
          <w:noProof/>
          <w:lang w:val="en-AU" w:eastAsia="en-AU"/>
        </w:rPr>
        <w:drawing>
          <wp:inline distT="0" distB="0" distL="0" distR="0" wp14:anchorId="3491807A" wp14:editId="4CFA95A5">
            <wp:extent cx="5702807" cy="3270250"/>
            <wp:effectExtent l="0" t="0" r="0" b="6350"/>
            <wp:docPr id="2050" name="Picture 2050" descr="Figure 12 is a graph showing a high level analysis of historic resource production and construction activities from 2001 to 2017. It shows a broad increase in construction activities, while production has risen and fallen over the period. "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l="1336"/>
                    <a:stretch/>
                  </pic:blipFill>
                  <pic:spPr bwMode="auto">
                    <a:xfrm>
                      <a:off x="0" y="0"/>
                      <a:ext cx="5709592" cy="3274141"/>
                    </a:xfrm>
                    <a:prstGeom prst="rect">
                      <a:avLst/>
                    </a:prstGeom>
                    <a:noFill/>
                    <a:ln>
                      <a:noFill/>
                    </a:ln>
                    <a:extLst>
                      <a:ext uri="{53640926-AAD7-44D8-BBD7-CCE9431645EC}">
                        <a14:shadowObscured xmlns:a14="http://schemas.microsoft.com/office/drawing/2010/main"/>
                      </a:ext>
                    </a:extLst>
                  </pic:spPr>
                </pic:pic>
              </a:graphicData>
            </a:graphic>
          </wp:inline>
        </w:drawing>
      </w:r>
      <w:r w:rsidR="00931CBF">
        <w:rPr>
          <w:lang w:val="en-AU"/>
        </w:rPr>
        <w:br/>
      </w:r>
      <w:r w:rsidR="00931CBF" w:rsidRPr="006B35A2">
        <w:rPr>
          <w:i/>
          <w:sz w:val="16"/>
          <w:szCs w:val="16"/>
          <w:lang w:val="en-AU"/>
        </w:rPr>
        <w:t>Source: EY analysis</w:t>
      </w:r>
    </w:p>
    <w:p w:rsidR="0009474F" w:rsidRPr="00D14CE9" w:rsidRDefault="0009474F" w:rsidP="0009474F">
      <w:pPr>
        <w:pStyle w:val="EYBodytextwithparaspace"/>
        <w:rPr>
          <w:lang w:val="en-AU"/>
        </w:rPr>
      </w:pPr>
      <w:r w:rsidRPr="00474B05">
        <w:rPr>
          <w:kern w:val="0"/>
          <w:szCs w:val="20"/>
          <w:lang w:val="en-AU"/>
        </w:rPr>
        <w:fldChar w:fldCharType="begin" w:fldLock="1"/>
      </w:r>
      <w:r w:rsidRPr="00D14CE9">
        <w:rPr>
          <w:kern w:val="0"/>
          <w:szCs w:val="20"/>
          <w:lang w:val="en-AU"/>
        </w:rPr>
        <w:instrText xml:space="preserve"> REF _Ref444523640 \h  \* MERGEFORMAT </w:instrText>
      </w:r>
      <w:r w:rsidRPr="00474B05">
        <w:rPr>
          <w:kern w:val="0"/>
          <w:szCs w:val="20"/>
          <w:lang w:val="en-AU"/>
        </w:rPr>
      </w:r>
      <w:r w:rsidRPr="00474B05">
        <w:rPr>
          <w:kern w:val="0"/>
          <w:szCs w:val="20"/>
          <w:lang w:val="en-AU"/>
        </w:rPr>
        <w:fldChar w:fldCharType="separate"/>
      </w:r>
      <w:r w:rsidR="00895089" w:rsidRPr="00E65C9D">
        <w:rPr>
          <w:kern w:val="0"/>
          <w:szCs w:val="20"/>
          <w:lang w:val="en-AU"/>
        </w:rPr>
        <w:t>Figure 12</w:t>
      </w:r>
      <w:r w:rsidRPr="00474B05">
        <w:rPr>
          <w:kern w:val="0"/>
          <w:szCs w:val="20"/>
          <w:lang w:val="en-AU"/>
        </w:rPr>
        <w:fldChar w:fldCharType="end"/>
      </w:r>
      <w:r w:rsidRPr="00D14CE9">
        <w:rPr>
          <w:kern w:val="0"/>
          <w:szCs w:val="20"/>
          <w:lang w:val="en-AU"/>
        </w:rPr>
        <w:t xml:space="preserve"> above </w:t>
      </w:r>
      <w:r w:rsidRPr="00D14CE9">
        <w:rPr>
          <w:lang w:val="en-AU"/>
        </w:rPr>
        <w:t xml:space="preserve">shows a break in the trend of the </w:t>
      </w:r>
      <w:r w:rsidR="00097BE4" w:rsidRPr="00D14CE9">
        <w:rPr>
          <w:lang w:val="en-AU"/>
        </w:rPr>
        <w:t xml:space="preserve">historic </w:t>
      </w:r>
      <w:r w:rsidRPr="00D14CE9">
        <w:rPr>
          <w:lang w:val="en-AU"/>
        </w:rPr>
        <w:t>production of extractive resources since around 2008</w:t>
      </w:r>
      <w:r w:rsidR="002555D5" w:rsidRPr="00D14CE9">
        <w:rPr>
          <w:lang w:val="en-AU"/>
        </w:rPr>
        <w:t>,</w:t>
      </w:r>
      <w:r w:rsidRPr="00D14CE9">
        <w:rPr>
          <w:lang w:val="en-AU"/>
        </w:rPr>
        <w:t xml:space="preserve"> compared to aggregate construction activity (</w:t>
      </w:r>
      <w:r w:rsidR="00097BE4" w:rsidRPr="00D14CE9">
        <w:rPr>
          <w:lang w:val="en-AU"/>
        </w:rPr>
        <w:t>refer to red</w:t>
      </w:r>
      <w:r w:rsidRPr="00D14CE9">
        <w:rPr>
          <w:lang w:val="en-AU"/>
        </w:rPr>
        <w:t xml:space="preserve"> line and approximate trend).</w:t>
      </w:r>
    </w:p>
    <w:p w:rsidR="00097BE4" w:rsidRPr="00D14CE9" w:rsidRDefault="00097BE4" w:rsidP="00097BE4">
      <w:pPr>
        <w:pStyle w:val="EYBodytextwithparaspace"/>
        <w:rPr>
          <w:lang w:val="en-AU"/>
        </w:rPr>
      </w:pPr>
      <w:r w:rsidRPr="00D14CE9">
        <w:rPr>
          <w:lang w:val="en-AU"/>
        </w:rPr>
        <w:t>The production of extractive resources appears to have been cyclical over the more recent timeframe, compared to construction activity (albeit the above presentation masks sector by sector variations), evolving in an opposite direction. This observation raised concerns that there could be some supply side changes that would need to be considered in basing our demand forecast</w:t>
      </w:r>
      <w:r w:rsidR="002C62EF" w:rsidRPr="00D14CE9">
        <w:rPr>
          <w:lang w:val="en-AU"/>
        </w:rPr>
        <w:t xml:space="preserve"> if persisting over the medium to long term</w:t>
      </w:r>
      <w:r w:rsidRPr="00D14CE9">
        <w:rPr>
          <w:lang w:val="en-AU"/>
        </w:rPr>
        <w:t xml:space="preserve">. </w:t>
      </w:r>
    </w:p>
    <w:p w:rsidR="00097BE4" w:rsidRPr="00D14CE9" w:rsidRDefault="00097BE4" w:rsidP="00097BE4">
      <w:pPr>
        <w:pStyle w:val="EYBodytextwithparaspace"/>
        <w:rPr>
          <w:lang w:val="en-AU"/>
        </w:rPr>
      </w:pPr>
      <w:r w:rsidRPr="00D14CE9">
        <w:rPr>
          <w:lang w:val="en-AU"/>
        </w:rPr>
        <w:t>Preliminary indicative 2015 draft data provided by the DEDJTR</w:t>
      </w:r>
      <w:r w:rsidR="002555D5" w:rsidRPr="00D14CE9">
        <w:rPr>
          <w:lang w:val="en-AU"/>
        </w:rPr>
        <w:t>,</w:t>
      </w:r>
      <w:r w:rsidRPr="00D14CE9">
        <w:rPr>
          <w:lang w:val="en-AU"/>
        </w:rPr>
        <w:t xml:space="preserve"> in relation to the production </w:t>
      </w:r>
      <w:r w:rsidR="002555D5" w:rsidRPr="00D14CE9">
        <w:rPr>
          <w:lang w:val="en-AU"/>
        </w:rPr>
        <w:t>of</w:t>
      </w:r>
      <w:r w:rsidRPr="00D14CE9">
        <w:rPr>
          <w:lang w:val="en-AU"/>
        </w:rPr>
        <w:t xml:space="preserve"> extractive resources, </w:t>
      </w:r>
      <w:r w:rsidR="00F66DB4" w:rsidRPr="00D14CE9">
        <w:rPr>
          <w:lang w:val="en-AU"/>
        </w:rPr>
        <w:t xml:space="preserve">were </w:t>
      </w:r>
      <w:r w:rsidRPr="00D14CE9">
        <w:rPr>
          <w:lang w:val="en-AU"/>
        </w:rPr>
        <w:t>reported to amount to 47m tonnes over the period</w:t>
      </w:r>
      <w:r w:rsidR="00F66DB4" w:rsidRPr="00D14CE9">
        <w:rPr>
          <w:lang w:val="en-AU"/>
        </w:rPr>
        <w:t>. This</w:t>
      </w:r>
      <w:r w:rsidRPr="00D14CE9">
        <w:rPr>
          <w:lang w:val="en-AU"/>
        </w:rPr>
        <w:t xml:space="preserve"> indicates that the </w:t>
      </w:r>
      <w:r w:rsidR="002C62EF" w:rsidRPr="00D14CE9">
        <w:rPr>
          <w:lang w:val="en-AU"/>
        </w:rPr>
        <w:t>production of extractive resources could be heading back toward the longer term trend, given the increase in construction activit</w:t>
      </w:r>
      <w:r w:rsidR="002555D5" w:rsidRPr="00D14CE9">
        <w:rPr>
          <w:lang w:val="en-AU"/>
        </w:rPr>
        <w:t>ies</w:t>
      </w:r>
      <w:r w:rsidR="002C62EF" w:rsidRPr="00D14CE9">
        <w:rPr>
          <w:lang w:val="en-AU"/>
        </w:rPr>
        <w:t xml:space="preserve"> observed over the same period. </w:t>
      </w:r>
    </w:p>
    <w:p w:rsidR="002C62EF" w:rsidRDefault="002C62EF" w:rsidP="00097BE4">
      <w:pPr>
        <w:pStyle w:val="EYBodytextwithparaspace"/>
        <w:rPr>
          <w:lang w:val="en-AU"/>
        </w:rPr>
      </w:pPr>
      <w:r w:rsidRPr="00D14CE9">
        <w:rPr>
          <w:lang w:val="en-AU"/>
        </w:rPr>
        <w:t>While accounting for this potential issue, given latest 2015 preliminary data</w:t>
      </w:r>
      <w:r w:rsidR="002555D5" w:rsidRPr="00D14CE9">
        <w:rPr>
          <w:lang w:val="en-AU"/>
        </w:rPr>
        <w:t xml:space="preserve"> in relation to the production of extractive resources</w:t>
      </w:r>
      <w:r w:rsidRPr="00D14CE9">
        <w:rPr>
          <w:lang w:val="en-AU"/>
        </w:rPr>
        <w:t xml:space="preserve">, we have </w:t>
      </w:r>
      <w:r w:rsidR="002555D5" w:rsidRPr="00D14CE9">
        <w:rPr>
          <w:lang w:val="en-AU"/>
        </w:rPr>
        <w:t xml:space="preserve">considered that the production is </w:t>
      </w:r>
      <w:r w:rsidRPr="00D14CE9">
        <w:rPr>
          <w:lang w:val="en-AU"/>
        </w:rPr>
        <w:t>return</w:t>
      </w:r>
      <w:r w:rsidR="002555D5" w:rsidRPr="00D14CE9">
        <w:rPr>
          <w:lang w:val="en-AU"/>
        </w:rPr>
        <w:t>ing</w:t>
      </w:r>
      <w:r w:rsidRPr="00D14CE9">
        <w:rPr>
          <w:lang w:val="en-AU"/>
        </w:rPr>
        <w:t xml:space="preserve"> to its long term trend, </w:t>
      </w:r>
      <w:r w:rsidR="00F66DB4" w:rsidRPr="00D14CE9">
        <w:rPr>
          <w:lang w:val="en-AU"/>
        </w:rPr>
        <w:t xml:space="preserve">relying upon an historic </w:t>
      </w:r>
      <w:r w:rsidR="002555D5" w:rsidRPr="00D14CE9">
        <w:rPr>
          <w:lang w:val="en-AU"/>
        </w:rPr>
        <w:t xml:space="preserve">relationship </w:t>
      </w:r>
      <w:r w:rsidR="00F66DB4" w:rsidRPr="00D14CE9">
        <w:rPr>
          <w:lang w:val="en-AU"/>
        </w:rPr>
        <w:t xml:space="preserve">with construction activities, </w:t>
      </w:r>
      <w:r w:rsidRPr="00D14CE9">
        <w:rPr>
          <w:lang w:val="en-AU"/>
        </w:rPr>
        <w:t xml:space="preserve">population and economic growth forecast. </w:t>
      </w:r>
    </w:p>
    <w:p w:rsidR="00D00F13" w:rsidRDefault="00D00F13" w:rsidP="00097BE4">
      <w:pPr>
        <w:pStyle w:val="EYBodytextwithparaspace"/>
        <w:rPr>
          <w:lang w:val="en-AU"/>
        </w:rPr>
        <w:sectPr w:rsidR="00D00F13" w:rsidSect="000B6297">
          <w:pgSz w:w="11909" w:h="16834" w:code="9"/>
          <w:pgMar w:top="1440" w:right="1440" w:bottom="1440" w:left="1440" w:header="720" w:footer="567" w:gutter="0"/>
          <w:cols w:space="720"/>
          <w:docGrid w:linePitch="360"/>
        </w:sectPr>
      </w:pPr>
    </w:p>
    <w:p w:rsidR="00D00F13" w:rsidRPr="00D14CE9" w:rsidRDefault="002C2179" w:rsidP="00097BE4">
      <w:pPr>
        <w:pStyle w:val="EYBodytextwithparaspace"/>
        <w:rPr>
          <w:lang w:val="en-AU"/>
        </w:rPr>
      </w:pPr>
      <w:r>
        <w:rPr>
          <w:noProof/>
          <w:lang w:val="en-AU" w:eastAsia="en-AU"/>
        </w:rPr>
        <w:lastRenderedPageBreak/>
        <mc:AlternateContent>
          <mc:Choice Requires="wps">
            <w:drawing>
              <wp:anchor distT="0" distB="0" distL="114300" distR="114300" simplePos="0" relativeHeight="251671552" behindDoc="0" locked="0" layoutInCell="1" allowOverlap="1" wp14:anchorId="444BC62A" wp14:editId="29FE1053">
                <wp:simplePos x="0" y="0"/>
                <wp:positionH relativeFrom="column">
                  <wp:posOffset>-178435</wp:posOffset>
                </wp:positionH>
                <wp:positionV relativeFrom="paragraph">
                  <wp:posOffset>5379085</wp:posOffset>
                </wp:positionV>
                <wp:extent cx="6385560" cy="1543685"/>
                <wp:effectExtent l="0" t="0" r="0" b="0"/>
                <wp:wrapNone/>
                <wp:docPr id="2164" name="Text Box 2164"/>
                <wp:cNvGraphicFramePr/>
                <a:graphic xmlns:a="http://schemas.openxmlformats.org/drawingml/2006/main">
                  <a:graphicData uri="http://schemas.microsoft.com/office/word/2010/wordprocessingShape">
                    <wps:wsp>
                      <wps:cNvSpPr txBox="1"/>
                      <wps:spPr>
                        <a:xfrm>
                          <a:off x="0" y="0"/>
                          <a:ext cx="6385560" cy="154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754" w:rsidRDefault="003C7754" w:rsidP="00D00F13">
                            <w:pPr>
                              <w:pStyle w:val="EYCoverTitle"/>
                            </w:pPr>
                            <w:r>
                              <w:t>Future construction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4" o:spid="_x0000_s1031" type="#_x0000_t202" style="position:absolute;margin-left:-14.05pt;margin-top:423.55pt;width:502.8pt;height:12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2NgQIAAHAFAAAOAAAAZHJzL2Uyb0RvYy54bWysVFtv0zAUfkfiP1h+p2m7tpRo6VQ2FSFN&#10;20SL9uw69hJh+xjbbVJ+PcdOetHgZYiX5Picz5/P/fqm1YrshfM1mIKOBkNKhOFQ1ualoN83qw9z&#10;SnxgpmQKjCjoQXh6s3j/7rqxuRhDBaoUjiCJ8XljC1qFYPMs87wSmvkBWGHQKMFpFvDoXrLSsQbZ&#10;tcrGw+Esa8CV1gEX3qP2rjPSReKXUvDwKKUXgaiCom8hfV36buM3W1yz/MUxW9W8d4P9gxea1QYf&#10;PVHdscDIztV/UOmaO/Agw4CDzkDKmosUA0YzGr6KZl0xK1IsmBxvT2ny/4+WP+yfHKnLgo5Hswkl&#10;hmms0ka0gXyGliQl5qixPkfo2iI4tGjBWsfcRb1HZQy9lU7HPwZF0I7ZPpwyHPk4KmdX8+l0hiaO&#10;ttF0cjWbTyNPdr5unQ9fBGgShYI6LGHKLNvf+9BBj5D4moFVrRTqWa4MaeIT02G6cLIguTIRIFJD&#10;9DRn15MUDkp0JN+ExISkCKIitaK4VY7sGTYR41yYkIJPvIiOKIlOvOVijz979ZbLXRzHl8GE02Vd&#10;G3Ap+ldulz+OLssOjzm/iDuKod22qRNSRaJmC+UBC+6gGxtv+arGotwzH56YwznBQuLsh0f8SAWY&#10;fOglSipwv/6mj3hsX7RS0uDcFdT/3DEnKFFfDTb2p9FkEgc1HSbTj2M8uEvL9tJidvoWsCoj3DKW&#10;JzHigzqK0oF+xhWxjK+iiRmObxc0HMXb0G0DXDFcLJcJhKNpWbg3a8sjdSxSbLlN+8yc7fsyYEs/&#10;wHFCWf6qPTtsvGlguQsg69S756z2+cexTt3fr6C4Ny7PCXVelIvfAAAA//8DAFBLAwQUAAYACAAA&#10;ACEAPQcq1eMAAAAMAQAADwAAAGRycy9kb3ducmV2LnhtbEyPwU7DMAyG70i8Q2QkbluyitGuNJ2m&#10;ShMSgsPGLtzSJmsrEqc02VZ4esxp3Gz50+/vL9aTs+xsxtB7lLCYC2AGG697bCUc3rezDFiICrWy&#10;Ho2EbxNgXd7eFCrX/oI7c97HllEIhlxJ6GIccs5D0xmnwtwPBul29KNTkdax5XpUFwp3lidCPHKn&#10;eqQPnRpM1Znmc39yEl6q7Zva1YnLfmz1/HrcDF+Hj6WU93fT5glYNFO8wvCnT+pQklPtT6gDsxJm&#10;SbYgVEL2kNJAxCpNl8BqQsVKJMDLgv8vUf4CAAD//wMAUEsBAi0AFAAGAAgAAAAhALaDOJL+AAAA&#10;4QEAABMAAAAAAAAAAAAAAAAAAAAAAFtDb250ZW50X1R5cGVzXS54bWxQSwECLQAUAAYACAAAACEA&#10;OP0h/9YAAACUAQAACwAAAAAAAAAAAAAAAAAvAQAAX3JlbHMvLnJlbHNQSwECLQAUAAYACAAAACEA&#10;Qd2djYECAABwBQAADgAAAAAAAAAAAAAAAAAuAgAAZHJzL2Uyb0RvYy54bWxQSwECLQAUAAYACAAA&#10;ACEAPQcq1eMAAAAMAQAADwAAAAAAAAAAAAAAAADbBAAAZHJzL2Rvd25yZXYueG1sUEsFBgAAAAAE&#10;AAQA8wAAAOsFAAAAAA==&#10;" filled="f" stroked="f" strokeweight=".5pt">
                <v:textbox>
                  <w:txbxContent>
                    <w:p w:rsidR="003C7754" w:rsidRDefault="003C7754" w:rsidP="00D00F13">
                      <w:pPr>
                        <w:pStyle w:val="EYCoverTitle"/>
                      </w:pPr>
                      <w:r>
                        <w:t>Future construction activities</w:t>
                      </w:r>
                    </w:p>
                  </w:txbxContent>
                </v:textbox>
              </v:shape>
            </w:pict>
          </mc:Fallback>
        </mc:AlternateContent>
      </w:r>
      <w:r w:rsidR="00606F4A">
        <w:rPr>
          <w:noProof/>
          <w:lang w:val="en-AU" w:eastAsia="en-AU"/>
        </w:rPr>
        <w:drawing>
          <wp:anchor distT="0" distB="0" distL="114300" distR="114300" simplePos="0" relativeHeight="251684864" behindDoc="1" locked="1" layoutInCell="1" allowOverlap="1" wp14:anchorId="12C51C8B" wp14:editId="2EE4B28D">
            <wp:simplePos x="0" y="0"/>
            <wp:positionH relativeFrom="column">
              <wp:posOffset>-1005840</wp:posOffset>
            </wp:positionH>
            <wp:positionV relativeFrom="paragraph">
              <wp:posOffset>-1457325</wp:posOffset>
            </wp:positionV>
            <wp:extent cx="7680960" cy="11264265"/>
            <wp:effectExtent l="0" t="0" r="0" b="0"/>
            <wp:wrapNone/>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7680960" cy="11264265"/>
                    </a:xfrm>
                    <a:prstGeom prst="rect">
                      <a:avLst/>
                    </a:prstGeom>
                  </pic:spPr>
                </pic:pic>
              </a:graphicData>
            </a:graphic>
            <wp14:sizeRelH relativeFrom="margin">
              <wp14:pctWidth>0</wp14:pctWidth>
            </wp14:sizeRelH>
            <wp14:sizeRelV relativeFrom="margin">
              <wp14:pctHeight>0</wp14:pctHeight>
            </wp14:sizeRelV>
          </wp:anchor>
        </w:drawing>
      </w:r>
    </w:p>
    <w:p w:rsidR="00F15856" w:rsidRPr="00D14CE9" w:rsidRDefault="00F15856" w:rsidP="00C200D0">
      <w:pPr>
        <w:pStyle w:val="EYHeading1"/>
      </w:pPr>
      <w:bookmarkStart w:id="471" w:name="_Toc444532463"/>
      <w:bookmarkStart w:id="472" w:name="_Toc444685917"/>
      <w:bookmarkStart w:id="473" w:name="_Toc444699272"/>
      <w:bookmarkStart w:id="474" w:name="_Toc444700231"/>
      <w:bookmarkStart w:id="475" w:name="_Toc445151283"/>
      <w:bookmarkStart w:id="476" w:name="_Toc445208509"/>
      <w:bookmarkStart w:id="477" w:name="_Toc445215980"/>
      <w:bookmarkStart w:id="478" w:name="_Toc445218336"/>
      <w:bookmarkStart w:id="479" w:name="_Toc445219420"/>
      <w:bookmarkStart w:id="480" w:name="_Toc445219629"/>
      <w:bookmarkStart w:id="481" w:name="_Toc445219979"/>
      <w:bookmarkStart w:id="482" w:name="_Toc445220353"/>
      <w:bookmarkStart w:id="483" w:name="_Toc445220497"/>
      <w:bookmarkStart w:id="484" w:name="_Toc445220615"/>
      <w:bookmarkStart w:id="485" w:name="_Toc445239630"/>
      <w:bookmarkStart w:id="486" w:name="_Toc445240873"/>
      <w:bookmarkStart w:id="487" w:name="_Toc445382965"/>
      <w:bookmarkStart w:id="488" w:name="_Toc445383564"/>
      <w:bookmarkStart w:id="489" w:name="_Toc445383864"/>
      <w:bookmarkStart w:id="490" w:name="_Toc445384035"/>
      <w:bookmarkStart w:id="491" w:name="_Ref442111107"/>
      <w:bookmarkStart w:id="492" w:name="_Toc451847079"/>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D14CE9">
        <w:lastRenderedPageBreak/>
        <w:t>Future construction activities</w:t>
      </w:r>
      <w:bookmarkEnd w:id="424"/>
      <w:bookmarkEnd w:id="425"/>
      <w:bookmarkEnd w:id="491"/>
      <w:bookmarkEnd w:id="492"/>
    </w:p>
    <w:p w:rsidR="007619B0" w:rsidRPr="00D14CE9" w:rsidRDefault="007619B0" w:rsidP="007619B0">
      <w:pPr>
        <w:pStyle w:val="EYBodytextwithparaspace"/>
        <w:numPr>
          <w:ilvl w:val="4"/>
          <w:numId w:val="3"/>
        </w:numPr>
        <w:rPr>
          <w:lang w:val="en-AU"/>
        </w:rPr>
      </w:pPr>
      <w:r w:rsidRPr="00D14CE9">
        <w:rPr>
          <w:lang w:val="en-AU"/>
        </w:rPr>
        <w:t>The analysis of the connection between different construction types and selected drivers of demand provide</w:t>
      </w:r>
      <w:r w:rsidR="00A228FD" w:rsidRPr="00D14CE9">
        <w:rPr>
          <w:lang w:val="en-AU"/>
        </w:rPr>
        <w:t>d</w:t>
      </w:r>
      <w:r w:rsidRPr="00D14CE9">
        <w:rPr>
          <w:lang w:val="en-AU"/>
        </w:rPr>
        <w:t xml:space="preserve"> a set of defined relationships that underpin the basis for developing longer term demand projections linked to fundamental trends in the economy and Victoria’s demographic profile. </w:t>
      </w:r>
    </w:p>
    <w:p w:rsidR="00F15856" w:rsidRPr="00D14CE9" w:rsidRDefault="00F15856" w:rsidP="00C200D0">
      <w:pPr>
        <w:pStyle w:val="EYBodytextwithparaspace"/>
        <w:rPr>
          <w:rFonts w:cstheme="majorHAnsi"/>
          <w:szCs w:val="20"/>
          <w:lang w:val="en-AU"/>
        </w:rPr>
      </w:pPr>
      <w:r w:rsidRPr="00D14CE9">
        <w:rPr>
          <w:rFonts w:cstheme="majorHAnsi"/>
          <w:szCs w:val="20"/>
          <w:lang w:val="en-AU"/>
        </w:rPr>
        <w:t xml:space="preserve">This section focuses on the third step required to build the macro-economic driven forecast demand for extractive resources, consisting </w:t>
      </w:r>
      <w:r w:rsidR="00A228FD" w:rsidRPr="00D14CE9">
        <w:rPr>
          <w:rFonts w:cstheme="majorHAnsi"/>
          <w:szCs w:val="20"/>
          <w:lang w:val="en-AU"/>
        </w:rPr>
        <w:t xml:space="preserve">of developing a high level forecast of </w:t>
      </w:r>
      <w:r w:rsidRPr="00D14CE9">
        <w:rPr>
          <w:rFonts w:cstheme="majorHAnsi"/>
          <w:szCs w:val="20"/>
          <w:lang w:val="en-AU"/>
        </w:rPr>
        <w:t xml:space="preserve">the construction activities from 2015 to 2050, based on </w:t>
      </w:r>
      <w:r w:rsidR="00A228FD" w:rsidRPr="00D14CE9">
        <w:rPr>
          <w:rFonts w:cstheme="majorHAnsi"/>
          <w:szCs w:val="20"/>
          <w:lang w:val="en-AU"/>
        </w:rPr>
        <w:t xml:space="preserve">Victorian Government population and macroeconomic projections and in line with their long term relationships with different construction sectors. </w:t>
      </w:r>
      <w:r w:rsidRPr="00D14CE9">
        <w:rPr>
          <w:rFonts w:cstheme="majorHAnsi"/>
          <w:szCs w:val="20"/>
          <w:lang w:val="en-AU"/>
        </w:rPr>
        <w:t xml:space="preserve">   </w:t>
      </w:r>
    </w:p>
    <w:p w:rsidR="00F15856" w:rsidRPr="008F3A56" w:rsidRDefault="00F15856" w:rsidP="008F3A56">
      <w:pPr>
        <w:pStyle w:val="EYHeading2"/>
      </w:pPr>
      <w:bookmarkStart w:id="493" w:name="_Toc451847080"/>
      <w:r w:rsidRPr="008F3A56">
        <w:t xml:space="preserve">Forecast of </w:t>
      </w:r>
      <w:r w:rsidR="00A228FD" w:rsidRPr="008F3A56">
        <w:t xml:space="preserve">macro-economic </w:t>
      </w:r>
      <w:r w:rsidRPr="008F3A56">
        <w:t>demand drivers</w:t>
      </w:r>
      <w:bookmarkEnd w:id="493"/>
    </w:p>
    <w:p w:rsidR="00F15856" w:rsidRPr="00D14CE9" w:rsidRDefault="00A228FD" w:rsidP="00C200D0">
      <w:pPr>
        <w:pStyle w:val="EYBodytextwithparaspace"/>
        <w:rPr>
          <w:rFonts w:cstheme="majorHAnsi"/>
          <w:szCs w:val="20"/>
          <w:lang w:val="en-AU"/>
        </w:rPr>
      </w:pPr>
      <w:r w:rsidRPr="00D14CE9">
        <w:rPr>
          <w:rFonts w:cstheme="majorHAnsi"/>
          <w:szCs w:val="20"/>
          <w:lang w:val="en-AU"/>
        </w:rPr>
        <w:t>The</w:t>
      </w:r>
      <w:r w:rsidR="00F15856" w:rsidRPr="00D14CE9">
        <w:rPr>
          <w:rFonts w:cstheme="majorHAnsi"/>
          <w:szCs w:val="20"/>
          <w:lang w:val="en-AU"/>
        </w:rPr>
        <w:t xml:space="preserve"> analysis identified the following </w:t>
      </w:r>
      <w:r w:rsidRPr="00D14CE9">
        <w:rPr>
          <w:rFonts w:cstheme="majorHAnsi"/>
          <w:szCs w:val="20"/>
          <w:lang w:val="en-AU"/>
        </w:rPr>
        <w:t xml:space="preserve">relationships </w:t>
      </w:r>
      <w:r w:rsidR="00F15856" w:rsidRPr="00D14CE9">
        <w:rPr>
          <w:rFonts w:cstheme="majorHAnsi"/>
          <w:szCs w:val="20"/>
          <w:lang w:val="en-AU"/>
        </w:rPr>
        <w:t xml:space="preserve">between </w:t>
      </w:r>
      <w:r w:rsidRPr="00D14CE9">
        <w:rPr>
          <w:rFonts w:cstheme="majorHAnsi"/>
          <w:szCs w:val="20"/>
          <w:lang w:val="en-AU"/>
        </w:rPr>
        <w:t xml:space="preserve">macro-economic </w:t>
      </w:r>
      <w:r w:rsidR="00F15856" w:rsidRPr="00D14CE9">
        <w:rPr>
          <w:rFonts w:cstheme="majorHAnsi"/>
          <w:szCs w:val="20"/>
          <w:lang w:val="en-AU"/>
        </w:rPr>
        <w:t>demand drivers and construction activities, instrumental to forecast the future construction activities over the period:</w:t>
      </w:r>
    </w:p>
    <w:p w:rsidR="00F15856" w:rsidRPr="00BB6A30" w:rsidRDefault="00F15856" w:rsidP="00BB6A30">
      <w:pPr>
        <w:pStyle w:val="EYBulletedList1"/>
        <w:spacing w:after="80"/>
      </w:pPr>
      <w:r w:rsidRPr="00BB6A30">
        <w:t>Population growth and residential construction activity</w:t>
      </w:r>
    </w:p>
    <w:p w:rsidR="00F15856" w:rsidRPr="00BB6A30" w:rsidRDefault="00F15856" w:rsidP="00BB6A30">
      <w:pPr>
        <w:pStyle w:val="EYBulletedList1"/>
        <w:spacing w:after="80"/>
      </w:pPr>
      <w:r w:rsidRPr="00BB6A30">
        <w:t>GSP and non-residential construction activity</w:t>
      </w:r>
    </w:p>
    <w:p w:rsidR="00F15856" w:rsidRPr="00BB6A30" w:rsidRDefault="00F15856" w:rsidP="00BB6A30">
      <w:pPr>
        <w:pStyle w:val="EYBulletedList1"/>
        <w:spacing w:after="80"/>
      </w:pPr>
      <w:r w:rsidRPr="00BB6A30">
        <w:t>GSP and transport construction activity</w:t>
      </w:r>
    </w:p>
    <w:p w:rsidR="00F15856" w:rsidRPr="00BB6A30" w:rsidRDefault="00F15856" w:rsidP="00BB6A30">
      <w:pPr>
        <w:pStyle w:val="EYBulletedList1"/>
        <w:spacing w:after="160"/>
      </w:pPr>
      <w:r w:rsidRPr="00BB6A30">
        <w:t>GSP and energy and utilities construction activity</w:t>
      </w:r>
    </w:p>
    <w:p w:rsidR="00F15856" w:rsidRPr="00D14CE9" w:rsidRDefault="00F15856" w:rsidP="00C200D0">
      <w:pPr>
        <w:pStyle w:val="EYBodytextwithparaspace"/>
        <w:rPr>
          <w:rFonts w:cstheme="majorHAnsi"/>
          <w:szCs w:val="20"/>
          <w:lang w:val="en-AU"/>
        </w:rPr>
      </w:pPr>
      <w:r w:rsidRPr="00D14CE9">
        <w:rPr>
          <w:rFonts w:cstheme="majorHAnsi"/>
          <w:szCs w:val="20"/>
          <w:lang w:val="en-AU"/>
        </w:rPr>
        <w:t>These relationships form the basis for the forecast of construction activities. As a result, building-up the forecast of the construction activities required to first develop the forecast of the identified demand drivers.</w:t>
      </w:r>
    </w:p>
    <w:p w:rsidR="00F15856" w:rsidRPr="00D14CE9" w:rsidRDefault="00F15856" w:rsidP="00C200D0">
      <w:pPr>
        <w:pStyle w:val="EYHeading3"/>
      </w:pPr>
      <w:r w:rsidRPr="00D14CE9">
        <w:t>Population growth</w:t>
      </w:r>
    </w:p>
    <w:p w:rsidR="00110126" w:rsidRPr="00D14CE9" w:rsidRDefault="00F15856" w:rsidP="00110126">
      <w:pPr>
        <w:pStyle w:val="EYBodytextwithparaspace"/>
        <w:rPr>
          <w:rFonts w:cstheme="majorHAnsi"/>
          <w:szCs w:val="20"/>
          <w:lang w:val="en-AU"/>
        </w:rPr>
      </w:pPr>
      <w:r w:rsidRPr="00D14CE9">
        <w:rPr>
          <w:rFonts w:cstheme="majorHAnsi"/>
          <w:szCs w:val="20"/>
          <w:lang w:val="en-AU"/>
        </w:rPr>
        <w:t>The forecast of the population growth relied on data publically available, provided by VIF 2015 at the LGAs level</w:t>
      </w:r>
      <w:r w:rsidR="008E7B79" w:rsidRPr="00D14CE9">
        <w:rPr>
          <w:rFonts w:cstheme="majorHAnsi"/>
          <w:szCs w:val="20"/>
          <w:lang w:val="en-AU"/>
        </w:rPr>
        <w:t xml:space="preserve"> </w:t>
      </w:r>
      <w:r w:rsidR="00110126" w:rsidRPr="00D14CE9">
        <w:rPr>
          <w:rFonts w:cstheme="majorHAnsi"/>
          <w:szCs w:val="20"/>
          <w:lang w:val="en-AU"/>
        </w:rPr>
        <w:t>in relation to 2011, 2021 and 2031 milestones dat</w:t>
      </w:r>
      <w:r w:rsidR="00F66DB4" w:rsidRPr="00D14CE9">
        <w:rPr>
          <w:rFonts w:cstheme="majorHAnsi"/>
          <w:szCs w:val="20"/>
          <w:lang w:val="en-AU"/>
        </w:rPr>
        <w:t>es</w:t>
      </w:r>
      <w:r w:rsidR="00110126" w:rsidRPr="00D14CE9">
        <w:rPr>
          <w:rFonts w:cstheme="majorHAnsi"/>
          <w:szCs w:val="20"/>
          <w:lang w:val="en-AU"/>
        </w:rPr>
        <w:t xml:space="preserve">. The period of analysis covering 2015 to 2050, population projections in 2046 have been sourced from the VITM, provided by the DEDJTR in August 2015. </w:t>
      </w:r>
    </w:p>
    <w:p w:rsidR="00104F1C" w:rsidRPr="00D14CE9" w:rsidRDefault="00110126" w:rsidP="00104F1C">
      <w:pPr>
        <w:pStyle w:val="EYBodytextwithparaspace"/>
        <w:rPr>
          <w:rFonts w:cstheme="majorHAnsi"/>
          <w:szCs w:val="20"/>
          <w:lang w:val="en-AU"/>
        </w:rPr>
      </w:pPr>
      <w:r w:rsidRPr="00D14CE9">
        <w:rPr>
          <w:rFonts w:cstheme="majorHAnsi"/>
          <w:szCs w:val="20"/>
          <w:lang w:val="en-AU"/>
        </w:rPr>
        <w:t xml:space="preserve">The forecast of the population growth </w:t>
      </w:r>
      <w:r w:rsidR="008E7B79" w:rsidRPr="00D14CE9">
        <w:rPr>
          <w:rFonts w:cstheme="majorHAnsi"/>
          <w:szCs w:val="20"/>
          <w:lang w:val="en-AU"/>
        </w:rPr>
        <w:t xml:space="preserve">is illustrated </w:t>
      </w:r>
      <w:r w:rsidR="00104F1C" w:rsidRPr="00D14CE9">
        <w:rPr>
          <w:rFonts w:cstheme="majorHAnsi"/>
          <w:szCs w:val="20"/>
          <w:lang w:val="en-AU"/>
        </w:rPr>
        <w:t>at an aggregate</w:t>
      </w:r>
      <w:r w:rsidR="00167784" w:rsidRPr="00D14CE9">
        <w:rPr>
          <w:rFonts w:cstheme="majorHAnsi"/>
          <w:szCs w:val="20"/>
          <w:lang w:val="en-AU"/>
        </w:rPr>
        <w:t>d</w:t>
      </w:r>
      <w:r w:rsidR="00104F1C" w:rsidRPr="00D14CE9">
        <w:rPr>
          <w:rFonts w:cstheme="majorHAnsi"/>
          <w:szCs w:val="20"/>
          <w:lang w:val="en-AU"/>
        </w:rPr>
        <w:t xml:space="preserve"> level </w:t>
      </w:r>
      <w:r w:rsidR="004029AC" w:rsidRPr="00D14CE9">
        <w:rPr>
          <w:rFonts w:cstheme="majorHAnsi"/>
          <w:szCs w:val="20"/>
          <w:lang w:val="en-AU"/>
        </w:rPr>
        <w:t>in</w:t>
      </w:r>
      <w:r w:rsidR="00104F1C" w:rsidRPr="00D14CE9">
        <w:rPr>
          <w:rFonts w:cstheme="majorHAnsi"/>
          <w:szCs w:val="20"/>
          <w:lang w:val="en-AU"/>
        </w:rPr>
        <w:t xml:space="preserve"> Victoria </w:t>
      </w:r>
      <w:r w:rsidR="008E7B79" w:rsidRPr="00D14CE9">
        <w:rPr>
          <w:rFonts w:cstheme="majorHAnsi"/>
          <w:szCs w:val="20"/>
          <w:lang w:val="en-AU"/>
        </w:rPr>
        <w:t xml:space="preserve">in </w:t>
      </w:r>
      <w:r w:rsidR="008E7B79" w:rsidRPr="00474B05">
        <w:rPr>
          <w:rFonts w:cstheme="majorHAnsi"/>
        </w:rPr>
        <w:fldChar w:fldCharType="begin" w:fldLock="1"/>
      </w:r>
      <w:r w:rsidR="008E7B79" w:rsidRPr="00D14CE9">
        <w:rPr>
          <w:rFonts w:cstheme="majorHAnsi"/>
          <w:szCs w:val="20"/>
          <w:lang w:val="en-AU"/>
        </w:rPr>
        <w:instrText xml:space="preserve"> REF _Ref444527338 \h  \* MERGEFORMAT </w:instrText>
      </w:r>
      <w:r w:rsidR="008E7B79" w:rsidRPr="00474B05">
        <w:rPr>
          <w:rFonts w:cstheme="majorHAnsi"/>
        </w:rPr>
      </w:r>
      <w:r w:rsidR="008E7B79" w:rsidRPr="00474B05">
        <w:rPr>
          <w:rFonts w:cstheme="majorHAnsi"/>
        </w:rPr>
        <w:fldChar w:fldCharType="separate"/>
      </w:r>
      <w:r w:rsidR="00895089" w:rsidRPr="00E65C9D">
        <w:rPr>
          <w:rFonts w:cstheme="majorHAnsi"/>
          <w:szCs w:val="20"/>
          <w:lang w:val="en-AU"/>
        </w:rPr>
        <w:t>Figure 13</w:t>
      </w:r>
      <w:r w:rsidR="008E7B79" w:rsidRPr="00474B05">
        <w:rPr>
          <w:rFonts w:cstheme="majorHAnsi"/>
        </w:rPr>
        <w:fldChar w:fldCharType="end"/>
      </w:r>
      <w:r w:rsidR="008E7B79" w:rsidRPr="00D14CE9">
        <w:rPr>
          <w:rFonts w:cstheme="majorHAnsi"/>
          <w:szCs w:val="20"/>
          <w:lang w:val="en-AU"/>
        </w:rPr>
        <w:t xml:space="preserve"> below.</w:t>
      </w:r>
    </w:p>
    <w:p w:rsidR="008E7B79" w:rsidRPr="00D14CE9" w:rsidRDefault="008E7B79" w:rsidP="008E7B79">
      <w:pPr>
        <w:pStyle w:val="Caption"/>
        <w:rPr>
          <w:sz w:val="16"/>
          <w:szCs w:val="18"/>
        </w:rPr>
      </w:pPr>
      <w:bookmarkStart w:id="494" w:name="_Ref444527338"/>
      <w:bookmarkStart w:id="495" w:name="_Toc445240912"/>
      <w:bookmarkStart w:id="496" w:name="_Toc448914575"/>
      <w:r w:rsidRPr="00D14CE9">
        <w:rPr>
          <w:sz w:val="16"/>
          <w:szCs w:val="18"/>
        </w:rPr>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13</w:t>
      </w:r>
      <w:r w:rsidRPr="00802792">
        <w:rPr>
          <w:sz w:val="16"/>
          <w:szCs w:val="18"/>
        </w:rPr>
        <w:fldChar w:fldCharType="end"/>
      </w:r>
      <w:bookmarkEnd w:id="494"/>
      <w:r w:rsidRPr="00D14CE9">
        <w:rPr>
          <w:sz w:val="16"/>
          <w:szCs w:val="18"/>
        </w:rPr>
        <w:t xml:space="preserve"> – Population growth - Historic and Forecast Trend (’000 Individuals)</w:t>
      </w:r>
      <w:bookmarkEnd w:id="495"/>
      <w:bookmarkEnd w:id="496"/>
      <w:r w:rsidRPr="00D14CE9">
        <w:rPr>
          <w:sz w:val="16"/>
          <w:szCs w:val="18"/>
        </w:rPr>
        <w:t xml:space="preserve"> </w:t>
      </w:r>
    </w:p>
    <w:p w:rsidR="008E7B79" w:rsidRPr="00D14CE9" w:rsidRDefault="00545F87" w:rsidP="00C200D0">
      <w:pPr>
        <w:pStyle w:val="EYBodytextwithparaspace"/>
        <w:rPr>
          <w:rFonts w:cstheme="majorHAnsi"/>
          <w:szCs w:val="20"/>
          <w:lang w:val="en-AU"/>
        </w:rPr>
      </w:pPr>
      <w:r w:rsidRPr="00474B05">
        <w:rPr>
          <w:rFonts w:cstheme="majorHAnsi"/>
          <w:noProof/>
          <w:szCs w:val="20"/>
          <w:lang w:val="en-AU" w:eastAsia="en-AU"/>
        </w:rPr>
        <w:drawing>
          <wp:inline distT="0" distB="0" distL="0" distR="0" wp14:anchorId="16A28B97" wp14:editId="74D1D474">
            <wp:extent cx="5589327" cy="2981325"/>
            <wp:effectExtent l="0" t="0" r="0" b="0"/>
            <wp:docPr id="2063" name="Picture 2063" descr="Figure 13 is a graph of population growth – historic and forecasted trend.it shows an over doubling of population between 2004 and 2008 to around 120,000 people, followed by varying peaks and troughs, both historical and projected, ending in population growth of around 140,000 people in 2050. "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l="2908"/>
                    <a:stretch/>
                  </pic:blipFill>
                  <pic:spPr bwMode="auto">
                    <a:xfrm>
                      <a:off x="0" y="0"/>
                      <a:ext cx="5590600" cy="2982004"/>
                    </a:xfrm>
                    <a:prstGeom prst="rect">
                      <a:avLst/>
                    </a:prstGeom>
                    <a:noFill/>
                    <a:ln>
                      <a:noFill/>
                    </a:ln>
                    <a:extLst>
                      <a:ext uri="{53640926-AAD7-44D8-BBD7-CCE9431645EC}">
                        <a14:shadowObscured xmlns:a14="http://schemas.microsoft.com/office/drawing/2010/main"/>
                      </a:ext>
                    </a:extLst>
                  </pic:spPr>
                </pic:pic>
              </a:graphicData>
            </a:graphic>
          </wp:inline>
        </w:drawing>
      </w:r>
      <w:r w:rsidR="00931CBF">
        <w:rPr>
          <w:rFonts w:cstheme="majorHAnsi"/>
          <w:szCs w:val="20"/>
          <w:lang w:val="en-AU"/>
        </w:rPr>
        <w:br/>
      </w:r>
      <w:r w:rsidR="00931CBF" w:rsidRPr="006B35A2">
        <w:rPr>
          <w:i/>
          <w:sz w:val="16"/>
          <w:szCs w:val="16"/>
          <w:lang w:val="en-AU"/>
        </w:rPr>
        <w:t>Source: EY analysis</w:t>
      </w:r>
    </w:p>
    <w:p w:rsidR="00BD2F0D" w:rsidRPr="00D14CE9" w:rsidRDefault="00E03167" w:rsidP="00BD2F0D">
      <w:pPr>
        <w:pStyle w:val="EYBodytextwithparaspace"/>
        <w:rPr>
          <w:rFonts w:cstheme="majorHAnsi"/>
          <w:szCs w:val="20"/>
          <w:lang w:val="en-AU"/>
        </w:rPr>
      </w:pPr>
      <w:r w:rsidRPr="00D14CE9">
        <w:rPr>
          <w:rFonts w:cstheme="majorHAnsi"/>
          <w:szCs w:val="20"/>
          <w:lang w:val="en-AU"/>
        </w:rPr>
        <w:t>The y</w:t>
      </w:r>
      <w:r w:rsidR="00BD2F0D" w:rsidRPr="00D14CE9">
        <w:rPr>
          <w:rFonts w:cstheme="majorHAnsi"/>
          <w:szCs w:val="20"/>
          <w:lang w:val="en-AU"/>
        </w:rPr>
        <w:t>early population growth has been calculated as follows:</w:t>
      </w:r>
    </w:p>
    <w:p w:rsidR="00BD2F0D" w:rsidRPr="00D14CE9" w:rsidRDefault="00BD2F0D" w:rsidP="00BD2F0D">
      <w:pPr>
        <w:pStyle w:val="EYBulletedList1"/>
        <w:spacing w:after="120"/>
        <w:rPr>
          <w:rFonts w:cstheme="majorHAnsi"/>
          <w:szCs w:val="20"/>
          <w:lang w:val="en-AU"/>
        </w:rPr>
      </w:pPr>
      <w:r w:rsidRPr="00D14CE9">
        <w:rPr>
          <w:rFonts w:cstheme="majorHAnsi"/>
          <w:szCs w:val="20"/>
          <w:lang w:val="en-AU"/>
        </w:rPr>
        <w:t>From 2015 to 2020: using the average annual growth rate between actual 2014 population data provided by ABS and VIF 2015 forecast in 2021.</w:t>
      </w:r>
    </w:p>
    <w:p w:rsidR="00BD2F0D" w:rsidRPr="00D14CE9" w:rsidRDefault="00BD2F0D" w:rsidP="00BD2F0D">
      <w:pPr>
        <w:pStyle w:val="EYBulletedList1"/>
        <w:spacing w:after="120"/>
        <w:rPr>
          <w:rFonts w:cstheme="majorHAnsi"/>
          <w:szCs w:val="20"/>
          <w:lang w:val="en-AU"/>
        </w:rPr>
      </w:pPr>
      <w:r w:rsidRPr="00D14CE9">
        <w:rPr>
          <w:rFonts w:cstheme="majorHAnsi"/>
          <w:szCs w:val="20"/>
          <w:lang w:val="en-AU"/>
        </w:rPr>
        <w:lastRenderedPageBreak/>
        <w:t>From 2021 to 2030: using the average annual growth rate between 2021 and 2031 VIF 2015 forecast data.</w:t>
      </w:r>
    </w:p>
    <w:p w:rsidR="00BD2F0D" w:rsidRPr="00D14CE9" w:rsidRDefault="00BD2F0D" w:rsidP="00BD2F0D">
      <w:pPr>
        <w:pStyle w:val="EYBulletedList1"/>
        <w:spacing w:after="120"/>
        <w:rPr>
          <w:rFonts w:cstheme="majorHAnsi"/>
          <w:szCs w:val="20"/>
          <w:lang w:val="en-AU"/>
        </w:rPr>
      </w:pPr>
      <w:r w:rsidRPr="00D14CE9">
        <w:rPr>
          <w:rFonts w:cstheme="majorHAnsi"/>
          <w:szCs w:val="20"/>
          <w:lang w:val="en-AU"/>
        </w:rPr>
        <w:t>From 2031 to 2045: using the average annual growth rate between VIF 2015 forecast in 2031 and VITM forecast in 2046.</w:t>
      </w:r>
    </w:p>
    <w:p w:rsidR="00BD2F0D" w:rsidRPr="00D14CE9" w:rsidRDefault="00BD2F0D" w:rsidP="00BD2F0D">
      <w:pPr>
        <w:pStyle w:val="EYBulletedList1"/>
        <w:spacing w:after="120"/>
        <w:rPr>
          <w:rFonts w:cstheme="majorHAnsi"/>
          <w:szCs w:val="20"/>
          <w:lang w:val="en-AU"/>
        </w:rPr>
      </w:pPr>
      <w:r w:rsidRPr="00D14CE9">
        <w:rPr>
          <w:rFonts w:cstheme="majorHAnsi"/>
          <w:szCs w:val="20"/>
          <w:lang w:val="en-AU"/>
        </w:rPr>
        <w:t xml:space="preserve">From 2046, using the same average annual growth rate calculated for the period 2031-2045. </w:t>
      </w:r>
    </w:p>
    <w:p w:rsidR="00110126" w:rsidRPr="00D14CE9" w:rsidRDefault="00110126" w:rsidP="008F3A56">
      <w:pPr>
        <w:pStyle w:val="EYBodytextwithparaspace"/>
      </w:pPr>
      <w:r w:rsidRPr="00D14CE9">
        <w:t xml:space="preserve">The </w:t>
      </w:r>
      <w:r w:rsidR="00E03167" w:rsidRPr="00D14CE9">
        <w:t xml:space="preserve">government </w:t>
      </w:r>
      <w:r w:rsidR="00DD232E">
        <w:t xml:space="preserve">population </w:t>
      </w:r>
      <w:r w:rsidR="00E03167" w:rsidRPr="00D14CE9">
        <w:t>forecast did not predict a decline in population but predicted instead a slow-down in the increasing pace of the population in Victoria between each milestone, which is reflected in the figure above through significant falls in the population growth in 2022 and 2032</w:t>
      </w:r>
      <w:r w:rsidR="004029AC" w:rsidRPr="00D14CE9">
        <w:t>,</w:t>
      </w:r>
      <w:r w:rsidR="00E03167" w:rsidRPr="00D14CE9">
        <w:t xml:space="preserve"> compared to previous years. Residential construction activity being historically correlated with population growth, the unusual pattern associated with the population growth forecast is expected to be reflected </w:t>
      </w:r>
      <w:r w:rsidR="004029AC" w:rsidRPr="00D14CE9">
        <w:t xml:space="preserve">in our demand projections through the forecast of residential construction activity. Such a forecast pattern could be smoothed out, requiring however to change key assumptions provided by the Government’s population forecast. </w:t>
      </w:r>
    </w:p>
    <w:p w:rsidR="00F15856" w:rsidRPr="00D14CE9" w:rsidRDefault="00F15856" w:rsidP="00C200D0">
      <w:pPr>
        <w:pStyle w:val="EYHeading3"/>
      </w:pPr>
      <w:r w:rsidRPr="00D14CE9">
        <w:t>Gross State Product</w:t>
      </w:r>
    </w:p>
    <w:p w:rsidR="00F15856" w:rsidRPr="00D14CE9" w:rsidRDefault="00BD3904" w:rsidP="00C200D0">
      <w:pPr>
        <w:pStyle w:val="EYBodytextwithparaspace"/>
        <w:rPr>
          <w:rFonts w:cstheme="majorHAnsi"/>
          <w:szCs w:val="20"/>
          <w:lang w:val="en-AU"/>
        </w:rPr>
      </w:pPr>
      <w:r w:rsidRPr="00D14CE9">
        <w:rPr>
          <w:rFonts w:cstheme="majorHAnsi"/>
          <w:szCs w:val="20"/>
          <w:lang w:val="en-AU"/>
        </w:rPr>
        <w:t xml:space="preserve">The </w:t>
      </w:r>
      <w:r w:rsidR="00F15856" w:rsidRPr="00D14CE9">
        <w:rPr>
          <w:rFonts w:cstheme="majorHAnsi"/>
          <w:szCs w:val="20"/>
          <w:lang w:val="en-AU"/>
        </w:rPr>
        <w:t xml:space="preserve">GSP has been forecast relying upon data publically available, provided by Victorian Department of Treasury and Finance in the 2015-2016 Budget paper. </w:t>
      </w:r>
      <w:r w:rsidRPr="00D14CE9">
        <w:rPr>
          <w:rFonts w:cstheme="majorHAnsi"/>
          <w:szCs w:val="20"/>
          <w:lang w:val="en-AU"/>
        </w:rPr>
        <w:t>Key inputs are summarized in the below table. From 2020 to 2050, a stable rate of 2.75%, corresponding to 2019 forecast, has been used.</w:t>
      </w:r>
    </w:p>
    <w:tbl>
      <w:tblPr>
        <w:tblW w:w="565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9"/>
        <w:tblDescription w:val="Table 9 is a table showing Gross State Product projections. 2015 is 2.25%, 2016 is 2.5%, 2017 is 2.75%, 2018 is 2.75%, and 2019 is 2.75%. "/>
      </w:tblPr>
      <w:tblGrid>
        <w:gridCol w:w="1602"/>
        <w:gridCol w:w="810"/>
        <w:gridCol w:w="810"/>
        <w:gridCol w:w="810"/>
        <w:gridCol w:w="810"/>
        <w:gridCol w:w="810"/>
      </w:tblGrid>
      <w:tr w:rsidR="00BD3904" w:rsidRPr="00D14CE9" w:rsidTr="008F3A56">
        <w:trPr>
          <w:trHeight w:val="315"/>
        </w:trPr>
        <w:tc>
          <w:tcPr>
            <w:tcW w:w="5652" w:type="dxa"/>
            <w:gridSpan w:val="6"/>
            <w:shd w:val="clear" w:color="auto" w:fill="808080"/>
            <w:noWrap/>
            <w:vAlign w:val="bottom"/>
          </w:tcPr>
          <w:p w:rsidR="00BD3904" w:rsidRPr="00D14CE9" w:rsidRDefault="00BD3904" w:rsidP="00802792">
            <w:pPr>
              <w:pStyle w:val="EYTableHeadingWhite"/>
              <w:rPr>
                <w:rFonts w:eastAsia="Arial Unicode MS"/>
              </w:rPr>
            </w:pPr>
            <w:bookmarkStart w:id="497" w:name="_Toc445240944"/>
            <w:bookmarkStart w:id="498" w:name="_Toc448914636"/>
            <w:bookmarkStart w:id="499" w:name="_Toc448920453"/>
            <w:r w:rsidRPr="00D14CE9">
              <w:t xml:space="preserve">Table </w:t>
            </w:r>
            <w:r w:rsidRPr="00802792">
              <w:fldChar w:fldCharType="begin"/>
            </w:r>
            <w:r w:rsidRPr="00D14CE9">
              <w:instrText xml:space="preserve"> SEQ Table \* ARABIC </w:instrText>
            </w:r>
            <w:r w:rsidRPr="00802792">
              <w:fldChar w:fldCharType="separate"/>
            </w:r>
            <w:r w:rsidR="00525C82">
              <w:rPr>
                <w:noProof/>
              </w:rPr>
              <w:t>9</w:t>
            </w:r>
            <w:r w:rsidRPr="00802792">
              <w:fldChar w:fldCharType="end"/>
            </w:r>
            <w:r w:rsidRPr="00D14CE9">
              <w:t xml:space="preserve"> – GSP Projections</w:t>
            </w:r>
            <w:bookmarkEnd w:id="497"/>
            <w:bookmarkEnd w:id="498"/>
            <w:bookmarkEnd w:id="499"/>
            <w:r w:rsidRPr="00D14CE9">
              <w:rPr>
                <w:b w:val="0"/>
                <w:sz w:val="18"/>
                <w:szCs w:val="18"/>
              </w:rPr>
              <w:t xml:space="preserve"> </w:t>
            </w:r>
          </w:p>
        </w:tc>
      </w:tr>
      <w:tr w:rsidR="00BD3904" w:rsidRPr="00D14CE9" w:rsidTr="008F3A56">
        <w:tc>
          <w:tcPr>
            <w:tcW w:w="1602" w:type="dxa"/>
            <w:shd w:val="clear" w:color="auto" w:fill="F0F0F0"/>
            <w:vAlign w:val="bottom"/>
          </w:tcPr>
          <w:p w:rsidR="00BD3904" w:rsidRPr="00D14CE9" w:rsidRDefault="00BD3904" w:rsidP="00E65C9D">
            <w:pPr>
              <w:pStyle w:val="EYTableHeading"/>
              <w:rPr>
                <w:rFonts w:eastAsia="Arial Unicode MS"/>
              </w:rPr>
            </w:pPr>
            <w:r w:rsidRPr="00D14CE9">
              <w:t>Rock type</w:t>
            </w:r>
          </w:p>
        </w:tc>
        <w:tc>
          <w:tcPr>
            <w:tcW w:w="810" w:type="dxa"/>
            <w:shd w:val="clear" w:color="auto" w:fill="F0F0F0"/>
            <w:vAlign w:val="bottom"/>
          </w:tcPr>
          <w:p w:rsidR="00BD3904" w:rsidRPr="00D14CE9" w:rsidRDefault="00BD3904">
            <w:pPr>
              <w:pStyle w:val="EYTableHeading"/>
              <w:rPr>
                <w:rFonts w:eastAsia="Arial Unicode MS"/>
              </w:rPr>
            </w:pPr>
            <w:r w:rsidRPr="00D14CE9">
              <w:rPr>
                <w:rFonts w:eastAsia="Arial Unicode MS"/>
              </w:rPr>
              <w:t>2015</w:t>
            </w:r>
          </w:p>
        </w:tc>
        <w:tc>
          <w:tcPr>
            <w:tcW w:w="810" w:type="dxa"/>
            <w:shd w:val="clear" w:color="auto" w:fill="F0F0F0"/>
            <w:vAlign w:val="bottom"/>
          </w:tcPr>
          <w:p w:rsidR="00BD3904" w:rsidRPr="00D14CE9" w:rsidRDefault="00BD3904">
            <w:pPr>
              <w:pStyle w:val="EYTableHeading"/>
              <w:rPr>
                <w:rFonts w:eastAsia="Arial Unicode MS"/>
              </w:rPr>
            </w:pPr>
            <w:r w:rsidRPr="00D14CE9">
              <w:rPr>
                <w:rFonts w:eastAsia="Arial Unicode MS"/>
              </w:rPr>
              <w:t>2016</w:t>
            </w:r>
          </w:p>
        </w:tc>
        <w:tc>
          <w:tcPr>
            <w:tcW w:w="810" w:type="dxa"/>
            <w:shd w:val="clear" w:color="auto" w:fill="F0F0F0"/>
            <w:vAlign w:val="bottom"/>
          </w:tcPr>
          <w:p w:rsidR="00BD3904" w:rsidRPr="00D14CE9" w:rsidRDefault="00BD3904">
            <w:pPr>
              <w:pStyle w:val="EYTableHeading"/>
              <w:rPr>
                <w:rFonts w:eastAsia="Arial Unicode MS"/>
              </w:rPr>
            </w:pPr>
            <w:r w:rsidRPr="00D14CE9">
              <w:rPr>
                <w:rFonts w:eastAsia="Arial Unicode MS"/>
              </w:rPr>
              <w:t>2017</w:t>
            </w:r>
          </w:p>
        </w:tc>
        <w:tc>
          <w:tcPr>
            <w:tcW w:w="810" w:type="dxa"/>
            <w:shd w:val="clear" w:color="auto" w:fill="F0F0F0"/>
          </w:tcPr>
          <w:p w:rsidR="00BD3904" w:rsidRPr="00D14CE9" w:rsidRDefault="00BD3904">
            <w:pPr>
              <w:pStyle w:val="EYTableHeading"/>
              <w:rPr>
                <w:rFonts w:eastAsia="Arial Unicode MS"/>
              </w:rPr>
            </w:pPr>
            <w:r w:rsidRPr="00D14CE9">
              <w:rPr>
                <w:rFonts w:eastAsia="Arial Unicode MS"/>
              </w:rPr>
              <w:t>2018</w:t>
            </w:r>
          </w:p>
        </w:tc>
        <w:tc>
          <w:tcPr>
            <w:tcW w:w="810" w:type="dxa"/>
            <w:shd w:val="clear" w:color="auto" w:fill="F0F0F0"/>
          </w:tcPr>
          <w:p w:rsidR="00BD3904" w:rsidRPr="00D14CE9" w:rsidRDefault="00BD3904">
            <w:pPr>
              <w:pStyle w:val="EYTableHeading"/>
              <w:rPr>
                <w:rFonts w:eastAsia="Arial Unicode MS"/>
              </w:rPr>
            </w:pPr>
            <w:r w:rsidRPr="00D14CE9">
              <w:rPr>
                <w:rFonts w:eastAsia="Arial Unicode MS"/>
              </w:rPr>
              <w:t>2019</w:t>
            </w:r>
          </w:p>
        </w:tc>
      </w:tr>
      <w:tr w:rsidR="00BD3904" w:rsidRPr="00D14CE9" w:rsidTr="008F3A56">
        <w:trPr>
          <w:trHeight w:val="315"/>
        </w:trPr>
        <w:tc>
          <w:tcPr>
            <w:tcW w:w="1602" w:type="dxa"/>
            <w:noWrap/>
            <w:vAlign w:val="center"/>
          </w:tcPr>
          <w:p w:rsidR="00BD3904" w:rsidRPr="00D14CE9" w:rsidRDefault="00BD3904" w:rsidP="004A385C">
            <w:pPr>
              <w:rPr>
                <w:sz w:val="16"/>
                <w:szCs w:val="16"/>
              </w:rPr>
            </w:pPr>
            <w:r w:rsidRPr="00D14CE9">
              <w:rPr>
                <w:sz w:val="16"/>
                <w:szCs w:val="16"/>
              </w:rPr>
              <w:t>GSP</w:t>
            </w:r>
          </w:p>
        </w:tc>
        <w:tc>
          <w:tcPr>
            <w:tcW w:w="810" w:type="dxa"/>
            <w:noWrap/>
            <w:vAlign w:val="center"/>
          </w:tcPr>
          <w:p w:rsidR="00BD3904" w:rsidRPr="00D14CE9" w:rsidRDefault="00BD3904" w:rsidP="004A385C">
            <w:pPr>
              <w:rPr>
                <w:sz w:val="16"/>
                <w:szCs w:val="16"/>
              </w:rPr>
            </w:pPr>
            <w:r w:rsidRPr="00D14CE9">
              <w:rPr>
                <w:sz w:val="16"/>
                <w:szCs w:val="16"/>
              </w:rPr>
              <w:t>2.25%</w:t>
            </w:r>
          </w:p>
        </w:tc>
        <w:tc>
          <w:tcPr>
            <w:tcW w:w="810" w:type="dxa"/>
            <w:noWrap/>
            <w:vAlign w:val="center"/>
          </w:tcPr>
          <w:p w:rsidR="00BD3904" w:rsidRPr="00D14CE9" w:rsidRDefault="00BD3904" w:rsidP="004A385C">
            <w:pPr>
              <w:rPr>
                <w:sz w:val="16"/>
                <w:szCs w:val="16"/>
              </w:rPr>
            </w:pPr>
            <w:r w:rsidRPr="00D14CE9">
              <w:rPr>
                <w:sz w:val="16"/>
                <w:szCs w:val="16"/>
              </w:rPr>
              <w:t>2.50%</w:t>
            </w:r>
          </w:p>
        </w:tc>
        <w:tc>
          <w:tcPr>
            <w:tcW w:w="810" w:type="dxa"/>
            <w:noWrap/>
            <w:vAlign w:val="center"/>
          </w:tcPr>
          <w:p w:rsidR="00BD3904" w:rsidRPr="00D14CE9" w:rsidRDefault="00BD3904" w:rsidP="004A385C">
            <w:pPr>
              <w:rPr>
                <w:sz w:val="16"/>
                <w:szCs w:val="16"/>
              </w:rPr>
            </w:pPr>
            <w:r w:rsidRPr="00D14CE9">
              <w:rPr>
                <w:sz w:val="16"/>
                <w:szCs w:val="16"/>
              </w:rPr>
              <w:t>2.75%</w:t>
            </w:r>
          </w:p>
        </w:tc>
        <w:tc>
          <w:tcPr>
            <w:tcW w:w="810" w:type="dxa"/>
            <w:vAlign w:val="center"/>
          </w:tcPr>
          <w:p w:rsidR="00BD3904" w:rsidRPr="00D14CE9" w:rsidRDefault="00BD3904" w:rsidP="004A385C">
            <w:pPr>
              <w:rPr>
                <w:sz w:val="16"/>
                <w:szCs w:val="16"/>
              </w:rPr>
            </w:pPr>
            <w:r w:rsidRPr="00D14CE9">
              <w:rPr>
                <w:sz w:val="16"/>
                <w:szCs w:val="16"/>
              </w:rPr>
              <w:t>2.75%</w:t>
            </w:r>
          </w:p>
        </w:tc>
        <w:tc>
          <w:tcPr>
            <w:tcW w:w="810" w:type="dxa"/>
            <w:vAlign w:val="center"/>
          </w:tcPr>
          <w:p w:rsidR="00BD3904" w:rsidRPr="00D14CE9" w:rsidRDefault="00BD3904" w:rsidP="004A385C">
            <w:pPr>
              <w:rPr>
                <w:sz w:val="16"/>
                <w:szCs w:val="16"/>
              </w:rPr>
            </w:pPr>
            <w:r w:rsidRPr="00D14CE9">
              <w:rPr>
                <w:sz w:val="16"/>
                <w:szCs w:val="16"/>
              </w:rPr>
              <w:t>2.75%</w:t>
            </w:r>
          </w:p>
        </w:tc>
      </w:tr>
    </w:tbl>
    <w:p w:rsidR="00BD3904" w:rsidRPr="00D14CE9" w:rsidRDefault="00BD3904" w:rsidP="00BD3904">
      <w:pPr>
        <w:pStyle w:val="EYSource"/>
        <w:rPr>
          <w:lang w:val="en-AU"/>
        </w:rPr>
      </w:pPr>
      <w:r w:rsidRPr="00D14CE9">
        <w:rPr>
          <w:lang w:val="en-AU"/>
        </w:rPr>
        <w:t xml:space="preserve">Source: 2015-2016 Budget Paper </w:t>
      </w:r>
    </w:p>
    <w:p w:rsidR="00BD3904" w:rsidRPr="008F3A56" w:rsidRDefault="00BD3904" w:rsidP="008F3A56"/>
    <w:p w:rsidR="00BD3904" w:rsidRPr="00D14CE9" w:rsidRDefault="00BD3904" w:rsidP="00C200D0">
      <w:pPr>
        <w:pStyle w:val="EYBodytextwithparaspace"/>
        <w:rPr>
          <w:rFonts w:cstheme="majorHAnsi"/>
          <w:szCs w:val="20"/>
          <w:lang w:val="en-AU"/>
        </w:rPr>
      </w:pPr>
      <w:r w:rsidRPr="00D14CE9">
        <w:rPr>
          <w:rFonts w:cstheme="majorHAnsi"/>
          <w:szCs w:val="20"/>
          <w:lang w:val="en-AU"/>
        </w:rPr>
        <w:t xml:space="preserve">The GSP forecast over the period of analysis is illustrated in </w:t>
      </w:r>
      <w:r w:rsidRPr="00474B05">
        <w:rPr>
          <w:rFonts w:cstheme="majorHAnsi"/>
          <w:szCs w:val="20"/>
          <w:lang w:val="en-AU"/>
        </w:rPr>
        <w:fldChar w:fldCharType="begin" w:fldLock="1"/>
      </w:r>
      <w:r w:rsidRPr="00D14CE9">
        <w:rPr>
          <w:rFonts w:cstheme="majorHAnsi"/>
          <w:szCs w:val="20"/>
          <w:lang w:val="en-AU"/>
        </w:rPr>
        <w:instrText xml:space="preserve"> REF _Ref444532396 \h  \* MERGEFORMAT </w:instrText>
      </w:r>
      <w:r w:rsidRPr="00474B05">
        <w:rPr>
          <w:rFonts w:cstheme="majorHAnsi"/>
          <w:szCs w:val="20"/>
          <w:lang w:val="en-AU"/>
        </w:rPr>
      </w:r>
      <w:r w:rsidRPr="00474B05">
        <w:rPr>
          <w:rFonts w:cstheme="majorHAnsi"/>
          <w:szCs w:val="20"/>
          <w:lang w:val="en-AU"/>
        </w:rPr>
        <w:fldChar w:fldCharType="separate"/>
      </w:r>
      <w:r w:rsidR="00895089" w:rsidRPr="00E65C9D">
        <w:rPr>
          <w:rFonts w:cstheme="majorHAnsi"/>
          <w:szCs w:val="20"/>
          <w:lang w:val="en-AU"/>
        </w:rPr>
        <w:t>Figure 14</w:t>
      </w:r>
      <w:r w:rsidRPr="00474B05">
        <w:rPr>
          <w:rFonts w:cstheme="majorHAnsi"/>
          <w:szCs w:val="20"/>
          <w:lang w:val="en-AU"/>
        </w:rPr>
        <w:fldChar w:fldCharType="end"/>
      </w:r>
      <w:r w:rsidRPr="00D14CE9">
        <w:rPr>
          <w:rFonts w:cstheme="majorHAnsi"/>
          <w:szCs w:val="20"/>
          <w:lang w:val="en-AU"/>
        </w:rPr>
        <w:t xml:space="preserve"> below.</w:t>
      </w:r>
    </w:p>
    <w:p w:rsidR="00BD3904" w:rsidRPr="00D14CE9" w:rsidRDefault="00BD3904" w:rsidP="00BD3904">
      <w:pPr>
        <w:pStyle w:val="Caption"/>
        <w:rPr>
          <w:sz w:val="16"/>
          <w:szCs w:val="18"/>
        </w:rPr>
      </w:pPr>
      <w:bookmarkStart w:id="500" w:name="_Ref444532396"/>
      <w:bookmarkStart w:id="501" w:name="_Toc445240913"/>
      <w:bookmarkStart w:id="502" w:name="_Toc448914576"/>
      <w:r w:rsidRPr="00D14CE9">
        <w:rPr>
          <w:sz w:val="16"/>
          <w:szCs w:val="18"/>
        </w:rPr>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14</w:t>
      </w:r>
      <w:r w:rsidRPr="00802792">
        <w:rPr>
          <w:sz w:val="16"/>
          <w:szCs w:val="18"/>
        </w:rPr>
        <w:fldChar w:fldCharType="end"/>
      </w:r>
      <w:bookmarkEnd w:id="500"/>
      <w:r w:rsidRPr="00D14CE9">
        <w:rPr>
          <w:sz w:val="16"/>
          <w:szCs w:val="18"/>
        </w:rPr>
        <w:t xml:space="preserve"> – GSP growth - Historic and Forecast Trend ($’000 Million)</w:t>
      </w:r>
      <w:bookmarkEnd w:id="501"/>
      <w:bookmarkEnd w:id="502"/>
      <w:r w:rsidRPr="00D14CE9">
        <w:rPr>
          <w:sz w:val="16"/>
          <w:szCs w:val="18"/>
        </w:rPr>
        <w:t xml:space="preserve"> </w:t>
      </w:r>
    </w:p>
    <w:p w:rsidR="008F3A56" w:rsidRDefault="004029AC" w:rsidP="00C200D0">
      <w:pPr>
        <w:pStyle w:val="EYBodytextwithparaspace"/>
        <w:rPr>
          <w:lang w:val="en-AU"/>
        </w:rPr>
      </w:pPr>
      <w:r w:rsidRPr="00474B05">
        <w:rPr>
          <w:rFonts w:cstheme="majorHAnsi"/>
          <w:noProof/>
          <w:lang w:val="en-AU" w:eastAsia="en-AU"/>
        </w:rPr>
        <w:drawing>
          <wp:inline distT="0" distB="0" distL="0" distR="0" wp14:anchorId="30D0539D" wp14:editId="4324700C">
            <wp:extent cx="5472526" cy="2912745"/>
            <wp:effectExtent l="0" t="0" r="0" b="1905"/>
            <wp:docPr id="2064" name="Picture 2064" descr="Figure 14 is a graph showing a forecast of gross state product. By 2050 GSP is estimated to be around $950,000,000."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l="2635"/>
                    <a:stretch/>
                  </pic:blipFill>
                  <pic:spPr bwMode="auto">
                    <a:xfrm>
                      <a:off x="0" y="0"/>
                      <a:ext cx="5475333" cy="2914239"/>
                    </a:xfrm>
                    <a:prstGeom prst="rect">
                      <a:avLst/>
                    </a:prstGeom>
                    <a:noFill/>
                    <a:ln>
                      <a:noFill/>
                    </a:ln>
                    <a:extLst>
                      <a:ext uri="{53640926-AAD7-44D8-BBD7-CCE9431645EC}">
                        <a14:shadowObscured xmlns:a14="http://schemas.microsoft.com/office/drawing/2010/main"/>
                      </a:ext>
                    </a:extLst>
                  </pic:spPr>
                </pic:pic>
              </a:graphicData>
            </a:graphic>
          </wp:inline>
        </w:drawing>
      </w:r>
      <w:r w:rsidR="00931CBF">
        <w:rPr>
          <w:lang w:val="en-AU"/>
        </w:rPr>
        <w:br/>
      </w:r>
      <w:r w:rsidR="00931CBF" w:rsidRPr="006B35A2">
        <w:rPr>
          <w:i/>
          <w:sz w:val="16"/>
          <w:szCs w:val="16"/>
          <w:lang w:val="en-AU"/>
        </w:rPr>
        <w:t>Source: EY analysis</w:t>
      </w:r>
      <w:r w:rsidR="00931CBF">
        <w:rPr>
          <w:lang w:val="en-AU"/>
        </w:rPr>
        <w:t xml:space="preserve"> </w:t>
      </w:r>
    </w:p>
    <w:p w:rsidR="004A385C" w:rsidRPr="003A5949" w:rsidRDefault="004A385C" w:rsidP="00C200D0">
      <w:pPr>
        <w:pStyle w:val="EYBodytextwithparaspace"/>
        <w:rPr>
          <w:lang w:val="en-AU"/>
        </w:rPr>
      </w:pPr>
      <w:r w:rsidRPr="00474B05">
        <w:rPr>
          <w:lang w:val="en-AU"/>
        </w:rPr>
        <w:t xml:space="preserve">Non-residential, transport and energy and utilities related construction activities being broadly historically correlated with the long term movement in GSP, the GSP long term forecast pattern illustrated in the figure above is expected to be reflected in our demand projections through the forecast of non-residential, transport and energy and utilities related construction activities.  </w:t>
      </w:r>
    </w:p>
    <w:p w:rsidR="00F15856" w:rsidRPr="00D14CE9" w:rsidRDefault="00F15856" w:rsidP="00C200D0">
      <w:pPr>
        <w:pStyle w:val="EYHeading2"/>
      </w:pPr>
      <w:bookmarkStart w:id="503" w:name="_Toc451847081"/>
      <w:r w:rsidRPr="00D14CE9">
        <w:t>Forecast of construction activities</w:t>
      </w:r>
      <w:bookmarkEnd w:id="503"/>
    </w:p>
    <w:p w:rsidR="00F15856" w:rsidRDefault="00F15856" w:rsidP="00C200D0">
      <w:pPr>
        <w:pStyle w:val="EYBodytextwithparaspace"/>
        <w:rPr>
          <w:rFonts w:cstheme="majorHAnsi"/>
          <w:szCs w:val="20"/>
          <w:lang w:val="en-AU"/>
        </w:rPr>
      </w:pPr>
      <w:r w:rsidRPr="00D14CE9">
        <w:rPr>
          <w:rFonts w:cstheme="majorHAnsi"/>
          <w:szCs w:val="20"/>
          <w:lang w:val="en-AU"/>
        </w:rPr>
        <w:t xml:space="preserve">Relying upon the demand drivers forecast, the construction activities have therefore been forecast from 2015 to 2050, as illustrated in </w:t>
      </w:r>
      <w:r w:rsidRPr="00474B05">
        <w:rPr>
          <w:rFonts w:cstheme="majorHAnsi"/>
          <w:szCs w:val="20"/>
          <w:lang w:val="en-AU"/>
        </w:rPr>
        <w:fldChar w:fldCharType="begin" w:fldLock="1"/>
      </w:r>
      <w:r w:rsidRPr="00D14CE9">
        <w:rPr>
          <w:rFonts w:cstheme="majorHAnsi"/>
          <w:szCs w:val="20"/>
          <w:lang w:val="en-AU"/>
        </w:rPr>
        <w:instrText xml:space="preserve"> REF _Ref441226063 \h  \* MERGEFORMAT </w:instrText>
      </w:r>
      <w:r w:rsidRPr="00474B05">
        <w:rPr>
          <w:rFonts w:cstheme="majorHAnsi"/>
          <w:szCs w:val="20"/>
          <w:lang w:val="en-AU"/>
        </w:rPr>
      </w:r>
      <w:r w:rsidRPr="00474B05">
        <w:rPr>
          <w:rFonts w:cstheme="majorHAnsi"/>
          <w:szCs w:val="20"/>
          <w:lang w:val="en-AU"/>
        </w:rPr>
        <w:fldChar w:fldCharType="separate"/>
      </w:r>
      <w:r w:rsidR="00895089" w:rsidRPr="00E65C9D">
        <w:rPr>
          <w:rFonts w:cstheme="majorHAnsi"/>
          <w:szCs w:val="20"/>
          <w:lang w:val="en-AU"/>
        </w:rPr>
        <w:t>Figure 15</w:t>
      </w:r>
      <w:r w:rsidRPr="00474B05">
        <w:rPr>
          <w:rFonts w:cstheme="majorHAnsi"/>
          <w:szCs w:val="20"/>
          <w:lang w:val="en-AU"/>
        </w:rPr>
        <w:fldChar w:fldCharType="end"/>
      </w:r>
      <w:r w:rsidRPr="00D14CE9">
        <w:rPr>
          <w:rFonts w:cstheme="majorHAnsi"/>
          <w:szCs w:val="20"/>
          <w:lang w:val="en-AU"/>
        </w:rPr>
        <w:t xml:space="preserve">. </w:t>
      </w:r>
    </w:p>
    <w:p w:rsidR="00F15856" w:rsidRPr="00E26D85" w:rsidRDefault="00F15856" w:rsidP="00C200D0">
      <w:pPr>
        <w:pStyle w:val="Caption"/>
        <w:rPr>
          <w:sz w:val="16"/>
          <w:szCs w:val="18"/>
        </w:rPr>
      </w:pPr>
      <w:bookmarkStart w:id="504" w:name="_Ref441226063"/>
      <w:bookmarkStart w:id="505" w:name="_Toc445240914"/>
      <w:bookmarkStart w:id="506" w:name="_Toc448914577"/>
      <w:r w:rsidRPr="00D14CE9">
        <w:rPr>
          <w:sz w:val="16"/>
          <w:szCs w:val="18"/>
        </w:rPr>
        <w:lastRenderedPageBreak/>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15</w:t>
      </w:r>
      <w:r w:rsidRPr="00802792">
        <w:rPr>
          <w:sz w:val="16"/>
          <w:szCs w:val="18"/>
        </w:rPr>
        <w:fldChar w:fldCharType="end"/>
      </w:r>
      <w:bookmarkEnd w:id="504"/>
      <w:r w:rsidRPr="00D14CE9">
        <w:rPr>
          <w:sz w:val="16"/>
          <w:szCs w:val="18"/>
        </w:rPr>
        <w:t xml:space="preserve"> – Construction Activities </w:t>
      </w:r>
      <w:r w:rsidR="00E56C86" w:rsidRPr="00D14CE9">
        <w:rPr>
          <w:sz w:val="16"/>
          <w:szCs w:val="18"/>
        </w:rPr>
        <w:t xml:space="preserve">- </w:t>
      </w:r>
      <w:r w:rsidRPr="00E26D85">
        <w:rPr>
          <w:sz w:val="16"/>
          <w:szCs w:val="18"/>
        </w:rPr>
        <w:t xml:space="preserve">Historic and </w:t>
      </w:r>
      <w:r w:rsidR="00650C92">
        <w:rPr>
          <w:sz w:val="16"/>
          <w:szCs w:val="18"/>
        </w:rPr>
        <w:t>F</w:t>
      </w:r>
      <w:r w:rsidR="00650C92" w:rsidRPr="00E26D85">
        <w:rPr>
          <w:sz w:val="16"/>
          <w:szCs w:val="18"/>
        </w:rPr>
        <w:t xml:space="preserve">orecast </w:t>
      </w:r>
      <w:r w:rsidR="00A660C4" w:rsidRPr="00E26D85">
        <w:rPr>
          <w:sz w:val="16"/>
          <w:szCs w:val="18"/>
        </w:rPr>
        <w:t xml:space="preserve">trend </w:t>
      </w:r>
      <w:r w:rsidRPr="00E26D85">
        <w:rPr>
          <w:sz w:val="16"/>
          <w:szCs w:val="18"/>
        </w:rPr>
        <w:t>($</w:t>
      </w:r>
      <w:r w:rsidR="00545789" w:rsidRPr="00E26D85">
        <w:rPr>
          <w:sz w:val="16"/>
          <w:szCs w:val="18"/>
        </w:rPr>
        <w:t>’000 Million)</w:t>
      </w:r>
      <w:bookmarkEnd w:id="505"/>
      <w:bookmarkEnd w:id="506"/>
      <w:r w:rsidRPr="00E26D85">
        <w:rPr>
          <w:sz w:val="16"/>
          <w:szCs w:val="18"/>
        </w:rPr>
        <w:t xml:space="preserve"> </w:t>
      </w:r>
    </w:p>
    <w:p w:rsidR="00545789" w:rsidRPr="00D14CE9" w:rsidRDefault="00114743" w:rsidP="00C15F5A">
      <w:pPr>
        <w:pStyle w:val="EYSource"/>
        <w:rPr>
          <w:lang w:val="en-AU"/>
        </w:rPr>
      </w:pPr>
      <w:r w:rsidRPr="00474B05">
        <w:rPr>
          <w:noProof/>
          <w:lang w:val="en-AU" w:eastAsia="en-AU"/>
        </w:rPr>
        <w:drawing>
          <wp:inline distT="0" distB="0" distL="0" distR="0" wp14:anchorId="67EB572C" wp14:editId="4A7C1285">
            <wp:extent cx="5709037" cy="2089641"/>
            <wp:effectExtent l="0" t="0" r="6350" b="6350"/>
            <wp:docPr id="6" name="Picture 6" descr="Figure 15 is a graph showing historic and forecasted trends in construction activities. It shows a broad correlation in growth between residential, transport, non-residential and energy and utilities construction to 2050."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1100" cy="2090396"/>
                    </a:xfrm>
                    <a:prstGeom prst="rect">
                      <a:avLst/>
                    </a:prstGeom>
                    <a:noFill/>
                  </pic:spPr>
                </pic:pic>
              </a:graphicData>
            </a:graphic>
          </wp:inline>
        </w:drawing>
      </w:r>
    </w:p>
    <w:p w:rsidR="00F15856" w:rsidRPr="00D14CE9" w:rsidRDefault="00F15856" w:rsidP="00C15F5A">
      <w:pPr>
        <w:pStyle w:val="EYSource"/>
        <w:rPr>
          <w:lang w:val="en-AU"/>
        </w:rPr>
      </w:pPr>
      <w:r w:rsidRPr="00D14CE9">
        <w:rPr>
          <w:lang w:val="en-AU"/>
        </w:rPr>
        <w:t xml:space="preserve">Source: EY analysis and ABS (listed in </w:t>
      </w:r>
      <w:r w:rsidRPr="00474B05">
        <w:rPr>
          <w:lang w:val="en-AU"/>
        </w:rPr>
        <w:fldChar w:fldCharType="begin" w:fldLock="1"/>
      </w:r>
      <w:r w:rsidRPr="00D14CE9">
        <w:rPr>
          <w:lang w:val="en-AU"/>
        </w:rPr>
        <w:instrText xml:space="preserve"> REF _Ref441136436 \h  \* MERGEFORMAT </w:instrText>
      </w:r>
      <w:r w:rsidRPr="00474B05">
        <w:rPr>
          <w:lang w:val="en-AU"/>
        </w:rPr>
      </w:r>
      <w:r w:rsidRPr="00474B05">
        <w:rPr>
          <w:lang w:val="en-AU"/>
        </w:rPr>
        <w:fldChar w:fldCharType="separate"/>
      </w:r>
      <w:r w:rsidR="00895089" w:rsidRPr="00E65C9D">
        <w:rPr>
          <w:lang w:val="en-AU"/>
        </w:rPr>
        <w:t>Table 20</w:t>
      </w:r>
      <w:r w:rsidRPr="00474B05">
        <w:rPr>
          <w:lang w:val="en-AU"/>
        </w:rPr>
        <w:fldChar w:fldCharType="end"/>
      </w:r>
      <w:r w:rsidRPr="00D14CE9">
        <w:rPr>
          <w:lang w:val="en-AU"/>
        </w:rPr>
        <w:t xml:space="preserve"> of the Report in relation to historic data)</w:t>
      </w:r>
      <w:r w:rsidRPr="00D14CE9">
        <w:rPr>
          <w:lang w:val="en-AU"/>
        </w:rPr>
        <w:br/>
      </w:r>
    </w:p>
    <w:p w:rsidR="00F15856" w:rsidRPr="00D14CE9" w:rsidRDefault="00F15856" w:rsidP="00C200D0">
      <w:pPr>
        <w:pStyle w:val="EYBodytextwithparaspace"/>
        <w:rPr>
          <w:rFonts w:cstheme="majorHAnsi"/>
          <w:szCs w:val="20"/>
          <w:lang w:val="en-AU"/>
        </w:rPr>
      </w:pPr>
      <w:r w:rsidRPr="00D14CE9">
        <w:rPr>
          <w:rFonts w:cstheme="majorHAnsi"/>
          <w:szCs w:val="20"/>
          <w:lang w:val="en-AU"/>
        </w:rPr>
        <w:t>Construction activities increase over time, in accordance with population growth and GSP forecast trends.</w:t>
      </w:r>
      <w:r w:rsidR="00181436" w:rsidRPr="00D14CE9">
        <w:rPr>
          <w:rFonts w:cstheme="majorHAnsi"/>
          <w:szCs w:val="20"/>
          <w:lang w:val="en-AU"/>
        </w:rPr>
        <w:t xml:space="preserve"> Downward trends and spikes in relation to residential construction activity are related to population data and average annual growth rates provided by the Government projections used for this forecast. </w:t>
      </w:r>
    </w:p>
    <w:p w:rsidR="00F15856" w:rsidRPr="00D14CE9" w:rsidRDefault="00F15856" w:rsidP="002A1D72">
      <w:pPr>
        <w:rPr>
          <w:rFonts w:cstheme="majorHAnsi"/>
        </w:rPr>
      </w:pPr>
      <w:r w:rsidRPr="00D14CE9">
        <w:rPr>
          <w:rFonts w:cstheme="majorHAnsi"/>
        </w:rPr>
        <w:t xml:space="preserve">With respect to the transport construction activity, it should be noted that historic data in relation to this activity include the value of works done associated with major transport infrastructure projects. Transport major projects data is therefore factored in as a component of the total transport construction activity forecast. However, transport major projects have been clearly separated out in the forecast due to the different spatial allocation requirement (i.e. need to breakdown the demand for extractive resources by LGA) and the potential different demand for extractive resources for this specific component of the transport construction activity. </w:t>
      </w:r>
    </w:p>
    <w:p w:rsidR="00F15856" w:rsidRPr="00D14CE9" w:rsidRDefault="00F15856" w:rsidP="00C200D0">
      <w:pPr>
        <w:pStyle w:val="EYBodytextwithparaspace"/>
        <w:rPr>
          <w:rFonts w:cstheme="majorHAnsi"/>
          <w:szCs w:val="20"/>
          <w:lang w:val="en-AU"/>
        </w:rPr>
      </w:pPr>
      <w:r w:rsidRPr="00D14CE9">
        <w:rPr>
          <w:rFonts w:cstheme="majorHAnsi"/>
          <w:szCs w:val="20"/>
          <w:lang w:val="en-AU"/>
        </w:rPr>
        <w:t>As a result, the following assumptions have been considered to develop the forecast of the transport major project construction activity from 2015 to 2050, in order to tailor the spatial demand for extractive resources associated to those key infrastructure projects:</w:t>
      </w:r>
    </w:p>
    <w:p w:rsidR="00F15856" w:rsidRPr="00D14CE9" w:rsidRDefault="00F15856" w:rsidP="00C200D0">
      <w:pPr>
        <w:pStyle w:val="EYBulletedList1"/>
        <w:spacing w:after="120"/>
        <w:rPr>
          <w:rFonts w:cstheme="majorHAnsi"/>
          <w:szCs w:val="20"/>
          <w:lang w:val="en-AU"/>
        </w:rPr>
      </w:pPr>
      <w:r w:rsidRPr="00D14CE9">
        <w:rPr>
          <w:rFonts w:cstheme="majorHAnsi"/>
          <w:szCs w:val="20"/>
          <w:lang w:val="en-AU"/>
        </w:rPr>
        <w:t xml:space="preserve">2015 – 2022: forecast based on BIS Shrapnel data and assumptions around other known major projects that have been procured since the compilation of the BIS Shrapnel data. The list of transport major projects considered in the analysis is outlined in </w:t>
      </w:r>
      <w:r w:rsidRPr="00474B05">
        <w:rPr>
          <w:rFonts w:cstheme="majorHAnsi"/>
          <w:szCs w:val="20"/>
          <w:lang w:val="en-AU"/>
        </w:rPr>
        <w:fldChar w:fldCharType="begin" w:fldLock="1"/>
      </w:r>
      <w:r w:rsidRPr="00D14CE9">
        <w:rPr>
          <w:rFonts w:cstheme="majorHAnsi"/>
          <w:szCs w:val="20"/>
          <w:lang w:val="en-AU"/>
        </w:rPr>
        <w:instrText xml:space="preserve"> REF _Ref441133802 \r \h  \* MERGEFORMAT </w:instrText>
      </w:r>
      <w:r w:rsidRPr="00474B05">
        <w:rPr>
          <w:rFonts w:cstheme="majorHAnsi"/>
          <w:szCs w:val="20"/>
          <w:lang w:val="en-AU"/>
        </w:rPr>
      </w:r>
      <w:r w:rsidRPr="00474B05">
        <w:rPr>
          <w:rFonts w:cstheme="majorHAnsi"/>
          <w:szCs w:val="20"/>
          <w:lang w:val="en-AU"/>
        </w:rPr>
        <w:fldChar w:fldCharType="separate"/>
      </w:r>
      <w:r w:rsidR="00895089">
        <w:rPr>
          <w:rFonts w:cstheme="majorHAnsi"/>
          <w:szCs w:val="20"/>
          <w:lang w:val="en-AU"/>
        </w:rPr>
        <w:t>Appendix C</w:t>
      </w:r>
      <w:r w:rsidRPr="00474B05">
        <w:rPr>
          <w:rFonts w:cstheme="majorHAnsi"/>
          <w:szCs w:val="20"/>
          <w:lang w:val="en-AU"/>
        </w:rPr>
        <w:fldChar w:fldCharType="end"/>
      </w:r>
      <w:r w:rsidRPr="00D14CE9">
        <w:rPr>
          <w:rFonts w:cstheme="majorHAnsi"/>
          <w:szCs w:val="20"/>
          <w:lang w:val="en-AU"/>
        </w:rPr>
        <w:t xml:space="preserve"> of the Report subsection 1.</w:t>
      </w:r>
    </w:p>
    <w:p w:rsidR="00F15856" w:rsidRPr="00D14CE9" w:rsidRDefault="00F15856" w:rsidP="00C200D0">
      <w:pPr>
        <w:pStyle w:val="EYBulletedList1"/>
        <w:spacing w:after="120"/>
        <w:rPr>
          <w:lang w:val="en-AU"/>
        </w:rPr>
      </w:pPr>
      <w:r w:rsidRPr="00D14CE9">
        <w:rPr>
          <w:rFonts w:cstheme="majorHAnsi"/>
          <w:szCs w:val="20"/>
          <w:lang w:val="en-AU"/>
        </w:rPr>
        <w:t>2023 – 2050: forecast based on the average percentage of total transport construction activity. From 2015 to 2022, transport major projects represent a yearly average of $1.8 billion in terms of values of work to be undertaken, which equals 46% of the total transport construction activity over the same period. As a result, from 2023 onwards, transport major projects are forecast to represent 46% of the yearly value of transport construction activity. This forecast trend is consistent with guidelines provided by the State Budget Papers, according to which, out of 30% of the State GSP committed to infrastructure projects, 80% should be dedic</w:t>
      </w:r>
      <w:r w:rsidR="00C15F5A" w:rsidRPr="00D14CE9">
        <w:rPr>
          <w:rFonts w:cstheme="majorHAnsi"/>
          <w:szCs w:val="20"/>
          <w:lang w:val="en-AU"/>
        </w:rPr>
        <w:t>ated to transport projects.</w:t>
      </w:r>
    </w:p>
    <w:p w:rsidR="00B65C18" w:rsidRDefault="00F15856" w:rsidP="00C200D0">
      <w:pPr>
        <w:pStyle w:val="EYBodytextwithparaspace"/>
        <w:rPr>
          <w:rFonts w:cstheme="majorHAnsi"/>
          <w:szCs w:val="20"/>
          <w:lang w:val="en-AU"/>
        </w:rPr>
      </w:pPr>
      <w:r w:rsidRPr="00D14CE9">
        <w:rPr>
          <w:rFonts w:cstheme="majorHAnsi"/>
          <w:szCs w:val="20"/>
          <w:lang w:val="en-AU"/>
        </w:rPr>
        <w:t xml:space="preserve">Finally, with respect to </w:t>
      </w:r>
      <w:r w:rsidR="00AD6683">
        <w:rPr>
          <w:rFonts w:cstheme="majorHAnsi"/>
          <w:szCs w:val="20"/>
          <w:lang w:val="en-AU"/>
        </w:rPr>
        <w:t xml:space="preserve">the </w:t>
      </w:r>
      <w:r w:rsidRPr="00D14CE9">
        <w:rPr>
          <w:rFonts w:cstheme="majorHAnsi"/>
          <w:szCs w:val="20"/>
          <w:lang w:val="en-AU"/>
        </w:rPr>
        <w:t>Energy and Utilities activity, it should be noted that wind farm related construction activities are considered to be factored into the macro-economic forecast.</w:t>
      </w:r>
    </w:p>
    <w:p w:rsidR="009443DB" w:rsidRPr="00D14CE9" w:rsidRDefault="009443DB" w:rsidP="009443DB">
      <w:pPr>
        <w:pStyle w:val="EYBodytextwithparaspace"/>
        <w:rPr>
          <w:rFonts w:cstheme="majorHAnsi"/>
          <w:szCs w:val="20"/>
          <w:lang w:val="en-AU"/>
        </w:rPr>
      </w:pPr>
      <w:r>
        <w:rPr>
          <w:szCs w:val="20"/>
        </w:rPr>
        <w:t>The construction activities weightings over the short, medium and long term are summarized in the below table.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10 "/>
        <w:tblDescription w:val="Table 10 shows construction activities forecasts. Construction activity in 2015 is 56% residential, 12% transport, 22% non residential and 10% energy and utilities. Estimated construction activity in 2050 is 39% residential, 16% transport, 30% non residential and 14% energy and utilities."/>
      </w:tblPr>
      <w:tblGrid>
        <w:gridCol w:w="3507"/>
        <w:gridCol w:w="1824"/>
        <w:gridCol w:w="2104"/>
        <w:gridCol w:w="1824"/>
      </w:tblGrid>
      <w:tr w:rsidR="009443DB" w:rsidRPr="00D14CE9" w:rsidTr="00902448">
        <w:tc>
          <w:tcPr>
            <w:tcW w:w="5000" w:type="pct"/>
            <w:gridSpan w:val="4"/>
            <w:shd w:val="clear" w:color="auto" w:fill="808080" w:themeFill="background1" w:themeFillShade="80"/>
            <w:vAlign w:val="center"/>
          </w:tcPr>
          <w:p w:rsidR="009443DB" w:rsidRPr="00D14CE9" w:rsidRDefault="009443DB" w:rsidP="00902448">
            <w:pPr>
              <w:pStyle w:val="EYTableHeadingWhite"/>
            </w:pPr>
            <w:bookmarkStart w:id="507" w:name="_Toc448914637"/>
            <w:bookmarkStart w:id="508" w:name="_Toc448920454"/>
            <w:r w:rsidRPr="00D14CE9">
              <w:t xml:space="preserve">Table </w:t>
            </w:r>
            <w:r w:rsidR="000701D2">
              <w:fldChar w:fldCharType="begin"/>
            </w:r>
            <w:r w:rsidR="000701D2">
              <w:instrText xml:space="preserve"> SEQ Table \* ARABIC </w:instrText>
            </w:r>
            <w:r w:rsidR="000701D2">
              <w:fldChar w:fldCharType="separate"/>
            </w:r>
            <w:r w:rsidR="00525C82">
              <w:rPr>
                <w:noProof/>
              </w:rPr>
              <w:t>10</w:t>
            </w:r>
            <w:r w:rsidR="000701D2">
              <w:rPr>
                <w:noProof/>
              </w:rPr>
              <w:fldChar w:fldCharType="end"/>
            </w:r>
            <w:r w:rsidRPr="00D14CE9">
              <w:t xml:space="preserve"> – </w:t>
            </w:r>
            <w:r>
              <w:t xml:space="preserve">Construction Activities </w:t>
            </w:r>
            <w:r w:rsidRPr="00D14CE9">
              <w:t xml:space="preserve">Forecast – </w:t>
            </w:r>
            <w:r>
              <w:t>Weightings in 2015, 2026 and 2050 (%)</w:t>
            </w:r>
            <w:bookmarkEnd w:id="507"/>
            <w:bookmarkEnd w:id="508"/>
          </w:p>
        </w:tc>
      </w:tr>
      <w:tr w:rsidR="009443DB" w:rsidRPr="00D14CE9" w:rsidTr="00902448">
        <w:tc>
          <w:tcPr>
            <w:tcW w:w="1894" w:type="pct"/>
            <w:shd w:val="clear" w:color="auto" w:fill="F0F0F0"/>
            <w:vAlign w:val="center"/>
          </w:tcPr>
          <w:p w:rsidR="009443DB" w:rsidRPr="00D14CE9" w:rsidRDefault="009443DB" w:rsidP="00902448">
            <w:pPr>
              <w:pStyle w:val="EYTableHeading"/>
              <w:jc w:val="center"/>
              <w:rPr>
                <w:rFonts w:eastAsia="Arial Unicode MS"/>
              </w:rPr>
            </w:pPr>
          </w:p>
        </w:tc>
        <w:tc>
          <w:tcPr>
            <w:tcW w:w="985" w:type="pct"/>
            <w:shd w:val="clear" w:color="auto" w:fill="F0F0F0"/>
            <w:vAlign w:val="center"/>
          </w:tcPr>
          <w:p w:rsidR="009443DB" w:rsidRPr="00D14CE9" w:rsidRDefault="009443DB" w:rsidP="00902448">
            <w:pPr>
              <w:pStyle w:val="EYTableHeading"/>
              <w:jc w:val="center"/>
              <w:rPr>
                <w:rFonts w:eastAsia="Arial Unicode MS"/>
              </w:rPr>
            </w:pPr>
            <w:r w:rsidRPr="00D14CE9">
              <w:t>2015</w:t>
            </w:r>
          </w:p>
        </w:tc>
        <w:tc>
          <w:tcPr>
            <w:tcW w:w="1136" w:type="pct"/>
            <w:shd w:val="clear" w:color="auto" w:fill="F0F0F0"/>
            <w:vAlign w:val="center"/>
          </w:tcPr>
          <w:p w:rsidR="009443DB" w:rsidRPr="00D14CE9" w:rsidRDefault="009443DB" w:rsidP="00902448">
            <w:pPr>
              <w:pStyle w:val="EYTableHeading"/>
              <w:jc w:val="center"/>
              <w:rPr>
                <w:rFonts w:eastAsia="Arial Unicode MS"/>
              </w:rPr>
            </w:pPr>
            <w:r w:rsidRPr="00D14CE9">
              <w:t>2026</w:t>
            </w:r>
          </w:p>
        </w:tc>
        <w:tc>
          <w:tcPr>
            <w:tcW w:w="985" w:type="pct"/>
            <w:shd w:val="clear" w:color="auto" w:fill="F0F0F0"/>
            <w:vAlign w:val="center"/>
          </w:tcPr>
          <w:p w:rsidR="009443DB" w:rsidRPr="00D14CE9" w:rsidRDefault="009443DB" w:rsidP="00902448">
            <w:pPr>
              <w:pStyle w:val="EYTableHeading"/>
              <w:jc w:val="center"/>
            </w:pPr>
            <w:r w:rsidRPr="00D14CE9">
              <w:t>2050</w:t>
            </w:r>
          </w:p>
        </w:tc>
      </w:tr>
      <w:tr w:rsidR="009443DB" w:rsidRPr="00D14CE9" w:rsidTr="00902448">
        <w:trPr>
          <w:trHeight w:val="315"/>
        </w:trPr>
        <w:tc>
          <w:tcPr>
            <w:tcW w:w="1894" w:type="pct"/>
            <w:noWrap/>
            <w:vAlign w:val="center"/>
          </w:tcPr>
          <w:p w:rsidR="009443DB" w:rsidRPr="00D14CE9" w:rsidRDefault="009443DB" w:rsidP="00902448">
            <w:pPr>
              <w:rPr>
                <w:sz w:val="16"/>
                <w:szCs w:val="16"/>
              </w:rPr>
            </w:pPr>
            <w:r>
              <w:rPr>
                <w:rFonts w:cs="Calibri"/>
                <w:color w:val="000000"/>
                <w:sz w:val="16"/>
                <w:szCs w:val="16"/>
              </w:rPr>
              <w:t>Residential</w:t>
            </w:r>
          </w:p>
        </w:tc>
        <w:tc>
          <w:tcPr>
            <w:tcW w:w="985" w:type="pct"/>
            <w:noWrap/>
            <w:vAlign w:val="center"/>
          </w:tcPr>
          <w:p w:rsidR="009443DB" w:rsidRPr="00D14CE9" w:rsidRDefault="009443DB" w:rsidP="00902448">
            <w:pPr>
              <w:jc w:val="center"/>
              <w:rPr>
                <w:sz w:val="16"/>
                <w:szCs w:val="16"/>
              </w:rPr>
            </w:pPr>
            <w:r>
              <w:rPr>
                <w:sz w:val="16"/>
                <w:szCs w:val="16"/>
              </w:rPr>
              <w:t>56%</w:t>
            </w:r>
          </w:p>
        </w:tc>
        <w:tc>
          <w:tcPr>
            <w:tcW w:w="1136" w:type="pct"/>
            <w:noWrap/>
            <w:vAlign w:val="center"/>
          </w:tcPr>
          <w:p w:rsidR="009443DB" w:rsidRPr="00D14CE9" w:rsidRDefault="009443DB" w:rsidP="00902448">
            <w:pPr>
              <w:jc w:val="center"/>
              <w:rPr>
                <w:sz w:val="16"/>
                <w:szCs w:val="16"/>
              </w:rPr>
            </w:pPr>
            <w:r>
              <w:rPr>
                <w:sz w:val="16"/>
                <w:szCs w:val="16"/>
              </w:rPr>
              <w:t>50%</w:t>
            </w:r>
          </w:p>
        </w:tc>
        <w:tc>
          <w:tcPr>
            <w:tcW w:w="985" w:type="pct"/>
            <w:vAlign w:val="center"/>
          </w:tcPr>
          <w:p w:rsidR="009443DB" w:rsidRPr="00D14CE9" w:rsidRDefault="009443DB" w:rsidP="00902448">
            <w:pPr>
              <w:jc w:val="center"/>
              <w:rPr>
                <w:sz w:val="16"/>
                <w:szCs w:val="16"/>
              </w:rPr>
            </w:pPr>
            <w:r>
              <w:rPr>
                <w:sz w:val="16"/>
                <w:szCs w:val="16"/>
              </w:rPr>
              <w:t>39%</w:t>
            </w:r>
          </w:p>
        </w:tc>
      </w:tr>
      <w:tr w:rsidR="009443DB" w:rsidRPr="00D14CE9" w:rsidTr="00902448">
        <w:trPr>
          <w:trHeight w:val="315"/>
        </w:trPr>
        <w:tc>
          <w:tcPr>
            <w:tcW w:w="1894" w:type="pct"/>
            <w:noWrap/>
            <w:vAlign w:val="center"/>
          </w:tcPr>
          <w:p w:rsidR="009443DB" w:rsidRPr="00D14CE9" w:rsidRDefault="009443DB" w:rsidP="00902448">
            <w:pPr>
              <w:rPr>
                <w:rFonts w:cs="Calibri"/>
                <w:color w:val="000000"/>
                <w:sz w:val="16"/>
                <w:szCs w:val="16"/>
              </w:rPr>
            </w:pPr>
            <w:r>
              <w:rPr>
                <w:rFonts w:cs="Calibri"/>
                <w:color w:val="000000"/>
                <w:sz w:val="16"/>
                <w:szCs w:val="16"/>
              </w:rPr>
              <w:t>Transport</w:t>
            </w:r>
          </w:p>
        </w:tc>
        <w:tc>
          <w:tcPr>
            <w:tcW w:w="985" w:type="pct"/>
            <w:noWrap/>
            <w:vAlign w:val="center"/>
          </w:tcPr>
          <w:p w:rsidR="009443DB" w:rsidRPr="00D14CE9" w:rsidRDefault="009443DB" w:rsidP="00902448">
            <w:pPr>
              <w:jc w:val="center"/>
              <w:rPr>
                <w:sz w:val="16"/>
                <w:szCs w:val="16"/>
              </w:rPr>
            </w:pPr>
            <w:r>
              <w:rPr>
                <w:sz w:val="16"/>
                <w:szCs w:val="16"/>
              </w:rPr>
              <w:t>12%</w:t>
            </w:r>
          </w:p>
        </w:tc>
        <w:tc>
          <w:tcPr>
            <w:tcW w:w="1136" w:type="pct"/>
            <w:noWrap/>
            <w:vAlign w:val="center"/>
          </w:tcPr>
          <w:p w:rsidR="009443DB" w:rsidRPr="00D14CE9" w:rsidRDefault="009443DB" w:rsidP="00902448">
            <w:pPr>
              <w:jc w:val="center"/>
              <w:rPr>
                <w:sz w:val="16"/>
                <w:szCs w:val="16"/>
              </w:rPr>
            </w:pPr>
            <w:r>
              <w:rPr>
                <w:sz w:val="16"/>
                <w:szCs w:val="16"/>
              </w:rPr>
              <w:t>13%</w:t>
            </w:r>
          </w:p>
        </w:tc>
        <w:tc>
          <w:tcPr>
            <w:tcW w:w="985" w:type="pct"/>
            <w:vAlign w:val="center"/>
          </w:tcPr>
          <w:p w:rsidR="009443DB" w:rsidRPr="00D14CE9" w:rsidRDefault="009443DB" w:rsidP="00902448">
            <w:pPr>
              <w:jc w:val="center"/>
              <w:rPr>
                <w:sz w:val="16"/>
                <w:szCs w:val="16"/>
              </w:rPr>
            </w:pPr>
            <w:r>
              <w:rPr>
                <w:sz w:val="16"/>
                <w:szCs w:val="16"/>
              </w:rPr>
              <w:t>16%</w:t>
            </w:r>
          </w:p>
        </w:tc>
      </w:tr>
      <w:tr w:rsidR="009443DB" w:rsidRPr="00D14CE9" w:rsidTr="00902448">
        <w:trPr>
          <w:trHeight w:val="315"/>
        </w:trPr>
        <w:tc>
          <w:tcPr>
            <w:tcW w:w="1894" w:type="pct"/>
            <w:noWrap/>
            <w:vAlign w:val="center"/>
          </w:tcPr>
          <w:p w:rsidR="009443DB" w:rsidRPr="00D14CE9" w:rsidRDefault="009443DB" w:rsidP="00902448">
            <w:pPr>
              <w:rPr>
                <w:rFonts w:cs="Calibri"/>
                <w:color w:val="000000"/>
                <w:sz w:val="16"/>
                <w:szCs w:val="16"/>
              </w:rPr>
            </w:pPr>
            <w:r>
              <w:rPr>
                <w:rFonts w:cs="Calibri"/>
                <w:color w:val="000000"/>
                <w:sz w:val="16"/>
                <w:szCs w:val="16"/>
              </w:rPr>
              <w:t>Non Residential</w:t>
            </w:r>
          </w:p>
        </w:tc>
        <w:tc>
          <w:tcPr>
            <w:tcW w:w="985" w:type="pct"/>
            <w:noWrap/>
            <w:vAlign w:val="center"/>
          </w:tcPr>
          <w:p w:rsidR="009443DB" w:rsidRPr="00D14CE9" w:rsidRDefault="009443DB" w:rsidP="00902448">
            <w:pPr>
              <w:jc w:val="center"/>
              <w:rPr>
                <w:sz w:val="16"/>
                <w:szCs w:val="16"/>
              </w:rPr>
            </w:pPr>
            <w:r>
              <w:rPr>
                <w:sz w:val="16"/>
                <w:szCs w:val="16"/>
              </w:rPr>
              <w:t>22%</w:t>
            </w:r>
          </w:p>
        </w:tc>
        <w:tc>
          <w:tcPr>
            <w:tcW w:w="1136" w:type="pct"/>
            <w:noWrap/>
            <w:vAlign w:val="center"/>
          </w:tcPr>
          <w:p w:rsidR="009443DB" w:rsidRPr="00D14CE9" w:rsidRDefault="009443DB" w:rsidP="00902448">
            <w:pPr>
              <w:jc w:val="center"/>
              <w:rPr>
                <w:sz w:val="16"/>
                <w:szCs w:val="16"/>
              </w:rPr>
            </w:pPr>
            <w:r>
              <w:rPr>
                <w:sz w:val="16"/>
                <w:szCs w:val="16"/>
              </w:rPr>
              <w:t>25%</w:t>
            </w:r>
          </w:p>
        </w:tc>
        <w:tc>
          <w:tcPr>
            <w:tcW w:w="985" w:type="pct"/>
            <w:vAlign w:val="center"/>
          </w:tcPr>
          <w:p w:rsidR="009443DB" w:rsidRPr="00D14CE9" w:rsidRDefault="009443DB" w:rsidP="00902448">
            <w:pPr>
              <w:jc w:val="center"/>
              <w:rPr>
                <w:sz w:val="16"/>
                <w:szCs w:val="16"/>
              </w:rPr>
            </w:pPr>
            <w:r>
              <w:rPr>
                <w:sz w:val="16"/>
                <w:szCs w:val="16"/>
              </w:rPr>
              <w:t>30%</w:t>
            </w:r>
          </w:p>
        </w:tc>
      </w:tr>
      <w:tr w:rsidR="009443DB" w:rsidRPr="00D14CE9" w:rsidTr="00902448">
        <w:trPr>
          <w:trHeight w:val="315"/>
        </w:trPr>
        <w:tc>
          <w:tcPr>
            <w:tcW w:w="1894" w:type="pct"/>
            <w:noWrap/>
            <w:vAlign w:val="center"/>
          </w:tcPr>
          <w:p w:rsidR="009443DB" w:rsidRPr="00D14CE9" w:rsidRDefault="009443DB" w:rsidP="00902448">
            <w:pPr>
              <w:rPr>
                <w:rFonts w:cs="Calibri"/>
                <w:color w:val="000000"/>
                <w:sz w:val="16"/>
                <w:szCs w:val="16"/>
              </w:rPr>
            </w:pPr>
            <w:r>
              <w:rPr>
                <w:rFonts w:cs="Calibri"/>
                <w:color w:val="000000"/>
                <w:sz w:val="16"/>
                <w:szCs w:val="16"/>
              </w:rPr>
              <w:t>Energy and Utilities</w:t>
            </w:r>
          </w:p>
        </w:tc>
        <w:tc>
          <w:tcPr>
            <w:tcW w:w="985" w:type="pct"/>
            <w:noWrap/>
            <w:vAlign w:val="center"/>
          </w:tcPr>
          <w:p w:rsidR="009443DB" w:rsidRPr="00D14CE9" w:rsidRDefault="009443DB" w:rsidP="00902448">
            <w:pPr>
              <w:jc w:val="center"/>
              <w:rPr>
                <w:sz w:val="16"/>
                <w:szCs w:val="16"/>
              </w:rPr>
            </w:pPr>
            <w:r>
              <w:rPr>
                <w:sz w:val="16"/>
                <w:szCs w:val="16"/>
              </w:rPr>
              <w:t>10%</w:t>
            </w:r>
          </w:p>
        </w:tc>
        <w:tc>
          <w:tcPr>
            <w:tcW w:w="1136" w:type="pct"/>
            <w:noWrap/>
            <w:vAlign w:val="center"/>
          </w:tcPr>
          <w:p w:rsidR="009443DB" w:rsidRPr="00D14CE9" w:rsidRDefault="009443DB" w:rsidP="00902448">
            <w:pPr>
              <w:jc w:val="center"/>
              <w:rPr>
                <w:sz w:val="16"/>
                <w:szCs w:val="16"/>
              </w:rPr>
            </w:pPr>
            <w:r>
              <w:rPr>
                <w:sz w:val="16"/>
                <w:szCs w:val="16"/>
              </w:rPr>
              <w:t>12%</w:t>
            </w:r>
          </w:p>
        </w:tc>
        <w:tc>
          <w:tcPr>
            <w:tcW w:w="985" w:type="pct"/>
            <w:vAlign w:val="center"/>
          </w:tcPr>
          <w:p w:rsidR="009443DB" w:rsidRPr="00D14CE9" w:rsidRDefault="009443DB" w:rsidP="00902448">
            <w:pPr>
              <w:jc w:val="center"/>
              <w:rPr>
                <w:sz w:val="16"/>
                <w:szCs w:val="16"/>
              </w:rPr>
            </w:pPr>
            <w:r>
              <w:rPr>
                <w:sz w:val="16"/>
                <w:szCs w:val="16"/>
              </w:rPr>
              <w:t>14%</w:t>
            </w:r>
          </w:p>
        </w:tc>
      </w:tr>
      <w:tr w:rsidR="009443DB" w:rsidRPr="00D14CE9" w:rsidTr="00902448">
        <w:trPr>
          <w:trHeight w:val="315"/>
        </w:trPr>
        <w:tc>
          <w:tcPr>
            <w:tcW w:w="1894" w:type="pct"/>
            <w:noWrap/>
            <w:vAlign w:val="center"/>
          </w:tcPr>
          <w:p w:rsidR="009443DB" w:rsidRDefault="009443DB" w:rsidP="00902448">
            <w:pPr>
              <w:rPr>
                <w:rFonts w:cs="Calibri"/>
                <w:color w:val="000000"/>
                <w:sz w:val="16"/>
                <w:szCs w:val="16"/>
              </w:rPr>
            </w:pPr>
            <w:r>
              <w:rPr>
                <w:rFonts w:cs="Calibri"/>
                <w:color w:val="000000"/>
                <w:sz w:val="16"/>
                <w:szCs w:val="16"/>
              </w:rPr>
              <w:t>Total</w:t>
            </w:r>
          </w:p>
        </w:tc>
        <w:tc>
          <w:tcPr>
            <w:tcW w:w="985" w:type="pct"/>
            <w:noWrap/>
            <w:vAlign w:val="center"/>
          </w:tcPr>
          <w:p w:rsidR="009443DB" w:rsidRPr="00D14CE9" w:rsidRDefault="009443DB" w:rsidP="00902448">
            <w:pPr>
              <w:jc w:val="center"/>
              <w:rPr>
                <w:sz w:val="16"/>
                <w:szCs w:val="16"/>
              </w:rPr>
            </w:pPr>
            <w:r>
              <w:rPr>
                <w:sz w:val="16"/>
                <w:szCs w:val="16"/>
              </w:rPr>
              <w:t>100%</w:t>
            </w:r>
          </w:p>
        </w:tc>
        <w:tc>
          <w:tcPr>
            <w:tcW w:w="1136" w:type="pct"/>
            <w:noWrap/>
            <w:vAlign w:val="center"/>
          </w:tcPr>
          <w:p w:rsidR="009443DB" w:rsidRDefault="009443DB" w:rsidP="00902448">
            <w:pPr>
              <w:jc w:val="center"/>
              <w:rPr>
                <w:sz w:val="16"/>
                <w:szCs w:val="16"/>
              </w:rPr>
            </w:pPr>
            <w:r>
              <w:rPr>
                <w:sz w:val="16"/>
                <w:szCs w:val="16"/>
              </w:rPr>
              <w:t>100%</w:t>
            </w:r>
          </w:p>
        </w:tc>
        <w:tc>
          <w:tcPr>
            <w:tcW w:w="985" w:type="pct"/>
            <w:vAlign w:val="center"/>
          </w:tcPr>
          <w:p w:rsidR="009443DB" w:rsidRPr="00D14CE9" w:rsidRDefault="009443DB" w:rsidP="00902448">
            <w:pPr>
              <w:jc w:val="center"/>
              <w:rPr>
                <w:sz w:val="16"/>
                <w:szCs w:val="16"/>
              </w:rPr>
            </w:pPr>
            <w:r>
              <w:rPr>
                <w:sz w:val="16"/>
                <w:szCs w:val="16"/>
              </w:rPr>
              <w:t>100%</w:t>
            </w:r>
          </w:p>
        </w:tc>
      </w:tr>
    </w:tbl>
    <w:p w:rsidR="009443DB" w:rsidRDefault="009443DB" w:rsidP="009443DB">
      <w:pPr>
        <w:pStyle w:val="EYSource"/>
        <w:rPr>
          <w:lang w:val="en-AU"/>
        </w:rPr>
      </w:pPr>
      <w:r w:rsidRPr="00D14CE9">
        <w:rPr>
          <w:lang w:val="en-AU"/>
        </w:rPr>
        <w:t>Source: EY analysis</w:t>
      </w:r>
    </w:p>
    <w:p w:rsidR="009443DB" w:rsidRPr="004A49C1" w:rsidRDefault="009443DB" w:rsidP="004A49C1"/>
    <w:p w:rsidR="00BE02F9" w:rsidRDefault="009443DB" w:rsidP="002A1D72">
      <w:pPr>
        <w:rPr>
          <w:rFonts w:cstheme="majorHAnsi"/>
        </w:rPr>
      </w:pPr>
      <w:r>
        <w:rPr>
          <w:rFonts w:cstheme="majorHAnsi"/>
        </w:rPr>
        <w:t xml:space="preserve">The share of the residential construction activity is forecast to decrease overtime. This trend is mainly driven by the long term forecast pattern developed in the macro-economic driven forecast model. As documented above, </w:t>
      </w:r>
      <w:r>
        <w:t>residential</w:t>
      </w:r>
      <w:r w:rsidRPr="00474B05">
        <w:t xml:space="preserve"> construction </w:t>
      </w:r>
      <w:r w:rsidRPr="00474B05">
        <w:lastRenderedPageBreak/>
        <w:t>activit</w:t>
      </w:r>
      <w:r>
        <w:t>y</w:t>
      </w:r>
      <w:r w:rsidRPr="00474B05">
        <w:t xml:space="preserve"> </w:t>
      </w:r>
      <w:r>
        <w:t xml:space="preserve">is </w:t>
      </w:r>
      <w:r w:rsidRPr="00474B05">
        <w:t xml:space="preserve">historically correlated with the long term movement in </w:t>
      </w:r>
      <w:r>
        <w:t>population growth</w:t>
      </w:r>
      <w:r w:rsidR="00902448">
        <w:t>, whereas non-residential building activity and infrastructure sectors were found to be driven by economic activity more broadly</w:t>
      </w:r>
      <w:r>
        <w:t xml:space="preserve">. </w:t>
      </w:r>
      <w:r w:rsidRPr="00D14CE9">
        <w:rPr>
          <w:rFonts w:cstheme="majorHAnsi"/>
          <w:kern w:val="12"/>
        </w:rPr>
        <w:t xml:space="preserve">The government </w:t>
      </w:r>
      <w:r>
        <w:rPr>
          <w:rFonts w:cstheme="majorHAnsi"/>
          <w:kern w:val="12"/>
        </w:rPr>
        <w:t xml:space="preserve">population </w:t>
      </w:r>
      <w:r w:rsidRPr="00D14CE9">
        <w:rPr>
          <w:rFonts w:cstheme="majorHAnsi"/>
          <w:kern w:val="12"/>
        </w:rPr>
        <w:t xml:space="preserve">forecast </w:t>
      </w:r>
      <w:r w:rsidR="00BE02F9">
        <w:rPr>
          <w:rFonts w:cstheme="majorHAnsi"/>
          <w:kern w:val="12"/>
        </w:rPr>
        <w:t xml:space="preserve">did </w:t>
      </w:r>
      <w:r w:rsidRPr="00D14CE9">
        <w:rPr>
          <w:rFonts w:cstheme="majorHAnsi"/>
          <w:kern w:val="12"/>
        </w:rPr>
        <w:t xml:space="preserve">not predict a decline in population </w:t>
      </w:r>
      <w:r w:rsidR="00BE02F9">
        <w:rPr>
          <w:rFonts w:cstheme="majorHAnsi"/>
          <w:kern w:val="12"/>
        </w:rPr>
        <w:t xml:space="preserve">over time </w:t>
      </w:r>
      <w:r w:rsidRPr="00D14CE9">
        <w:rPr>
          <w:rFonts w:cstheme="majorHAnsi"/>
          <w:kern w:val="12"/>
        </w:rPr>
        <w:t xml:space="preserve">but predicted instead a </w:t>
      </w:r>
      <w:r w:rsidR="00BE02F9">
        <w:rPr>
          <w:rFonts w:cstheme="majorHAnsi"/>
          <w:kern w:val="12"/>
        </w:rPr>
        <w:t xml:space="preserve">progressive </w:t>
      </w:r>
      <w:r w:rsidRPr="00D14CE9">
        <w:rPr>
          <w:rFonts w:cstheme="majorHAnsi"/>
          <w:kern w:val="12"/>
        </w:rPr>
        <w:t>slow-down in the increasing pace of the population in Victoria between each milestone</w:t>
      </w:r>
      <w:r w:rsidR="00BE02F9">
        <w:rPr>
          <w:rFonts w:cstheme="majorHAnsi"/>
          <w:kern w:val="12"/>
        </w:rPr>
        <w:t>, which is reflected in the table above through a decreasing weighting of residential construction activity</w:t>
      </w:r>
      <w:r w:rsidR="00516D71">
        <w:rPr>
          <w:rFonts w:cstheme="majorHAnsi"/>
          <w:kern w:val="12"/>
        </w:rPr>
        <w:t xml:space="preserve"> within the construction mix.</w:t>
      </w:r>
      <w:r w:rsidR="00BE02F9">
        <w:rPr>
          <w:rFonts w:cstheme="majorHAnsi"/>
          <w:kern w:val="12"/>
        </w:rPr>
        <w:t xml:space="preserve"> </w:t>
      </w:r>
    </w:p>
    <w:p w:rsidR="009443DB" w:rsidRPr="00D14CE9" w:rsidRDefault="00BE02F9" w:rsidP="002A1D72">
      <w:pPr>
        <w:rPr>
          <w:rFonts w:cstheme="majorHAnsi"/>
        </w:rPr>
      </w:pPr>
      <w:r>
        <w:rPr>
          <w:rFonts w:cstheme="majorHAnsi"/>
          <w:kern w:val="12"/>
        </w:rPr>
        <w:t xml:space="preserve"> </w:t>
      </w:r>
    </w:p>
    <w:p w:rsidR="009443DB" w:rsidRDefault="00BE02F9" w:rsidP="00C200D0">
      <w:pPr>
        <w:pStyle w:val="EYBodytextwithparaspace"/>
        <w:rPr>
          <w:rFonts w:cstheme="majorHAnsi"/>
          <w:szCs w:val="20"/>
          <w:lang w:val="en-AU"/>
        </w:rPr>
      </w:pPr>
      <w:r>
        <w:rPr>
          <w:rFonts w:cstheme="majorHAnsi"/>
          <w:szCs w:val="20"/>
          <w:lang w:val="en-AU"/>
        </w:rPr>
        <w:t xml:space="preserve">In terms of </w:t>
      </w:r>
      <w:r w:rsidR="00902448">
        <w:rPr>
          <w:rFonts w:cstheme="majorHAnsi"/>
          <w:szCs w:val="20"/>
          <w:lang w:val="en-AU"/>
        </w:rPr>
        <w:t xml:space="preserve">the overall </w:t>
      </w:r>
      <w:r>
        <w:rPr>
          <w:rFonts w:cstheme="majorHAnsi"/>
          <w:szCs w:val="20"/>
          <w:lang w:val="en-AU"/>
        </w:rPr>
        <w:t xml:space="preserve">demand projections, </w:t>
      </w:r>
      <w:r w:rsidR="00902448">
        <w:rPr>
          <w:rFonts w:cstheme="majorHAnsi"/>
          <w:szCs w:val="20"/>
          <w:lang w:val="en-AU"/>
        </w:rPr>
        <w:t>with</w:t>
      </w:r>
      <w:r>
        <w:rPr>
          <w:rFonts w:cstheme="majorHAnsi"/>
          <w:szCs w:val="20"/>
          <w:lang w:val="en-AU"/>
        </w:rPr>
        <w:t xml:space="preserve"> residential construction activity being a major driver of the demand for extractive resources, </w:t>
      </w:r>
      <w:r w:rsidR="00516D71">
        <w:rPr>
          <w:rFonts w:cstheme="majorHAnsi"/>
          <w:szCs w:val="20"/>
          <w:lang w:val="en-AU"/>
        </w:rPr>
        <w:t xml:space="preserve">the </w:t>
      </w:r>
      <w:r>
        <w:rPr>
          <w:rFonts w:cstheme="majorHAnsi"/>
          <w:szCs w:val="20"/>
          <w:lang w:val="en-AU"/>
        </w:rPr>
        <w:t>demand for extractive resources</w:t>
      </w:r>
      <w:r w:rsidR="00516D71">
        <w:rPr>
          <w:rFonts w:cstheme="majorHAnsi"/>
          <w:szCs w:val="20"/>
          <w:lang w:val="en-AU"/>
        </w:rPr>
        <w:t xml:space="preserve"> is expected to increase at a </w:t>
      </w:r>
      <w:r w:rsidR="00902448">
        <w:rPr>
          <w:rFonts w:cstheme="majorHAnsi"/>
          <w:szCs w:val="20"/>
          <w:lang w:val="en-AU"/>
        </w:rPr>
        <w:t>slowing</w:t>
      </w:r>
      <w:r w:rsidR="00516D71">
        <w:rPr>
          <w:rFonts w:cstheme="majorHAnsi"/>
          <w:szCs w:val="20"/>
          <w:lang w:val="en-AU"/>
        </w:rPr>
        <w:t xml:space="preserve"> pace over time.</w:t>
      </w:r>
      <w:r>
        <w:rPr>
          <w:rFonts w:cstheme="majorHAnsi"/>
          <w:szCs w:val="20"/>
          <w:lang w:val="en-AU"/>
        </w:rPr>
        <w:t xml:space="preserve"> </w:t>
      </w:r>
    </w:p>
    <w:p w:rsidR="009443DB" w:rsidRDefault="009443DB" w:rsidP="00C200D0">
      <w:pPr>
        <w:pStyle w:val="EYBodytextwithparaspace"/>
        <w:rPr>
          <w:rFonts w:cstheme="majorHAnsi"/>
          <w:szCs w:val="20"/>
          <w:lang w:val="en-AU"/>
        </w:rPr>
      </w:pPr>
    </w:p>
    <w:p w:rsidR="00D00F13" w:rsidRDefault="00D00F13" w:rsidP="00C200D0">
      <w:pPr>
        <w:pStyle w:val="EYBodytextwithparaspace"/>
        <w:rPr>
          <w:kern w:val="0"/>
          <w:szCs w:val="20"/>
          <w:lang w:val="en-AU"/>
        </w:rPr>
        <w:sectPr w:rsidR="00D00F13" w:rsidSect="000B6297">
          <w:pgSz w:w="11909" w:h="16834" w:code="9"/>
          <w:pgMar w:top="1440" w:right="1440" w:bottom="1440" w:left="1440" w:header="720" w:footer="567" w:gutter="0"/>
          <w:cols w:space="720"/>
          <w:docGrid w:linePitch="360"/>
        </w:sectPr>
      </w:pPr>
    </w:p>
    <w:p w:rsidR="00D00F13" w:rsidRPr="00D14CE9" w:rsidRDefault="004A49C1" w:rsidP="00C200D0">
      <w:pPr>
        <w:pStyle w:val="EYBodytextwithparaspace"/>
        <w:rPr>
          <w:kern w:val="0"/>
          <w:szCs w:val="20"/>
          <w:lang w:val="en-AU"/>
        </w:rPr>
      </w:pPr>
      <w:r>
        <w:rPr>
          <w:noProof/>
          <w:lang w:val="en-AU" w:eastAsia="en-AU"/>
        </w:rPr>
        <w:lastRenderedPageBreak/>
        <w:drawing>
          <wp:anchor distT="0" distB="0" distL="114300" distR="114300" simplePos="0" relativeHeight="251691008" behindDoc="1" locked="1" layoutInCell="1" allowOverlap="1" wp14:anchorId="14DF4280" wp14:editId="5406D53B">
            <wp:simplePos x="0" y="0"/>
            <wp:positionH relativeFrom="page">
              <wp:align>right</wp:align>
            </wp:positionH>
            <wp:positionV relativeFrom="paragraph">
              <wp:posOffset>-914400</wp:posOffset>
            </wp:positionV>
            <wp:extent cx="7559040" cy="10814685"/>
            <wp:effectExtent l="0" t="0" r="381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559040" cy="10814685"/>
                    </a:xfrm>
                    <a:prstGeom prst="rect">
                      <a:avLst/>
                    </a:prstGeom>
                  </pic:spPr>
                </pic:pic>
              </a:graphicData>
            </a:graphic>
            <wp14:sizeRelH relativeFrom="margin">
              <wp14:pctWidth>0</wp14:pctWidth>
            </wp14:sizeRelH>
            <wp14:sizeRelV relativeFrom="margin">
              <wp14:pctHeight>0</wp14:pctHeight>
            </wp14:sizeRelV>
          </wp:anchor>
        </w:drawing>
      </w:r>
      <w:r w:rsidR="00606F4A">
        <w:rPr>
          <w:noProof/>
          <w:lang w:val="en-AU" w:eastAsia="en-AU"/>
        </w:rPr>
        <mc:AlternateContent>
          <mc:Choice Requires="wps">
            <w:drawing>
              <wp:anchor distT="0" distB="0" distL="114300" distR="114300" simplePos="0" relativeHeight="251673600" behindDoc="0" locked="0" layoutInCell="1" allowOverlap="1" wp14:anchorId="252F2322" wp14:editId="1C639C01">
                <wp:simplePos x="0" y="0"/>
                <wp:positionH relativeFrom="column">
                  <wp:posOffset>-439387</wp:posOffset>
                </wp:positionH>
                <wp:positionV relativeFrom="paragraph">
                  <wp:posOffset>629391</wp:posOffset>
                </wp:positionV>
                <wp:extent cx="6385560" cy="1710047"/>
                <wp:effectExtent l="0" t="0" r="0" b="5080"/>
                <wp:wrapNone/>
                <wp:docPr id="2165" name="Text Box 2165"/>
                <wp:cNvGraphicFramePr/>
                <a:graphic xmlns:a="http://schemas.openxmlformats.org/drawingml/2006/main">
                  <a:graphicData uri="http://schemas.microsoft.com/office/word/2010/wordprocessingShape">
                    <wps:wsp>
                      <wps:cNvSpPr txBox="1"/>
                      <wps:spPr>
                        <a:xfrm>
                          <a:off x="0" y="0"/>
                          <a:ext cx="6385560" cy="17100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754" w:rsidRDefault="003C7754" w:rsidP="00606F4A">
                            <w:pPr>
                              <w:pStyle w:val="EYCoverTitle"/>
                            </w:pPr>
                            <w:r>
                              <w:t>Forecast demand for extractive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5" o:spid="_x0000_s1032" type="#_x0000_t202" style="position:absolute;margin-left:-34.6pt;margin-top:49.55pt;width:502.8pt;height:13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kQ/ggIAAHAFAAAOAAAAZHJzL2Uyb0RvYy54bWysVN9v2yAQfp+0/wHxvtrOkrSz6lRZq06T&#10;qrZaOvWZYGisAceAxM7++h3YTqJuL532Yh93Hx/3+/Kq04rshPMNmIoWZzklwnCoG/NS0e9Ptx8u&#10;KPGBmZopMKKie+Hp1eL9u8vWlmICG1C1cARJjC9bW9FNCLbMMs83QjN/BlYYNEpwmgU8upesdqxF&#10;dq2ySZ7PsxZcbR1w4T1qb3ojXSR+KQUPD1J6EYiqKPoW0tel7zp+s8UlK18cs5uGD26wf/BCs8bg&#10;oweqGxYY2brmDyrdcAceZDjjoDOQsuEixYDRFPmraFYbZkWKBZPj7SFN/v/R8vvdoyNNXdFJMZ9R&#10;YpjGKj2JLpDP0JGkxBy11pcIXVkEhw4tWOuYu6j3qIyhd9Lp+MegCNox2/tDhiMfR+X848VsNkcT&#10;R1txXuT59DzyZMfr1vnwRYAmUaiowxKmzLLdnQ89dITE1wzcNkqhnpXKkDY+McvThYMFyZWJAJEa&#10;YqA5up6ksFeiJ/kmJCYkRRAVqRXFtXJkx7CJGOfChBR84kV0REl04i0XB/zRq7dc7uMYXwYTDpd1&#10;Y8Cl6F+5Xf8YXZY9HnN+EncUQ7fuUifMx8quod5jwR30Y+Mtv22wKHfMh0fmcE6wkDj74QE/UgEm&#10;HwaJkg24X3/TRzy2L1opaXHuKup/bpkTlKivBhv7UzGdxkFNh+nsfIIHd2pZn1rMVl8DVqXALWN5&#10;EiM+qFGUDvQzrohlfBVNzHB8u6JhFK9Dvw1wxXCxXCYQjqZl4c6sLI/UsUix5Z66Z+bs0JcBW/oe&#10;xgll5av27LHxpoHlNoBsUu/GPPdZHfKPY526f1hBcW+cnhPquCgXvwEAAP//AwBQSwMEFAAGAAgA&#10;AAAhANSlRuTjAAAACgEAAA8AAABkcnMvZG93bnJldi54bWxMj01Pg0AURfcm/ofJM3HXDqWVAOXR&#10;NCSNidFFazfuHswUSOcDmWmL/nrHlS5f7sm95xWbSSt2laPrrUFYzCNg0jRW9KZFOL7vZikw58kI&#10;UtZIhC/pYFPe3xWUC3sze3k9+JaFEuNyQui8H3LOXdNJTW5uB2lCdrKjJh/OseVipFso14rHUZRw&#10;Tb0JCx0Nsupkcz5cNMJLtXujfR3r9FtVz6+n7fB5/HhCfHyYtmtgXk7+D4Zf/aAOZXCq7cUIxxTC&#10;LMnigCJk2QJYALJlsgJWIyyTdAW8LPj/F8ofAAAA//8DAFBLAQItABQABgAIAAAAIQC2gziS/gAA&#10;AOEBAAATAAAAAAAAAAAAAAAAAAAAAABbQ29udGVudF9UeXBlc10ueG1sUEsBAi0AFAAGAAgAAAAh&#10;ADj9If/WAAAAlAEAAAsAAAAAAAAAAAAAAAAALwEAAF9yZWxzLy5yZWxzUEsBAi0AFAAGAAgAAAAh&#10;AHnuRD+CAgAAcAUAAA4AAAAAAAAAAAAAAAAALgIAAGRycy9lMm9Eb2MueG1sUEsBAi0AFAAGAAgA&#10;AAAhANSlRuTjAAAACgEAAA8AAAAAAAAAAAAAAAAA3AQAAGRycy9kb3ducmV2LnhtbFBLBQYAAAAA&#10;BAAEAPMAAADsBQAAAAA=&#10;" filled="f" stroked="f" strokeweight=".5pt">
                <v:textbox>
                  <w:txbxContent>
                    <w:p w:rsidR="003C7754" w:rsidRDefault="003C7754" w:rsidP="00606F4A">
                      <w:pPr>
                        <w:pStyle w:val="EYCoverTitle"/>
                      </w:pPr>
                      <w:r>
                        <w:t>Forecast demand for extractive resources</w:t>
                      </w:r>
                    </w:p>
                  </w:txbxContent>
                </v:textbox>
              </v:shape>
            </w:pict>
          </mc:Fallback>
        </mc:AlternateContent>
      </w:r>
    </w:p>
    <w:p w:rsidR="0061645C" w:rsidRPr="00D14CE9" w:rsidRDefault="0061645C" w:rsidP="00C200D0">
      <w:pPr>
        <w:pStyle w:val="EYHeading1"/>
      </w:pPr>
      <w:bookmarkStart w:id="509" w:name="_Ref441385782"/>
      <w:bookmarkStart w:id="510" w:name="_Toc441435313"/>
      <w:bookmarkStart w:id="511" w:name="_Toc451847082"/>
      <w:r w:rsidRPr="00D14CE9">
        <w:lastRenderedPageBreak/>
        <w:t>Forecast demand for extractive resources</w:t>
      </w:r>
      <w:bookmarkEnd w:id="509"/>
      <w:bookmarkEnd w:id="510"/>
      <w:bookmarkEnd w:id="511"/>
    </w:p>
    <w:p w:rsidR="00E56C86" w:rsidRPr="00D14CE9" w:rsidRDefault="00E56C86" w:rsidP="00C200D0">
      <w:pPr>
        <w:pStyle w:val="EYBodytextwithparaspace"/>
        <w:rPr>
          <w:lang w:val="en-AU"/>
        </w:rPr>
      </w:pPr>
      <w:r w:rsidRPr="00D14CE9">
        <w:rPr>
          <w:lang w:val="en-AU"/>
        </w:rPr>
        <w:t>Previously outlined key steps of our approach enabled us to provide a baseline set of demand projections for validation and refinement through detailed industry analysis.</w:t>
      </w:r>
    </w:p>
    <w:p w:rsidR="0061645C" w:rsidRPr="00D14CE9" w:rsidRDefault="0061645C" w:rsidP="00C200D0">
      <w:pPr>
        <w:pStyle w:val="EYBodytextwithparaspace"/>
        <w:rPr>
          <w:rFonts w:cstheme="majorHAnsi"/>
          <w:szCs w:val="20"/>
          <w:lang w:val="en-AU"/>
        </w:rPr>
      </w:pPr>
      <w:r w:rsidRPr="00D14CE9">
        <w:rPr>
          <w:rFonts w:cstheme="majorHAnsi"/>
          <w:szCs w:val="20"/>
          <w:lang w:val="en-AU"/>
        </w:rPr>
        <w:t xml:space="preserve">This section </w:t>
      </w:r>
      <w:r w:rsidR="00E56C86" w:rsidRPr="00D14CE9">
        <w:rPr>
          <w:rFonts w:cstheme="majorHAnsi"/>
          <w:szCs w:val="20"/>
          <w:lang w:val="en-AU"/>
        </w:rPr>
        <w:t xml:space="preserve">therefore </w:t>
      </w:r>
      <w:r w:rsidRPr="00D14CE9">
        <w:rPr>
          <w:rFonts w:cstheme="majorHAnsi"/>
          <w:szCs w:val="20"/>
          <w:lang w:val="en-AU"/>
        </w:rPr>
        <w:t xml:space="preserve">outlines the </w:t>
      </w:r>
      <w:r w:rsidR="00E56C86" w:rsidRPr="00D14CE9">
        <w:rPr>
          <w:rFonts w:cstheme="majorHAnsi"/>
          <w:szCs w:val="20"/>
          <w:lang w:val="en-AU"/>
        </w:rPr>
        <w:t xml:space="preserve">final </w:t>
      </w:r>
      <w:r w:rsidRPr="00D14CE9">
        <w:rPr>
          <w:rFonts w:cstheme="majorHAnsi"/>
          <w:szCs w:val="20"/>
          <w:lang w:val="en-AU"/>
        </w:rPr>
        <w:t>steps of the methodology implemented to forecast the demand for extractive resources over the required period, provides the demand profile and outlines the process followe</w:t>
      </w:r>
      <w:r w:rsidR="00C15F5A" w:rsidRPr="00D14CE9">
        <w:rPr>
          <w:rFonts w:cstheme="majorHAnsi"/>
          <w:szCs w:val="20"/>
          <w:lang w:val="en-AU"/>
        </w:rPr>
        <w:t>d to validate those results.</w:t>
      </w:r>
    </w:p>
    <w:p w:rsidR="0061645C" w:rsidRPr="00D14CE9" w:rsidRDefault="0061645C" w:rsidP="00C200D0">
      <w:pPr>
        <w:pStyle w:val="EYHeading2"/>
      </w:pPr>
      <w:bookmarkStart w:id="512" w:name="_Ref441821194"/>
      <w:bookmarkStart w:id="513" w:name="_Toc451847083"/>
      <w:r w:rsidRPr="00D14CE9">
        <w:t xml:space="preserve">Forecast Demand </w:t>
      </w:r>
      <w:r w:rsidR="000E3992" w:rsidRPr="00D14CE9">
        <w:t>Process</w:t>
      </w:r>
      <w:bookmarkEnd w:id="512"/>
      <w:bookmarkEnd w:id="513"/>
    </w:p>
    <w:p w:rsidR="0061645C" w:rsidRDefault="0061645C" w:rsidP="00C200D0">
      <w:pPr>
        <w:pStyle w:val="EYBodytextwithparaspace"/>
        <w:rPr>
          <w:rFonts w:cstheme="majorHAnsi"/>
          <w:szCs w:val="20"/>
          <w:lang w:val="en-AU"/>
        </w:rPr>
      </w:pPr>
      <w:r w:rsidRPr="00D14CE9">
        <w:rPr>
          <w:rFonts w:cstheme="majorHAnsi"/>
          <w:szCs w:val="20"/>
          <w:lang w:val="en-AU"/>
        </w:rPr>
        <w:t xml:space="preserve">The forecast of the construction activities outlined in Section </w:t>
      </w:r>
      <w:r w:rsidR="00181436" w:rsidRPr="00474B05">
        <w:rPr>
          <w:rFonts w:cstheme="majorHAnsi"/>
          <w:szCs w:val="20"/>
          <w:lang w:val="en-AU"/>
        </w:rPr>
        <w:fldChar w:fldCharType="begin" w:fldLock="1"/>
      </w:r>
      <w:r w:rsidR="00181436" w:rsidRPr="00D14CE9">
        <w:rPr>
          <w:rFonts w:cstheme="majorHAnsi"/>
          <w:szCs w:val="20"/>
          <w:lang w:val="en-AU"/>
        </w:rPr>
        <w:instrText xml:space="preserve"> REF _Ref442111107 \r \h </w:instrText>
      </w:r>
      <w:r w:rsidR="00181436" w:rsidRPr="00474B05">
        <w:rPr>
          <w:rFonts w:cstheme="majorHAnsi"/>
          <w:szCs w:val="20"/>
          <w:lang w:val="en-AU"/>
        </w:rPr>
      </w:r>
      <w:r w:rsidR="00181436" w:rsidRPr="00474B05">
        <w:rPr>
          <w:rFonts w:cstheme="majorHAnsi"/>
          <w:szCs w:val="20"/>
          <w:lang w:val="en-AU"/>
        </w:rPr>
        <w:fldChar w:fldCharType="separate"/>
      </w:r>
      <w:r w:rsidR="00895089">
        <w:rPr>
          <w:rFonts w:cstheme="majorHAnsi"/>
          <w:szCs w:val="20"/>
          <w:lang w:val="en-AU"/>
        </w:rPr>
        <w:t>4</w:t>
      </w:r>
      <w:r w:rsidR="00181436" w:rsidRPr="00474B05">
        <w:rPr>
          <w:rFonts w:cstheme="majorHAnsi"/>
          <w:szCs w:val="20"/>
          <w:lang w:val="en-AU"/>
        </w:rPr>
        <w:fldChar w:fldCharType="end"/>
      </w:r>
      <w:r w:rsidRPr="00D14CE9">
        <w:rPr>
          <w:rFonts w:cstheme="majorHAnsi"/>
          <w:szCs w:val="20"/>
          <w:lang w:val="en-AU"/>
        </w:rPr>
        <w:t xml:space="preserve"> and the </w:t>
      </w:r>
      <w:r w:rsidR="00E56C86" w:rsidRPr="00D14CE9">
        <w:rPr>
          <w:rFonts w:cstheme="majorHAnsi"/>
          <w:szCs w:val="20"/>
          <w:lang w:val="en-AU"/>
        </w:rPr>
        <w:t xml:space="preserve">historic relationships </w:t>
      </w:r>
      <w:r w:rsidRPr="00D14CE9">
        <w:rPr>
          <w:rFonts w:cstheme="majorHAnsi"/>
          <w:szCs w:val="20"/>
          <w:lang w:val="en-AU"/>
        </w:rPr>
        <w:t xml:space="preserve">identified in Section </w:t>
      </w:r>
      <w:r w:rsidR="00467BEA" w:rsidRPr="00E26D85">
        <w:rPr>
          <w:rFonts w:cstheme="majorHAnsi"/>
          <w:szCs w:val="20"/>
          <w:lang w:val="en-AU"/>
        </w:rPr>
        <w:t xml:space="preserve">3 </w:t>
      </w:r>
      <w:r w:rsidRPr="00E26D85">
        <w:rPr>
          <w:rFonts w:cstheme="majorHAnsi"/>
          <w:szCs w:val="20"/>
          <w:lang w:val="en-AU"/>
        </w:rPr>
        <w:t xml:space="preserve">between construction activities and the </w:t>
      </w:r>
      <w:r w:rsidR="00E56C86" w:rsidRPr="00D14CE9">
        <w:rPr>
          <w:rFonts w:cstheme="majorHAnsi"/>
          <w:szCs w:val="20"/>
          <w:lang w:val="en-AU"/>
        </w:rPr>
        <w:t xml:space="preserve">total demand </w:t>
      </w:r>
      <w:r w:rsidRPr="00D14CE9">
        <w:rPr>
          <w:rFonts w:cstheme="majorHAnsi"/>
          <w:szCs w:val="20"/>
          <w:lang w:val="en-AU"/>
        </w:rPr>
        <w:t xml:space="preserve">of hard rock, clay and clay shale, limestone and sand and gravel, allowed to extrapolate the demand for extractive resources from 2015 to 2050. </w:t>
      </w:r>
    </w:p>
    <w:p w:rsidR="008B1A30" w:rsidRPr="00E26D85" w:rsidRDefault="00C7148F" w:rsidP="008B1A30">
      <w:pPr>
        <w:pStyle w:val="EYBodytextwithparaspace"/>
        <w:rPr>
          <w:rFonts w:cstheme="majorHAnsi"/>
          <w:szCs w:val="20"/>
          <w:lang w:val="en-AU"/>
        </w:rPr>
      </w:pPr>
      <w:r>
        <w:rPr>
          <w:rFonts w:cstheme="majorHAnsi"/>
          <w:szCs w:val="20"/>
          <w:lang w:val="en-AU"/>
        </w:rPr>
        <w:t xml:space="preserve">The initial level of the demand projections in 2015 was determined using the production trend line identified from 2009 to 2014. </w:t>
      </w:r>
      <w:r w:rsidR="006636EA">
        <w:rPr>
          <w:rFonts w:cstheme="majorHAnsi"/>
          <w:szCs w:val="20"/>
          <w:lang w:val="en-AU"/>
        </w:rPr>
        <w:t>This anchoring process ensured the appropriate setting of our baseline model, using latest production trends available.</w:t>
      </w:r>
    </w:p>
    <w:p w:rsidR="0061645C" w:rsidRPr="00D14CE9" w:rsidRDefault="00E56C86" w:rsidP="00C200D0">
      <w:pPr>
        <w:pStyle w:val="EYBodytextwithparaspace"/>
        <w:rPr>
          <w:rFonts w:cstheme="majorHAnsi"/>
          <w:szCs w:val="20"/>
          <w:lang w:val="en-AU"/>
        </w:rPr>
      </w:pPr>
      <w:r w:rsidRPr="00D14CE9">
        <w:rPr>
          <w:rFonts w:cstheme="majorHAnsi"/>
          <w:szCs w:val="20"/>
          <w:lang w:val="en-AU"/>
        </w:rPr>
        <w:t xml:space="preserve">Spatial allocation per LGA of the </w:t>
      </w:r>
      <w:r w:rsidR="0061645C" w:rsidRPr="00D14CE9">
        <w:rPr>
          <w:rFonts w:cstheme="majorHAnsi"/>
          <w:szCs w:val="20"/>
          <w:lang w:val="en-AU"/>
        </w:rPr>
        <w:t xml:space="preserve">total demand for extractive resources has then been </w:t>
      </w:r>
      <w:r w:rsidRPr="00D14CE9">
        <w:rPr>
          <w:rFonts w:cstheme="majorHAnsi"/>
          <w:szCs w:val="20"/>
          <w:lang w:val="en-AU"/>
        </w:rPr>
        <w:t>developed</w:t>
      </w:r>
      <w:r w:rsidR="0061645C" w:rsidRPr="00D14CE9">
        <w:rPr>
          <w:rFonts w:cstheme="majorHAnsi"/>
          <w:szCs w:val="20"/>
          <w:lang w:val="en-AU"/>
        </w:rPr>
        <w:t xml:space="preserve"> as follows:</w:t>
      </w:r>
    </w:p>
    <w:p w:rsidR="0061645C" w:rsidRPr="008F3A56" w:rsidRDefault="0061645C" w:rsidP="003637FD">
      <w:pPr>
        <w:pStyle w:val="EYBulletedList1"/>
        <w:spacing w:after="100"/>
      </w:pPr>
      <w:r w:rsidRPr="008F3A56">
        <w:t>Construction activities ($ value) have been spatially allocated by LGA, based on:</w:t>
      </w:r>
    </w:p>
    <w:p w:rsidR="0061645C" w:rsidRPr="00D14CE9" w:rsidRDefault="0061645C" w:rsidP="00233A07">
      <w:pPr>
        <w:pStyle w:val="EYBulletedList1"/>
        <w:tabs>
          <w:tab w:val="clear" w:pos="288"/>
          <w:tab w:val="num" w:pos="864"/>
        </w:tabs>
        <w:ind w:left="576"/>
        <w:rPr>
          <w:rFonts w:cstheme="majorHAnsi"/>
          <w:szCs w:val="20"/>
          <w:lang w:val="en-AU"/>
        </w:rPr>
      </w:pPr>
      <w:r w:rsidRPr="00D14CE9">
        <w:rPr>
          <w:rFonts w:cstheme="majorHAnsi"/>
          <w:szCs w:val="20"/>
          <w:lang w:val="en-AU"/>
        </w:rPr>
        <w:t xml:space="preserve">Population growth for residential construction, transport and energy and utilities construction activities </w:t>
      </w:r>
    </w:p>
    <w:p w:rsidR="0061645C" w:rsidRPr="00D14CE9" w:rsidRDefault="0061645C" w:rsidP="00233A07">
      <w:pPr>
        <w:pStyle w:val="EYBulletedList1"/>
        <w:tabs>
          <w:tab w:val="clear" w:pos="288"/>
          <w:tab w:val="num" w:pos="864"/>
        </w:tabs>
        <w:ind w:left="576"/>
        <w:rPr>
          <w:rFonts w:cstheme="majorHAnsi"/>
          <w:szCs w:val="20"/>
          <w:lang w:val="en-AU"/>
        </w:rPr>
      </w:pPr>
      <w:r w:rsidRPr="00D14CE9">
        <w:rPr>
          <w:rFonts w:cstheme="majorHAnsi"/>
          <w:szCs w:val="20"/>
          <w:lang w:val="en-AU"/>
        </w:rPr>
        <w:t>Employment growth for non-commercial construction activity</w:t>
      </w:r>
    </w:p>
    <w:p w:rsidR="0061645C" w:rsidRPr="00D14CE9" w:rsidRDefault="0061645C" w:rsidP="00C200D0">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Known allocation of major infrastructure projects, only related to the transport activity</w:t>
      </w:r>
    </w:p>
    <w:p w:rsidR="0061645C" w:rsidRPr="00D14CE9" w:rsidRDefault="0061645C" w:rsidP="00C200D0">
      <w:pPr>
        <w:pStyle w:val="EYBodytextwithparaspace"/>
        <w:rPr>
          <w:rFonts w:cstheme="majorHAnsi"/>
          <w:szCs w:val="20"/>
          <w:lang w:val="en-AU"/>
        </w:rPr>
      </w:pPr>
      <w:r w:rsidRPr="00D14CE9">
        <w:rPr>
          <w:rFonts w:cstheme="majorHAnsi"/>
          <w:szCs w:val="20"/>
          <w:lang w:val="en-AU"/>
        </w:rPr>
        <w:t xml:space="preserve">Population growth and employment growth have therefore been considered as the key drivers for the spatial allocation of the demand for extractive resources by LGA. </w:t>
      </w:r>
    </w:p>
    <w:p w:rsidR="005264FD" w:rsidRDefault="0061645C" w:rsidP="00C200D0">
      <w:pPr>
        <w:pStyle w:val="EYBulletedList1"/>
        <w:spacing w:after="120"/>
        <w:rPr>
          <w:rFonts w:cstheme="majorHAnsi"/>
          <w:szCs w:val="20"/>
          <w:lang w:val="en-AU"/>
        </w:rPr>
      </w:pPr>
      <w:r w:rsidRPr="00D14CE9">
        <w:rPr>
          <w:rFonts w:cstheme="majorHAnsi"/>
          <w:szCs w:val="20"/>
          <w:lang w:val="en-AU"/>
        </w:rPr>
        <w:t xml:space="preserve">Extractive resources (i.e. hard rock, limestone, clay and clay shale and sand and gravel) have then been spatially allocated, in each LGA, based on the forecast spatial allocation of construction activities </w:t>
      </w:r>
      <w:r w:rsidR="00831F1B" w:rsidRPr="00D14CE9">
        <w:rPr>
          <w:rFonts w:cstheme="majorHAnsi"/>
          <w:szCs w:val="20"/>
          <w:lang w:val="en-AU"/>
        </w:rPr>
        <w:t xml:space="preserve">($ value) </w:t>
      </w:r>
      <w:r w:rsidRPr="00D14CE9">
        <w:rPr>
          <w:rFonts w:cstheme="majorHAnsi"/>
          <w:szCs w:val="20"/>
          <w:lang w:val="en-AU"/>
        </w:rPr>
        <w:t xml:space="preserve">by LGA and </w:t>
      </w:r>
      <w:r w:rsidR="00E56C86" w:rsidRPr="00D14CE9">
        <w:rPr>
          <w:rFonts w:cstheme="majorHAnsi"/>
          <w:szCs w:val="20"/>
          <w:lang w:val="en-AU"/>
        </w:rPr>
        <w:t>key technical</w:t>
      </w:r>
      <w:r w:rsidRPr="00D14CE9">
        <w:rPr>
          <w:rFonts w:cstheme="majorHAnsi"/>
          <w:szCs w:val="20"/>
          <w:lang w:val="en-AU"/>
        </w:rPr>
        <w:t xml:space="preserve"> assumptions</w:t>
      </w:r>
      <w:r w:rsidR="00E56C86" w:rsidRPr="00D14CE9">
        <w:rPr>
          <w:rFonts w:cstheme="majorHAnsi"/>
          <w:szCs w:val="20"/>
          <w:lang w:val="en-AU"/>
        </w:rPr>
        <w:t xml:space="preserve"> </w:t>
      </w:r>
      <w:r w:rsidRPr="00D14CE9">
        <w:rPr>
          <w:rFonts w:cstheme="majorHAnsi"/>
          <w:szCs w:val="20"/>
          <w:lang w:val="en-AU"/>
        </w:rPr>
        <w:t xml:space="preserve">linking </w:t>
      </w:r>
      <w:r w:rsidR="00E56C86" w:rsidRPr="00D14CE9">
        <w:rPr>
          <w:rFonts w:cstheme="majorHAnsi"/>
          <w:szCs w:val="20"/>
          <w:lang w:val="en-AU"/>
        </w:rPr>
        <w:t xml:space="preserve">each </w:t>
      </w:r>
      <w:r w:rsidRPr="00D14CE9">
        <w:rPr>
          <w:rFonts w:cstheme="majorHAnsi"/>
          <w:szCs w:val="20"/>
          <w:lang w:val="en-AU"/>
        </w:rPr>
        <w:t xml:space="preserve">construction activity with </w:t>
      </w:r>
      <w:r w:rsidR="00E56C86" w:rsidRPr="00D14CE9">
        <w:rPr>
          <w:rFonts w:cstheme="majorHAnsi"/>
          <w:szCs w:val="20"/>
          <w:lang w:val="en-AU"/>
        </w:rPr>
        <w:t xml:space="preserve">the use of extractive </w:t>
      </w:r>
      <w:r w:rsidRPr="00D14CE9">
        <w:rPr>
          <w:rFonts w:cstheme="majorHAnsi"/>
          <w:szCs w:val="20"/>
          <w:lang w:val="en-AU"/>
        </w:rPr>
        <w:t xml:space="preserve">resources. Those assumptions result from technical data provided by </w:t>
      </w:r>
      <w:r w:rsidR="00E56C86" w:rsidRPr="00D14CE9">
        <w:rPr>
          <w:rFonts w:cstheme="majorHAnsi"/>
          <w:szCs w:val="20"/>
          <w:lang w:val="en-AU"/>
        </w:rPr>
        <w:t xml:space="preserve">the DEDJTR’s technical advisor, </w:t>
      </w:r>
      <w:r w:rsidRPr="00D14CE9">
        <w:rPr>
          <w:rFonts w:cstheme="majorHAnsi"/>
          <w:szCs w:val="20"/>
          <w:lang w:val="en-AU"/>
        </w:rPr>
        <w:t>AECOM</w:t>
      </w:r>
      <w:r w:rsidR="00E56C86" w:rsidRPr="00D14CE9">
        <w:rPr>
          <w:rFonts w:cstheme="majorHAnsi"/>
          <w:szCs w:val="20"/>
          <w:lang w:val="en-AU"/>
        </w:rPr>
        <w:t>,</w:t>
      </w:r>
      <w:r w:rsidRPr="00D14CE9">
        <w:rPr>
          <w:rFonts w:cstheme="majorHAnsi"/>
          <w:szCs w:val="20"/>
          <w:lang w:val="en-AU"/>
        </w:rPr>
        <w:t xml:space="preserve"> per type of construction and are outlined in </w:t>
      </w:r>
      <w:r w:rsidRPr="00474B05">
        <w:rPr>
          <w:rFonts w:cstheme="majorHAnsi"/>
          <w:szCs w:val="20"/>
          <w:lang w:val="en-AU"/>
        </w:rPr>
        <w:fldChar w:fldCharType="begin" w:fldLock="1"/>
      </w:r>
      <w:r w:rsidRPr="00D14CE9">
        <w:rPr>
          <w:rFonts w:cstheme="majorHAnsi"/>
          <w:szCs w:val="20"/>
          <w:lang w:val="en-AU"/>
        </w:rPr>
        <w:instrText xml:space="preserve"> REF _Ref441133802 \r \h  \* MERGEFORMAT </w:instrText>
      </w:r>
      <w:r w:rsidRPr="00474B05">
        <w:rPr>
          <w:rFonts w:cstheme="majorHAnsi"/>
          <w:szCs w:val="20"/>
          <w:lang w:val="en-AU"/>
        </w:rPr>
      </w:r>
      <w:r w:rsidRPr="00474B05">
        <w:rPr>
          <w:rFonts w:cstheme="majorHAnsi"/>
          <w:szCs w:val="20"/>
          <w:lang w:val="en-AU"/>
        </w:rPr>
        <w:fldChar w:fldCharType="separate"/>
      </w:r>
      <w:r w:rsidR="00895089">
        <w:rPr>
          <w:rFonts w:cstheme="majorHAnsi"/>
          <w:szCs w:val="20"/>
          <w:lang w:val="en-AU"/>
        </w:rPr>
        <w:t>Appendix C</w:t>
      </w:r>
      <w:r w:rsidRPr="00474B05">
        <w:rPr>
          <w:rFonts w:cstheme="majorHAnsi"/>
          <w:szCs w:val="20"/>
          <w:lang w:val="en-AU"/>
        </w:rPr>
        <w:fldChar w:fldCharType="end"/>
      </w:r>
      <w:r w:rsidRPr="00D14CE9">
        <w:rPr>
          <w:rFonts w:cstheme="majorHAnsi"/>
          <w:szCs w:val="20"/>
          <w:lang w:val="en-AU"/>
        </w:rPr>
        <w:t xml:space="preserve"> of the Report. For clarity purposes, the below table presents the assumptions considered for the spatial allocation of construction activity </w:t>
      </w:r>
      <w:r w:rsidR="00831F1B" w:rsidRPr="00D14CE9">
        <w:rPr>
          <w:rFonts w:cstheme="majorHAnsi"/>
          <w:szCs w:val="20"/>
          <w:lang w:val="en-AU"/>
        </w:rPr>
        <w:t xml:space="preserve">($ value) </w:t>
      </w:r>
      <w:r w:rsidRPr="00D14CE9">
        <w:rPr>
          <w:rFonts w:cstheme="majorHAnsi"/>
          <w:szCs w:val="20"/>
          <w:lang w:val="en-AU"/>
        </w:rPr>
        <w:t>per type of extractive resources</w:t>
      </w:r>
      <w:r w:rsidR="005264FD">
        <w:rPr>
          <w:rFonts w:cstheme="majorHAnsi"/>
          <w:szCs w:val="20"/>
          <w:lang w:val="en-AU"/>
        </w:rPr>
        <w: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11 "/>
        <w:tblDescription w:val="Table 11 shows spatial allocation of extractive resources by construction activity. Hard rock makes up 72% of residential activity, 78% of non residential activity, 96% of transport (excluding major projects) activity, 77% of transport major projects, and 100% of energy and utilities activity.  Limestone makes up 6% of residential activity, 5% of non residential activity, 1%of transport (excluding major projects) activity, 2% of transport major projects and 0% of energy and utilities activity.  Clay and clay shale makes up 1% of residential activity, 1% of non residential activity, 0%of transport (excluding major projects) activity, 2% of transport major projects and 0% of energy and utilities activity.  Sand and gravel makes up 21% of residential activity, 15% of non residential activity, 2%of transport (excluding major projects) activity, 18% of transport major projects and 0% of energy and utilities activity.  &#10;&#10;"/>
      </w:tblPr>
      <w:tblGrid>
        <w:gridCol w:w="2890"/>
        <w:gridCol w:w="1504"/>
        <w:gridCol w:w="1735"/>
        <w:gridCol w:w="1504"/>
        <w:gridCol w:w="1615"/>
      </w:tblGrid>
      <w:tr w:rsidR="00181F9C" w:rsidRPr="00D14CE9" w:rsidTr="003E25FF">
        <w:trPr>
          <w:trHeight w:val="20"/>
        </w:trPr>
        <w:tc>
          <w:tcPr>
            <w:tcW w:w="4988" w:type="pct"/>
            <w:gridSpan w:val="5"/>
            <w:shd w:val="clear" w:color="auto" w:fill="808080"/>
            <w:noWrap/>
            <w:tcMar>
              <w:top w:w="28" w:type="dxa"/>
              <w:left w:w="28" w:type="dxa"/>
              <w:bottom w:w="28" w:type="dxa"/>
              <w:right w:w="28" w:type="dxa"/>
            </w:tcMar>
            <w:vAlign w:val="center"/>
          </w:tcPr>
          <w:p w:rsidR="00181F9C" w:rsidRPr="00E26D85" w:rsidRDefault="00982B8E" w:rsidP="003E25FF">
            <w:pPr>
              <w:pStyle w:val="EYTableHeadingWhite"/>
              <w:rPr>
                <w:rFonts w:eastAsia="Arial Unicode MS"/>
              </w:rPr>
            </w:pPr>
            <w:bookmarkStart w:id="514" w:name="_Ref442112697"/>
            <w:bookmarkStart w:id="515" w:name="_Toc445240945"/>
            <w:bookmarkStart w:id="516" w:name="_Toc448914638"/>
            <w:bookmarkStart w:id="517" w:name="_Toc448920455"/>
            <w:r w:rsidRPr="00D14CE9">
              <w:t xml:space="preserve">Table </w:t>
            </w:r>
            <w:r w:rsidR="000701D2">
              <w:fldChar w:fldCharType="begin"/>
            </w:r>
            <w:r w:rsidR="000701D2">
              <w:instrText xml:space="preserve"> SEQ Table \* ARABIC </w:instrText>
            </w:r>
            <w:r w:rsidR="000701D2">
              <w:fldChar w:fldCharType="separate"/>
            </w:r>
            <w:r w:rsidR="00525C82">
              <w:rPr>
                <w:noProof/>
              </w:rPr>
              <w:t>11</w:t>
            </w:r>
            <w:r w:rsidR="000701D2">
              <w:rPr>
                <w:noProof/>
              </w:rPr>
              <w:fldChar w:fldCharType="end"/>
            </w:r>
            <w:bookmarkEnd w:id="514"/>
            <w:r w:rsidRPr="00D14CE9">
              <w:t xml:space="preserve"> – Spatial allocation of extractive resources per construction activity in Victoria</w:t>
            </w:r>
            <w:bookmarkEnd w:id="515"/>
            <w:bookmarkEnd w:id="516"/>
            <w:bookmarkEnd w:id="517"/>
          </w:p>
        </w:tc>
      </w:tr>
      <w:tr w:rsidR="00181F9C" w:rsidRPr="00D14CE9" w:rsidTr="000B6297">
        <w:trPr>
          <w:trHeight w:val="20"/>
        </w:trPr>
        <w:tc>
          <w:tcPr>
            <w:tcW w:w="1563" w:type="pct"/>
            <w:shd w:val="clear" w:color="auto" w:fill="F0F0F0"/>
            <w:tcMar>
              <w:top w:w="28" w:type="dxa"/>
              <w:left w:w="28" w:type="dxa"/>
              <w:bottom w:w="28" w:type="dxa"/>
              <w:right w:w="28" w:type="dxa"/>
            </w:tcMar>
            <w:vAlign w:val="center"/>
          </w:tcPr>
          <w:p w:rsidR="00181F9C" w:rsidRPr="00D14CE9" w:rsidRDefault="00181F9C" w:rsidP="000B6297">
            <w:pPr>
              <w:pStyle w:val="EYTableHeading"/>
              <w:spacing w:before="0" w:after="0"/>
              <w:jc w:val="center"/>
              <w:rPr>
                <w:rFonts w:eastAsia="Arial Unicode MS"/>
              </w:rPr>
            </w:pPr>
          </w:p>
        </w:tc>
        <w:tc>
          <w:tcPr>
            <w:tcW w:w="813" w:type="pct"/>
            <w:shd w:val="clear" w:color="auto" w:fill="F0F0F0"/>
            <w:tcMar>
              <w:top w:w="28" w:type="dxa"/>
              <w:left w:w="28" w:type="dxa"/>
              <w:bottom w:w="28" w:type="dxa"/>
              <w:right w:w="28" w:type="dxa"/>
            </w:tcMar>
            <w:vAlign w:val="center"/>
          </w:tcPr>
          <w:p w:rsidR="00181F9C" w:rsidRPr="00D14CE9" w:rsidRDefault="00982B8E" w:rsidP="000B6297">
            <w:pPr>
              <w:pStyle w:val="EYTableHeading"/>
              <w:spacing w:before="0" w:after="0"/>
              <w:jc w:val="center"/>
              <w:rPr>
                <w:rFonts w:eastAsia="Arial Unicode MS"/>
              </w:rPr>
            </w:pPr>
            <w:r w:rsidRPr="00D14CE9">
              <w:t>Hard rock (%)</w:t>
            </w:r>
          </w:p>
        </w:tc>
        <w:tc>
          <w:tcPr>
            <w:tcW w:w="938" w:type="pct"/>
            <w:shd w:val="clear" w:color="auto" w:fill="F0F0F0"/>
            <w:tcMar>
              <w:top w:w="28" w:type="dxa"/>
              <w:left w:w="28" w:type="dxa"/>
              <w:bottom w:w="28" w:type="dxa"/>
              <w:right w:w="28" w:type="dxa"/>
            </w:tcMar>
            <w:vAlign w:val="center"/>
          </w:tcPr>
          <w:p w:rsidR="00181F9C" w:rsidRPr="00D14CE9" w:rsidRDefault="00982B8E" w:rsidP="000B6297">
            <w:pPr>
              <w:pStyle w:val="EYTableHeading"/>
              <w:spacing w:before="0" w:after="0"/>
              <w:jc w:val="center"/>
              <w:rPr>
                <w:rFonts w:eastAsia="Arial Unicode MS"/>
              </w:rPr>
            </w:pPr>
            <w:r w:rsidRPr="00D14CE9">
              <w:t xml:space="preserve">Limestone </w:t>
            </w:r>
            <w:r w:rsidR="004772E1" w:rsidRPr="00D14CE9">
              <w:br/>
            </w:r>
            <w:r w:rsidRPr="00D14CE9">
              <w:t>(%)</w:t>
            </w:r>
          </w:p>
        </w:tc>
        <w:tc>
          <w:tcPr>
            <w:tcW w:w="813" w:type="pct"/>
            <w:shd w:val="clear" w:color="auto" w:fill="F0F0F0"/>
            <w:tcMar>
              <w:top w:w="28" w:type="dxa"/>
              <w:left w:w="28" w:type="dxa"/>
              <w:bottom w:w="28" w:type="dxa"/>
              <w:right w:w="28" w:type="dxa"/>
            </w:tcMar>
            <w:vAlign w:val="center"/>
          </w:tcPr>
          <w:p w:rsidR="00181F9C" w:rsidRPr="00D14CE9" w:rsidRDefault="00982B8E" w:rsidP="000B6297">
            <w:pPr>
              <w:pStyle w:val="EYTableHeading"/>
              <w:spacing w:before="0" w:after="0"/>
              <w:jc w:val="center"/>
            </w:pPr>
            <w:r w:rsidRPr="00D14CE9">
              <w:t>Clay and clay shale (%)</w:t>
            </w:r>
          </w:p>
        </w:tc>
        <w:tc>
          <w:tcPr>
            <w:tcW w:w="875" w:type="pct"/>
            <w:shd w:val="clear" w:color="auto" w:fill="F0F0F0"/>
            <w:tcMar>
              <w:top w:w="28" w:type="dxa"/>
              <w:left w:w="28" w:type="dxa"/>
              <w:bottom w:w="28" w:type="dxa"/>
              <w:right w:w="28" w:type="dxa"/>
            </w:tcMar>
            <w:vAlign w:val="center"/>
          </w:tcPr>
          <w:p w:rsidR="00181F9C" w:rsidRPr="00D14CE9" w:rsidRDefault="00982B8E" w:rsidP="000B6297">
            <w:pPr>
              <w:pStyle w:val="EYTableHeading"/>
              <w:spacing w:before="0" w:after="0"/>
              <w:jc w:val="center"/>
            </w:pPr>
            <w:r w:rsidRPr="00D14CE9">
              <w:t xml:space="preserve">Sand and gravel </w:t>
            </w:r>
            <w:r w:rsidR="004772E1" w:rsidRPr="00D14CE9">
              <w:br/>
            </w:r>
            <w:r w:rsidRPr="00D14CE9">
              <w:t>(%)</w:t>
            </w:r>
          </w:p>
        </w:tc>
      </w:tr>
      <w:tr w:rsidR="00982B8E" w:rsidRPr="00D14CE9" w:rsidTr="000B6297">
        <w:trPr>
          <w:trHeight w:val="20"/>
        </w:trPr>
        <w:tc>
          <w:tcPr>
            <w:tcW w:w="1563" w:type="pct"/>
            <w:noWrap/>
            <w:tcMar>
              <w:top w:w="28" w:type="dxa"/>
              <w:left w:w="28" w:type="dxa"/>
              <w:bottom w:w="28" w:type="dxa"/>
              <w:right w:w="28" w:type="dxa"/>
            </w:tcMar>
            <w:vAlign w:val="center"/>
          </w:tcPr>
          <w:p w:rsidR="00982B8E" w:rsidRPr="00D14CE9" w:rsidRDefault="00982B8E" w:rsidP="000B6297">
            <w:pPr>
              <w:rPr>
                <w:rFonts w:cs="Calibri"/>
                <w:color w:val="000000"/>
                <w:sz w:val="16"/>
                <w:szCs w:val="16"/>
              </w:rPr>
            </w:pPr>
            <w:r w:rsidRPr="00D14CE9">
              <w:rPr>
                <w:rFonts w:cs="Calibri"/>
                <w:color w:val="000000"/>
                <w:sz w:val="16"/>
                <w:szCs w:val="16"/>
              </w:rPr>
              <w:t>Residential Activity</w:t>
            </w:r>
          </w:p>
        </w:tc>
        <w:tc>
          <w:tcPr>
            <w:tcW w:w="813" w:type="pct"/>
            <w:noWrap/>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72%</w:t>
            </w:r>
          </w:p>
        </w:tc>
        <w:tc>
          <w:tcPr>
            <w:tcW w:w="938" w:type="pct"/>
            <w:noWrap/>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6%</w:t>
            </w:r>
          </w:p>
        </w:tc>
        <w:tc>
          <w:tcPr>
            <w:tcW w:w="813" w:type="pct"/>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1%</w:t>
            </w:r>
          </w:p>
        </w:tc>
        <w:tc>
          <w:tcPr>
            <w:tcW w:w="875" w:type="pct"/>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21%</w:t>
            </w:r>
          </w:p>
        </w:tc>
      </w:tr>
      <w:tr w:rsidR="00982B8E" w:rsidRPr="00D14CE9" w:rsidTr="000B6297">
        <w:trPr>
          <w:trHeight w:val="20"/>
        </w:trPr>
        <w:tc>
          <w:tcPr>
            <w:tcW w:w="1563" w:type="pct"/>
            <w:noWrap/>
            <w:tcMar>
              <w:top w:w="28" w:type="dxa"/>
              <w:left w:w="28" w:type="dxa"/>
              <w:bottom w:w="28" w:type="dxa"/>
              <w:right w:w="28" w:type="dxa"/>
            </w:tcMar>
            <w:vAlign w:val="center"/>
          </w:tcPr>
          <w:p w:rsidR="00982B8E" w:rsidRPr="00D14CE9" w:rsidRDefault="00982B8E" w:rsidP="000B6297">
            <w:pPr>
              <w:rPr>
                <w:rFonts w:cs="Calibri"/>
                <w:color w:val="000000"/>
                <w:sz w:val="16"/>
                <w:szCs w:val="16"/>
              </w:rPr>
            </w:pPr>
            <w:r w:rsidRPr="00D14CE9">
              <w:rPr>
                <w:rFonts w:cs="Calibri"/>
                <w:color w:val="000000"/>
                <w:sz w:val="16"/>
                <w:szCs w:val="16"/>
              </w:rPr>
              <w:t>Non Residential Activity</w:t>
            </w:r>
          </w:p>
        </w:tc>
        <w:tc>
          <w:tcPr>
            <w:tcW w:w="813" w:type="pct"/>
            <w:noWrap/>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78%</w:t>
            </w:r>
          </w:p>
        </w:tc>
        <w:tc>
          <w:tcPr>
            <w:tcW w:w="938" w:type="pct"/>
            <w:noWrap/>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5%</w:t>
            </w:r>
          </w:p>
        </w:tc>
        <w:tc>
          <w:tcPr>
            <w:tcW w:w="813" w:type="pct"/>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1%</w:t>
            </w:r>
          </w:p>
        </w:tc>
        <w:tc>
          <w:tcPr>
            <w:tcW w:w="875" w:type="pct"/>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15%</w:t>
            </w:r>
          </w:p>
        </w:tc>
      </w:tr>
      <w:tr w:rsidR="00982B8E" w:rsidRPr="00D14CE9" w:rsidTr="000B6297">
        <w:trPr>
          <w:trHeight w:val="20"/>
        </w:trPr>
        <w:tc>
          <w:tcPr>
            <w:tcW w:w="1563" w:type="pct"/>
            <w:noWrap/>
            <w:tcMar>
              <w:top w:w="28" w:type="dxa"/>
              <w:left w:w="28" w:type="dxa"/>
              <w:bottom w:w="28" w:type="dxa"/>
              <w:right w:w="28" w:type="dxa"/>
            </w:tcMar>
            <w:vAlign w:val="center"/>
          </w:tcPr>
          <w:p w:rsidR="00982B8E" w:rsidRPr="00D14CE9" w:rsidRDefault="00982B8E" w:rsidP="000B6297">
            <w:pPr>
              <w:rPr>
                <w:rFonts w:cs="Calibri"/>
                <w:color w:val="000000"/>
                <w:sz w:val="16"/>
                <w:szCs w:val="16"/>
              </w:rPr>
            </w:pPr>
            <w:r w:rsidRPr="00D14CE9">
              <w:rPr>
                <w:rFonts w:cs="Calibri"/>
                <w:color w:val="000000"/>
                <w:sz w:val="16"/>
                <w:szCs w:val="16"/>
              </w:rPr>
              <w:t>Transport (excluding major projects) Activity</w:t>
            </w:r>
          </w:p>
        </w:tc>
        <w:tc>
          <w:tcPr>
            <w:tcW w:w="813" w:type="pct"/>
            <w:noWrap/>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96%</w:t>
            </w:r>
          </w:p>
        </w:tc>
        <w:tc>
          <w:tcPr>
            <w:tcW w:w="938" w:type="pct"/>
            <w:noWrap/>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1%</w:t>
            </w:r>
          </w:p>
        </w:tc>
        <w:tc>
          <w:tcPr>
            <w:tcW w:w="813" w:type="pct"/>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0%</w:t>
            </w:r>
          </w:p>
        </w:tc>
        <w:tc>
          <w:tcPr>
            <w:tcW w:w="875" w:type="pct"/>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2%</w:t>
            </w:r>
          </w:p>
        </w:tc>
      </w:tr>
      <w:tr w:rsidR="00982B8E" w:rsidRPr="00D14CE9" w:rsidTr="000B6297">
        <w:trPr>
          <w:trHeight w:val="20"/>
        </w:trPr>
        <w:tc>
          <w:tcPr>
            <w:tcW w:w="1563" w:type="pct"/>
            <w:noWrap/>
            <w:tcMar>
              <w:top w:w="28" w:type="dxa"/>
              <w:left w:w="28" w:type="dxa"/>
              <w:bottom w:w="28" w:type="dxa"/>
              <w:right w:w="28" w:type="dxa"/>
            </w:tcMar>
            <w:vAlign w:val="center"/>
          </w:tcPr>
          <w:p w:rsidR="00982B8E" w:rsidRPr="00D14CE9" w:rsidRDefault="00982B8E" w:rsidP="000B6297">
            <w:pPr>
              <w:rPr>
                <w:rFonts w:cs="Calibri"/>
                <w:color w:val="000000"/>
                <w:sz w:val="16"/>
                <w:szCs w:val="16"/>
              </w:rPr>
            </w:pPr>
            <w:r w:rsidRPr="00D14CE9">
              <w:rPr>
                <w:rFonts w:cs="Calibri"/>
                <w:color w:val="000000"/>
                <w:sz w:val="16"/>
                <w:szCs w:val="16"/>
              </w:rPr>
              <w:t>Transport Major Projects</w:t>
            </w:r>
          </w:p>
        </w:tc>
        <w:tc>
          <w:tcPr>
            <w:tcW w:w="813" w:type="pct"/>
            <w:noWrap/>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77%</w:t>
            </w:r>
          </w:p>
        </w:tc>
        <w:tc>
          <w:tcPr>
            <w:tcW w:w="938" w:type="pct"/>
            <w:noWrap/>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2%</w:t>
            </w:r>
          </w:p>
        </w:tc>
        <w:tc>
          <w:tcPr>
            <w:tcW w:w="813" w:type="pct"/>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2%</w:t>
            </w:r>
          </w:p>
        </w:tc>
        <w:tc>
          <w:tcPr>
            <w:tcW w:w="875" w:type="pct"/>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18%</w:t>
            </w:r>
          </w:p>
        </w:tc>
      </w:tr>
      <w:tr w:rsidR="00982B8E" w:rsidRPr="00D14CE9" w:rsidTr="000B6297">
        <w:trPr>
          <w:trHeight w:val="20"/>
        </w:trPr>
        <w:tc>
          <w:tcPr>
            <w:tcW w:w="1563" w:type="pct"/>
            <w:noWrap/>
            <w:tcMar>
              <w:top w:w="28" w:type="dxa"/>
              <w:left w:w="28" w:type="dxa"/>
              <w:bottom w:w="28" w:type="dxa"/>
              <w:right w:w="28" w:type="dxa"/>
            </w:tcMar>
            <w:vAlign w:val="center"/>
          </w:tcPr>
          <w:p w:rsidR="00982B8E" w:rsidRPr="00D14CE9" w:rsidRDefault="00982B8E" w:rsidP="000B6297">
            <w:pPr>
              <w:rPr>
                <w:rFonts w:cs="Calibri"/>
                <w:color w:val="000000"/>
                <w:sz w:val="16"/>
                <w:szCs w:val="16"/>
              </w:rPr>
            </w:pPr>
            <w:r w:rsidRPr="00E26D85">
              <w:rPr>
                <w:rFonts w:cs="Calibri"/>
                <w:color w:val="000000"/>
                <w:sz w:val="16"/>
                <w:szCs w:val="16"/>
              </w:rPr>
              <w:t xml:space="preserve">Energy and </w:t>
            </w:r>
            <w:r w:rsidRPr="00C7148F">
              <w:rPr>
                <w:rFonts w:cs="Calibri"/>
                <w:color w:val="000000"/>
                <w:sz w:val="16"/>
                <w:szCs w:val="16"/>
              </w:rPr>
              <w:t>Utilities Activity</w:t>
            </w:r>
            <w:r w:rsidR="00934784">
              <w:rPr>
                <w:rFonts w:ascii="ZWAdobeF" w:hAnsi="ZWAdobeF" w:cs="ZWAdobeF"/>
                <w:sz w:val="2"/>
                <w:szCs w:val="2"/>
              </w:rPr>
              <w:t>1F</w:t>
            </w:r>
            <w:r w:rsidR="002F40BD" w:rsidRPr="00D14CE9">
              <w:rPr>
                <w:rStyle w:val="FootnoteReference"/>
                <w:rFonts w:cs="Calibri"/>
                <w:color w:val="000000"/>
              </w:rPr>
              <w:footnoteReference w:id="6"/>
            </w:r>
          </w:p>
        </w:tc>
        <w:tc>
          <w:tcPr>
            <w:tcW w:w="813" w:type="pct"/>
            <w:noWrap/>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100%</w:t>
            </w:r>
          </w:p>
        </w:tc>
        <w:tc>
          <w:tcPr>
            <w:tcW w:w="938" w:type="pct"/>
            <w:noWrap/>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0%</w:t>
            </w:r>
          </w:p>
        </w:tc>
        <w:tc>
          <w:tcPr>
            <w:tcW w:w="813" w:type="pct"/>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0%</w:t>
            </w:r>
          </w:p>
        </w:tc>
        <w:tc>
          <w:tcPr>
            <w:tcW w:w="875" w:type="pct"/>
            <w:tcMar>
              <w:top w:w="28" w:type="dxa"/>
              <w:left w:w="28" w:type="dxa"/>
              <w:bottom w:w="28" w:type="dxa"/>
              <w:right w:w="28" w:type="dxa"/>
            </w:tcMar>
            <w:vAlign w:val="center"/>
          </w:tcPr>
          <w:p w:rsidR="00982B8E" w:rsidRPr="00D14CE9" w:rsidRDefault="00982B8E" w:rsidP="000B6297">
            <w:pPr>
              <w:jc w:val="center"/>
              <w:rPr>
                <w:rFonts w:cs="Calibri"/>
                <w:color w:val="000000"/>
                <w:sz w:val="16"/>
                <w:szCs w:val="16"/>
              </w:rPr>
            </w:pPr>
            <w:r w:rsidRPr="00D14CE9">
              <w:rPr>
                <w:rFonts w:cs="Calibri"/>
                <w:color w:val="000000"/>
                <w:sz w:val="16"/>
                <w:szCs w:val="16"/>
              </w:rPr>
              <w:t>0%</w:t>
            </w:r>
          </w:p>
        </w:tc>
      </w:tr>
    </w:tbl>
    <w:p w:rsidR="0061645C" w:rsidRPr="00D14CE9" w:rsidRDefault="0061645C" w:rsidP="00C15F5A">
      <w:pPr>
        <w:pStyle w:val="EYSource"/>
        <w:rPr>
          <w:lang w:val="en-AU"/>
        </w:rPr>
      </w:pPr>
      <w:r w:rsidRPr="00D14CE9">
        <w:rPr>
          <w:lang w:val="en-AU"/>
        </w:rPr>
        <w:t>Source: Outputs of the analysis performed on AECOM dat</w:t>
      </w:r>
      <w:r w:rsidR="00233A07" w:rsidRPr="00D14CE9">
        <w:rPr>
          <w:lang w:val="en-AU"/>
        </w:rPr>
        <w:t>a, provided on 23 December 2015</w:t>
      </w:r>
      <w:r w:rsidRPr="00D14CE9">
        <w:rPr>
          <w:lang w:val="en-AU"/>
        </w:rPr>
        <w:t xml:space="preserve"> </w:t>
      </w:r>
    </w:p>
    <w:p w:rsidR="00C656E0" w:rsidRPr="00D14CE9" w:rsidRDefault="00C656E0" w:rsidP="00C15F5A"/>
    <w:p w:rsidR="00E56C86" w:rsidRPr="00D14CE9" w:rsidRDefault="00E56C86" w:rsidP="00E56C86">
      <w:pPr>
        <w:pStyle w:val="EYBodytextwithparaspace"/>
        <w:rPr>
          <w:lang w:val="en-AU"/>
        </w:rPr>
      </w:pPr>
      <w:r w:rsidRPr="00D14CE9">
        <w:rPr>
          <w:lang w:val="en-AU"/>
        </w:rPr>
        <w:t>A further detailed industry analysis was undertaken to refine our projections</w:t>
      </w:r>
      <w:r w:rsidR="005978C4" w:rsidRPr="00D14CE9">
        <w:rPr>
          <w:lang w:val="en-AU"/>
        </w:rPr>
        <w:t>,</w:t>
      </w:r>
      <w:r w:rsidRPr="00D14CE9">
        <w:rPr>
          <w:lang w:val="en-AU"/>
        </w:rPr>
        <w:t xml:space="preserve"> to account for the complex nature of the industry and the interdependent relationships between demand in certain locations and the supply of available extractive resources</w:t>
      </w:r>
      <w:r w:rsidR="00D26950" w:rsidRPr="00D14CE9">
        <w:rPr>
          <w:lang w:val="en-AU"/>
        </w:rPr>
        <w:t>, recognizing</w:t>
      </w:r>
      <w:r w:rsidRPr="00D14CE9">
        <w:rPr>
          <w:lang w:val="en-AU"/>
        </w:rPr>
        <w:t xml:space="preserve"> the tendency for the construction industry to make best use of what</w:t>
      </w:r>
      <w:r w:rsidR="00F3697D" w:rsidRPr="00D14CE9">
        <w:rPr>
          <w:lang w:val="en-AU"/>
        </w:rPr>
        <w:t xml:space="preserve"> i</w:t>
      </w:r>
      <w:r w:rsidRPr="00D14CE9">
        <w:rPr>
          <w:lang w:val="en-AU"/>
        </w:rPr>
        <w:t>s available and can be transported to construction sites at least cost.</w:t>
      </w:r>
      <w:r w:rsidR="005978C4" w:rsidRPr="00D14CE9">
        <w:rPr>
          <w:lang w:val="en-AU"/>
        </w:rPr>
        <w:t xml:space="preserve"> It also consisted of the development of detailed industry sector models, linking assumptions about the construction mix in each sector with macroeconomic forecasts and information from the </w:t>
      </w:r>
      <w:r w:rsidR="002F44ED" w:rsidRPr="00D14CE9">
        <w:rPr>
          <w:lang w:val="en-AU"/>
        </w:rPr>
        <w:t xml:space="preserve">DEDJTR’s </w:t>
      </w:r>
      <w:r w:rsidR="005978C4" w:rsidRPr="00D14CE9">
        <w:rPr>
          <w:lang w:val="en-AU"/>
        </w:rPr>
        <w:t xml:space="preserve">technical advisor regarding each type of construction and the quantities of extractive resources used </w:t>
      </w:r>
      <w:r w:rsidR="002C74A0" w:rsidRPr="00D14CE9">
        <w:rPr>
          <w:lang w:val="en-AU"/>
        </w:rPr>
        <w:t>in</w:t>
      </w:r>
      <w:r w:rsidR="005978C4" w:rsidRPr="00D14CE9">
        <w:rPr>
          <w:lang w:val="en-AU"/>
        </w:rPr>
        <w:t xml:space="preserve"> current construction methodologies). Those models were developed in order to ensure that our overall forecasting framework was adequately representing demands for the full range of significant construction activities, including those that may not have a clear relationship to the macroeconomic </w:t>
      </w:r>
      <w:r w:rsidR="005978C4" w:rsidRPr="00D14CE9">
        <w:rPr>
          <w:lang w:val="en-AU"/>
        </w:rPr>
        <w:lastRenderedPageBreak/>
        <w:t xml:space="preserve">drivers modelled at a higher level (e.g. wind farms and road network development and maintenance, where government policy directions and unique industry characteristics may influence construction trends). </w:t>
      </w:r>
    </w:p>
    <w:p w:rsidR="00E56C86" w:rsidRPr="00D14CE9" w:rsidRDefault="00E56C86" w:rsidP="00E56C86">
      <w:pPr>
        <w:pStyle w:val="EYBodytextwithparaspace"/>
        <w:rPr>
          <w:lang w:val="en-AU"/>
        </w:rPr>
      </w:pPr>
      <w:r w:rsidRPr="00D14CE9">
        <w:rPr>
          <w:lang w:val="en-AU"/>
        </w:rPr>
        <w:t>Through this analysis</w:t>
      </w:r>
      <w:r w:rsidR="00F3697D" w:rsidRPr="00D14CE9">
        <w:rPr>
          <w:lang w:val="en-AU"/>
        </w:rPr>
        <w:t xml:space="preserve"> and key technical assumptions provided by the DEDJTR’s technical advisor,</w:t>
      </w:r>
      <w:r w:rsidR="00BB2299" w:rsidRPr="00D14CE9">
        <w:rPr>
          <w:lang w:val="en-AU"/>
        </w:rPr>
        <w:t xml:space="preserve"> AECOM,</w:t>
      </w:r>
      <w:r w:rsidRPr="00D14CE9">
        <w:rPr>
          <w:lang w:val="en-AU"/>
        </w:rPr>
        <w:t xml:space="preserve"> </w:t>
      </w:r>
      <w:r w:rsidR="003D29E8" w:rsidRPr="00D14CE9">
        <w:rPr>
          <w:lang w:val="en-AU"/>
        </w:rPr>
        <w:t>EY</w:t>
      </w:r>
      <w:r w:rsidRPr="00D14CE9">
        <w:rPr>
          <w:lang w:val="en-AU"/>
        </w:rPr>
        <w:t xml:space="preserve"> </w:t>
      </w:r>
      <w:r w:rsidR="00F3697D" w:rsidRPr="00D14CE9">
        <w:rPr>
          <w:lang w:val="en-AU"/>
        </w:rPr>
        <w:t xml:space="preserve">refined </w:t>
      </w:r>
      <w:r w:rsidR="003D29E8" w:rsidRPr="00D14CE9">
        <w:rPr>
          <w:lang w:val="en-AU"/>
        </w:rPr>
        <w:t xml:space="preserve">the </w:t>
      </w:r>
      <w:r w:rsidRPr="00D14CE9">
        <w:rPr>
          <w:lang w:val="en-AU"/>
        </w:rPr>
        <w:t>spatial allocation per LGA of the demand for</w:t>
      </w:r>
      <w:r w:rsidR="00F3697D" w:rsidRPr="00D14CE9">
        <w:rPr>
          <w:lang w:val="en-AU"/>
        </w:rPr>
        <w:t xml:space="preserve"> extractive resources in relation to the </w:t>
      </w:r>
      <w:r w:rsidRPr="00D14CE9">
        <w:rPr>
          <w:lang w:val="en-AU"/>
        </w:rPr>
        <w:t>development of projections of hard rock demand with an increased level of granularity around the different types of hard rock (i.e. consisting of rock types including basalt old, basalt new, trachyte, dolerite, granite (incl. granodiorite, porphyry, microgranites), rhyodacite (incl. dacite, rhyolite), scoria, tuff, gneiss, hornfels, marble, quartzite, schist, slate and sedimentary (usually rippable rocks incl. sandstone, shale, siltstone chert, mudstone, claystone)).</w:t>
      </w:r>
      <w:r w:rsidR="00F3697D" w:rsidRPr="00D14CE9">
        <w:rPr>
          <w:lang w:val="en-AU"/>
        </w:rPr>
        <w:t xml:space="preserve"> </w:t>
      </w:r>
    </w:p>
    <w:p w:rsidR="00B65C18" w:rsidRPr="00D14CE9" w:rsidRDefault="00F3697D" w:rsidP="00C200D0">
      <w:pPr>
        <w:pStyle w:val="EYBodytextwithparaspace"/>
        <w:rPr>
          <w:rFonts w:cstheme="majorHAnsi"/>
          <w:szCs w:val="20"/>
          <w:lang w:val="en-AU"/>
        </w:rPr>
      </w:pPr>
      <w:r w:rsidRPr="00D14CE9">
        <w:rPr>
          <w:rFonts w:cstheme="majorHAnsi"/>
          <w:szCs w:val="20"/>
          <w:lang w:val="en-AU"/>
        </w:rPr>
        <w:t>Those assumptions considered for the spatial allocation of each hard rock type</w:t>
      </w:r>
      <w:r w:rsidR="00BB2299" w:rsidRPr="00D14CE9">
        <w:rPr>
          <w:rFonts w:cstheme="majorHAnsi"/>
          <w:szCs w:val="20"/>
          <w:lang w:val="en-AU"/>
        </w:rPr>
        <w:t xml:space="preserve"> are </w:t>
      </w:r>
      <w:r w:rsidRPr="00D14CE9">
        <w:rPr>
          <w:rFonts w:cstheme="majorHAnsi"/>
          <w:szCs w:val="20"/>
          <w:lang w:val="en-AU"/>
        </w:rPr>
        <w:t xml:space="preserve">outlined </w:t>
      </w:r>
      <w:r w:rsidR="0061645C" w:rsidRPr="00D14CE9">
        <w:rPr>
          <w:rFonts w:cstheme="majorHAnsi"/>
          <w:szCs w:val="20"/>
          <w:lang w:val="en-AU"/>
        </w:rPr>
        <w:t xml:space="preserve">in </w:t>
      </w:r>
      <w:r w:rsidR="00C46219">
        <w:rPr>
          <w:rFonts w:cstheme="majorHAnsi"/>
          <w:szCs w:val="20"/>
          <w:lang w:val="en-AU"/>
        </w:rPr>
        <w:fldChar w:fldCharType="begin"/>
      </w:r>
      <w:r w:rsidR="00C46219">
        <w:rPr>
          <w:rFonts w:cstheme="majorHAnsi"/>
          <w:szCs w:val="20"/>
          <w:lang w:val="en-AU"/>
        </w:rPr>
        <w:instrText xml:space="preserve"> REF _Ref441497654 \h </w:instrText>
      </w:r>
      <w:r w:rsidR="00C46219">
        <w:rPr>
          <w:rFonts w:cstheme="majorHAnsi"/>
          <w:szCs w:val="20"/>
          <w:lang w:val="en-AU"/>
        </w:rPr>
      </w:r>
      <w:r w:rsidR="00C46219">
        <w:rPr>
          <w:rFonts w:cstheme="majorHAnsi"/>
          <w:szCs w:val="20"/>
          <w:lang w:val="en-AU"/>
        </w:rPr>
        <w:fldChar w:fldCharType="separate"/>
      </w:r>
      <w:r w:rsidR="00525C82" w:rsidRPr="00D14CE9">
        <w:t xml:space="preserve">Table </w:t>
      </w:r>
      <w:r w:rsidR="00525C82">
        <w:rPr>
          <w:noProof/>
        </w:rPr>
        <w:t>7</w:t>
      </w:r>
      <w:r w:rsidR="00C46219">
        <w:rPr>
          <w:rFonts w:cstheme="majorHAnsi"/>
          <w:szCs w:val="20"/>
          <w:lang w:val="en-AU"/>
        </w:rPr>
        <w:fldChar w:fldCharType="end"/>
      </w:r>
      <w:r w:rsidR="00BB2299" w:rsidRPr="00D14CE9">
        <w:rPr>
          <w:rFonts w:cstheme="majorHAnsi"/>
          <w:szCs w:val="20"/>
          <w:lang w:val="en-AU"/>
        </w:rPr>
        <w:t xml:space="preserve"> </w:t>
      </w:r>
      <w:r w:rsidR="0061645C" w:rsidRPr="00D14CE9">
        <w:rPr>
          <w:rFonts w:cstheme="majorHAnsi"/>
          <w:szCs w:val="20"/>
          <w:lang w:val="en-AU"/>
        </w:rPr>
        <w:t>of the Report</w:t>
      </w:r>
      <w:r w:rsidR="00BB2299" w:rsidRPr="00D14CE9">
        <w:rPr>
          <w:rFonts w:cstheme="majorHAnsi"/>
          <w:szCs w:val="20"/>
          <w:lang w:val="en-AU"/>
        </w:rPr>
        <w:t>.</w:t>
      </w:r>
    </w:p>
    <w:p w:rsidR="00714DD7" w:rsidRPr="00D14CE9" w:rsidRDefault="00BC1353" w:rsidP="00C9521C">
      <w:pPr>
        <w:pStyle w:val="EYHeading2"/>
      </w:pPr>
      <w:bookmarkStart w:id="518" w:name="_Toc442110432"/>
      <w:bookmarkStart w:id="519" w:name="_Toc442110720"/>
      <w:bookmarkStart w:id="520" w:name="_Toc442110624"/>
      <w:bookmarkStart w:id="521" w:name="_Toc442110912"/>
      <w:bookmarkStart w:id="522" w:name="_Toc451847084"/>
      <w:bookmarkEnd w:id="518"/>
      <w:bookmarkEnd w:id="519"/>
      <w:bookmarkEnd w:id="520"/>
      <w:bookmarkEnd w:id="521"/>
      <w:r w:rsidRPr="00D14CE9">
        <w:t>R</w:t>
      </w:r>
      <w:r w:rsidR="00B3690C" w:rsidRPr="00D14CE9">
        <w:t>esults</w:t>
      </w:r>
      <w:bookmarkEnd w:id="522"/>
    </w:p>
    <w:p w:rsidR="00714DD7" w:rsidRPr="00D14CE9" w:rsidRDefault="00714DD7" w:rsidP="004356F9">
      <w:pPr>
        <w:pStyle w:val="EYBodytextwithparaspace"/>
        <w:rPr>
          <w:rFonts w:cstheme="majorHAnsi"/>
          <w:szCs w:val="20"/>
          <w:lang w:val="en-AU"/>
        </w:rPr>
      </w:pPr>
      <w:r w:rsidRPr="00D14CE9">
        <w:rPr>
          <w:rFonts w:cstheme="majorHAnsi"/>
          <w:szCs w:val="20"/>
          <w:lang w:val="en-AU"/>
        </w:rPr>
        <w:t xml:space="preserve">The macro-economic driven demand model, whose key build-up steps have been outlined in this Report, has therefore allowed the development of the baseline demand profile for extractive resources, from 2015 to 2050. </w:t>
      </w:r>
    </w:p>
    <w:p w:rsidR="00276880" w:rsidRDefault="00276880" w:rsidP="002A1D72">
      <w:pPr>
        <w:pStyle w:val="EYSubheading"/>
        <w:rPr>
          <w:lang w:val="en-AU"/>
        </w:rPr>
      </w:pPr>
      <w:r>
        <w:rPr>
          <w:lang w:val="en-AU"/>
        </w:rPr>
        <w:t>Consolidated trend</w:t>
      </w:r>
    </w:p>
    <w:p w:rsidR="00F3697D" w:rsidRPr="00D14CE9" w:rsidRDefault="00F3697D" w:rsidP="00F3697D">
      <w:pPr>
        <w:pStyle w:val="EYBodytextwithparaspace"/>
        <w:rPr>
          <w:lang w:val="en-AU"/>
        </w:rPr>
      </w:pPr>
      <w:r w:rsidRPr="00D14CE9">
        <w:rPr>
          <w:lang w:val="en-AU"/>
        </w:rPr>
        <w:t xml:space="preserve">The baseline demand projections </w:t>
      </w:r>
      <w:r w:rsidR="00045212" w:rsidRPr="00D14CE9">
        <w:rPr>
          <w:lang w:val="en-AU"/>
        </w:rPr>
        <w:t>over the short, medium and long term are</w:t>
      </w:r>
      <w:r w:rsidRPr="00D14CE9">
        <w:rPr>
          <w:lang w:val="en-AU"/>
        </w:rPr>
        <w:t xml:space="preserve"> summarized</w:t>
      </w:r>
      <w:r w:rsidR="00D26950" w:rsidRPr="00D14CE9">
        <w:rPr>
          <w:lang w:val="en-AU"/>
        </w:rPr>
        <w:t xml:space="preserve">, </w:t>
      </w:r>
      <w:r w:rsidR="00045212" w:rsidRPr="00D14CE9">
        <w:rPr>
          <w:lang w:val="en-AU"/>
        </w:rPr>
        <w:t>in aggregate</w:t>
      </w:r>
      <w:r w:rsidR="00D26950" w:rsidRPr="00D14CE9">
        <w:rPr>
          <w:lang w:val="en-AU"/>
        </w:rPr>
        <w:t>,</w:t>
      </w:r>
      <w:r w:rsidRPr="00D14CE9">
        <w:rPr>
          <w:lang w:val="en-AU"/>
        </w:rPr>
        <w:t xml:space="preserve"> in the below table.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12"/>
        <w:tblDescription w:val="Table 12 is a total demand forecast for 2015, 2026 and 2050.  In 2015 total demand is 46.4 million tonnes. In 2026 it is estimated to be 55.8 million tonnes and in 2050 it is estimated to be 87.8 million tonnes. &#10;&#10;"/>
      </w:tblPr>
      <w:tblGrid>
        <w:gridCol w:w="3569"/>
        <w:gridCol w:w="1856"/>
        <w:gridCol w:w="2141"/>
        <w:gridCol w:w="1856"/>
      </w:tblGrid>
      <w:tr w:rsidR="00F3697D" w:rsidRPr="00D14CE9" w:rsidTr="00C9521C">
        <w:tc>
          <w:tcPr>
            <w:tcW w:w="5000" w:type="pct"/>
            <w:gridSpan w:val="4"/>
            <w:shd w:val="clear" w:color="auto" w:fill="808080" w:themeFill="background1" w:themeFillShade="80"/>
            <w:vAlign w:val="center"/>
          </w:tcPr>
          <w:p w:rsidR="00F3697D" w:rsidRPr="00D14CE9" w:rsidRDefault="00F3697D" w:rsidP="00802792">
            <w:pPr>
              <w:pStyle w:val="EYTableHeadingWhite"/>
            </w:pPr>
            <w:bookmarkStart w:id="523" w:name="_Toc445240946"/>
            <w:bookmarkStart w:id="524" w:name="_Toc448914639"/>
            <w:bookmarkStart w:id="525" w:name="_Toc448920456"/>
            <w:r w:rsidRPr="00D14CE9">
              <w:t xml:space="preserve">Table </w:t>
            </w:r>
            <w:r w:rsidR="000701D2">
              <w:fldChar w:fldCharType="begin"/>
            </w:r>
            <w:r w:rsidR="000701D2">
              <w:instrText xml:space="preserve"> SEQ Table \* ARABIC </w:instrText>
            </w:r>
            <w:r w:rsidR="000701D2">
              <w:fldChar w:fldCharType="separate"/>
            </w:r>
            <w:r w:rsidR="00525C82">
              <w:rPr>
                <w:noProof/>
              </w:rPr>
              <w:t>12</w:t>
            </w:r>
            <w:r w:rsidR="000701D2">
              <w:rPr>
                <w:noProof/>
              </w:rPr>
              <w:fldChar w:fldCharType="end"/>
            </w:r>
            <w:r w:rsidRPr="00D14CE9">
              <w:t xml:space="preserve"> – Demand Forecast – Total in 2015, 2026 and 2050 (million tonnes)</w:t>
            </w:r>
            <w:bookmarkEnd w:id="523"/>
            <w:bookmarkEnd w:id="524"/>
            <w:bookmarkEnd w:id="525"/>
          </w:p>
        </w:tc>
      </w:tr>
      <w:tr w:rsidR="00F3697D" w:rsidRPr="00D14CE9" w:rsidTr="00CC7713">
        <w:tc>
          <w:tcPr>
            <w:tcW w:w="1894" w:type="pct"/>
            <w:shd w:val="clear" w:color="auto" w:fill="F0F0F0"/>
            <w:vAlign w:val="center"/>
          </w:tcPr>
          <w:p w:rsidR="00F3697D" w:rsidRPr="00D14CE9" w:rsidRDefault="00F3697D" w:rsidP="00E65C9D">
            <w:pPr>
              <w:pStyle w:val="EYTableHeading"/>
              <w:jc w:val="center"/>
              <w:rPr>
                <w:rFonts w:eastAsia="Arial Unicode MS"/>
              </w:rPr>
            </w:pPr>
          </w:p>
        </w:tc>
        <w:tc>
          <w:tcPr>
            <w:tcW w:w="985" w:type="pct"/>
            <w:shd w:val="clear" w:color="auto" w:fill="F0F0F0"/>
            <w:vAlign w:val="center"/>
          </w:tcPr>
          <w:p w:rsidR="00F3697D" w:rsidRPr="00D14CE9" w:rsidRDefault="00F3697D" w:rsidP="00E65C9D">
            <w:pPr>
              <w:pStyle w:val="EYTableHeading"/>
              <w:jc w:val="center"/>
              <w:rPr>
                <w:rFonts w:eastAsia="Arial Unicode MS"/>
              </w:rPr>
            </w:pPr>
            <w:r w:rsidRPr="00D14CE9">
              <w:t>2015</w:t>
            </w:r>
          </w:p>
        </w:tc>
        <w:tc>
          <w:tcPr>
            <w:tcW w:w="1136" w:type="pct"/>
            <w:shd w:val="clear" w:color="auto" w:fill="F0F0F0"/>
            <w:vAlign w:val="center"/>
          </w:tcPr>
          <w:p w:rsidR="00F3697D" w:rsidRPr="00D14CE9" w:rsidRDefault="00F3697D" w:rsidP="00E65C9D">
            <w:pPr>
              <w:pStyle w:val="EYTableHeading"/>
              <w:jc w:val="center"/>
              <w:rPr>
                <w:rFonts w:eastAsia="Arial Unicode MS"/>
              </w:rPr>
            </w:pPr>
            <w:r w:rsidRPr="00D14CE9">
              <w:t>2026</w:t>
            </w:r>
          </w:p>
        </w:tc>
        <w:tc>
          <w:tcPr>
            <w:tcW w:w="985" w:type="pct"/>
            <w:shd w:val="clear" w:color="auto" w:fill="F0F0F0"/>
            <w:vAlign w:val="center"/>
          </w:tcPr>
          <w:p w:rsidR="00F3697D" w:rsidRPr="00D14CE9" w:rsidRDefault="00F3697D" w:rsidP="00E65C9D">
            <w:pPr>
              <w:pStyle w:val="EYTableHeading"/>
              <w:jc w:val="center"/>
            </w:pPr>
            <w:r w:rsidRPr="00D14CE9">
              <w:t>2050</w:t>
            </w:r>
          </w:p>
        </w:tc>
      </w:tr>
      <w:tr w:rsidR="00F3697D" w:rsidRPr="00D14CE9" w:rsidTr="00CC7713">
        <w:trPr>
          <w:trHeight w:val="315"/>
        </w:trPr>
        <w:tc>
          <w:tcPr>
            <w:tcW w:w="1894" w:type="pct"/>
            <w:noWrap/>
            <w:vAlign w:val="center"/>
          </w:tcPr>
          <w:p w:rsidR="00F3697D" w:rsidRPr="00D14CE9" w:rsidRDefault="00F3697D" w:rsidP="00CC7713">
            <w:pPr>
              <w:rPr>
                <w:sz w:val="16"/>
                <w:szCs w:val="16"/>
              </w:rPr>
            </w:pPr>
            <w:r w:rsidRPr="00D14CE9">
              <w:rPr>
                <w:rFonts w:cs="Calibri"/>
                <w:color w:val="000000"/>
                <w:sz w:val="16"/>
                <w:szCs w:val="16"/>
              </w:rPr>
              <w:t>Total Demand</w:t>
            </w:r>
          </w:p>
        </w:tc>
        <w:tc>
          <w:tcPr>
            <w:tcW w:w="985" w:type="pct"/>
            <w:noWrap/>
            <w:vAlign w:val="center"/>
          </w:tcPr>
          <w:p w:rsidR="00F3697D" w:rsidRPr="00D14CE9" w:rsidRDefault="00B33C73" w:rsidP="00CC7713">
            <w:pPr>
              <w:jc w:val="center"/>
              <w:rPr>
                <w:sz w:val="16"/>
                <w:szCs w:val="16"/>
              </w:rPr>
            </w:pPr>
            <w:r w:rsidRPr="00D14CE9">
              <w:rPr>
                <w:sz w:val="16"/>
                <w:szCs w:val="16"/>
              </w:rPr>
              <w:t>46.4</w:t>
            </w:r>
          </w:p>
        </w:tc>
        <w:tc>
          <w:tcPr>
            <w:tcW w:w="1136" w:type="pct"/>
            <w:noWrap/>
            <w:vAlign w:val="center"/>
          </w:tcPr>
          <w:p w:rsidR="00F3697D" w:rsidRPr="00D14CE9" w:rsidRDefault="00B33C73" w:rsidP="00CC7713">
            <w:pPr>
              <w:jc w:val="center"/>
              <w:rPr>
                <w:sz w:val="16"/>
                <w:szCs w:val="16"/>
              </w:rPr>
            </w:pPr>
            <w:r w:rsidRPr="00D14CE9">
              <w:rPr>
                <w:sz w:val="16"/>
                <w:szCs w:val="16"/>
              </w:rPr>
              <w:t>55.8</w:t>
            </w:r>
          </w:p>
        </w:tc>
        <w:tc>
          <w:tcPr>
            <w:tcW w:w="985" w:type="pct"/>
            <w:vAlign w:val="center"/>
          </w:tcPr>
          <w:p w:rsidR="00F3697D" w:rsidRPr="00D14CE9" w:rsidRDefault="00B33C73" w:rsidP="00CC7713">
            <w:pPr>
              <w:jc w:val="center"/>
              <w:rPr>
                <w:sz w:val="16"/>
                <w:szCs w:val="16"/>
              </w:rPr>
            </w:pPr>
            <w:r w:rsidRPr="00D14CE9">
              <w:rPr>
                <w:sz w:val="16"/>
                <w:szCs w:val="16"/>
              </w:rPr>
              <w:t>87.8</w:t>
            </w:r>
          </w:p>
        </w:tc>
      </w:tr>
    </w:tbl>
    <w:p w:rsidR="00F3697D" w:rsidRPr="00D14CE9" w:rsidRDefault="00F3697D" w:rsidP="00C15F5A">
      <w:pPr>
        <w:pStyle w:val="EYSource"/>
        <w:rPr>
          <w:lang w:val="en-AU"/>
        </w:rPr>
      </w:pPr>
      <w:r w:rsidRPr="00D14CE9">
        <w:rPr>
          <w:lang w:val="en-AU"/>
        </w:rPr>
        <w:t>Source: EY analysis</w:t>
      </w:r>
    </w:p>
    <w:p w:rsidR="00F3697D" w:rsidRPr="00D14CE9" w:rsidRDefault="00F3697D" w:rsidP="00F3697D">
      <w:pPr>
        <w:pStyle w:val="ListParagraph"/>
        <w:numPr>
          <w:ilvl w:val="0"/>
          <w:numId w:val="9"/>
        </w:numPr>
        <w:rPr>
          <w:rFonts w:ascii="EYInterstate Light" w:hAnsi="EYInterstate Light"/>
          <w:i/>
          <w:sz w:val="16"/>
          <w:szCs w:val="16"/>
        </w:rPr>
      </w:pPr>
    </w:p>
    <w:p w:rsidR="00714DD7" w:rsidRPr="00D14CE9" w:rsidRDefault="00714DD7" w:rsidP="00C200D0">
      <w:pPr>
        <w:pStyle w:val="EYBodytextwithparaspace"/>
        <w:rPr>
          <w:rFonts w:cstheme="majorHAnsi"/>
          <w:szCs w:val="20"/>
          <w:lang w:val="en-AU"/>
        </w:rPr>
      </w:pPr>
      <w:r w:rsidRPr="00D14CE9">
        <w:rPr>
          <w:rFonts w:cstheme="majorHAnsi"/>
          <w:szCs w:val="20"/>
          <w:lang w:val="en-AU"/>
        </w:rPr>
        <w:t xml:space="preserve">The figure below presents the high level consolidated trend of the yearly demand forecast, for total demand and per main category of extractive resources. This figure presents the forecast results from 2015 to 2050, as well as historic trend from 2002. </w:t>
      </w:r>
    </w:p>
    <w:p w:rsidR="00714DD7" w:rsidRPr="00C7148F" w:rsidRDefault="00714DD7" w:rsidP="00C200D0">
      <w:pPr>
        <w:pStyle w:val="Caption"/>
        <w:rPr>
          <w:sz w:val="16"/>
          <w:szCs w:val="18"/>
        </w:rPr>
      </w:pPr>
      <w:bookmarkStart w:id="526" w:name="_Toc445240915"/>
      <w:bookmarkStart w:id="527" w:name="_Toc448914578"/>
      <w:r w:rsidRPr="00D14CE9">
        <w:rPr>
          <w:sz w:val="16"/>
          <w:szCs w:val="18"/>
        </w:rPr>
        <w:t xml:space="preserve">Figure </w:t>
      </w:r>
      <w:r w:rsidRPr="00133B47">
        <w:rPr>
          <w:sz w:val="16"/>
          <w:szCs w:val="18"/>
        </w:rPr>
        <w:fldChar w:fldCharType="begin"/>
      </w:r>
      <w:r w:rsidRPr="00D14CE9">
        <w:rPr>
          <w:sz w:val="16"/>
          <w:szCs w:val="18"/>
        </w:rPr>
        <w:instrText xml:space="preserve"> SEQ Figure \* ARABIC </w:instrText>
      </w:r>
      <w:r w:rsidRPr="00133B47">
        <w:rPr>
          <w:sz w:val="16"/>
          <w:szCs w:val="18"/>
        </w:rPr>
        <w:fldChar w:fldCharType="separate"/>
      </w:r>
      <w:r w:rsidR="00525C82">
        <w:rPr>
          <w:noProof/>
          <w:sz w:val="16"/>
          <w:szCs w:val="18"/>
        </w:rPr>
        <w:t>16</w:t>
      </w:r>
      <w:r w:rsidRPr="00133B47">
        <w:rPr>
          <w:sz w:val="16"/>
          <w:szCs w:val="18"/>
        </w:rPr>
        <w:fldChar w:fldCharType="end"/>
      </w:r>
      <w:r w:rsidRPr="00D14CE9">
        <w:rPr>
          <w:sz w:val="16"/>
          <w:szCs w:val="18"/>
        </w:rPr>
        <w:t xml:space="preserve"> – Extractive Resources Demand – Historic data and Forecast </w:t>
      </w:r>
      <w:r w:rsidR="00A52BFF" w:rsidRPr="00C7148F">
        <w:rPr>
          <w:sz w:val="16"/>
          <w:szCs w:val="18"/>
        </w:rPr>
        <w:t xml:space="preserve">over the period </w:t>
      </w:r>
      <w:r w:rsidRPr="00C7148F">
        <w:rPr>
          <w:sz w:val="16"/>
          <w:szCs w:val="18"/>
        </w:rPr>
        <w:t>2002-2050 – million tonnes</w:t>
      </w:r>
      <w:bookmarkEnd w:id="526"/>
      <w:bookmarkEnd w:id="527"/>
      <w:r w:rsidRPr="00C7148F">
        <w:rPr>
          <w:sz w:val="16"/>
          <w:szCs w:val="18"/>
        </w:rPr>
        <w:t xml:space="preserve"> </w:t>
      </w:r>
    </w:p>
    <w:p w:rsidR="00B33C73" w:rsidRPr="00D14CE9" w:rsidRDefault="00B33C73" w:rsidP="00C15F5A">
      <w:pPr>
        <w:pStyle w:val="EYSource"/>
        <w:rPr>
          <w:lang w:val="en-AU"/>
        </w:rPr>
      </w:pPr>
      <w:r w:rsidRPr="00474B05">
        <w:rPr>
          <w:noProof/>
          <w:lang w:val="en-AU" w:eastAsia="en-AU"/>
        </w:rPr>
        <w:drawing>
          <wp:inline distT="0" distB="0" distL="0" distR="0" wp14:anchorId="3464A53C" wp14:editId="1423C498">
            <wp:extent cx="5947576" cy="2024071"/>
            <wp:effectExtent l="0" t="0" r="0" b="0"/>
            <wp:docPr id="19" name="Picture 19" descr="Figure 16 is a graph showing extractive resources demand – historic and forecast from 2002 – 2050.  It shows that while hard rock and limestone appear to double in demand over the period, clay and clay shale and sand and gravel remain at about the same level as they are in 2015. &#10;&#10;"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8790" cy="2027887"/>
                    </a:xfrm>
                    <a:prstGeom prst="rect">
                      <a:avLst/>
                    </a:prstGeom>
                    <a:noFill/>
                  </pic:spPr>
                </pic:pic>
              </a:graphicData>
            </a:graphic>
          </wp:inline>
        </w:drawing>
      </w:r>
    </w:p>
    <w:p w:rsidR="00714DD7" w:rsidRPr="00D14CE9" w:rsidRDefault="00714DD7" w:rsidP="00C15F5A">
      <w:pPr>
        <w:pStyle w:val="EYSource"/>
        <w:rPr>
          <w:lang w:val="en-AU"/>
        </w:rPr>
      </w:pPr>
      <w:r w:rsidRPr="00D14CE9">
        <w:rPr>
          <w:lang w:val="en-AU"/>
        </w:rPr>
        <w:t>Source: EY analysis</w:t>
      </w:r>
    </w:p>
    <w:p w:rsidR="00C15F5A" w:rsidRPr="00D14CE9" w:rsidRDefault="00C15F5A" w:rsidP="00C15F5A"/>
    <w:p w:rsidR="00667D50" w:rsidRPr="00D14CE9" w:rsidRDefault="00667D50" w:rsidP="00667D50">
      <w:pPr>
        <w:pStyle w:val="EYBodytextwithparaspace"/>
        <w:rPr>
          <w:rFonts w:cstheme="majorHAnsi"/>
          <w:szCs w:val="20"/>
          <w:lang w:val="en-AU"/>
        </w:rPr>
      </w:pPr>
      <w:r>
        <w:rPr>
          <w:rFonts w:cstheme="majorHAnsi"/>
          <w:szCs w:val="20"/>
          <w:lang w:val="en-AU"/>
        </w:rPr>
        <w:t>Sudden d</w:t>
      </w:r>
      <w:r w:rsidRPr="00D14CE9">
        <w:rPr>
          <w:rFonts w:cstheme="majorHAnsi"/>
          <w:szCs w:val="20"/>
          <w:lang w:val="en-AU"/>
        </w:rPr>
        <w:t xml:space="preserve">ownward </w:t>
      </w:r>
      <w:r>
        <w:rPr>
          <w:rFonts w:cstheme="majorHAnsi"/>
          <w:szCs w:val="20"/>
          <w:lang w:val="en-AU"/>
        </w:rPr>
        <w:t>movements at years 2022 and 2032</w:t>
      </w:r>
      <w:r w:rsidRPr="00D14CE9">
        <w:rPr>
          <w:rFonts w:cstheme="majorHAnsi"/>
          <w:szCs w:val="20"/>
          <w:lang w:val="en-AU"/>
        </w:rPr>
        <w:t xml:space="preserve"> are related to </w:t>
      </w:r>
      <w:r>
        <w:rPr>
          <w:rFonts w:cstheme="majorHAnsi"/>
          <w:szCs w:val="20"/>
          <w:lang w:val="en-AU"/>
        </w:rPr>
        <w:t xml:space="preserve">changes to </w:t>
      </w:r>
      <w:r w:rsidRPr="00D14CE9">
        <w:rPr>
          <w:rFonts w:cstheme="majorHAnsi"/>
          <w:szCs w:val="20"/>
          <w:lang w:val="en-AU"/>
        </w:rPr>
        <w:t xml:space="preserve">population growth rates </w:t>
      </w:r>
      <w:r>
        <w:rPr>
          <w:rFonts w:cstheme="majorHAnsi"/>
          <w:szCs w:val="20"/>
          <w:lang w:val="en-AU"/>
        </w:rPr>
        <w:t>provided by the Victorian Government in its official population forecast (</w:t>
      </w:r>
      <w:r w:rsidRPr="001B623F">
        <w:rPr>
          <w:rFonts w:cstheme="majorHAnsi"/>
          <w:i/>
          <w:szCs w:val="20"/>
          <w:lang w:val="en-AU"/>
        </w:rPr>
        <w:t>Victoria in Future</w:t>
      </w:r>
      <w:r>
        <w:rPr>
          <w:rFonts w:cstheme="majorHAnsi"/>
          <w:szCs w:val="20"/>
          <w:lang w:val="en-AU"/>
        </w:rPr>
        <w:t xml:space="preserve">). As our approach to forecasting the demand for extractive resources is based on absolute changes in population and other macroeconomic variables, this has the impact of creating sudden drops in total demand as the amount of people added in those years identified is less than the amount added in the previous year. It is considered preferable to adhere to the Government’s population profile rather than artificially smoothing the results. </w:t>
      </w:r>
    </w:p>
    <w:p w:rsidR="00714DD7" w:rsidRPr="00D14CE9" w:rsidRDefault="00714DD7" w:rsidP="00C200D0">
      <w:pPr>
        <w:pStyle w:val="EYBodytextwithparaspace"/>
        <w:rPr>
          <w:rFonts w:cstheme="majorHAnsi"/>
          <w:szCs w:val="20"/>
          <w:lang w:val="en-AU"/>
        </w:rPr>
      </w:pPr>
      <w:r w:rsidRPr="00D14CE9">
        <w:rPr>
          <w:rFonts w:cstheme="majorHAnsi"/>
          <w:szCs w:val="20"/>
          <w:lang w:val="en-AU"/>
        </w:rPr>
        <w:t>This forecast, illustrating an increase in needs for extractive resources, follows expected trends in relation to the demographic evolution in Victoria and social behavio</w:t>
      </w:r>
      <w:r w:rsidR="00605C45" w:rsidRPr="00D14CE9">
        <w:rPr>
          <w:rFonts w:cstheme="majorHAnsi"/>
          <w:szCs w:val="20"/>
          <w:lang w:val="en-AU"/>
        </w:rPr>
        <w:t>u</w:t>
      </w:r>
      <w:r w:rsidRPr="00D14CE9">
        <w:rPr>
          <w:rFonts w:cstheme="majorHAnsi"/>
          <w:szCs w:val="20"/>
          <w:lang w:val="en-AU"/>
        </w:rPr>
        <w:t>rs, which is therefore driving the needs for public infrastructure (i.e. social assets) and increase</w:t>
      </w:r>
      <w:r w:rsidR="005978C4" w:rsidRPr="00D14CE9">
        <w:rPr>
          <w:rFonts w:cstheme="majorHAnsi"/>
          <w:szCs w:val="20"/>
          <w:lang w:val="en-AU"/>
        </w:rPr>
        <w:t>d</w:t>
      </w:r>
      <w:r w:rsidRPr="00D14CE9">
        <w:rPr>
          <w:rFonts w:cstheme="majorHAnsi"/>
          <w:szCs w:val="20"/>
          <w:lang w:val="en-AU"/>
        </w:rPr>
        <w:t xml:space="preserve"> mobility.</w:t>
      </w:r>
    </w:p>
    <w:p w:rsidR="00276880" w:rsidRPr="00D14CE9" w:rsidRDefault="00276880" w:rsidP="00276880">
      <w:pPr>
        <w:pStyle w:val="EYSubheading"/>
        <w:rPr>
          <w:lang w:val="en-AU"/>
        </w:rPr>
      </w:pPr>
      <w:r>
        <w:rPr>
          <w:lang w:val="en-AU"/>
        </w:rPr>
        <w:lastRenderedPageBreak/>
        <w:t>Demand for hard rocks</w:t>
      </w:r>
    </w:p>
    <w:p w:rsidR="00714DD7" w:rsidRDefault="00714DD7" w:rsidP="00C200D0">
      <w:pPr>
        <w:pStyle w:val="EYBodytextwithparaspace"/>
        <w:rPr>
          <w:rFonts w:cstheme="majorHAnsi"/>
          <w:szCs w:val="20"/>
          <w:lang w:val="en-AU"/>
        </w:rPr>
      </w:pPr>
      <w:r w:rsidRPr="00D14CE9">
        <w:rPr>
          <w:rFonts w:cstheme="majorHAnsi"/>
          <w:szCs w:val="20"/>
          <w:lang w:val="en-AU"/>
        </w:rPr>
        <w:t xml:space="preserve">Much greater demand for hard rock is forecast compared to other extractive resources. </w:t>
      </w:r>
      <w:r w:rsidRPr="00474B05">
        <w:rPr>
          <w:rFonts w:cstheme="majorHAnsi"/>
          <w:szCs w:val="20"/>
          <w:lang w:val="en-AU"/>
        </w:rPr>
        <w:fldChar w:fldCharType="begin" w:fldLock="1"/>
      </w:r>
      <w:r w:rsidRPr="00D14CE9">
        <w:rPr>
          <w:rFonts w:cstheme="majorHAnsi"/>
          <w:szCs w:val="20"/>
          <w:lang w:val="en-AU"/>
        </w:rPr>
        <w:instrText xml:space="preserve"> REF _Ref441410661 \h  \* MERGEFORMAT </w:instrText>
      </w:r>
      <w:r w:rsidRPr="00474B05">
        <w:rPr>
          <w:rFonts w:cstheme="majorHAnsi"/>
          <w:szCs w:val="20"/>
          <w:lang w:val="en-AU"/>
        </w:rPr>
      </w:r>
      <w:r w:rsidRPr="00474B05">
        <w:rPr>
          <w:rFonts w:cstheme="majorHAnsi"/>
          <w:szCs w:val="20"/>
          <w:lang w:val="en-AU"/>
        </w:rPr>
        <w:fldChar w:fldCharType="separate"/>
      </w:r>
      <w:r w:rsidR="00895089" w:rsidRPr="00E65C9D">
        <w:rPr>
          <w:rFonts w:cstheme="majorHAnsi"/>
          <w:szCs w:val="20"/>
          <w:lang w:val="en-AU"/>
        </w:rPr>
        <w:t>Figure 17</w:t>
      </w:r>
      <w:r w:rsidRPr="00474B05">
        <w:rPr>
          <w:rFonts w:cstheme="majorHAnsi"/>
          <w:szCs w:val="20"/>
          <w:lang w:val="en-AU"/>
        </w:rPr>
        <w:fldChar w:fldCharType="end"/>
      </w:r>
      <w:r w:rsidRPr="00D14CE9">
        <w:rPr>
          <w:rFonts w:cstheme="majorHAnsi"/>
          <w:szCs w:val="20"/>
          <w:lang w:val="en-AU"/>
        </w:rPr>
        <w:t xml:space="preserve"> below presents the breakdown of hard rock demand estimate from 2015 to 2050, at a more granular level.</w:t>
      </w:r>
    </w:p>
    <w:p w:rsidR="00714DD7" w:rsidRPr="00D14CE9" w:rsidRDefault="00714DD7" w:rsidP="00C200D0">
      <w:pPr>
        <w:pStyle w:val="Caption"/>
        <w:rPr>
          <w:sz w:val="16"/>
          <w:szCs w:val="18"/>
        </w:rPr>
      </w:pPr>
      <w:bookmarkStart w:id="528" w:name="_Ref441410661"/>
      <w:bookmarkStart w:id="529" w:name="_Toc445240916"/>
      <w:bookmarkStart w:id="530" w:name="_Toc448914579"/>
      <w:r w:rsidRPr="00D14CE9">
        <w:rPr>
          <w:sz w:val="16"/>
          <w:szCs w:val="18"/>
        </w:rPr>
        <w:t xml:space="preserve">Figure </w:t>
      </w:r>
      <w:r w:rsidRPr="00855A0C">
        <w:rPr>
          <w:sz w:val="16"/>
          <w:szCs w:val="18"/>
        </w:rPr>
        <w:fldChar w:fldCharType="begin"/>
      </w:r>
      <w:r w:rsidRPr="00D14CE9">
        <w:rPr>
          <w:sz w:val="16"/>
          <w:szCs w:val="18"/>
        </w:rPr>
        <w:instrText xml:space="preserve"> SEQ Figure \* ARABIC </w:instrText>
      </w:r>
      <w:r w:rsidRPr="00855A0C">
        <w:rPr>
          <w:sz w:val="16"/>
          <w:szCs w:val="18"/>
        </w:rPr>
        <w:fldChar w:fldCharType="separate"/>
      </w:r>
      <w:r w:rsidR="00525C82">
        <w:rPr>
          <w:noProof/>
          <w:sz w:val="16"/>
          <w:szCs w:val="18"/>
        </w:rPr>
        <w:t>17</w:t>
      </w:r>
      <w:r w:rsidRPr="00855A0C">
        <w:rPr>
          <w:sz w:val="16"/>
          <w:szCs w:val="18"/>
        </w:rPr>
        <w:fldChar w:fldCharType="end"/>
      </w:r>
      <w:bookmarkEnd w:id="528"/>
      <w:r w:rsidRPr="00D14CE9">
        <w:rPr>
          <w:sz w:val="16"/>
          <w:szCs w:val="18"/>
        </w:rPr>
        <w:t xml:space="preserve"> – Extractive Resources Demand for Hard Rock Types –</w:t>
      </w:r>
      <w:r w:rsidR="00862E02" w:rsidRPr="00C7148F">
        <w:rPr>
          <w:sz w:val="16"/>
          <w:szCs w:val="18"/>
        </w:rPr>
        <w:t xml:space="preserve"> </w:t>
      </w:r>
      <w:r w:rsidRPr="00D14CE9">
        <w:rPr>
          <w:sz w:val="16"/>
          <w:szCs w:val="18"/>
        </w:rPr>
        <w:t>Forecast</w:t>
      </w:r>
      <w:r w:rsidR="00A52BFF" w:rsidRPr="00D14CE9">
        <w:rPr>
          <w:sz w:val="16"/>
          <w:szCs w:val="18"/>
        </w:rPr>
        <w:t xml:space="preserve"> over the period</w:t>
      </w:r>
      <w:r w:rsidRPr="00D14CE9">
        <w:rPr>
          <w:sz w:val="16"/>
          <w:szCs w:val="18"/>
        </w:rPr>
        <w:t xml:space="preserve"> 2015-2050 – million tonnes</w:t>
      </w:r>
      <w:bookmarkEnd w:id="529"/>
      <w:bookmarkEnd w:id="530"/>
      <w:r w:rsidRPr="00D14CE9">
        <w:rPr>
          <w:sz w:val="16"/>
          <w:szCs w:val="18"/>
        </w:rPr>
        <w:t xml:space="preserve"> </w:t>
      </w:r>
    </w:p>
    <w:p w:rsidR="00E75669" w:rsidRPr="00D14CE9" w:rsidRDefault="00E75669" w:rsidP="00C200D0">
      <w:r w:rsidRPr="00474B05">
        <w:rPr>
          <w:noProof/>
          <w:lang w:eastAsia="en-AU"/>
        </w:rPr>
        <w:drawing>
          <wp:inline distT="0" distB="0" distL="0" distR="0" wp14:anchorId="3B39ADDF" wp14:editId="2ED015C3">
            <wp:extent cx="5575752" cy="2820473"/>
            <wp:effectExtent l="0" t="0" r="6350" b="0"/>
            <wp:docPr id="29" name="Picture 29" descr="Figure 17 is a graph of forecasted demand for hard rock types between 2015 and 2050.  It shows that demand for all rock types appears to about double over the period.  &#10;&#10;"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a:extLst>
                        <a:ext uri="{28A0092B-C50C-407E-A947-70E740481C1C}">
                          <a14:useLocalDpi xmlns:a14="http://schemas.microsoft.com/office/drawing/2010/main" val="0"/>
                        </a:ext>
                      </a:extLst>
                    </a:blip>
                    <a:srcRect l="1688" t="1109" r="877" b="1584"/>
                    <a:stretch/>
                  </pic:blipFill>
                  <pic:spPr bwMode="auto">
                    <a:xfrm>
                      <a:off x="0" y="0"/>
                      <a:ext cx="5578331" cy="2821778"/>
                    </a:xfrm>
                    <a:prstGeom prst="rect">
                      <a:avLst/>
                    </a:prstGeom>
                    <a:noFill/>
                    <a:ln>
                      <a:noFill/>
                    </a:ln>
                    <a:extLst>
                      <a:ext uri="{53640926-AAD7-44D8-BBD7-CCE9431645EC}">
                        <a14:shadowObscured xmlns:a14="http://schemas.microsoft.com/office/drawing/2010/main"/>
                      </a:ext>
                    </a:extLst>
                  </pic:spPr>
                </pic:pic>
              </a:graphicData>
            </a:graphic>
          </wp:inline>
        </w:drawing>
      </w:r>
    </w:p>
    <w:p w:rsidR="00714DD7" w:rsidRPr="00D14CE9" w:rsidRDefault="00714DD7" w:rsidP="00C15F5A">
      <w:pPr>
        <w:pStyle w:val="EYSource"/>
        <w:rPr>
          <w:lang w:val="en-AU"/>
        </w:rPr>
      </w:pPr>
      <w:r w:rsidRPr="00D14CE9">
        <w:rPr>
          <w:lang w:val="en-AU"/>
        </w:rPr>
        <w:t>Source: EY analysis</w:t>
      </w:r>
    </w:p>
    <w:p w:rsidR="00C15F5A" w:rsidRPr="00D14CE9" w:rsidRDefault="00C15F5A" w:rsidP="00C15F5A"/>
    <w:p w:rsidR="004F47D5" w:rsidRDefault="004F47D5" w:rsidP="00C15F5A">
      <w:pPr>
        <w:pStyle w:val="EYBodytextwithparaspace"/>
        <w:rPr>
          <w:rFonts w:cstheme="majorHAnsi"/>
          <w:szCs w:val="20"/>
          <w:lang w:val="en-AU"/>
        </w:rPr>
      </w:pPr>
      <w:r>
        <w:rPr>
          <w:rFonts w:cstheme="majorHAnsi"/>
          <w:szCs w:val="20"/>
          <w:lang w:val="en-AU"/>
        </w:rPr>
        <w:br w:type="page"/>
      </w:r>
    </w:p>
    <w:p w:rsidR="00C15F5A" w:rsidRPr="00D14CE9" w:rsidRDefault="00714DD7" w:rsidP="00C15F5A">
      <w:pPr>
        <w:pStyle w:val="EYBodytextwithparaspace"/>
        <w:rPr>
          <w:lang w:val="en-AU"/>
        </w:rPr>
      </w:pPr>
      <w:r w:rsidRPr="00D14CE9">
        <w:rPr>
          <w:rFonts w:cstheme="majorHAnsi"/>
          <w:szCs w:val="20"/>
          <w:lang w:val="en-AU"/>
        </w:rPr>
        <w:lastRenderedPageBreak/>
        <w:t xml:space="preserve">Greater demand for basalt new, hornfels, granite, basalt old and rhyodacite is forecast through Victoria during the period, in accordance with preliminary findings provided in </w:t>
      </w:r>
      <w:r w:rsidR="00C46219">
        <w:rPr>
          <w:rFonts w:cstheme="majorHAnsi"/>
          <w:szCs w:val="20"/>
          <w:lang w:val="en-AU"/>
        </w:rPr>
        <w:fldChar w:fldCharType="begin"/>
      </w:r>
      <w:r w:rsidR="00C46219">
        <w:rPr>
          <w:rFonts w:cstheme="majorHAnsi"/>
          <w:szCs w:val="20"/>
          <w:lang w:val="en-AU"/>
        </w:rPr>
        <w:instrText xml:space="preserve"> REF _Ref441497654 \h </w:instrText>
      </w:r>
      <w:r w:rsidR="00C46219">
        <w:rPr>
          <w:rFonts w:cstheme="majorHAnsi"/>
          <w:szCs w:val="20"/>
          <w:lang w:val="en-AU"/>
        </w:rPr>
      </w:r>
      <w:r w:rsidR="00C46219">
        <w:rPr>
          <w:rFonts w:cstheme="majorHAnsi"/>
          <w:szCs w:val="20"/>
          <w:lang w:val="en-AU"/>
        </w:rPr>
        <w:fldChar w:fldCharType="separate"/>
      </w:r>
      <w:r w:rsidR="00525C82" w:rsidRPr="00D14CE9">
        <w:t xml:space="preserve">Table </w:t>
      </w:r>
      <w:r w:rsidR="00525C82">
        <w:rPr>
          <w:noProof/>
        </w:rPr>
        <w:t>7</w:t>
      </w:r>
      <w:r w:rsidR="00C46219">
        <w:rPr>
          <w:rFonts w:cstheme="majorHAnsi"/>
          <w:szCs w:val="20"/>
          <w:lang w:val="en-AU"/>
        </w:rPr>
        <w:fldChar w:fldCharType="end"/>
      </w:r>
      <w:r w:rsidR="0045288B" w:rsidRPr="00D14CE9">
        <w:rPr>
          <w:rFonts w:cstheme="majorHAnsi"/>
          <w:szCs w:val="20"/>
          <w:lang w:val="en-AU"/>
        </w:rPr>
        <w:t xml:space="preserve"> of the Report.</w:t>
      </w:r>
    </w:p>
    <w:p w:rsidR="00276880" w:rsidRPr="00D14CE9" w:rsidRDefault="00276880" w:rsidP="00276880">
      <w:pPr>
        <w:pStyle w:val="EYSubheading"/>
        <w:rPr>
          <w:lang w:val="en-AU"/>
        </w:rPr>
      </w:pPr>
      <w:r>
        <w:rPr>
          <w:lang w:val="en-AU"/>
        </w:rPr>
        <w:t>Demand for sand and gravel</w:t>
      </w:r>
    </w:p>
    <w:p w:rsidR="00174111" w:rsidRDefault="00174111" w:rsidP="004D31A4">
      <w:pPr>
        <w:pStyle w:val="EYBodytextwithparaspace"/>
        <w:rPr>
          <w:lang w:val="en-AU"/>
        </w:rPr>
      </w:pPr>
      <w:r>
        <w:rPr>
          <w:lang w:val="en-AU"/>
        </w:rPr>
        <w:t>With</w:t>
      </w:r>
      <w:r w:rsidR="00902448">
        <w:rPr>
          <w:lang w:val="en-AU"/>
        </w:rPr>
        <w:t>in</w:t>
      </w:r>
      <w:r>
        <w:rPr>
          <w:lang w:val="en-AU"/>
        </w:rPr>
        <w:t xml:space="preserve"> the Sand and Gravel category, the detailed industry analysis </w:t>
      </w:r>
      <w:r w:rsidR="00902448">
        <w:rPr>
          <w:lang w:val="en-AU"/>
        </w:rPr>
        <w:t>identified</w:t>
      </w:r>
      <w:r>
        <w:rPr>
          <w:lang w:val="en-AU"/>
        </w:rPr>
        <w:t xml:space="preserve"> shares of demand for soft rocks at</w:t>
      </w:r>
      <w:r w:rsidR="004D31A4" w:rsidRPr="00D14CE9">
        <w:rPr>
          <w:lang w:val="en-AU"/>
        </w:rPr>
        <w:t>t</w:t>
      </w:r>
      <w:r>
        <w:rPr>
          <w:lang w:val="en-AU"/>
        </w:rPr>
        <w:t xml:space="preserve">ributable to the manufacture of concrete sand (combined with subsurface drainage sand), fine sand and other construction materials (cement and fill). The figure below illustrates the indicative breakdown of the Sand and Gravel demand forecast </w:t>
      </w:r>
      <w:r w:rsidR="00902448">
        <w:rPr>
          <w:lang w:val="en-AU"/>
        </w:rPr>
        <w:t>according to each of those products</w:t>
      </w:r>
      <w:r>
        <w:rPr>
          <w:lang w:val="en-AU"/>
        </w:rPr>
        <w:t>.</w:t>
      </w:r>
    </w:p>
    <w:p w:rsidR="00C9590F" w:rsidRPr="00D14CE9" w:rsidRDefault="00C9590F" w:rsidP="00C9590F">
      <w:pPr>
        <w:pStyle w:val="Caption"/>
        <w:rPr>
          <w:sz w:val="16"/>
          <w:szCs w:val="18"/>
        </w:rPr>
      </w:pPr>
      <w:bookmarkStart w:id="531" w:name="_Toc448914580"/>
      <w:r w:rsidRPr="00D14CE9">
        <w:rPr>
          <w:sz w:val="16"/>
          <w:szCs w:val="18"/>
        </w:rPr>
        <w:t xml:space="preserve">Figure </w:t>
      </w:r>
      <w:r w:rsidRPr="00855A0C">
        <w:rPr>
          <w:sz w:val="16"/>
          <w:szCs w:val="18"/>
        </w:rPr>
        <w:fldChar w:fldCharType="begin"/>
      </w:r>
      <w:r w:rsidRPr="00D14CE9">
        <w:rPr>
          <w:sz w:val="16"/>
          <w:szCs w:val="18"/>
        </w:rPr>
        <w:instrText xml:space="preserve"> SEQ Figure \* ARABIC </w:instrText>
      </w:r>
      <w:r w:rsidRPr="00855A0C">
        <w:rPr>
          <w:sz w:val="16"/>
          <w:szCs w:val="18"/>
        </w:rPr>
        <w:fldChar w:fldCharType="separate"/>
      </w:r>
      <w:r w:rsidR="00525C82">
        <w:rPr>
          <w:noProof/>
          <w:sz w:val="16"/>
          <w:szCs w:val="18"/>
        </w:rPr>
        <w:t>18</w:t>
      </w:r>
      <w:r w:rsidRPr="00855A0C">
        <w:rPr>
          <w:sz w:val="16"/>
          <w:szCs w:val="18"/>
        </w:rPr>
        <w:fldChar w:fldCharType="end"/>
      </w:r>
      <w:r w:rsidRPr="00D14CE9">
        <w:rPr>
          <w:sz w:val="16"/>
          <w:szCs w:val="18"/>
        </w:rPr>
        <w:t xml:space="preserve"> – Extractive Resources Demand for </w:t>
      </w:r>
      <w:r>
        <w:rPr>
          <w:sz w:val="16"/>
          <w:szCs w:val="18"/>
        </w:rPr>
        <w:t xml:space="preserve">Sand and Gravel </w:t>
      </w:r>
      <w:r w:rsidR="00650C92">
        <w:rPr>
          <w:sz w:val="16"/>
          <w:szCs w:val="18"/>
        </w:rPr>
        <w:t xml:space="preserve">over the period </w:t>
      </w:r>
      <w:r>
        <w:rPr>
          <w:sz w:val="16"/>
          <w:szCs w:val="18"/>
        </w:rPr>
        <w:t>2015-2050 – Indicative breakdown per type of use</w:t>
      </w:r>
      <w:r w:rsidRPr="00D14CE9">
        <w:rPr>
          <w:sz w:val="16"/>
          <w:szCs w:val="18"/>
        </w:rPr>
        <w:t xml:space="preserve"> – million tonnes</w:t>
      </w:r>
      <w:bookmarkEnd w:id="531"/>
      <w:r w:rsidRPr="00D14CE9">
        <w:rPr>
          <w:sz w:val="16"/>
          <w:szCs w:val="18"/>
        </w:rPr>
        <w:t xml:space="preserve"> </w:t>
      </w:r>
    </w:p>
    <w:p w:rsidR="00174111" w:rsidRDefault="00C9590F" w:rsidP="004D31A4">
      <w:pPr>
        <w:pStyle w:val="EYBodytextwithparaspace"/>
        <w:rPr>
          <w:lang w:val="en-AU"/>
        </w:rPr>
      </w:pPr>
      <w:r>
        <w:rPr>
          <w:noProof/>
          <w:lang w:val="en-AU" w:eastAsia="en-AU"/>
        </w:rPr>
        <w:drawing>
          <wp:inline distT="0" distB="0" distL="0" distR="0" wp14:anchorId="7FDF93D5" wp14:editId="3F3742D9">
            <wp:extent cx="5624423" cy="2742062"/>
            <wp:effectExtent l="0" t="0" r="0" b="1270"/>
            <wp:docPr id="2068" name="Picture 2068" descr="Figure 18 is a graph of demand for sand and gravel over the period 2015-2050. It shows that demand for sand and gravel attributable to concrete sand and subsurface drainage sand, and attributable to fine sand, appears to not increase over the period. However, demand for other construction materials appears to double over the period. &#10;&#10;"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4444" cy="2742072"/>
                    </a:xfrm>
                    <a:prstGeom prst="rect">
                      <a:avLst/>
                    </a:prstGeom>
                    <a:noFill/>
                    <a:ln>
                      <a:noFill/>
                    </a:ln>
                  </pic:spPr>
                </pic:pic>
              </a:graphicData>
            </a:graphic>
          </wp:inline>
        </w:drawing>
      </w:r>
      <w:r w:rsidR="00931CBF">
        <w:rPr>
          <w:lang w:val="en-AU"/>
        </w:rPr>
        <w:br/>
      </w:r>
      <w:r w:rsidR="00931CBF" w:rsidRPr="006B35A2">
        <w:rPr>
          <w:i/>
          <w:sz w:val="16"/>
          <w:szCs w:val="16"/>
          <w:lang w:val="en-AU"/>
        </w:rPr>
        <w:t>Source: EY analysis</w:t>
      </w:r>
    </w:p>
    <w:p w:rsidR="00646969" w:rsidRDefault="00255F25" w:rsidP="009D73D3">
      <w:pPr>
        <w:pStyle w:val="EYBodytextwithparaspace"/>
        <w:rPr>
          <w:rFonts w:cstheme="majorHAnsi"/>
          <w:szCs w:val="20"/>
          <w:lang w:val="en-AU"/>
        </w:rPr>
      </w:pPr>
      <w:r>
        <w:rPr>
          <w:rFonts w:cstheme="majorHAnsi"/>
          <w:szCs w:val="20"/>
          <w:lang w:val="en-AU"/>
        </w:rPr>
        <w:t xml:space="preserve">This figure shows a slow-down over time in the growth of the Sand and Gravel share attributable to concrete and fine sand, mainly driven by a changing construction mix </w:t>
      </w:r>
      <w:r w:rsidR="00902448">
        <w:rPr>
          <w:rFonts w:cstheme="majorHAnsi"/>
          <w:szCs w:val="20"/>
          <w:lang w:val="en-AU"/>
        </w:rPr>
        <w:t xml:space="preserve">that has been forecast </w:t>
      </w:r>
      <w:r>
        <w:rPr>
          <w:rFonts w:cstheme="majorHAnsi"/>
          <w:szCs w:val="20"/>
          <w:lang w:val="en-AU"/>
        </w:rPr>
        <w:t xml:space="preserve">over the period of analysis. </w:t>
      </w:r>
    </w:p>
    <w:p w:rsidR="008D7E06" w:rsidRDefault="002653CB" w:rsidP="008D7E06">
      <w:pPr>
        <w:pStyle w:val="EYBodytextwithparaspace"/>
        <w:rPr>
          <w:rFonts w:cstheme="majorHAnsi"/>
          <w:szCs w:val="20"/>
          <w:lang w:val="en-AU"/>
        </w:rPr>
      </w:pPr>
      <w:r>
        <w:rPr>
          <w:rFonts w:cstheme="majorHAnsi"/>
          <w:szCs w:val="20"/>
          <w:lang w:val="en-AU"/>
        </w:rPr>
        <w:t>G</w:t>
      </w:r>
      <w:r w:rsidR="008D7E06">
        <w:rPr>
          <w:rFonts w:cstheme="majorHAnsi"/>
          <w:szCs w:val="20"/>
          <w:lang w:val="en-AU"/>
        </w:rPr>
        <w:t>iven the mix of construction activities forecast in Victoria, the following ranges were identified through the analysis of Sand and Gravel soft rocks needed from 2015 to 2050:</w:t>
      </w:r>
    </w:p>
    <w:p w:rsidR="008D7E06" w:rsidRPr="000B6297" w:rsidRDefault="008D7E06" w:rsidP="00BB6A30">
      <w:pPr>
        <w:pStyle w:val="EYBulletedList1"/>
        <w:spacing w:after="80"/>
      </w:pPr>
      <w:r w:rsidRPr="000B6297">
        <w:t>Share attributable to concrete sand and subsurface drainage sand: 44% to 53%</w:t>
      </w:r>
    </w:p>
    <w:p w:rsidR="008D7E06" w:rsidRPr="000B6297" w:rsidRDefault="008D7E06" w:rsidP="00BB6A30">
      <w:pPr>
        <w:pStyle w:val="EYBulletedList1"/>
        <w:spacing w:after="80"/>
      </w:pPr>
      <w:r w:rsidRPr="000B6297">
        <w:t>Share attributable to fine sand: 12% to 17%</w:t>
      </w:r>
    </w:p>
    <w:p w:rsidR="008D7E06" w:rsidRPr="00D14CE9" w:rsidRDefault="008D7E06" w:rsidP="002A1D72">
      <w:pPr>
        <w:pStyle w:val="EYBulletedList1"/>
        <w:spacing w:after="240"/>
        <w:rPr>
          <w:rFonts w:cstheme="majorHAnsi"/>
          <w:szCs w:val="20"/>
          <w:lang w:val="en-AU"/>
        </w:rPr>
      </w:pPr>
      <w:r>
        <w:rPr>
          <w:rFonts w:cstheme="majorHAnsi"/>
          <w:szCs w:val="20"/>
          <w:lang w:val="en-AU"/>
        </w:rPr>
        <w:t xml:space="preserve">Share attributable to other construction materials: 30% to 44%   </w:t>
      </w:r>
      <w:r w:rsidRPr="00D14CE9">
        <w:rPr>
          <w:rFonts w:cstheme="majorHAnsi"/>
          <w:szCs w:val="20"/>
          <w:lang w:val="en-AU"/>
        </w:rPr>
        <w:t xml:space="preserve"> </w:t>
      </w:r>
    </w:p>
    <w:p w:rsidR="00276880" w:rsidRDefault="00276880" w:rsidP="002A1D72">
      <w:pPr>
        <w:pStyle w:val="EYSubheading"/>
        <w:rPr>
          <w:rFonts w:cstheme="majorHAnsi"/>
          <w:szCs w:val="20"/>
          <w:lang w:val="en-AU"/>
        </w:rPr>
      </w:pPr>
      <w:r>
        <w:rPr>
          <w:lang w:val="en-AU"/>
        </w:rPr>
        <w:t xml:space="preserve">Regional allocation </w:t>
      </w:r>
    </w:p>
    <w:p w:rsidR="00853C06" w:rsidRPr="00D14CE9" w:rsidRDefault="00E75669" w:rsidP="009D73D3">
      <w:pPr>
        <w:pStyle w:val="EYBodytextwithparaspace"/>
        <w:rPr>
          <w:lang w:val="en-AU"/>
        </w:rPr>
      </w:pPr>
      <w:r w:rsidRPr="00D14CE9">
        <w:rPr>
          <w:rFonts w:cstheme="majorHAnsi"/>
          <w:szCs w:val="20"/>
          <w:lang w:val="en-AU"/>
        </w:rPr>
        <w:t>The Metropolitan Planning Authority has identified seven Urban Growth Areas</w:t>
      </w:r>
      <w:r w:rsidR="00853C06" w:rsidRPr="00D14CE9">
        <w:rPr>
          <w:rFonts w:cstheme="majorHAnsi"/>
          <w:szCs w:val="20"/>
          <w:lang w:val="en-AU"/>
        </w:rPr>
        <w:t xml:space="preserve"> within Metropolitan Melbourne, where significant economic development is expected. These are listed as follows and illustrated in</w:t>
      </w:r>
      <w:r w:rsidR="002A1D72">
        <w:rPr>
          <w:rFonts w:cstheme="majorHAnsi"/>
          <w:szCs w:val="20"/>
          <w:lang w:val="en-AU"/>
        </w:rPr>
        <w:t xml:space="preserve"> </w:t>
      </w:r>
      <w:r w:rsidR="002A1D72">
        <w:rPr>
          <w:rFonts w:cstheme="majorHAnsi"/>
          <w:szCs w:val="20"/>
          <w:lang w:val="en-AU"/>
        </w:rPr>
        <w:fldChar w:fldCharType="begin"/>
      </w:r>
      <w:r w:rsidR="002A1D72">
        <w:rPr>
          <w:rFonts w:cstheme="majorHAnsi"/>
          <w:szCs w:val="20"/>
          <w:lang w:val="en-AU"/>
        </w:rPr>
        <w:instrText xml:space="preserve"> REF _Ref445239991 \h  \* MERGEFORMAT </w:instrText>
      </w:r>
      <w:r w:rsidR="002A1D72">
        <w:rPr>
          <w:rFonts w:cstheme="majorHAnsi"/>
          <w:szCs w:val="20"/>
          <w:lang w:val="en-AU"/>
        </w:rPr>
      </w:r>
      <w:r w:rsidR="002A1D72">
        <w:rPr>
          <w:rFonts w:cstheme="majorHAnsi"/>
          <w:szCs w:val="20"/>
          <w:lang w:val="en-AU"/>
        </w:rPr>
        <w:fldChar w:fldCharType="separate"/>
      </w:r>
      <w:r w:rsidR="00525C82" w:rsidRPr="00525C82">
        <w:rPr>
          <w:rFonts w:cstheme="majorHAnsi"/>
          <w:szCs w:val="20"/>
          <w:lang w:val="en-AU"/>
        </w:rPr>
        <w:t>Figure 19</w:t>
      </w:r>
      <w:r w:rsidR="002A1D72">
        <w:rPr>
          <w:rFonts w:cstheme="majorHAnsi"/>
          <w:szCs w:val="20"/>
          <w:lang w:val="en-AU"/>
        </w:rPr>
        <w:fldChar w:fldCharType="end"/>
      </w:r>
      <w:r w:rsidR="009D73D3">
        <w:rPr>
          <w:rFonts w:cstheme="majorHAnsi"/>
          <w:szCs w:val="20"/>
          <w:lang w:val="en-AU"/>
        </w:rPr>
        <w:t>:</w:t>
      </w:r>
    </w:p>
    <w:p w:rsidR="00853C06" w:rsidRPr="00D14CE9" w:rsidRDefault="00853C06" w:rsidP="00853C06">
      <w:pPr>
        <w:pStyle w:val="EYBulletedList1"/>
        <w:rPr>
          <w:rFonts w:cstheme="majorHAnsi"/>
          <w:szCs w:val="20"/>
          <w:lang w:val="en-AU"/>
        </w:rPr>
      </w:pPr>
      <w:r w:rsidRPr="00D14CE9">
        <w:rPr>
          <w:rFonts w:cstheme="majorHAnsi"/>
          <w:szCs w:val="20"/>
          <w:lang w:val="en-AU"/>
        </w:rPr>
        <w:t>Cardinia (S)</w:t>
      </w:r>
    </w:p>
    <w:p w:rsidR="00853C06" w:rsidRPr="00D14CE9" w:rsidRDefault="00853C06" w:rsidP="00853C06">
      <w:pPr>
        <w:pStyle w:val="EYBulletedList1"/>
        <w:rPr>
          <w:rFonts w:cstheme="majorHAnsi"/>
          <w:szCs w:val="20"/>
          <w:lang w:val="en-AU"/>
        </w:rPr>
      </w:pPr>
      <w:r w:rsidRPr="00D14CE9">
        <w:rPr>
          <w:rFonts w:cstheme="majorHAnsi"/>
          <w:szCs w:val="20"/>
          <w:lang w:val="en-AU"/>
        </w:rPr>
        <w:t>Casey (C)</w:t>
      </w:r>
    </w:p>
    <w:p w:rsidR="00853C06" w:rsidRPr="00D14CE9" w:rsidRDefault="00853C06" w:rsidP="00853C06">
      <w:pPr>
        <w:pStyle w:val="EYBulletedList1"/>
        <w:rPr>
          <w:rFonts w:cstheme="majorHAnsi"/>
          <w:szCs w:val="20"/>
          <w:lang w:val="en-AU"/>
        </w:rPr>
      </w:pPr>
      <w:r w:rsidRPr="00D14CE9">
        <w:rPr>
          <w:rFonts w:cstheme="majorHAnsi"/>
          <w:szCs w:val="20"/>
          <w:lang w:val="en-AU"/>
        </w:rPr>
        <w:t>Hume (C)</w:t>
      </w:r>
    </w:p>
    <w:p w:rsidR="00853C06" w:rsidRPr="00D14CE9" w:rsidRDefault="00853C06" w:rsidP="00853C06">
      <w:pPr>
        <w:pStyle w:val="EYBulletedList1"/>
        <w:rPr>
          <w:rFonts w:cstheme="majorHAnsi"/>
          <w:szCs w:val="20"/>
          <w:lang w:val="en-AU"/>
        </w:rPr>
      </w:pPr>
      <w:r w:rsidRPr="00D14CE9">
        <w:rPr>
          <w:rFonts w:cstheme="majorHAnsi"/>
          <w:szCs w:val="20"/>
          <w:lang w:val="en-AU"/>
        </w:rPr>
        <w:t>Melton (C)</w:t>
      </w:r>
    </w:p>
    <w:p w:rsidR="00853C06" w:rsidRPr="00D14CE9" w:rsidRDefault="00853C06" w:rsidP="00853C06">
      <w:pPr>
        <w:pStyle w:val="EYBulletedList1"/>
        <w:rPr>
          <w:rFonts w:cstheme="majorHAnsi"/>
          <w:szCs w:val="20"/>
          <w:lang w:val="en-AU"/>
        </w:rPr>
      </w:pPr>
      <w:r w:rsidRPr="00D14CE9">
        <w:rPr>
          <w:rFonts w:cstheme="majorHAnsi"/>
          <w:szCs w:val="20"/>
          <w:lang w:val="en-AU"/>
        </w:rPr>
        <w:t>Mitchell  (C)</w:t>
      </w:r>
    </w:p>
    <w:p w:rsidR="00853C06" w:rsidRPr="00D14CE9" w:rsidRDefault="00853C06" w:rsidP="00853C06">
      <w:pPr>
        <w:pStyle w:val="EYBulletedList1"/>
        <w:rPr>
          <w:rFonts w:cstheme="majorHAnsi"/>
          <w:szCs w:val="20"/>
          <w:lang w:val="en-AU"/>
        </w:rPr>
      </w:pPr>
      <w:r w:rsidRPr="00D14CE9">
        <w:rPr>
          <w:rFonts w:cstheme="majorHAnsi"/>
          <w:szCs w:val="20"/>
          <w:lang w:val="en-AU"/>
        </w:rPr>
        <w:t>Whittlesea (C)</w:t>
      </w:r>
    </w:p>
    <w:p w:rsidR="00853C06" w:rsidRPr="00D14CE9" w:rsidRDefault="00853C06" w:rsidP="00853C06">
      <w:pPr>
        <w:pStyle w:val="EYBulletedList1"/>
        <w:rPr>
          <w:rFonts w:cstheme="majorHAnsi"/>
          <w:szCs w:val="20"/>
          <w:lang w:val="en-AU"/>
        </w:rPr>
      </w:pPr>
      <w:r w:rsidRPr="00D14CE9">
        <w:rPr>
          <w:rFonts w:cstheme="majorHAnsi"/>
          <w:szCs w:val="20"/>
          <w:lang w:val="en-AU"/>
        </w:rPr>
        <w:t>Wyndham (C)</w:t>
      </w:r>
    </w:p>
    <w:p w:rsidR="002C2179" w:rsidRPr="00D14CE9" w:rsidRDefault="002C2179" w:rsidP="002C2179">
      <w:pPr>
        <w:pStyle w:val="Caption"/>
        <w:rPr>
          <w:sz w:val="16"/>
          <w:szCs w:val="18"/>
        </w:rPr>
      </w:pPr>
      <w:bookmarkStart w:id="532" w:name="_Ref445239991"/>
      <w:bookmarkStart w:id="533" w:name="_Toc445240917"/>
      <w:bookmarkStart w:id="534" w:name="_Ref448849885"/>
      <w:bookmarkStart w:id="535" w:name="_Toc448914581"/>
      <w:r w:rsidRPr="00D14CE9">
        <w:rPr>
          <w:sz w:val="16"/>
          <w:szCs w:val="18"/>
        </w:rPr>
        <w:lastRenderedPageBreak/>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19</w:t>
      </w:r>
      <w:r w:rsidRPr="00802792">
        <w:rPr>
          <w:sz w:val="16"/>
          <w:szCs w:val="18"/>
        </w:rPr>
        <w:fldChar w:fldCharType="end"/>
      </w:r>
      <w:bookmarkEnd w:id="532"/>
      <w:r w:rsidRPr="00D14CE9">
        <w:rPr>
          <w:sz w:val="16"/>
          <w:szCs w:val="18"/>
        </w:rPr>
        <w:t xml:space="preserve"> – Metropolitan Melbourne – Urban Growth Zone</w:t>
      </w:r>
      <w:bookmarkEnd w:id="533"/>
      <w:bookmarkEnd w:id="534"/>
      <w:bookmarkEnd w:id="535"/>
      <w:r w:rsidRPr="00D14CE9">
        <w:rPr>
          <w:sz w:val="16"/>
          <w:szCs w:val="18"/>
        </w:rPr>
        <w:t xml:space="preserve"> </w:t>
      </w:r>
    </w:p>
    <w:p w:rsidR="00853C06" w:rsidRPr="00D14CE9" w:rsidRDefault="00853C06" w:rsidP="00E65C9D">
      <w:pPr>
        <w:pStyle w:val="EYBulletedList1"/>
        <w:numPr>
          <w:ilvl w:val="0"/>
          <w:numId w:val="0"/>
        </w:numPr>
        <w:rPr>
          <w:rFonts w:cstheme="majorHAnsi"/>
          <w:szCs w:val="20"/>
          <w:lang w:val="en-AU"/>
        </w:rPr>
      </w:pPr>
      <w:r w:rsidRPr="00474B05">
        <w:rPr>
          <w:rFonts w:cstheme="majorHAnsi"/>
          <w:noProof/>
          <w:szCs w:val="20"/>
          <w:lang w:val="en-AU" w:eastAsia="en-AU"/>
        </w:rPr>
        <w:drawing>
          <wp:inline distT="0" distB="0" distL="0" distR="0" wp14:anchorId="460C4B09" wp14:editId="60A767B1">
            <wp:extent cx="5609230" cy="3966401"/>
            <wp:effectExtent l="0" t="0" r="0" b="0"/>
            <wp:docPr id="30" name="Picture 30" descr="Figure 19 is a map of the Urban Growth Zone in Metropolitan Melbourne. "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liau\Desktop\Map%20of%20Urban%20Growth%20Zone%20-%20September%2020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556" cy="3967339"/>
                    </a:xfrm>
                    <a:prstGeom prst="rect">
                      <a:avLst/>
                    </a:prstGeom>
                    <a:noFill/>
                    <a:ln>
                      <a:noFill/>
                    </a:ln>
                  </pic:spPr>
                </pic:pic>
              </a:graphicData>
            </a:graphic>
          </wp:inline>
        </w:drawing>
      </w:r>
    </w:p>
    <w:p w:rsidR="00853C06" w:rsidRPr="00D14CE9" w:rsidRDefault="00853C06" w:rsidP="00853C06">
      <w:pPr>
        <w:pStyle w:val="EYSource"/>
        <w:rPr>
          <w:lang w:val="en-AU"/>
        </w:rPr>
      </w:pPr>
      <w:r w:rsidRPr="00D14CE9">
        <w:rPr>
          <w:lang w:val="en-AU"/>
        </w:rPr>
        <w:t>Source: Metropolitan Planning Authority</w:t>
      </w:r>
    </w:p>
    <w:p w:rsidR="00853C06" w:rsidRPr="00D14CE9" w:rsidRDefault="00853C06" w:rsidP="00E65C9D">
      <w:pPr>
        <w:pStyle w:val="EYBulletedList1"/>
        <w:numPr>
          <w:ilvl w:val="0"/>
          <w:numId w:val="0"/>
        </w:numPr>
        <w:rPr>
          <w:rFonts w:cstheme="majorHAnsi"/>
          <w:szCs w:val="20"/>
          <w:lang w:val="en-AU"/>
        </w:rPr>
      </w:pPr>
    </w:p>
    <w:p w:rsidR="00853C06" w:rsidRPr="00D14CE9" w:rsidRDefault="00853C06" w:rsidP="00E65C9D">
      <w:pPr>
        <w:pStyle w:val="EYBulletedList1"/>
        <w:numPr>
          <w:ilvl w:val="0"/>
          <w:numId w:val="0"/>
        </w:numPr>
        <w:rPr>
          <w:rFonts w:cstheme="majorHAnsi"/>
          <w:szCs w:val="20"/>
          <w:lang w:val="en-AU"/>
        </w:rPr>
      </w:pPr>
      <w:r w:rsidRPr="00D14CE9">
        <w:rPr>
          <w:rFonts w:cstheme="majorHAnsi"/>
          <w:szCs w:val="20"/>
          <w:lang w:val="en-AU"/>
        </w:rPr>
        <w:t>We have by default defined the rest of the LGAs within Metropolitan Melbourne as Urban Infill LGAs</w:t>
      </w:r>
      <w:r w:rsidR="00156D50" w:rsidRPr="00D14CE9">
        <w:rPr>
          <w:rFonts w:cstheme="majorHAnsi"/>
          <w:szCs w:val="20"/>
          <w:lang w:val="en-AU"/>
        </w:rPr>
        <w:t>, and the remainder within Victoria as regional LGAs.</w:t>
      </w:r>
    </w:p>
    <w:p w:rsidR="00853C06" w:rsidRPr="00D14CE9" w:rsidRDefault="00853C06" w:rsidP="00E65C9D">
      <w:pPr>
        <w:pStyle w:val="EYBulletedList1"/>
        <w:numPr>
          <w:ilvl w:val="0"/>
          <w:numId w:val="0"/>
        </w:numPr>
        <w:rPr>
          <w:rFonts w:cstheme="majorHAnsi"/>
          <w:szCs w:val="20"/>
          <w:lang w:val="en-AU"/>
        </w:rPr>
      </w:pPr>
    </w:p>
    <w:p w:rsidR="00853C06" w:rsidRPr="00D14CE9" w:rsidRDefault="00853C06" w:rsidP="00853C06">
      <w:pPr>
        <w:pStyle w:val="EYBodytextwithparaspace"/>
        <w:rPr>
          <w:lang w:val="en-AU"/>
        </w:rPr>
      </w:pPr>
      <w:r w:rsidRPr="00D14CE9">
        <w:rPr>
          <w:rFonts w:cstheme="majorHAnsi"/>
          <w:szCs w:val="20"/>
          <w:lang w:val="en-AU"/>
        </w:rPr>
        <w:t xml:space="preserve">The baseline demand projections over the short, medium and long term are summarized in the below table in aggregate for LGAs in </w:t>
      </w:r>
      <w:r w:rsidRPr="00D14CE9">
        <w:rPr>
          <w:lang w:val="en-AU"/>
        </w:rPr>
        <w:t>Urban Infill locations, Urban Growth Areas and regional areas.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13"/>
        <w:tblDescription w:val="Table 13 is a table showing demand forecast per type of LGAs. In 2015 Urban Infil LGAs demanded 22.3 million tonnes. Urban Growth Areas LGAs demanded 15.4 million tonnes and Regional LGAs demanded 8.7 million tonnes. In 2026 the estimate for Urban Infil LGAs demand is 25.6 million tonnes. Urban Growth Areas LGAs demand is estimated to be 19.6 million tonnes and Regional LGAs 10.6 million tonnes.  In 2050 the estimate for Urban Infil LGAs demand is 46 million tonnes. Urban Growth Areas LGAs demand is estimated to be 24.3 million tonnes and Regional LGAs 17.5 million tonnes.&#10;"/>
      </w:tblPr>
      <w:tblGrid>
        <w:gridCol w:w="3569"/>
        <w:gridCol w:w="1856"/>
        <w:gridCol w:w="2141"/>
        <w:gridCol w:w="1856"/>
      </w:tblGrid>
      <w:tr w:rsidR="005264FD" w:rsidRPr="00D14CE9" w:rsidTr="00A40EA2">
        <w:tc>
          <w:tcPr>
            <w:tcW w:w="5000" w:type="pct"/>
            <w:gridSpan w:val="4"/>
            <w:shd w:val="clear" w:color="auto" w:fill="808080" w:themeFill="background1" w:themeFillShade="80"/>
            <w:vAlign w:val="center"/>
          </w:tcPr>
          <w:p w:rsidR="005264FD" w:rsidRPr="00D14CE9" w:rsidRDefault="005264FD" w:rsidP="00A40EA2">
            <w:pPr>
              <w:pStyle w:val="EYTableHeadingWhite"/>
            </w:pPr>
            <w:bookmarkStart w:id="536" w:name="_Toc445240947"/>
            <w:bookmarkStart w:id="537" w:name="_Toc448914640"/>
            <w:bookmarkStart w:id="538" w:name="_Toc448920457"/>
            <w:r w:rsidRPr="00D14CE9">
              <w:t xml:space="preserve">Table </w:t>
            </w:r>
            <w:r w:rsidR="000701D2">
              <w:fldChar w:fldCharType="begin"/>
            </w:r>
            <w:r w:rsidR="000701D2">
              <w:instrText xml:space="preserve"> SEQ Table \* ARABIC </w:instrText>
            </w:r>
            <w:r w:rsidR="000701D2">
              <w:fldChar w:fldCharType="separate"/>
            </w:r>
            <w:r w:rsidR="00525C82">
              <w:rPr>
                <w:noProof/>
              </w:rPr>
              <w:t>13</w:t>
            </w:r>
            <w:r w:rsidR="000701D2">
              <w:rPr>
                <w:noProof/>
              </w:rPr>
              <w:fldChar w:fldCharType="end"/>
            </w:r>
            <w:r w:rsidRPr="00D14CE9">
              <w:t xml:space="preserve"> – Demand Forecast per type of LGAs– Total in 2015, 2026 and 2050 (million tonnes)</w:t>
            </w:r>
            <w:bookmarkEnd w:id="536"/>
            <w:bookmarkEnd w:id="537"/>
            <w:bookmarkEnd w:id="538"/>
          </w:p>
        </w:tc>
      </w:tr>
      <w:tr w:rsidR="005264FD" w:rsidRPr="00D14CE9" w:rsidTr="00A40EA2">
        <w:tc>
          <w:tcPr>
            <w:tcW w:w="1894" w:type="pct"/>
            <w:shd w:val="clear" w:color="auto" w:fill="F0F0F0"/>
            <w:vAlign w:val="center"/>
          </w:tcPr>
          <w:p w:rsidR="005264FD" w:rsidRPr="00D14CE9" w:rsidRDefault="005264FD" w:rsidP="002A1D72">
            <w:pPr>
              <w:pStyle w:val="EYTableHeading"/>
              <w:jc w:val="center"/>
              <w:rPr>
                <w:rFonts w:eastAsia="Arial Unicode MS"/>
              </w:rPr>
            </w:pPr>
          </w:p>
        </w:tc>
        <w:tc>
          <w:tcPr>
            <w:tcW w:w="985" w:type="pct"/>
            <w:shd w:val="clear" w:color="auto" w:fill="F0F0F0"/>
            <w:vAlign w:val="center"/>
          </w:tcPr>
          <w:p w:rsidR="005264FD" w:rsidRPr="00D14CE9" w:rsidRDefault="005264FD" w:rsidP="002A1D72">
            <w:pPr>
              <w:pStyle w:val="EYTableHeading"/>
              <w:jc w:val="center"/>
              <w:rPr>
                <w:rFonts w:eastAsia="Arial Unicode MS"/>
              </w:rPr>
            </w:pPr>
            <w:r w:rsidRPr="00D14CE9">
              <w:t>2015</w:t>
            </w:r>
          </w:p>
        </w:tc>
        <w:tc>
          <w:tcPr>
            <w:tcW w:w="1136" w:type="pct"/>
            <w:shd w:val="clear" w:color="auto" w:fill="F0F0F0"/>
            <w:vAlign w:val="center"/>
          </w:tcPr>
          <w:p w:rsidR="005264FD" w:rsidRPr="00D14CE9" w:rsidRDefault="005264FD" w:rsidP="002A1D72">
            <w:pPr>
              <w:pStyle w:val="EYTableHeading"/>
              <w:jc w:val="center"/>
              <w:rPr>
                <w:rFonts w:eastAsia="Arial Unicode MS"/>
              </w:rPr>
            </w:pPr>
            <w:r w:rsidRPr="00D14CE9">
              <w:t>2026</w:t>
            </w:r>
          </w:p>
        </w:tc>
        <w:tc>
          <w:tcPr>
            <w:tcW w:w="985" w:type="pct"/>
            <w:shd w:val="clear" w:color="auto" w:fill="F0F0F0"/>
            <w:vAlign w:val="center"/>
          </w:tcPr>
          <w:p w:rsidR="005264FD" w:rsidRPr="00D14CE9" w:rsidRDefault="005264FD" w:rsidP="002A1D72">
            <w:pPr>
              <w:pStyle w:val="EYTableHeading"/>
              <w:jc w:val="center"/>
            </w:pPr>
            <w:r w:rsidRPr="00D14CE9">
              <w:t>2050</w:t>
            </w:r>
          </w:p>
        </w:tc>
      </w:tr>
      <w:tr w:rsidR="005264FD" w:rsidRPr="00D14CE9" w:rsidTr="00A40EA2">
        <w:trPr>
          <w:trHeight w:val="315"/>
        </w:trPr>
        <w:tc>
          <w:tcPr>
            <w:tcW w:w="1894" w:type="pct"/>
            <w:noWrap/>
            <w:vAlign w:val="center"/>
          </w:tcPr>
          <w:p w:rsidR="005264FD" w:rsidRPr="00D14CE9" w:rsidRDefault="005264FD" w:rsidP="00A40EA2">
            <w:pPr>
              <w:rPr>
                <w:sz w:val="16"/>
                <w:szCs w:val="16"/>
              </w:rPr>
            </w:pPr>
            <w:r w:rsidRPr="00D14CE9">
              <w:rPr>
                <w:rFonts w:cs="Calibri"/>
                <w:color w:val="000000"/>
                <w:sz w:val="16"/>
                <w:szCs w:val="16"/>
              </w:rPr>
              <w:t>Urban Infill LGAs</w:t>
            </w:r>
          </w:p>
        </w:tc>
        <w:tc>
          <w:tcPr>
            <w:tcW w:w="985" w:type="pct"/>
            <w:noWrap/>
            <w:vAlign w:val="center"/>
          </w:tcPr>
          <w:p w:rsidR="005264FD" w:rsidRPr="00D14CE9" w:rsidRDefault="005264FD" w:rsidP="00A40EA2">
            <w:pPr>
              <w:jc w:val="center"/>
              <w:rPr>
                <w:sz w:val="16"/>
                <w:szCs w:val="16"/>
              </w:rPr>
            </w:pPr>
            <w:r w:rsidRPr="00D14CE9">
              <w:rPr>
                <w:sz w:val="16"/>
                <w:szCs w:val="16"/>
              </w:rPr>
              <w:t>22.3</w:t>
            </w:r>
          </w:p>
        </w:tc>
        <w:tc>
          <w:tcPr>
            <w:tcW w:w="1136" w:type="pct"/>
            <w:noWrap/>
            <w:vAlign w:val="center"/>
          </w:tcPr>
          <w:p w:rsidR="005264FD" w:rsidRPr="00D14CE9" w:rsidRDefault="005264FD" w:rsidP="00A40EA2">
            <w:pPr>
              <w:jc w:val="center"/>
              <w:rPr>
                <w:sz w:val="16"/>
                <w:szCs w:val="16"/>
              </w:rPr>
            </w:pPr>
            <w:r w:rsidRPr="00D14CE9">
              <w:rPr>
                <w:sz w:val="16"/>
                <w:szCs w:val="16"/>
              </w:rPr>
              <w:t>25.6</w:t>
            </w:r>
          </w:p>
        </w:tc>
        <w:tc>
          <w:tcPr>
            <w:tcW w:w="985" w:type="pct"/>
            <w:vAlign w:val="center"/>
          </w:tcPr>
          <w:p w:rsidR="005264FD" w:rsidRPr="00D14CE9" w:rsidRDefault="005264FD" w:rsidP="00A40EA2">
            <w:pPr>
              <w:jc w:val="center"/>
              <w:rPr>
                <w:sz w:val="16"/>
                <w:szCs w:val="16"/>
              </w:rPr>
            </w:pPr>
            <w:r w:rsidRPr="00D14CE9">
              <w:rPr>
                <w:sz w:val="16"/>
                <w:szCs w:val="16"/>
              </w:rPr>
              <w:t>46.0</w:t>
            </w:r>
          </w:p>
        </w:tc>
      </w:tr>
      <w:tr w:rsidR="005264FD" w:rsidRPr="00D14CE9" w:rsidTr="00A40EA2">
        <w:trPr>
          <w:trHeight w:val="315"/>
        </w:trPr>
        <w:tc>
          <w:tcPr>
            <w:tcW w:w="1894" w:type="pct"/>
            <w:noWrap/>
            <w:vAlign w:val="center"/>
          </w:tcPr>
          <w:p w:rsidR="005264FD" w:rsidRPr="00D14CE9" w:rsidRDefault="005264FD" w:rsidP="00A40EA2">
            <w:pPr>
              <w:rPr>
                <w:rFonts w:cs="Calibri"/>
                <w:color w:val="000000"/>
                <w:sz w:val="16"/>
                <w:szCs w:val="16"/>
              </w:rPr>
            </w:pPr>
            <w:r w:rsidRPr="00D14CE9">
              <w:rPr>
                <w:rFonts w:cs="Calibri"/>
                <w:color w:val="000000"/>
                <w:sz w:val="16"/>
                <w:szCs w:val="16"/>
              </w:rPr>
              <w:t>Urban Growth Areas LGAs</w:t>
            </w:r>
          </w:p>
        </w:tc>
        <w:tc>
          <w:tcPr>
            <w:tcW w:w="985" w:type="pct"/>
            <w:noWrap/>
            <w:vAlign w:val="center"/>
          </w:tcPr>
          <w:p w:rsidR="005264FD" w:rsidRPr="00D14CE9" w:rsidRDefault="005264FD" w:rsidP="00A40EA2">
            <w:pPr>
              <w:jc w:val="center"/>
              <w:rPr>
                <w:sz w:val="16"/>
                <w:szCs w:val="16"/>
              </w:rPr>
            </w:pPr>
            <w:r w:rsidRPr="00D14CE9">
              <w:rPr>
                <w:sz w:val="16"/>
                <w:szCs w:val="16"/>
              </w:rPr>
              <w:t>15.4</w:t>
            </w:r>
          </w:p>
        </w:tc>
        <w:tc>
          <w:tcPr>
            <w:tcW w:w="1136" w:type="pct"/>
            <w:noWrap/>
            <w:vAlign w:val="center"/>
          </w:tcPr>
          <w:p w:rsidR="005264FD" w:rsidRPr="00D14CE9" w:rsidRDefault="005264FD" w:rsidP="00A40EA2">
            <w:pPr>
              <w:jc w:val="center"/>
              <w:rPr>
                <w:sz w:val="16"/>
                <w:szCs w:val="16"/>
              </w:rPr>
            </w:pPr>
            <w:r w:rsidRPr="00D14CE9">
              <w:rPr>
                <w:sz w:val="16"/>
                <w:szCs w:val="16"/>
              </w:rPr>
              <w:t>19.6</w:t>
            </w:r>
          </w:p>
        </w:tc>
        <w:tc>
          <w:tcPr>
            <w:tcW w:w="985" w:type="pct"/>
            <w:vAlign w:val="center"/>
          </w:tcPr>
          <w:p w:rsidR="005264FD" w:rsidRPr="00D14CE9" w:rsidRDefault="005264FD" w:rsidP="00A40EA2">
            <w:pPr>
              <w:jc w:val="center"/>
              <w:rPr>
                <w:sz w:val="16"/>
                <w:szCs w:val="16"/>
              </w:rPr>
            </w:pPr>
            <w:r w:rsidRPr="00D14CE9">
              <w:rPr>
                <w:sz w:val="16"/>
                <w:szCs w:val="16"/>
              </w:rPr>
              <w:t>24.3</w:t>
            </w:r>
          </w:p>
        </w:tc>
      </w:tr>
      <w:tr w:rsidR="005264FD" w:rsidRPr="00D14CE9" w:rsidTr="00A40EA2">
        <w:trPr>
          <w:trHeight w:val="315"/>
        </w:trPr>
        <w:tc>
          <w:tcPr>
            <w:tcW w:w="1894" w:type="pct"/>
            <w:noWrap/>
            <w:vAlign w:val="center"/>
          </w:tcPr>
          <w:p w:rsidR="005264FD" w:rsidRPr="00D14CE9" w:rsidRDefault="005264FD" w:rsidP="00A40EA2">
            <w:pPr>
              <w:rPr>
                <w:rFonts w:cs="Calibri"/>
                <w:color w:val="000000"/>
                <w:sz w:val="16"/>
                <w:szCs w:val="16"/>
              </w:rPr>
            </w:pPr>
            <w:r w:rsidRPr="00D14CE9">
              <w:rPr>
                <w:rFonts w:cs="Calibri"/>
                <w:color w:val="000000"/>
                <w:sz w:val="16"/>
                <w:szCs w:val="16"/>
              </w:rPr>
              <w:t>Regional LGAs</w:t>
            </w:r>
          </w:p>
        </w:tc>
        <w:tc>
          <w:tcPr>
            <w:tcW w:w="985" w:type="pct"/>
            <w:noWrap/>
            <w:vAlign w:val="center"/>
          </w:tcPr>
          <w:p w:rsidR="005264FD" w:rsidRPr="00D14CE9" w:rsidRDefault="005264FD" w:rsidP="00A40EA2">
            <w:pPr>
              <w:jc w:val="center"/>
              <w:rPr>
                <w:sz w:val="16"/>
                <w:szCs w:val="16"/>
              </w:rPr>
            </w:pPr>
            <w:r w:rsidRPr="00D14CE9">
              <w:rPr>
                <w:sz w:val="16"/>
                <w:szCs w:val="16"/>
              </w:rPr>
              <w:t>8.7</w:t>
            </w:r>
          </w:p>
        </w:tc>
        <w:tc>
          <w:tcPr>
            <w:tcW w:w="1136" w:type="pct"/>
            <w:noWrap/>
            <w:vAlign w:val="center"/>
          </w:tcPr>
          <w:p w:rsidR="005264FD" w:rsidRPr="00D14CE9" w:rsidRDefault="005264FD" w:rsidP="00A40EA2">
            <w:pPr>
              <w:jc w:val="center"/>
              <w:rPr>
                <w:sz w:val="16"/>
                <w:szCs w:val="16"/>
              </w:rPr>
            </w:pPr>
            <w:r w:rsidRPr="00D14CE9">
              <w:rPr>
                <w:sz w:val="16"/>
                <w:szCs w:val="16"/>
              </w:rPr>
              <w:t>10.6</w:t>
            </w:r>
          </w:p>
        </w:tc>
        <w:tc>
          <w:tcPr>
            <w:tcW w:w="985" w:type="pct"/>
            <w:vAlign w:val="center"/>
          </w:tcPr>
          <w:p w:rsidR="005264FD" w:rsidRPr="00D14CE9" w:rsidRDefault="005264FD" w:rsidP="00A40EA2">
            <w:pPr>
              <w:jc w:val="center"/>
              <w:rPr>
                <w:sz w:val="16"/>
                <w:szCs w:val="16"/>
              </w:rPr>
            </w:pPr>
            <w:r w:rsidRPr="00D14CE9">
              <w:rPr>
                <w:sz w:val="16"/>
                <w:szCs w:val="16"/>
              </w:rPr>
              <w:t>17.5</w:t>
            </w:r>
          </w:p>
        </w:tc>
      </w:tr>
      <w:tr w:rsidR="005264FD" w:rsidRPr="00D14CE9" w:rsidTr="00A40EA2">
        <w:trPr>
          <w:trHeight w:val="315"/>
        </w:trPr>
        <w:tc>
          <w:tcPr>
            <w:tcW w:w="1894" w:type="pct"/>
            <w:noWrap/>
            <w:vAlign w:val="center"/>
          </w:tcPr>
          <w:p w:rsidR="005264FD" w:rsidRPr="00D14CE9" w:rsidRDefault="005264FD" w:rsidP="00A40EA2">
            <w:pPr>
              <w:rPr>
                <w:rFonts w:cs="Calibri"/>
                <w:b/>
                <w:color w:val="000000"/>
                <w:sz w:val="16"/>
                <w:szCs w:val="16"/>
              </w:rPr>
            </w:pPr>
            <w:r w:rsidRPr="00D14CE9">
              <w:rPr>
                <w:rFonts w:cs="Calibri"/>
                <w:b/>
                <w:color w:val="000000"/>
                <w:sz w:val="16"/>
                <w:szCs w:val="16"/>
              </w:rPr>
              <w:t>Total Demand</w:t>
            </w:r>
          </w:p>
        </w:tc>
        <w:tc>
          <w:tcPr>
            <w:tcW w:w="985" w:type="pct"/>
            <w:noWrap/>
            <w:vAlign w:val="center"/>
          </w:tcPr>
          <w:p w:rsidR="005264FD" w:rsidRPr="00D14CE9" w:rsidRDefault="005264FD" w:rsidP="00A40EA2">
            <w:pPr>
              <w:jc w:val="center"/>
              <w:rPr>
                <w:b/>
                <w:sz w:val="16"/>
                <w:szCs w:val="16"/>
              </w:rPr>
            </w:pPr>
            <w:r w:rsidRPr="00D14CE9">
              <w:rPr>
                <w:b/>
                <w:sz w:val="16"/>
                <w:szCs w:val="16"/>
              </w:rPr>
              <w:t>46.4</w:t>
            </w:r>
          </w:p>
        </w:tc>
        <w:tc>
          <w:tcPr>
            <w:tcW w:w="1136" w:type="pct"/>
            <w:noWrap/>
            <w:vAlign w:val="center"/>
          </w:tcPr>
          <w:p w:rsidR="005264FD" w:rsidRPr="00D14CE9" w:rsidRDefault="005264FD" w:rsidP="00A40EA2">
            <w:pPr>
              <w:jc w:val="center"/>
              <w:rPr>
                <w:b/>
                <w:sz w:val="16"/>
                <w:szCs w:val="16"/>
              </w:rPr>
            </w:pPr>
            <w:r w:rsidRPr="00D14CE9">
              <w:rPr>
                <w:b/>
                <w:sz w:val="16"/>
                <w:szCs w:val="16"/>
              </w:rPr>
              <w:t>55.8</w:t>
            </w:r>
          </w:p>
        </w:tc>
        <w:tc>
          <w:tcPr>
            <w:tcW w:w="985" w:type="pct"/>
            <w:vAlign w:val="center"/>
          </w:tcPr>
          <w:p w:rsidR="005264FD" w:rsidRPr="00D14CE9" w:rsidRDefault="005264FD" w:rsidP="00A40EA2">
            <w:pPr>
              <w:jc w:val="center"/>
              <w:rPr>
                <w:b/>
                <w:sz w:val="16"/>
                <w:szCs w:val="16"/>
              </w:rPr>
            </w:pPr>
            <w:r w:rsidRPr="00D14CE9">
              <w:rPr>
                <w:b/>
                <w:sz w:val="16"/>
                <w:szCs w:val="16"/>
              </w:rPr>
              <w:t>87.8</w:t>
            </w:r>
          </w:p>
        </w:tc>
      </w:tr>
    </w:tbl>
    <w:p w:rsidR="005264FD" w:rsidRPr="00D14CE9" w:rsidRDefault="005264FD" w:rsidP="005264FD">
      <w:pPr>
        <w:pStyle w:val="ListParagraph"/>
        <w:numPr>
          <w:ilvl w:val="0"/>
          <w:numId w:val="9"/>
        </w:numPr>
        <w:rPr>
          <w:rFonts w:ascii="EYInterstate Light" w:hAnsi="EYInterstate Light"/>
          <w:i/>
          <w:sz w:val="16"/>
          <w:szCs w:val="16"/>
        </w:rPr>
      </w:pPr>
      <w:r w:rsidRPr="00D14CE9">
        <w:rPr>
          <w:rFonts w:ascii="EYInterstate Light" w:hAnsi="EYInterstate Light"/>
          <w:i/>
          <w:sz w:val="16"/>
          <w:szCs w:val="16"/>
        </w:rPr>
        <w:t>Source: EY analysis</w:t>
      </w:r>
    </w:p>
    <w:p w:rsidR="00045212" w:rsidRPr="00D14CE9" w:rsidRDefault="00045212" w:rsidP="00045212">
      <w:pPr>
        <w:pStyle w:val="EYBodytextwithparaspace"/>
        <w:rPr>
          <w:lang w:val="en-AU"/>
        </w:rPr>
      </w:pPr>
      <w:r w:rsidRPr="00D14CE9">
        <w:rPr>
          <w:lang w:val="en-AU"/>
        </w:rPr>
        <w:t xml:space="preserve">This shows significant increases in the production and use of extractive resources across all parts of the </w:t>
      </w:r>
      <w:r w:rsidR="001D657B" w:rsidRPr="00D14CE9">
        <w:rPr>
          <w:lang w:val="en-AU"/>
        </w:rPr>
        <w:t>State</w:t>
      </w:r>
      <w:r w:rsidRPr="00D14CE9">
        <w:rPr>
          <w:lang w:val="en-AU"/>
        </w:rPr>
        <w:t xml:space="preserve">, and in particular Urban Infill and regional LGAs where total production is expected to double by 2050. Increases in Urban </w:t>
      </w:r>
      <w:r w:rsidR="00545C8C" w:rsidRPr="00D14CE9">
        <w:rPr>
          <w:lang w:val="en-AU"/>
        </w:rPr>
        <w:t xml:space="preserve">Growth </w:t>
      </w:r>
      <w:r w:rsidRPr="00D14CE9">
        <w:rPr>
          <w:lang w:val="en-AU"/>
        </w:rPr>
        <w:t>Areas are also significant, with around 50% more demand expected in 2050 compared to today’s levels.</w:t>
      </w:r>
    </w:p>
    <w:p w:rsidR="00CC7713" w:rsidRPr="00D14CE9" w:rsidRDefault="00045212" w:rsidP="008F68CE">
      <w:pPr>
        <w:pStyle w:val="EYBodytextwithparaspace"/>
        <w:rPr>
          <w:lang w:val="en-AU"/>
        </w:rPr>
      </w:pPr>
      <w:r w:rsidRPr="00D14CE9">
        <w:rPr>
          <w:lang w:val="en-AU"/>
        </w:rPr>
        <w:t>These dramatic increases</w:t>
      </w:r>
      <w:r w:rsidR="00464A6A" w:rsidRPr="00D14CE9">
        <w:rPr>
          <w:lang w:val="en-AU"/>
        </w:rPr>
        <w:t xml:space="preserve">, </w:t>
      </w:r>
      <w:r w:rsidR="00464A6A" w:rsidRPr="00D14CE9">
        <w:rPr>
          <w:rFonts w:cstheme="majorHAnsi"/>
          <w:szCs w:val="20"/>
          <w:lang w:val="en-AU"/>
        </w:rPr>
        <w:t>illustrated in</w:t>
      </w:r>
      <w:r w:rsidR="000B447A">
        <w:rPr>
          <w:rFonts w:cstheme="majorHAnsi"/>
          <w:szCs w:val="20"/>
          <w:lang w:val="en-AU"/>
        </w:rPr>
        <w:t xml:space="preserve"> </w:t>
      </w:r>
      <w:r w:rsidR="00C46219">
        <w:rPr>
          <w:lang w:val="en-AU"/>
        </w:rPr>
        <w:fldChar w:fldCharType="begin"/>
      </w:r>
      <w:r w:rsidR="00C46219">
        <w:rPr>
          <w:rFonts w:cstheme="majorHAnsi"/>
          <w:szCs w:val="20"/>
          <w:lang w:val="en-AU"/>
        </w:rPr>
        <w:instrText xml:space="preserve"> REF _Ref441670848 \h </w:instrText>
      </w:r>
      <w:r w:rsidR="00C46219">
        <w:rPr>
          <w:lang w:val="en-AU"/>
        </w:rPr>
        <w:instrText xml:space="preserve"> \* MERGEFORMAT </w:instrText>
      </w:r>
      <w:r w:rsidR="00C46219">
        <w:rPr>
          <w:lang w:val="en-AU"/>
        </w:rPr>
      </w:r>
      <w:r w:rsidR="00C46219">
        <w:rPr>
          <w:lang w:val="en-AU"/>
        </w:rPr>
        <w:fldChar w:fldCharType="separate"/>
      </w:r>
      <w:r w:rsidR="00525C82" w:rsidRPr="00525C82">
        <w:rPr>
          <w:rFonts w:cstheme="majorHAnsi"/>
          <w:szCs w:val="20"/>
          <w:lang w:val="en-AU"/>
        </w:rPr>
        <w:t>Figure</w:t>
      </w:r>
      <w:r w:rsidR="00525C82" w:rsidRPr="00525C82">
        <w:rPr>
          <w:lang w:val="en-AU"/>
        </w:rPr>
        <w:t xml:space="preserve"> 20</w:t>
      </w:r>
      <w:r w:rsidR="00C46219">
        <w:rPr>
          <w:lang w:val="en-AU"/>
        </w:rPr>
        <w:fldChar w:fldCharType="end"/>
      </w:r>
      <w:r w:rsidR="00464A6A" w:rsidRPr="000B447A">
        <w:rPr>
          <w:lang w:val="en-AU"/>
        </w:rPr>
        <w:t>,</w:t>
      </w:r>
      <w:r w:rsidRPr="00D14CE9">
        <w:rPr>
          <w:lang w:val="en-AU"/>
        </w:rPr>
        <w:t xml:space="preserve"> are driven by the expectation for continued strong population growth across Victoria, which creates the increased need for housing and supporting infrastructure, as well as the need for large numbers of non-residential buildings to accommodate commercial, industrial, retail and other employment. </w:t>
      </w:r>
    </w:p>
    <w:p w:rsidR="00CC7713" w:rsidRPr="00D14CE9" w:rsidRDefault="00CC7713" w:rsidP="00C200D0">
      <w:pPr>
        <w:pStyle w:val="EYBodytextwithparaspace"/>
        <w:rPr>
          <w:rFonts w:cstheme="majorHAnsi"/>
          <w:szCs w:val="20"/>
          <w:lang w:val="en-AU"/>
        </w:rPr>
      </w:pPr>
    </w:p>
    <w:p w:rsidR="00714DD7" w:rsidRPr="00D14CE9" w:rsidRDefault="00714DD7" w:rsidP="00C200D0">
      <w:pPr>
        <w:pStyle w:val="Caption"/>
        <w:rPr>
          <w:sz w:val="16"/>
          <w:szCs w:val="18"/>
        </w:rPr>
      </w:pPr>
      <w:bookmarkStart w:id="539" w:name="_Ref441670848"/>
      <w:bookmarkStart w:id="540" w:name="_Toc445240918"/>
      <w:bookmarkStart w:id="541" w:name="_Toc448914582"/>
      <w:r w:rsidRPr="00D14CE9">
        <w:rPr>
          <w:sz w:val="16"/>
          <w:szCs w:val="18"/>
        </w:rPr>
        <w:lastRenderedPageBreak/>
        <w:t xml:space="preserve">Figure </w:t>
      </w:r>
      <w:r w:rsidRPr="00855A0C">
        <w:rPr>
          <w:sz w:val="16"/>
          <w:szCs w:val="18"/>
        </w:rPr>
        <w:fldChar w:fldCharType="begin"/>
      </w:r>
      <w:r w:rsidRPr="00D14CE9">
        <w:rPr>
          <w:sz w:val="16"/>
          <w:szCs w:val="18"/>
        </w:rPr>
        <w:instrText xml:space="preserve"> SEQ Figure \* ARABIC </w:instrText>
      </w:r>
      <w:r w:rsidRPr="00855A0C">
        <w:rPr>
          <w:sz w:val="16"/>
          <w:szCs w:val="18"/>
        </w:rPr>
        <w:fldChar w:fldCharType="separate"/>
      </w:r>
      <w:r w:rsidR="00525C82">
        <w:rPr>
          <w:noProof/>
          <w:sz w:val="16"/>
          <w:szCs w:val="18"/>
        </w:rPr>
        <w:t>20</w:t>
      </w:r>
      <w:r w:rsidRPr="00855A0C">
        <w:rPr>
          <w:sz w:val="16"/>
          <w:szCs w:val="18"/>
        </w:rPr>
        <w:fldChar w:fldCharType="end"/>
      </w:r>
      <w:bookmarkEnd w:id="539"/>
      <w:r w:rsidRPr="00D14CE9">
        <w:rPr>
          <w:sz w:val="16"/>
          <w:szCs w:val="18"/>
        </w:rPr>
        <w:t xml:space="preserve"> –</w:t>
      </w:r>
      <w:r w:rsidR="00650C92">
        <w:rPr>
          <w:sz w:val="16"/>
          <w:szCs w:val="18"/>
        </w:rPr>
        <w:t xml:space="preserve"> </w:t>
      </w:r>
      <w:r w:rsidRPr="00D14CE9">
        <w:rPr>
          <w:sz w:val="16"/>
          <w:szCs w:val="18"/>
        </w:rPr>
        <w:t xml:space="preserve">Spatial allocation of Extractive Resources Demand by </w:t>
      </w:r>
      <w:r w:rsidR="00A52BFF" w:rsidRPr="00C7148F">
        <w:rPr>
          <w:sz w:val="16"/>
          <w:szCs w:val="18"/>
        </w:rPr>
        <w:t>type of LGA</w:t>
      </w:r>
      <w:r w:rsidR="00862E02" w:rsidRPr="00D14CE9">
        <w:rPr>
          <w:sz w:val="16"/>
          <w:szCs w:val="18"/>
        </w:rPr>
        <w:t xml:space="preserve"> - Forecast </w:t>
      </w:r>
      <w:r w:rsidR="00A52BFF" w:rsidRPr="00D14CE9">
        <w:rPr>
          <w:sz w:val="16"/>
          <w:szCs w:val="18"/>
        </w:rPr>
        <w:t xml:space="preserve">over the period </w:t>
      </w:r>
      <w:r w:rsidR="00862E02" w:rsidRPr="00D14CE9">
        <w:rPr>
          <w:sz w:val="16"/>
          <w:szCs w:val="18"/>
        </w:rPr>
        <w:t xml:space="preserve">2015-2050 </w:t>
      </w:r>
      <w:r w:rsidRPr="00D14CE9">
        <w:rPr>
          <w:sz w:val="16"/>
          <w:szCs w:val="18"/>
        </w:rPr>
        <w:t>– million tonnes</w:t>
      </w:r>
      <w:bookmarkEnd w:id="540"/>
      <w:bookmarkEnd w:id="541"/>
      <w:r w:rsidRPr="00D14CE9">
        <w:rPr>
          <w:sz w:val="16"/>
          <w:szCs w:val="18"/>
        </w:rPr>
        <w:t xml:space="preserve"> </w:t>
      </w:r>
    </w:p>
    <w:p w:rsidR="00156D50" w:rsidRPr="00D14CE9" w:rsidRDefault="006636EA" w:rsidP="00C200D0">
      <w:r>
        <w:rPr>
          <w:noProof/>
          <w:lang w:eastAsia="en-AU"/>
        </w:rPr>
        <w:drawing>
          <wp:inline distT="0" distB="0" distL="0" distR="0" wp14:anchorId="1141DFD3" wp14:editId="2734520F">
            <wp:extent cx="5658654" cy="1995805"/>
            <wp:effectExtent l="0" t="0" r="0" b="4445"/>
            <wp:docPr id="2091" name="Picture 2091" descr="Figure 20 is a graph showing the special allocation of demand by LGA type over the period 2015 – 2050. It shows that the total baseline demand increases from around 46 million tonnes in 2015 to around 88 million tonnes in 2050.&#10;&#10;"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673" t="1236" r="833" b="2900"/>
                    <a:stretch/>
                  </pic:blipFill>
                  <pic:spPr bwMode="auto">
                    <a:xfrm>
                      <a:off x="0" y="0"/>
                      <a:ext cx="5687140" cy="2005852"/>
                    </a:xfrm>
                    <a:prstGeom prst="rect">
                      <a:avLst/>
                    </a:prstGeom>
                    <a:noFill/>
                    <a:ln>
                      <a:noFill/>
                    </a:ln>
                    <a:extLst>
                      <a:ext uri="{53640926-AAD7-44D8-BBD7-CCE9431645EC}">
                        <a14:shadowObscured xmlns:a14="http://schemas.microsoft.com/office/drawing/2010/main"/>
                      </a:ext>
                    </a:extLst>
                  </pic:spPr>
                </pic:pic>
              </a:graphicData>
            </a:graphic>
          </wp:inline>
        </w:drawing>
      </w:r>
    </w:p>
    <w:p w:rsidR="00714DD7" w:rsidRPr="00D14CE9" w:rsidRDefault="00714DD7" w:rsidP="00C15F5A">
      <w:pPr>
        <w:pStyle w:val="EYSource"/>
        <w:rPr>
          <w:lang w:val="en-AU"/>
        </w:rPr>
      </w:pPr>
      <w:r w:rsidRPr="00D14CE9">
        <w:rPr>
          <w:lang w:val="en-AU"/>
        </w:rPr>
        <w:t>Source: EY analysis</w:t>
      </w:r>
    </w:p>
    <w:p w:rsidR="00714DD7" w:rsidRPr="00D14CE9" w:rsidRDefault="00714DD7" w:rsidP="00C200D0"/>
    <w:p w:rsidR="000A067A" w:rsidRDefault="00714DD7" w:rsidP="00C200D0">
      <w:pPr>
        <w:pStyle w:val="EYBodytextwithparaspace"/>
        <w:rPr>
          <w:rFonts w:cstheme="majorHAnsi"/>
          <w:szCs w:val="20"/>
          <w:lang w:val="en-AU"/>
        </w:rPr>
      </w:pPr>
      <w:r w:rsidRPr="00D14CE9">
        <w:rPr>
          <w:rFonts w:cstheme="majorHAnsi"/>
          <w:szCs w:val="20"/>
          <w:lang w:val="en-AU"/>
        </w:rPr>
        <w:t xml:space="preserve">The following maps in </w:t>
      </w:r>
      <w:r w:rsidR="000B447A">
        <w:rPr>
          <w:rFonts w:cstheme="majorHAnsi"/>
          <w:szCs w:val="20"/>
          <w:lang w:val="en-AU"/>
        </w:rPr>
        <w:fldChar w:fldCharType="begin"/>
      </w:r>
      <w:r w:rsidR="000B447A">
        <w:rPr>
          <w:rFonts w:cstheme="majorHAnsi"/>
          <w:szCs w:val="20"/>
          <w:lang w:val="en-AU"/>
        </w:rPr>
        <w:instrText xml:space="preserve"> REF _Ref441413577 \h  \* MERGEFORMAT </w:instrText>
      </w:r>
      <w:r w:rsidR="000B447A">
        <w:rPr>
          <w:rFonts w:cstheme="majorHAnsi"/>
          <w:szCs w:val="20"/>
          <w:lang w:val="en-AU"/>
        </w:rPr>
      </w:r>
      <w:r w:rsidR="000B447A">
        <w:rPr>
          <w:rFonts w:cstheme="majorHAnsi"/>
          <w:szCs w:val="20"/>
          <w:lang w:val="en-AU"/>
        </w:rPr>
        <w:fldChar w:fldCharType="separate"/>
      </w:r>
      <w:r w:rsidR="00525C82" w:rsidRPr="00525C82">
        <w:rPr>
          <w:rFonts w:cstheme="majorHAnsi"/>
          <w:szCs w:val="20"/>
          <w:lang w:val="en-AU"/>
        </w:rPr>
        <w:t>Figure 21</w:t>
      </w:r>
      <w:r w:rsidR="000B447A">
        <w:rPr>
          <w:rFonts w:cstheme="majorHAnsi"/>
          <w:szCs w:val="20"/>
          <w:lang w:val="en-AU"/>
        </w:rPr>
        <w:fldChar w:fldCharType="end"/>
      </w:r>
      <w:r w:rsidR="00C46219">
        <w:rPr>
          <w:rFonts w:cstheme="majorHAnsi"/>
          <w:szCs w:val="20"/>
          <w:lang w:val="en-AU"/>
        </w:rPr>
        <w:t xml:space="preserve"> </w:t>
      </w:r>
      <w:r w:rsidRPr="00D14CE9">
        <w:rPr>
          <w:rFonts w:cstheme="majorHAnsi"/>
          <w:szCs w:val="20"/>
          <w:lang w:val="en-AU"/>
        </w:rPr>
        <w:t xml:space="preserve">and </w:t>
      </w:r>
      <w:r w:rsidR="000B447A">
        <w:rPr>
          <w:rFonts w:cstheme="majorHAnsi"/>
          <w:szCs w:val="20"/>
          <w:lang w:val="en-AU"/>
        </w:rPr>
        <w:fldChar w:fldCharType="begin"/>
      </w:r>
      <w:r w:rsidR="000B447A">
        <w:rPr>
          <w:rFonts w:cstheme="majorHAnsi"/>
          <w:szCs w:val="20"/>
          <w:lang w:val="en-AU"/>
        </w:rPr>
        <w:instrText xml:space="preserve"> REF _Ref445154430 \h  \* MERGEFORMAT </w:instrText>
      </w:r>
      <w:r w:rsidR="000B447A">
        <w:rPr>
          <w:rFonts w:cstheme="majorHAnsi"/>
          <w:szCs w:val="20"/>
          <w:lang w:val="en-AU"/>
        </w:rPr>
      </w:r>
      <w:r w:rsidR="000B447A">
        <w:rPr>
          <w:rFonts w:cstheme="majorHAnsi"/>
          <w:szCs w:val="20"/>
          <w:lang w:val="en-AU"/>
        </w:rPr>
        <w:fldChar w:fldCharType="separate"/>
      </w:r>
      <w:r w:rsidR="00525C82" w:rsidRPr="00525C82">
        <w:rPr>
          <w:rFonts w:cstheme="majorHAnsi"/>
          <w:szCs w:val="20"/>
          <w:lang w:val="en-AU"/>
        </w:rPr>
        <w:t>Figure 22</w:t>
      </w:r>
      <w:r w:rsidR="000B447A">
        <w:rPr>
          <w:rFonts w:cstheme="majorHAnsi"/>
          <w:szCs w:val="20"/>
          <w:lang w:val="en-AU"/>
        </w:rPr>
        <w:fldChar w:fldCharType="end"/>
      </w:r>
      <w:r w:rsidR="000B447A">
        <w:rPr>
          <w:rFonts w:cstheme="majorHAnsi"/>
          <w:szCs w:val="20"/>
          <w:lang w:val="en-AU"/>
        </w:rPr>
        <w:t xml:space="preserve"> </w:t>
      </w:r>
      <w:r w:rsidRPr="00D14CE9">
        <w:rPr>
          <w:rFonts w:cstheme="majorHAnsi"/>
          <w:szCs w:val="20"/>
          <w:lang w:val="en-AU"/>
        </w:rPr>
        <w:t xml:space="preserve">illustrate the intensity of the aggregate demand for extractive resources per LGA, classified in terms of projected tonnes. </w:t>
      </w:r>
    </w:p>
    <w:p w:rsidR="00714DD7" w:rsidRPr="00D14CE9" w:rsidRDefault="002C74A0" w:rsidP="00C200D0">
      <w:pPr>
        <w:pStyle w:val="EYBodytextwithparaspace"/>
        <w:rPr>
          <w:rFonts w:cstheme="majorHAnsi"/>
          <w:szCs w:val="20"/>
          <w:lang w:val="en-AU"/>
        </w:rPr>
      </w:pPr>
      <w:r w:rsidRPr="00D14CE9">
        <w:rPr>
          <w:lang w:val="en-AU"/>
        </w:rPr>
        <w:t xml:space="preserve">In comparing LGAs, there is a noticeable increase in key Urban Growth Areas such as Casey, Whittlesea and Wyndham, and to a lesser but nevertheless significant extent, Melton and Hume. There are also material increases expected in regional population centres such as Ballarat, Greater Bendigo and Greater Geelong. In each of these cases this follows sharp rises in population in those areas over the last decade, and the continuation of these trends </w:t>
      </w:r>
      <w:r w:rsidR="007400EF" w:rsidRPr="00D14CE9">
        <w:rPr>
          <w:lang w:val="en-AU"/>
        </w:rPr>
        <w:t xml:space="preserve">is expected to </w:t>
      </w:r>
      <w:r w:rsidRPr="00D14CE9">
        <w:rPr>
          <w:lang w:val="en-AU"/>
        </w:rPr>
        <w:t>be an ongoing challenge for the extractive resources industry.</w:t>
      </w:r>
    </w:p>
    <w:p w:rsidR="00396EDE" w:rsidRPr="00D14CE9" w:rsidRDefault="00156D50" w:rsidP="00C200D0">
      <w:r w:rsidRPr="00D14CE9">
        <w:rPr>
          <w:rFonts w:cstheme="majorHAnsi"/>
        </w:rPr>
        <w:t xml:space="preserve">Extensive </w:t>
      </w:r>
      <w:r w:rsidR="00714DD7" w:rsidRPr="00D14CE9">
        <w:rPr>
          <w:rFonts w:cstheme="majorHAnsi"/>
        </w:rPr>
        <w:t>details in relation to the demand for extractive resources per LGA and per category of resources has been provided, on a yearly basis from 2015 to</w:t>
      </w:r>
      <w:r w:rsidR="00714DD7" w:rsidRPr="00D14CE9">
        <w:t xml:space="preserve"> 2050, to PwC on </w:t>
      </w:r>
      <w:r w:rsidRPr="00D14CE9">
        <w:t>15 February</w:t>
      </w:r>
      <w:r w:rsidR="00714DD7" w:rsidRPr="00D14CE9">
        <w:t xml:space="preserve"> 2016 and are available in </w:t>
      </w:r>
      <w:r w:rsidR="00714DD7" w:rsidRPr="00474B05">
        <w:rPr>
          <w:kern w:val="12"/>
          <w:szCs w:val="24"/>
          <w:lang w:val="en-US"/>
        </w:rPr>
        <w:fldChar w:fldCharType="begin" w:fldLock="1"/>
      </w:r>
      <w:r w:rsidR="00714DD7" w:rsidRPr="00D14CE9">
        <w:instrText xml:space="preserve"> REF _Ref441226399 \r \h </w:instrText>
      </w:r>
      <w:r w:rsidR="00714DD7" w:rsidRPr="00474B05">
        <w:rPr>
          <w:kern w:val="12"/>
          <w:szCs w:val="24"/>
          <w:lang w:val="en-US"/>
        </w:rPr>
      </w:r>
      <w:r w:rsidR="00714DD7" w:rsidRPr="00474B05">
        <w:rPr>
          <w:kern w:val="12"/>
          <w:szCs w:val="24"/>
          <w:lang w:val="en-US"/>
        </w:rPr>
        <w:fldChar w:fldCharType="separate"/>
      </w:r>
      <w:r w:rsidR="00895089">
        <w:t>Appendix F</w:t>
      </w:r>
      <w:r w:rsidR="00714DD7" w:rsidRPr="00474B05">
        <w:rPr>
          <w:kern w:val="12"/>
          <w:szCs w:val="24"/>
          <w:lang w:val="en-US"/>
        </w:rPr>
        <w:fldChar w:fldCharType="end"/>
      </w:r>
      <w:r w:rsidR="00714DD7" w:rsidRPr="00D14CE9">
        <w:t xml:space="preserve"> of this Report.</w:t>
      </w:r>
    </w:p>
    <w:p w:rsidR="00396EDE" w:rsidRPr="00D14CE9" w:rsidRDefault="00396EDE" w:rsidP="00C200D0"/>
    <w:p w:rsidR="00396EDE" w:rsidRPr="00D14CE9" w:rsidRDefault="00396EDE" w:rsidP="00C200D0"/>
    <w:p w:rsidR="00396EDE" w:rsidRPr="00D14CE9" w:rsidRDefault="00396EDE" w:rsidP="00C200D0"/>
    <w:p w:rsidR="00396EDE" w:rsidRPr="00D14CE9" w:rsidRDefault="00396EDE" w:rsidP="00C200D0"/>
    <w:p w:rsidR="00396EDE" w:rsidRPr="00D14CE9" w:rsidRDefault="00396EDE" w:rsidP="00C200D0"/>
    <w:p w:rsidR="00396EDE" w:rsidRPr="00D14CE9" w:rsidRDefault="00396EDE" w:rsidP="00C200D0"/>
    <w:p w:rsidR="00396EDE" w:rsidRPr="00D14CE9" w:rsidRDefault="00396EDE" w:rsidP="00C200D0"/>
    <w:p w:rsidR="00396EDE" w:rsidRPr="00D14CE9" w:rsidRDefault="00396EDE" w:rsidP="00C200D0"/>
    <w:p w:rsidR="00396EDE" w:rsidRPr="00D14CE9" w:rsidRDefault="00396EDE" w:rsidP="00C200D0"/>
    <w:p w:rsidR="00396EDE" w:rsidRPr="00D14CE9" w:rsidRDefault="00396EDE" w:rsidP="00C200D0">
      <w:pPr>
        <w:sectPr w:rsidR="00396EDE" w:rsidRPr="00D14CE9" w:rsidSect="008525FA">
          <w:pgSz w:w="11909" w:h="16834" w:code="9"/>
          <w:pgMar w:top="1440" w:right="1277" w:bottom="1134" w:left="1440" w:header="720" w:footer="567" w:gutter="0"/>
          <w:cols w:space="720"/>
          <w:docGrid w:linePitch="360"/>
        </w:sectPr>
      </w:pPr>
    </w:p>
    <w:p w:rsidR="00714DD7" w:rsidRDefault="00714DD7" w:rsidP="00C200D0">
      <w:pPr>
        <w:pStyle w:val="Caption"/>
        <w:rPr>
          <w:sz w:val="16"/>
          <w:szCs w:val="18"/>
        </w:rPr>
      </w:pPr>
      <w:bookmarkStart w:id="542" w:name="_Ref441413577"/>
      <w:bookmarkStart w:id="543" w:name="_Toc445240919"/>
      <w:bookmarkStart w:id="544" w:name="_Toc448914583"/>
      <w:r w:rsidRPr="00D14CE9">
        <w:rPr>
          <w:sz w:val="16"/>
          <w:szCs w:val="18"/>
        </w:rPr>
        <w:lastRenderedPageBreak/>
        <w:t xml:space="preserve">Figure </w:t>
      </w:r>
      <w:r w:rsidRPr="00C7148F">
        <w:rPr>
          <w:sz w:val="16"/>
          <w:szCs w:val="18"/>
        </w:rPr>
        <w:fldChar w:fldCharType="begin"/>
      </w:r>
      <w:r w:rsidRPr="00D14CE9">
        <w:rPr>
          <w:sz w:val="16"/>
          <w:szCs w:val="18"/>
        </w:rPr>
        <w:instrText xml:space="preserve"> SEQ Figure \* ARABIC </w:instrText>
      </w:r>
      <w:r w:rsidRPr="00C7148F">
        <w:rPr>
          <w:sz w:val="16"/>
          <w:szCs w:val="18"/>
        </w:rPr>
        <w:fldChar w:fldCharType="separate"/>
      </w:r>
      <w:r w:rsidR="00525C82">
        <w:rPr>
          <w:noProof/>
          <w:sz w:val="16"/>
          <w:szCs w:val="18"/>
        </w:rPr>
        <w:t>21</w:t>
      </w:r>
      <w:r w:rsidRPr="00C7148F">
        <w:rPr>
          <w:sz w:val="16"/>
          <w:szCs w:val="18"/>
        </w:rPr>
        <w:fldChar w:fldCharType="end"/>
      </w:r>
      <w:bookmarkEnd w:id="542"/>
      <w:r w:rsidRPr="00D14CE9">
        <w:rPr>
          <w:sz w:val="16"/>
          <w:szCs w:val="18"/>
        </w:rPr>
        <w:t xml:space="preserve"> – </w:t>
      </w:r>
      <w:r w:rsidR="00464A6A" w:rsidRPr="00C7148F">
        <w:rPr>
          <w:sz w:val="16"/>
          <w:szCs w:val="18"/>
        </w:rPr>
        <w:t>Total</w:t>
      </w:r>
      <w:r w:rsidR="00464A6A" w:rsidRPr="00D14CE9">
        <w:rPr>
          <w:sz w:val="16"/>
          <w:szCs w:val="18"/>
        </w:rPr>
        <w:t xml:space="preserve"> d</w:t>
      </w:r>
      <w:r w:rsidRPr="00C7148F">
        <w:rPr>
          <w:sz w:val="16"/>
          <w:szCs w:val="18"/>
        </w:rPr>
        <w:t xml:space="preserve">emand </w:t>
      </w:r>
      <w:r w:rsidR="00464A6A" w:rsidRPr="00D14CE9">
        <w:rPr>
          <w:sz w:val="16"/>
          <w:szCs w:val="18"/>
        </w:rPr>
        <w:t xml:space="preserve">for extractive resources by LGA over the period </w:t>
      </w:r>
      <w:r w:rsidRPr="00D14CE9">
        <w:rPr>
          <w:sz w:val="16"/>
          <w:szCs w:val="18"/>
        </w:rPr>
        <w:t>2015-2025</w:t>
      </w:r>
      <w:bookmarkEnd w:id="543"/>
      <w:bookmarkEnd w:id="544"/>
      <w:r w:rsidRPr="00D14CE9">
        <w:rPr>
          <w:sz w:val="16"/>
          <w:szCs w:val="18"/>
        </w:rPr>
        <w:t xml:space="preserve"> </w:t>
      </w:r>
    </w:p>
    <w:p w:rsidR="007568BC" w:rsidRPr="00E65C9D" w:rsidRDefault="0085251D" w:rsidP="00E65C9D">
      <w:r>
        <w:rPr>
          <w:noProof/>
          <w:lang w:eastAsia="en-AU"/>
        </w:rPr>
        <w:drawing>
          <wp:inline distT="0" distB="0" distL="0" distR="0" wp14:anchorId="1D3CC9F7" wp14:editId="401CCB44">
            <wp:extent cx="7165075" cy="5370992"/>
            <wp:effectExtent l="0" t="0" r="0" b="1270"/>
            <wp:docPr id="15" name="Picture 15" descr="Figure 21 is a map showing total demand for extractive resources by LGA over the period 2015 – 2025. It shows that demand is heaviest in Whittlesea, Wyndham, Melbourne and Casey. &#10;&#10;"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ELBOURNE\MELBTAS\CF\Restricted\DEDJTR Demand Analysis for Extractive Resources\12. Maps\Baseline - short term.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909" t="5303" r="18630" b="16898"/>
                    <a:stretch/>
                  </pic:blipFill>
                  <pic:spPr bwMode="auto">
                    <a:xfrm>
                      <a:off x="0" y="0"/>
                      <a:ext cx="7181125" cy="5383023"/>
                    </a:xfrm>
                    <a:prstGeom prst="rect">
                      <a:avLst/>
                    </a:prstGeom>
                    <a:noFill/>
                    <a:ln>
                      <a:noFill/>
                    </a:ln>
                    <a:extLst>
                      <a:ext uri="{53640926-AAD7-44D8-BBD7-CCE9431645EC}">
                        <a14:shadowObscured xmlns:a14="http://schemas.microsoft.com/office/drawing/2010/main"/>
                      </a:ext>
                    </a:extLst>
                  </pic:spPr>
                </pic:pic>
              </a:graphicData>
            </a:graphic>
          </wp:inline>
        </w:drawing>
      </w:r>
    </w:p>
    <w:p w:rsidR="00714DD7" w:rsidRPr="00E65C9D" w:rsidRDefault="00714DD7" w:rsidP="00C200D0">
      <w:pPr>
        <w:rPr>
          <w:i/>
          <w:sz w:val="16"/>
          <w:szCs w:val="16"/>
        </w:rPr>
      </w:pPr>
      <w:r w:rsidRPr="00E65C9D">
        <w:rPr>
          <w:i/>
          <w:sz w:val="16"/>
          <w:szCs w:val="16"/>
        </w:rPr>
        <w:t>Source: EY analysis</w:t>
      </w:r>
    </w:p>
    <w:p w:rsidR="00D3438A" w:rsidRPr="00D14CE9" w:rsidRDefault="00D3438A" w:rsidP="00D3438A">
      <w:pPr>
        <w:pStyle w:val="Caption"/>
        <w:rPr>
          <w:sz w:val="16"/>
          <w:szCs w:val="18"/>
        </w:rPr>
      </w:pPr>
      <w:bookmarkStart w:id="545" w:name="_Ref445154430"/>
      <w:bookmarkStart w:id="546" w:name="_Toc445240920"/>
      <w:bookmarkStart w:id="547" w:name="_Toc448914584"/>
      <w:r w:rsidRPr="00D14CE9">
        <w:rPr>
          <w:sz w:val="16"/>
          <w:szCs w:val="18"/>
        </w:rPr>
        <w:lastRenderedPageBreak/>
        <w:t xml:space="preserve">Figure </w:t>
      </w:r>
      <w:r w:rsidRPr="00133B47">
        <w:rPr>
          <w:sz w:val="16"/>
          <w:szCs w:val="18"/>
        </w:rPr>
        <w:fldChar w:fldCharType="begin"/>
      </w:r>
      <w:r w:rsidRPr="00D14CE9">
        <w:rPr>
          <w:sz w:val="16"/>
          <w:szCs w:val="18"/>
        </w:rPr>
        <w:instrText xml:space="preserve"> SEQ Figure \* ARABIC </w:instrText>
      </w:r>
      <w:r w:rsidRPr="00133B47">
        <w:rPr>
          <w:sz w:val="16"/>
          <w:szCs w:val="18"/>
        </w:rPr>
        <w:fldChar w:fldCharType="separate"/>
      </w:r>
      <w:r w:rsidR="00525C82">
        <w:rPr>
          <w:noProof/>
          <w:sz w:val="16"/>
          <w:szCs w:val="18"/>
        </w:rPr>
        <w:t>22</w:t>
      </w:r>
      <w:r w:rsidRPr="00133B47">
        <w:rPr>
          <w:sz w:val="16"/>
          <w:szCs w:val="18"/>
        </w:rPr>
        <w:fldChar w:fldCharType="end"/>
      </w:r>
      <w:bookmarkEnd w:id="545"/>
      <w:r w:rsidRPr="00D14CE9">
        <w:rPr>
          <w:sz w:val="16"/>
          <w:szCs w:val="18"/>
        </w:rPr>
        <w:t xml:space="preserve"> – Total demand for extractive resources by LGA over the period 2026-2050</w:t>
      </w:r>
      <w:bookmarkEnd w:id="546"/>
      <w:bookmarkEnd w:id="547"/>
      <w:r w:rsidRPr="00D14CE9">
        <w:rPr>
          <w:sz w:val="16"/>
          <w:szCs w:val="18"/>
        </w:rPr>
        <w:t xml:space="preserve"> </w:t>
      </w:r>
    </w:p>
    <w:p w:rsidR="00D3438A" w:rsidRDefault="0085251D" w:rsidP="00D3438A">
      <w:pPr>
        <w:rPr>
          <w:i/>
          <w:sz w:val="16"/>
          <w:szCs w:val="16"/>
        </w:rPr>
      </w:pPr>
      <w:r>
        <w:rPr>
          <w:i/>
          <w:noProof/>
          <w:sz w:val="16"/>
          <w:szCs w:val="16"/>
          <w:lang w:eastAsia="en-AU"/>
        </w:rPr>
        <w:drawing>
          <wp:inline distT="0" distB="0" distL="0" distR="0" wp14:anchorId="2BAED4EF" wp14:editId="6D2B9782">
            <wp:extent cx="7101444" cy="5384611"/>
            <wp:effectExtent l="0" t="0" r="4445" b="6985"/>
            <wp:docPr id="2088" name="Picture 2088" descr="Figure 22 is a map showing total demand for extractive resources by LGA over the period 2026 – 2050. It shows that demand is heaviest in Melbourne and Wyndham. "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ELBOURNE\MELBTAS\CF\Restricted\DEDJTR Demand Analysis for Extractive Resources\12. Maps\Baseline - long term.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7910" t="5491" r="18898" b="16100"/>
                    <a:stretch/>
                  </pic:blipFill>
                  <pic:spPr bwMode="auto">
                    <a:xfrm>
                      <a:off x="0" y="0"/>
                      <a:ext cx="7103492" cy="5386164"/>
                    </a:xfrm>
                    <a:prstGeom prst="rect">
                      <a:avLst/>
                    </a:prstGeom>
                    <a:noFill/>
                    <a:ln>
                      <a:noFill/>
                    </a:ln>
                    <a:extLst>
                      <a:ext uri="{53640926-AAD7-44D8-BBD7-CCE9431645EC}">
                        <a14:shadowObscured xmlns:a14="http://schemas.microsoft.com/office/drawing/2010/main"/>
                      </a:ext>
                    </a:extLst>
                  </pic:spPr>
                </pic:pic>
              </a:graphicData>
            </a:graphic>
          </wp:inline>
        </w:drawing>
      </w:r>
    </w:p>
    <w:p w:rsidR="00D3438A" w:rsidRPr="00D14CE9" w:rsidRDefault="00D3438A" w:rsidP="00D3438A">
      <w:pPr>
        <w:rPr>
          <w:sz w:val="16"/>
          <w:szCs w:val="16"/>
        </w:rPr>
      </w:pPr>
      <w:r w:rsidRPr="00D14CE9">
        <w:rPr>
          <w:i/>
          <w:sz w:val="16"/>
          <w:szCs w:val="16"/>
        </w:rPr>
        <w:t>Source: EY analysis</w:t>
      </w:r>
    </w:p>
    <w:p w:rsidR="00396EDE" w:rsidRPr="00D14CE9" w:rsidRDefault="00396EDE" w:rsidP="00C200D0">
      <w:pPr>
        <w:pStyle w:val="EYBodytextwithparaspace"/>
        <w:rPr>
          <w:rFonts w:cstheme="majorHAnsi"/>
          <w:szCs w:val="20"/>
          <w:lang w:val="en-AU"/>
        </w:rPr>
        <w:sectPr w:rsidR="00396EDE" w:rsidRPr="00D14CE9" w:rsidSect="003A1D14">
          <w:footerReference w:type="default" r:id="rId49"/>
          <w:pgSz w:w="16834" w:h="11909" w:orient="landscape" w:code="9"/>
          <w:pgMar w:top="1440" w:right="1440" w:bottom="1440" w:left="1440" w:header="720" w:footer="567" w:gutter="0"/>
          <w:cols w:space="720"/>
          <w:docGrid w:linePitch="360"/>
        </w:sectPr>
      </w:pPr>
    </w:p>
    <w:p w:rsidR="00714DD7" w:rsidRPr="00D14CE9" w:rsidRDefault="00714DD7" w:rsidP="00C200D0">
      <w:pPr>
        <w:pStyle w:val="EYBodytextwithparaspace"/>
        <w:rPr>
          <w:rFonts w:cstheme="majorHAnsi"/>
          <w:szCs w:val="20"/>
          <w:lang w:val="en-AU"/>
        </w:rPr>
      </w:pPr>
      <w:r w:rsidRPr="00D14CE9">
        <w:rPr>
          <w:rFonts w:cstheme="majorHAnsi"/>
          <w:szCs w:val="20"/>
          <w:lang w:val="en-AU"/>
        </w:rPr>
        <w:lastRenderedPageBreak/>
        <w:t>From 2015 to 2025, the demand forecast for extractive resources identified the following hot spots:</w:t>
      </w:r>
    </w:p>
    <w:tbl>
      <w:tblPr>
        <w:tblW w:w="925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14 "/>
        <w:tblDescription w:val="Table 14 lists the top 10 LGAs by demand for the period 2015 - 2025. They are, in descending order, Melbourne, Wyndham, Casey, Whittlesea, Melton, Hume, greater Geelong, Cardinia, Moreland and Greater Dandenong."/>
      </w:tblPr>
      <w:tblGrid>
        <w:gridCol w:w="612"/>
        <w:gridCol w:w="2250"/>
        <w:gridCol w:w="1170"/>
        <w:gridCol w:w="1350"/>
        <w:gridCol w:w="1170"/>
        <w:gridCol w:w="1260"/>
        <w:gridCol w:w="1440"/>
      </w:tblGrid>
      <w:tr w:rsidR="00254884" w:rsidRPr="00D14CE9" w:rsidTr="000B447A">
        <w:trPr>
          <w:trHeight w:val="315"/>
        </w:trPr>
        <w:tc>
          <w:tcPr>
            <w:tcW w:w="9252" w:type="dxa"/>
            <w:gridSpan w:val="7"/>
            <w:shd w:val="clear" w:color="auto" w:fill="808080"/>
            <w:noWrap/>
            <w:vAlign w:val="center"/>
          </w:tcPr>
          <w:p w:rsidR="00254884" w:rsidRPr="00D14CE9" w:rsidRDefault="00254884" w:rsidP="003E25FF">
            <w:pPr>
              <w:pStyle w:val="EYTableHeadingWhite"/>
              <w:rPr>
                <w:rFonts w:eastAsia="Arial Unicode MS"/>
              </w:rPr>
            </w:pPr>
            <w:bookmarkStart w:id="548" w:name="_Toc445240948"/>
            <w:bookmarkStart w:id="549" w:name="_Toc448914641"/>
            <w:bookmarkStart w:id="550" w:name="_Toc448920458"/>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14</w:t>
            </w:r>
            <w:r w:rsidR="00A9654D" w:rsidRPr="00802792">
              <w:fldChar w:fldCharType="end"/>
            </w:r>
            <w:r w:rsidRPr="00D14CE9">
              <w:t xml:space="preserve"> – Demand Forecast – Top 10 LGAs 2015-2025 (million tonnes)</w:t>
            </w:r>
            <w:bookmarkEnd w:id="548"/>
            <w:bookmarkEnd w:id="549"/>
            <w:bookmarkEnd w:id="550"/>
          </w:p>
        </w:tc>
      </w:tr>
      <w:tr w:rsidR="00254884" w:rsidRPr="00D14CE9" w:rsidTr="000B6297">
        <w:tc>
          <w:tcPr>
            <w:tcW w:w="612" w:type="dxa"/>
            <w:shd w:val="clear" w:color="auto" w:fill="F0F0F0"/>
            <w:vAlign w:val="center"/>
          </w:tcPr>
          <w:p w:rsidR="00254884" w:rsidRPr="00D14CE9" w:rsidRDefault="00254884" w:rsidP="000B6297">
            <w:pPr>
              <w:pStyle w:val="EYTableHeading"/>
              <w:spacing w:after="0"/>
              <w:rPr>
                <w:rFonts w:eastAsia="Arial Unicode MS"/>
              </w:rPr>
            </w:pPr>
            <w:r w:rsidRPr="00D14CE9">
              <w:t>#</w:t>
            </w:r>
          </w:p>
        </w:tc>
        <w:tc>
          <w:tcPr>
            <w:tcW w:w="2250" w:type="dxa"/>
            <w:shd w:val="clear" w:color="auto" w:fill="F0F0F0"/>
            <w:vAlign w:val="center"/>
          </w:tcPr>
          <w:p w:rsidR="00254884" w:rsidRPr="00D14CE9" w:rsidRDefault="00254884" w:rsidP="000B6297">
            <w:pPr>
              <w:pStyle w:val="EYTableHeading"/>
              <w:spacing w:after="0"/>
              <w:rPr>
                <w:rFonts w:eastAsia="Arial Unicode MS"/>
              </w:rPr>
            </w:pPr>
            <w:r w:rsidRPr="00D14CE9">
              <w:t>Top 10 LGAs</w:t>
            </w:r>
          </w:p>
        </w:tc>
        <w:tc>
          <w:tcPr>
            <w:tcW w:w="1170" w:type="dxa"/>
            <w:shd w:val="clear" w:color="auto" w:fill="F0F0F0"/>
            <w:vAlign w:val="center"/>
          </w:tcPr>
          <w:p w:rsidR="00254884" w:rsidRPr="00D14CE9" w:rsidRDefault="00254884" w:rsidP="000B6297">
            <w:pPr>
              <w:pStyle w:val="EYTableHeading"/>
              <w:spacing w:after="0"/>
              <w:rPr>
                <w:rFonts w:eastAsia="Arial Unicode MS"/>
              </w:rPr>
            </w:pPr>
            <w:r w:rsidRPr="00D14CE9">
              <w:t>Total demand</w:t>
            </w:r>
          </w:p>
        </w:tc>
        <w:tc>
          <w:tcPr>
            <w:tcW w:w="1350" w:type="dxa"/>
            <w:shd w:val="clear" w:color="auto" w:fill="F0F0F0"/>
            <w:vAlign w:val="center"/>
          </w:tcPr>
          <w:p w:rsidR="00254884" w:rsidRPr="00D14CE9" w:rsidRDefault="00254884" w:rsidP="000B6297">
            <w:pPr>
              <w:pStyle w:val="EYTableHeading"/>
              <w:spacing w:after="0"/>
              <w:rPr>
                <w:rFonts w:eastAsia="Arial Unicode MS"/>
              </w:rPr>
            </w:pPr>
            <w:r w:rsidRPr="00D14CE9">
              <w:t>Hard rock total demand</w:t>
            </w:r>
          </w:p>
        </w:tc>
        <w:tc>
          <w:tcPr>
            <w:tcW w:w="1170" w:type="dxa"/>
            <w:shd w:val="clear" w:color="auto" w:fill="F0F0F0"/>
            <w:vAlign w:val="center"/>
          </w:tcPr>
          <w:p w:rsidR="00254884" w:rsidRPr="00D14CE9" w:rsidRDefault="00254884" w:rsidP="000B6297">
            <w:pPr>
              <w:pStyle w:val="EYTableHeading"/>
              <w:spacing w:after="0"/>
            </w:pPr>
            <w:r w:rsidRPr="00D14CE9">
              <w:t>Limestone total demand</w:t>
            </w:r>
          </w:p>
        </w:tc>
        <w:tc>
          <w:tcPr>
            <w:tcW w:w="1260" w:type="dxa"/>
            <w:shd w:val="clear" w:color="auto" w:fill="F0F0F0"/>
            <w:vAlign w:val="center"/>
          </w:tcPr>
          <w:p w:rsidR="00254884" w:rsidRPr="00D14CE9" w:rsidRDefault="00254884" w:rsidP="000B6297">
            <w:pPr>
              <w:pStyle w:val="EYTableHeading"/>
              <w:spacing w:after="0"/>
            </w:pPr>
            <w:r w:rsidRPr="00D14CE9">
              <w:t>Sand and gravel total demand</w:t>
            </w:r>
          </w:p>
        </w:tc>
        <w:tc>
          <w:tcPr>
            <w:tcW w:w="1440" w:type="dxa"/>
            <w:shd w:val="clear" w:color="auto" w:fill="F0F0F0"/>
            <w:vAlign w:val="center"/>
          </w:tcPr>
          <w:p w:rsidR="00254884" w:rsidRPr="00D14CE9" w:rsidRDefault="00254884" w:rsidP="000B6297">
            <w:pPr>
              <w:pStyle w:val="EYTableHeading"/>
              <w:spacing w:after="0"/>
            </w:pPr>
            <w:r w:rsidRPr="00D14CE9">
              <w:t>Clay and clay shale total demand</w:t>
            </w:r>
          </w:p>
        </w:tc>
      </w:tr>
      <w:tr w:rsidR="00704A42" w:rsidRPr="00D14CE9" w:rsidTr="000B6297">
        <w:trPr>
          <w:trHeight w:val="315"/>
        </w:trPr>
        <w:tc>
          <w:tcPr>
            <w:tcW w:w="612" w:type="dxa"/>
            <w:noWrap/>
            <w:vAlign w:val="center"/>
          </w:tcPr>
          <w:p w:rsidR="00704A42" w:rsidRPr="00D14CE9" w:rsidRDefault="00704A42" w:rsidP="000B6297">
            <w:pPr>
              <w:pStyle w:val="EYTableNormal"/>
              <w:numPr>
                <w:ilvl w:val="0"/>
                <w:numId w:val="13"/>
              </w:numPr>
              <w:spacing w:after="0"/>
            </w:pPr>
          </w:p>
        </w:tc>
        <w:tc>
          <w:tcPr>
            <w:tcW w:w="2250" w:type="dxa"/>
            <w:noWrap/>
            <w:vAlign w:val="center"/>
          </w:tcPr>
          <w:p w:rsidR="00704A42" w:rsidRPr="00D14CE9" w:rsidRDefault="00704A42" w:rsidP="000B6297">
            <w:pPr>
              <w:rPr>
                <w:rFonts w:cs="Calibri"/>
                <w:color w:val="000000"/>
                <w:sz w:val="16"/>
                <w:szCs w:val="16"/>
              </w:rPr>
            </w:pPr>
            <w:r w:rsidRPr="00D14CE9">
              <w:rPr>
                <w:rFonts w:cs="Calibri"/>
                <w:color w:val="000000"/>
                <w:sz w:val="16"/>
                <w:szCs w:val="16"/>
              </w:rPr>
              <w:t>Melbourne (C)</w:t>
            </w:r>
          </w:p>
        </w:tc>
        <w:tc>
          <w:tcPr>
            <w:tcW w:w="1170" w:type="dxa"/>
            <w:noWrap/>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51.9</w:t>
            </w:r>
          </w:p>
        </w:tc>
        <w:tc>
          <w:tcPr>
            <w:tcW w:w="1350" w:type="dxa"/>
            <w:noWrap/>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34.5</w:t>
            </w:r>
          </w:p>
        </w:tc>
        <w:tc>
          <w:tcPr>
            <w:tcW w:w="1170" w:type="dxa"/>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2.5</w:t>
            </w:r>
          </w:p>
        </w:tc>
        <w:tc>
          <w:tcPr>
            <w:tcW w:w="1260" w:type="dxa"/>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13.5</w:t>
            </w:r>
          </w:p>
        </w:tc>
        <w:tc>
          <w:tcPr>
            <w:tcW w:w="1440" w:type="dxa"/>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1.4</w:t>
            </w:r>
          </w:p>
        </w:tc>
      </w:tr>
      <w:tr w:rsidR="00704A42" w:rsidRPr="00D14CE9" w:rsidTr="000B6297">
        <w:trPr>
          <w:trHeight w:val="315"/>
        </w:trPr>
        <w:tc>
          <w:tcPr>
            <w:tcW w:w="612" w:type="dxa"/>
            <w:noWrap/>
            <w:vAlign w:val="center"/>
          </w:tcPr>
          <w:p w:rsidR="00704A42" w:rsidRPr="00D14CE9" w:rsidRDefault="00704A42" w:rsidP="000B6297">
            <w:pPr>
              <w:pStyle w:val="EYTableNormal"/>
              <w:numPr>
                <w:ilvl w:val="0"/>
                <w:numId w:val="13"/>
              </w:numPr>
              <w:spacing w:after="0"/>
            </w:pPr>
          </w:p>
        </w:tc>
        <w:tc>
          <w:tcPr>
            <w:tcW w:w="2250" w:type="dxa"/>
            <w:noWrap/>
            <w:vAlign w:val="center"/>
          </w:tcPr>
          <w:p w:rsidR="00704A42" w:rsidRPr="00D14CE9" w:rsidRDefault="00704A42" w:rsidP="000B6297">
            <w:pPr>
              <w:rPr>
                <w:rFonts w:cs="Calibri"/>
                <w:color w:val="000000"/>
                <w:sz w:val="16"/>
                <w:szCs w:val="16"/>
              </w:rPr>
            </w:pPr>
            <w:r w:rsidRPr="00D14CE9">
              <w:rPr>
                <w:rFonts w:cs="Calibri"/>
                <w:color w:val="000000"/>
                <w:sz w:val="16"/>
                <w:szCs w:val="16"/>
              </w:rPr>
              <w:t>Wyndham (C)</w:t>
            </w:r>
          </w:p>
        </w:tc>
        <w:tc>
          <w:tcPr>
            <w:tcW w:w="1170" w:type="dxa"/>
            <w:noWrap/>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39.3</w:t>
            </w:r>
          </w:p>
        </w:tc>
        <w:tc>
          <w:tcPr>
            <w:tcW w:w="1350" w:type="dxa"/>
            <w:noWrap/>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26.2</w:t>
            </w:r>
          </w:p>
        </w:tc>
        <w:tc>
          <w:tcPr>
            <w:tcW w:w="117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1.9</w:t>
            </w:r>
          </w:p>
        </w:tc>
        <w:tc>
          <w:tcPr>
            <w:tcW w:w="126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10.3</w:t>
            </w:r>
          </w:p>
        </w:tc>
        <w:tc>
          <w:tcPr>
            <w:tcW w:w="144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0.9</w:t>
            </w:r>
          </w:p>
        </w:tc>
      </w:tr>
      <w:tr w:rsidR="00704A42" w:rsidRPr="00D14CE9" w:rsidTr="000B6297">
        <w:trPr>
          <w:trHeight w:val="315"/>
        </w:trPr>
        <w:tc>
          <w:tcPr>
            <w:tcW w:w="612" w:type="dxa"/>
            <w:noWrap/>
            <w:vAlign w:val="center"/>
          </w:tcPr>
          <w:p w:rsidR="00704A42" w:rsidRPr="00D14CE9" w:rsidRDefault="00704A42" w:rsidP="000B6297">
            <w:pPr>
              <w:pStyle w:val="EYTableNormal"/>
              <w:numPr>
                <w:ilvl w:val="0"/>
                <w:numId w:val="13"/>
              </w:numPr>
              <w:spacing w:after="0"/>
            </w:pPr>
          </w:p>
        </w:tc>
        <w:tc>
          <w:tcPr>
            <w:tcW w:w="2250" w:type="dxa"/>
            <w:noWrap/>
            <w:vAlign w:val="center"/>
          </w:tcPr>
          <w:p w:rsidR="00704A42" w:rsidRPr="00D14CE9" w:rsidRDefault="00704A42" w:rsidP="000B6297">
            <w:pPr>
              <w:rPr>
                <w:rFonts w:cs="Calibri"/>
                <w:color w:val="000000"/>
                <w:sz w:val="16"/>
                <w:szCs w:val="16"/>
              </w:rPr>
            </w:pPr>
            <w:r w:rsidRPr="00D14CE9">
              <w:rPr>
                <w:rFonts w:cs="Calibri"/>
                <w:color w:val="000000"/>
                <w:sz w:val="16"/>
                <w:szCs w:val="16"/>
              </w:rPr>
              <w:t>Casey (C)</w:t>
            </w:r>
          </w:p>
        </w:tc>
        <w:tc>
          <w:tcPr>
            <w:tcW w:w="1170" w:type="dxa"/>
            <w:noWrap/>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36.8</w:t>
            </w:r>
          </w:p>
        </w:tc>
        <w:tc>
          <w:tcPr>
            <w:tcW w:w="1350" w:type="dxa"/>
            <w:noWrap/>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24.6</w:t>
            </w:r>
          </w:p>
        </w:tc>
        <w:tc>
          <w:tcPr>
            <w:tcW w:w="117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1.7</w:t>
            </w:r>
          </w:p>
        </w:tc>
        <w:tc>
          <w:tcPr>
            <w:tcW w:w="126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9.6</w:t>
            </w:r>
          </w:p>
        </w:tc>
        <w:tc>
          <w:tcPr>
            <w:tcW w:w="144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0.9</w:t>
            </w:r>
          </w:p>
        </w:tc>
      </w:tr>
      <w:tr w:rsidR="00704A42" w:rsidRPr="00D14CE9" w:rsidTr="000B6297">
        <w:trPr>
          <w:trHeight w:val="315"/>
        </w:trPr>
        <w:tc>
          <w:tcPr>
            <w:tcW w:w="612" w:type="dxa"/>
            <w:noWrap/>
            <w:vAlign w:val="center"/>
          </w:tcPr>
          <w:p w:rsidR="00704A42" w:rsidRPr="00D14CE9" w:rsidRDefault="00704A42" w:rsidP="000B6297">
            <w:pPr>
              <w:pStyle w:val="EYTableNormal"/>
              <w:numPr>
                <w:ilvl w:val="0"/>
                <w:numId w:val="13"/>
              </w:numPr>
              <w:spacing w:after="0"/>
            </w:pPr>
          </w:p>
        </w:tc>
        <w:tc>
          <w:tcPr>
            <w:tcW w:w="2250" w:type="dxa"/>
            <w:noWrap/>
            <w:vAlign w:val="center"/>
          </w:tcPr>
          <w:p w:rsidR="00704A42" w:rsidRPr="00D14CE9" w:rsidRDefault="00704A42" w:rsidP="000B6297">
            <w:pPr>
              <w:rPr>
                <w:rFonts w:cs="Calibri"/>
                <w:color w:val="000000"/>
                <w:sz w:val="16"/>
                <w:szCs w:val="16"/>
              </w:rPr>
            </w:pPr>
            <w:r w:rsidRPr="00D14CE9">
              <w:rPr>
                <w:rFonts w:cs="Calibri"/>
                <w:color w:val="000000"/>
                <w:sz w:val="16"/>
                <w:szCs w:val="16"/>
              </w:rPr>
              <w:t>Whittlesea (C)</w:t>
            </w:r>
          </w:p>
        </w:tc>
        <w:tc>
          <w:tcPr>
            <w:tcW w:w="1170" w:type="dxa"/>
            <w:noWrap/>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32.8</w:t>
            </w:r>
          </w:p>
        </w:tc>
        <w:tc>
          <w:tcPr>
            <w:tcW w:w="1350" w:type="dxa"/>
            <w:noWrap/>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21.9</w:t>
            </w:r>
          </w:p>
        </w:tc>
        <w:tc>
          <w:tcPr>
            <w:tcW w:w="117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1.5</w:t>
            </w:r>
          </w:p>
        </w:tc>
        <w:tc>
          <w:tcPr>
            <w:tcW w:w="126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8.6</w:t>
            </w:r>
          </w:p>
        </w:tc>
        <w:tc>
          <w:tcPr>
            <w:tcW w:w="144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0.8</w:t>
            </w:r>
          </w:p>
        </w:tc>
      </w:tr>
      <w:tr w:rsidR="00704A42" w:rsidRPr="00D14CE9" w:rsidTr="000B6297">
        <w:trPr>
          <w:trHeight w:val="315"/>
        </w:trPr>
        <w:tc>
          <w:tcPr>
            <w:tcW w:w="612" w:type="dxa"/>
            <w:noWrap/>
            <w:vAlign w:val="center"/>
          </w:tcPr>
          <w:p w:rsidR="00704A42" w:rsidRPr="00D14CE9" w:rsidRDefault="00704A42" w:rsidP="000B6297">
            <w:pPr>
              <w:pStyle w:val="EYTableNormal"/>
              <w:numPr>
                <w:ilvl w:val="0"/>
                <w:numId w:val="13"/>
              </w:numPr>
              <w:spacing w:after="0"/>
            </w:pPr>
          </w:p>
        </w:tc>
        <w:tc>
          <w:tcPr>
            <w:tcW w:w="2250" w:type="dxa"/>
            <w:noWrap/>
            <w:vAlign w:val="center"/>
          </w:tcPr>
          <w:p w:rsidR="00704A42" w:rsidRPr="00D14CE9" w:rsidRDefault="00704A42" w:rsidP="000B6297">
            <w:pPr>
              <w:rPr>
                <w:rFonts w:cs="Calibri"/>
                <w:color w:val="000000"/>
                <w:sz w:val="16"/>
                <w:szCs w:val="16"/>
              </w:rPr>
            </w:pPr>
            <w:r w:rsidRPr="00D14CE9">
              <w:rPr>
                <w:rFonts w:cs="Calibri"/>
                <w:color w:val="000000"/>
                <w:sz w:val="16"/>
                <w:szCs w:val="16"/>
              </w:rPr>
              <w:t>Melton (S)</w:t>
            </w:r>
          </w:p>
        </w:tc>
        <w:tc>
          <w:tcPr>
            <w:tcW w:w="1170" w:type="dxa"/>
            <w:noWrap/>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27.9</w:t>
            </w:r>
          </w:p>
        </w:tc>
        <w:tc>
          <w:tcPr>
            <w:tcW w:w="1350" w:type="dxa"/>
            <w:noWrap/>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18.7</w:t>
            </w:r>
          </w:p>
        </w:tc>
        <w:tc>
          <w:tcPr>
            <w:tcW w:w="117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1.3</w:t>
            </w:r>
          </w:p>
        </w:tc>
        <w:tc>
          <w:tcPr>
            <w:tcW w:w="126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7.3</w:t>
            </w:r>
          </w:p>
        </w:tc>
        <w:tc>
          <w:tcPr>
            <w:tcW w:w="1440" w:type="dxa"/>
            <w:vAlign w:val="center"/>
          </w:tcPr>
          <w:p w:rsidR="00704A42" w:rsidRPr="00D14CE9" w:rsidRDefault="0088136B" w:rsidP="000B6297">
            <w:pPr>
              <w:jc w:val="center"/>
              <w:rPr>
                <w:rFonts w:cs="Calibri"/>
                <w:color w:val="000000"/>
                <w:sz w:val="16"/>
                <w:szCs w:val="16"/>
              </w:rPr>
            </w:pPr>
            <w:r w:rsidRPr="00D14CE9">
              <w:rPr>
                <w:rFonts w:cs="Calibri"/>
                <w:color w:val="000000"/>
                <w:sz w:val="16"/>
                <w:szCs w:val="16"/>
              </w:rPr>
              <w:t>0.6</w:t>
            </w:r>
          </w:p>
        </w:tc>
      </w:tr>
      <w:tr w:rsidR="00704A42" w:rsidRPr="00D14CE9" w:rsidTr="000B6297">
        <w:trPr>
          <w:trHeight w:val="315"/>
        </w:trPr>
        <w:tc>
          <w:tcPr>
            <w:tcW w:w="612" w:type="dxa"/>
            <w:noWrap/>
            <w:vAlign w:val="center"/>
          </w:tcPr>
          <w:p w:rsidR="00704A42" w:rsidRPr="00D14CE9" w:rsidRDefault="00704A42" w:rsidP="000B6297">
            <w:pPr>
              <w:pStyle w:val="EYTableNormal"/>
              <w:numPr>
                <w:ilvl w:val="0"/>
                <w:numId w:val="13"/>
              </w:numPr>
              <w:spacing w:after="0"/>
            </w:pPr>
          </w:p>
        </w:tc>
        <w:tc>
          <w:tcPr>
            <w:tcW w:w="2250" w:type="dxa"/>
            <w:noWrap/>
            <w:vAlign w:val="center"/>
          </w:tcPr>
          <w:p w:rsidR="00704A42" w:rsidRPr="00D14CE9" w:rsidRDefault="00704A42" w:rsidP="000B6297">
            <w:pPr>
              <w:rPr>
                <w:rFonts w:cs="Calibri"/>
                <w:color w:val="000000"/>
                <w:sz w:val="16"/>
                <w:szCs w:val="16"/>
              </w:rPr>
            </w:pPr>
            <w:r w:rsidRPr="00D14CE9">
              <w:rPr>
                <w:rFonts w:cs="Calibri"/>
                <w:color w:val="000000"/>
                <w:sz w:val="16"/>
                <w:szCs w:val="16"/>
              </w:rPr>
              <w:t>Hume (C)</w:t>
            </w:r>
          </w:p>
        </w:tc>
        <w:tc>
          <w:tcPr>
            <w:tcW w:w="1170" w:type="dxa"/>
            <w:noWrap/>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26.8</w:t>
            </w:r>
          </w:p>
        </w:tc>
        <w:tc>
          <w:tcPr>
            <w:tcW w:w="1350" w:type="dxa"/>
            <w:noWrap/>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17.9</w:t>
            </w:r>
          </w:p>
        </w:tc>
        <w:tc>
          <w:tcPr>
            <w:tcW w:w="1170" w:type="dxa"/>
            <w:vAlign w:val="center"/>
          </w:tcPr>
          <w:p w:rsidR="00704A42" w:rsidRPr="00D14CE9" w:rsidRDefault="00704A42" w:rsidP="000B6297">
            <w:pPr>
              <w:jc w:val="center"/>
              <w:rPr>
                <w:rFonts w:cs="Calibri"/>
                <w:color w:val="000000"/>
                <w:sz w:val="16"/>
                <w:szCs w:val="16"/>
              </w:rPr>
            </w:pPr>
            <w:r w:rsidRPr="00D14CE9">
              <w:rPr>
                <w:rFonts w:cs="Calibri"/>
                <w:color w:val="000000"/>
                <w:sz w:val="16"/>
                <w:szCs w:val="16"/>
              </w:rPr>
              <w:t>1.</w:t>
            </w:r>
            <w:r w:rsidR="00D861E4" w:rsidRPr="00D14CE9">
              <w:rPr>
                <w:rFonts w:cs="Calibri"/>
                <w:color w:val="000000"/>
                <w:sz w:val="16"/>
                <w:szCs w:val="16"/>
              </w:rPr>
              <w:t>3</w:t>
            </w:r>
          </w:p>
        </w:tc>
        <w:tc>
          <w:tcPr>
            <w:tcW w:w="1260" w:type="dxa"/>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7.0</w:t>
            </w:r>
          </w:p>
        </w:tc>
        <w:tc>
          <w:tcPr>
            <w:tcW w:w="1440" w:type="dxa"/>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0.6</w:t>
            </w:r>
          </w:p>
        </w:tc>
      </w:tr>
      <w:tr w:rsidR="00704A42" w:rsidRPr="00D14CE9" w:rsidTr="000B6297">
        <w:trPr>
          <w:trHeight w:val="315"/>
        </w:trPr>
        <w:tc>
          <w:tcPr>
            <w:tcW w:w="612" w:type="dxa"/>
            <w:noWrap/>
            <w:vAlign w:val="center"/>
          </w:tcPr>
          <w:p w:rsidR="00704A42" w:rsidRPr="00D14CE9" w:rsidRDefault="00704A42" w:rsidP="000B6297">
            <w:pPr>
              <w:pStyle w:val="EYTableNormal"/>
              <w:numPr>
                <w:ilvl w:val="0"/>
                <w:numId w:val="13"/>
              </w:numPr>
              <w:spacing w:after="0"/>
            </w:pPr>
          </w:p>
        </w:tc>
        <w:tc>
          <w:tcPr>
            <w:tcW w:w="2250" w:type="dxa"/>
            <w:noWrap/>
            <w:vAlign w:val="center"/>
          </w:tcPr>
          <w:p w:rsidR="00704A42" w:rsidRPr="00D14CE9" w:rsidRDefault="00704A42" w:rsidP="000B6297">
            <w:pPr>
              <w:rPr>
                <w:rFonts w:cs="Calibri"/>
                <w:color w:val="000000"/>
                <w:sz w:val="16"/>
                <w:szCs w:val="16"/>
              </w:rPr>
            </w:pPr>
            <w:r w:rsidRPr="00D14CE9">
              <w:rPr>
                <w:rFonts w:cs="Calibri"/>
                <w:color w:val="000000"/>
                <w:sz w:val="16"/>
                <w:szCs w:val="16"/>
              </w:rPr>
              <w:t>Greater Geelong (C)</w:t>
            </w:r>
          </w:p>
        </w:tc>
        <w:tc>
          <w:tcPr>
            <w:tcW w:w="1170" w:type="dxa"/>
            <w:noWrap/>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19.1</w:t>
            </w:r>
          </w:p>
        </w:tc>
        <w:tc>
          <w:tcPr>
            <w:tcW w:w="1350" w:type="dxa"/>
            <w:noWrap/>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12.8</w:t>
            </w:r>
          </w:p>
        </w:tc>
        <w:tc>
          <w:tcPr>
            <w:tcW w:w="1170" w:type="dxa"/>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0.9</w:t>
            </w:r>
          </w:p>
        </w:tc>
        <w:tc>
          <w:tcPr>
            <w:tcW w:w="1260" w:type="dxa"/>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5.0</w:t>
            </w:r>
          </w:p>
        </w:tc>
        <w:tc>
          <w:tcPr>
            <w:tcW w:w="1440" w:type="dxa"/>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0.4</w:t>
            </w:r>
          </w:p>
        </w:tc>
      </w:tr>
      <w:tr w:rsidR="00704A42" w:rsidRPr="00D14CE9" w:rsidTr="000B6297">
        <w:trPr>
          <w:trHeight w:val="315"/>
        </w:trPr>
        <w:tc>
          <w:tcPr>
            <w:tcW w:w="612" w:type="dxa"/>
            <w:noWrap/>
            <w:vAlign w:val="center"/>
          </w:tcPr>
          <w:p w:rsidR="00704A42" w:rsidRPr="00D14CE9" w:rsidRDefault="00704A42" w:rsidP="000B6297">
            <w:pPr>
              <w:pStyle w:val="EYTableNormal"/>
              <w:numPr>
                <w:ilvl w:val="0"/>
                <w:numId w:val="13"/>
              </w:numPr>
              <w:spacing w:after="0"/>
            </w:pPr>
          </w:p>
        </w:tc>
        <w:tc>
          <w:tcPr>
            <w:tcW w:w="2250" w:type="dxa"/>
            <w:noWrap/>
            <w:vAlign w:val="center"/>
          </w:tcPr>
          <w:p w:rsidR="00704A42" w:rsidRPr="00D14CE9" w:rsidRDefault="00704A42" w:rsidP="000B6297">
            <w:pPr>
              <w:rPr>
                <w:rFonts w:cs="Calibri"/>
                <w:color w:val="000000"/>
                <w:sz w:val="16"/>
                <w:szCs w:val="16"/>
              </w:rPr>
            </w:pPr>
            <w:r w:rsidRPr="00D14CE9">
              <w:rPr>
                <w:rFonts w:cs="Calibri"/>
                <w:color w:val="000000"/>
                <w:sz w:val="16"/>
                <w:szCs w:val="16"/>
              </w:rPr>
              <w:t>Cardinia (S)</w:t>
            </w:r>
          </w:p>
        </w:tc>
        <w:tc>
          <w:tcPr>
            <w:tcW w:w="1170" w:type="dxa"/>
            <w:noWrap/>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18.2</w:t>
            </w:r>
          </w:p>
        </w:tc>
        <w:tc>
          <w:tcPr>
            <w:tcW w:w="1350" w:type="dxa"/>
            <w:noWrap/>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12.</w:t>
            </w:r>
            <w:r w:rsidR="00783C89" w:rsidRPr="00D14CE9">
              <w:rPr>
                <w:rFonts w:cs="Calibri"/>
                <w:color w:val="000000"/>
                <w:sz w:val="16"/>
                <w:szCs w:val="16"/>
              </w:rPr>
              <w:t>2</w:t>
            </w:r>
          </w:p>
        </w:tc>
        <w:tc>
          <w:tcPr>
            <w:tcW w:w="1170" w:type="dxa"/>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0.</w:t>
            </w:r>
            <w:r w:rsidR="00783C89" w:rsidRPr="00D14CE9">
              <w:rPr>
                <w:rFonts w:cs="Calibri"/>
                <w:color w:val="000000"/>
                <w:sz w:val="16"/>
                <w:szCs w:val="16"/>
              </w:rPr>
              <w:t>8</w:t>
            </w:r>
          </w:p>
        </w:tc>
        <w:tc>
          <w:tcPr>
            <w:tcW w:w="1260" w:type="dxa"/>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4.8</w:t>
            </w:r>
          </w:p>
        </w:tc>
        <w:tc>
          <w:tcPr>
            <w:tcW w:w="1440" w:type="dxa"/>
            <w:vAlign w:val="center"/>
          </w:tcPr>
          <w:p w:rsidR="00704A42" w:rsidRPr="00D14CE9" w:rsidRDefault="00704A42" w:rsidP="000B6297">
            <w:pPr>
              <w:jc w:val="center"/>
              <w:rPr>
                <w:rFonts w:cs="Calibri"/>
                <w:color w:val="000000"/>
                <w:sz w:val="16"/>
                <w:szCs w:val="16"/>
              </w:rPr>
            </w:pPr>
            <w:r w:rsidRPr="00D14CE9">
              <w:rPr>
                <w:rFonts w:cs="Calibri"/>
                <w:color w:val="000000"/>
                <w:sz w:val="16"/>
                <w:szCs w:val="16"/>
              </w:rPr>
              <w:t>0.</w:t>
            </w:r>
            <w:r w:rsidR="00D861E4" w:rsidRPr="00D14CE9">
              <w:rPr>
                <w:rFonts w:cs="Calibri"/>
                <w:color w:val="000000"/>
                <w:sz w:val="16"/>
                <w:szCs w:val="16"/>
              </w:rPr>
              <w:t>4</w:t>
            </w:r>
          </w:p>
        </w:tc>
      </w:tr>
      <w:tr w:rsidR="00704A42" w:rsidRPr="00D14CE9" w:rsidTr="000B6297">
        <w:trPr>
          <w:trHeight w:val="315"/>
        </w:trPr>
        <w:tc>
          <w:tcPr>
            <w:tcW w:w="612" w:type="dxa"/>
            <w:noWrap/>
            <w:vAlign w:val="center"/>
          </w:tcPr>
          <w:p w:rsidR="00704A42" w:rsidRPr="00D14CE9" w:rsidRDefault="00704A42" w:rsidP="000B6297">
            <w:pPr>
              <w:pStyle w:val="EYTableNormal"/>
              <w:numPr>
                <w:ilvl w:val="0"/>
                <w:numId w:val="13"/>
              </w:numPr>
              <w:spacing w:after="0"/>
            </w:pPr>
          </w:p>
        </w:tc>
        <w:tc>
          <w:tcPr>
            <w:tcW w:w="2250" w:type="dxa"/>
            <w:noWrap/>
            <w:vAlign w:val="center"/>
          </w:tcPr>
          <w:p w:rsidR="00704A42" w:rsidRPr="00D14CE9" w:rsidRDefault="00704A42" w:rsidP="000B6297">
            <w:pPr>
              <w:rPr>
                <w:rFonts w:cs="Calibri"/>
                <w:color w:val="000000"/>
                <w:sz w:val="16"/>
                <w:szCs w:val="16"/>
              </w:rPr>
            </w:pPr>
            <w:r w:rsidRPr="00D14CE9">
              <w:rPr>
                <w:rFonts w:cs="Calibri"/>
                <w:color w:val="000000"/>
                <w:sz w:val="16"/>
                <w:szCs w:val="16"/>
              </w:rPr>
              <w:t>Moreland (C)</w:t>
            </w:r>
          </w:p>
        </w:tc>
        <w:tc>
          <w:tcPr>
            <w:tcW w:w="1170" w:type="dxa"/>
            <w:noWrap/>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15.1</w:t>
            </w:r>
          </w:p>
        </w:tc>
        <w:tc>
          <w:tcPr>
            <w:tcW w:w="1350" w:type="dxa"/>
            <w:noWrap/>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10.0</w:t>
            </w:r>
          </w:p>
        </w:tc>
        <w:tc>
          <w:tcPr>
            <w:tcW w:w="1170" w:type="dxa"/>
            <w:vAlign w:val="center"/>
          </w:tcPr>
          <w:p w:rsidR="00704A42" w:rsidRPr="00D14CE9" w:rsidRDefault="00704A42" w:rsidP="000B6297">
            <w:pPr>
              <w:jc w:val="center"/>
              <w:rPr>
                <w:rFonts w:cs="Calibri"/>
                <w:color w:val="000000"/>
                <w:sz w:val="16"/>
                <w:szCs w:val="16"/>
              </w:rPr>
            </w:pPr>
            <w:r w:rsidRPr="00D14CE9">
              <w:rPr>
                <w:rFonts w:cs="Calibri"/>
                <w:color w:val="000000"/>
                <w:sz w:val="16"/>
                <w:szCs w:val="16"/>
              </w:rPr>
              <w:t>0.</w:t>
            </w:r>
            <w:r w:rsidR="00D861E4" w:rsidRPr="00D14CE9">
              <w:rPr>
                <w:rFonts w:cs="Calibri"/>
                <w:color w:val="000000"/>
                <w:sz w:val="16"/>
                <w:szCs w:val="16"/>
              </w:rPr>
              <w:t>7</w:t>
            </w:r>
          </w:p>
        </w:tc>
        <w:tc>
          <w:tcPr>
            <w:tcW w:w="1260" w:type="dxa"/>
            <w:vAlign w:val="center"/>
          </w:tcPr>
          <w:p w:rsidR="00704A42" w:rsidRPr="00D14CE9" w:rsidRDefault="00704A42" w:rsidP="000B6297">
            <w:pPr>
              <w:jc w:val="center"/>
              <w:rPr>
                <w:rFonts w:cs="Calibri"/>
                <w:color w:val="000000"/>
                <w:sz w:val="16"/>
                <w:szCs w:val="16"/>
              </w:rPr>
            </w:pPr>
            <w:r w:rsidRPr="00D14CE9">
              <w:rPr>
                <w:rFonts w:cs="Calibri"/>
                <w:color w:val="000000"/>
                <w:sz w:val="16"/>
                <w:szCs w:val="16"/>
              </w:rPr>
              <w:t>4.</w:t>
            </w:r>
            <w:r w:rsidR="00D861E4" w:rsidRPr="00D14CE9">
              <w:rPr>
                <w:rFonts w:cs="Calibri"/>
                <w:color w:val="000000"/>
                <w:sz w:val="16"/>
                <w:szCs w:val="16"/>
              </w:rPr>
              <w:t>0</w:t>
            </w:r>
          </w:p>
        </w:tc>
        <w:tc>
          <w:tcPr>
            <w:tcW w:w="1440" w:type="dxa"/>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0.4</w:t>
            </w:r>
          </w:p>
        </w:tc>
      </w:tr>
      <w:tr w:rsidR="00704A42" w:rsidRPr="00D14CE9" w:rsidTr="000B6297">
        <w:trPr>
          <w:trHeight w:val="315"/>
        </w:trPr>
        <w:tc>
          <w:tcPr>
            <w:tcW w:w="612" w:type="dxa"/>
            <w:noWrap/>
            <w:vAlign w:val="center"/>
          </w:tcPr>
          <w:p w:rsidR="00704A42" w:rsidRPr="00D14CE9" w:rsidRDefault="00704A42" w:rsidP="000B6297">
            <w:pPr>
              <w:pStyle w:val="EYTableNormal"/>
              <w:numPr>
                <w:ilvl w:val="0"/>
                <w:numId w:val="13"/>
              </w:numPr>
              <w:spacing w:after="0"/>
            </w:pPr>
          </w:p>
        </w:tc>
        <w:tc>
          <w:tcPr>
            <w:tcW w:w="2250" w:type="dxa"/>
            <w:noWrap/>
            <w:vAlign w:val="center"/>
          </w:tcPr>
          <w:p w:rsidR="00704A42" w:rsidRPr="00D14CE9" w:rsidRDefault="00704A42" w:rsidP="000B6297">
            <w:pPr>
              <w:rPr>
                <w:rFonts w:cs="Calibri"/>
                <w:color w:val="000000"/>
                <w:sz w:val="16"/>
                <w:szCs w:val="16"/>
              </w:rPr>
            </w:pPr>
            <w:r w:rsidRPr="00D14CE9">
              <w:rPr>
                <w:rFonts w:cs="Calibri"/>
                <w:color w:val="000000"/>
                <w:sz w:val="16"/>
                <w:szCs w:val="16"/>
              </w:rPr>
              <w:t>Greater Dandenong (C)</w:t>
            </w:r>
          </w:p>
        </w:tc>
        <w:tc>
          <w:tcPr>
            <w:tcW w:w="1170" w:type="dxa"/>
            <w:noWrap/>
            <w:vAlign w:val="center"/>
          </w:tcPr>
          <w:p w:rsidR="00704A42" w:rsidRPr="00D14CE9" w:rsidRDefault="00396EDE" w:rsidP="000B6297">
            <w:pPr>
              <w:jc w:val="center"/>
              <w:rPr>
                <w:rFonts w:cs="Calibri"/>
                <w:color w:val="000000"/>
                <w:sz w:val="16"/>
                <w:szCs w:val="16"/>
              </w:rPr>
            </w:pPr>
            <w:r w:rsidRPr="00D14CE9">
              <w:rPr>
                <w:rFonts w:cs="Calibri"/>
                <w:color w:val="000000"/>
                <w:sz w:val="16"/>
                <w:szCs w:val="16"/>
              </w:rPr>
              <w:t>15.0</w:t>
            </w:r>
          </w:p>
        </w:tc>
        <w:tc>
          <w:tcPr>
            <w:tcW w:w="1350" w:type="dxa"/>
            <w:noWrap/>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10.0</w:t>
            </w:r>
          </w:p>
        </w:tc>
        <w:tc>
          <w:tcPr>
            <w:tcW w:w="1170" w:type="dxa"/>
            <w:vAlign w:val="center"/>
          </w:tcPr>
          <w:p w:rsidR="00704A42" w:rsidRPr="00D14CE9" w:rsidRDefault="00704A42" w:rsidP="000B6297">
            <w:pPr>
              <w:jc w:val="center"/>
              <w:rPr>
                <w:rFonts w:cs="Calibri"/>
                <w:color w:val="000000"/>
                <w:sz w:val="16"/>
                <w:szCs w:val="16"/>
              </w:rPr>
            </w:pPr>
            <w:r w:rsidRPr="00D14CE9">
              <w:rPr>
                <w:rFonts w:cs="Calibri"/>
                <w:color w:val="000000"/>
                <w:sz w:val="16"/>
                <w:szCs w:val="16"/>
              </w:rPr>
              <w:t>0.</w:t>
            </w:r>
            <w:r w:rsidR="00D861E4" w:rsidRPr="00D14CE9">
              <w:rPr>
                <w:rFonts w:cs="Calibri"/>
                <w:color w:val="000000"/>
                <w:sz w:val="16"/>
                <w:szCs w:val="16"/>
              </w:rPr>
              <w:t>7</w:t>
            </w:r>
          </w:p>
        </w:tc>
        <w:tc>
          <w:tcPr>
            <w:tcW w:w="1260" w:type="dxa"/>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3.9</w:t>
            </w:r>
          </w:p>
        </w:tc>
        <w:tc>
          <w:tcPr>
            <w:tcW w:w="1440" w:type="dxa"/>
            <w:vAlign w:val="center"/>
          </w:tcPr>
          <w:p w:rsidR="00704A42" w:rsidRPr="00D14CE9" w:rsidRDefault="00D861E4" w:rsidP="000B6297">
            <w:pPr>
              <w:jc w:val="center"/>
              <w:rPr>
                <w:rFonts w:cs="Calibri"/>
                <w:color w:val="000000"/>
                <w:sz w:val="16"/>
                <w:szCs w:val="16"/>
              </w:rPr>
            </w:pPr>
            <w:r w:rsidRPr="00D14CE9">
              <w:rPr>
                <w:rFonts w:cs="Calibri"/>
                <w:color w:val="000000"/>
                <w:sz w:val="16"/>
                <w:szCs w:val="16"/>
              </w:rPr>
              <w:t>0.4</w:t>
            </w:r>
          </w:p>
        </w:tc>
      </w:tr>
    </w:tbl>
    <w:p w:rsidR="00714DD7" w:rsidRPr="00D14CE9" w:rsidRDefault="00714DD7" w:rsidP="00C15F5A">
      <w:pPr>
        <w:pStyle w:val="EYSource"/>
        <w:rPr>
          <w:lang w:val="en-AU"/>
        </w:rPr>
      </w:pPr>
      <w:r w:rsidRPr="00D14CE9">
        <w:rPr>
          <w:lang w:val="en-AU"/>
        </w:rPr>
        <w:t>Source: EY analysis</w:t>
      </w:r>
    </w:p>
    <w:p w:rsidR="00464A6A" w:rsidRPr="00D14CE9" w:rsidRDefault="00464A6A" w:rsidP="00CF11FB">
      <w:pPr>
        <w:pStyle w:val="EYBodytextwithparaspace"/>
        <w:spacing w:after="0"/>
        <w:rPr>
          <w:rFonts w:cstheme="majorHAnsi"/>
          <w:szCs w:val="20"/>
          <w:lang w:val="en-AU"/>
        </w:rPr>
      </w:pPr>
    </w:p>
    <w:p w:rsidR="00714DD7" w:rsidRPr="00D14CE9" w:rsidRDefault="00714DD7" w:rsidP="00C200D0">
      <w:pPr>
        <w:pStyle w:val="EYBodytextwithparaspace"/>
        <w:rPr>
          <w:rFonts w:cstheme="majorHAnsi"/>
          <w:szCs w:val="20"/>
          <w:lang w:val="en-AU"/>
        </w:rPr>
      </w:pPr>
      <w:r w:rsidRPr="00D14CE9">
        <w:rPr>
          <w:rFonts w:cstheme="majorHAnsi"/>
          <w:szCs w:val="20"/>
          <w:lang w:val="en-AU"/>
        </w:rPr>
        <w:t xml:space="preserve">Strong demand is therefore expected from 2015 to 2025 around </w:t>
      </w:r>
      <w:r w:rsidR="00E94FA4" w:rsidRPr="00D14CE9">
        <w:rPr>
          <w:rFonts w:cstheme="majorHAnsi"/>
          <w:szCs w:val="20"/>
          <w:lang w:val="en-AU"/>
        </w:rPr>
        <w:t>U</w:t>
      </w:r>
      <w:r w:rsidRPr="00D14CE9">
        <w:rPr>
          <w:rFonts w:cstheme="majorHAnsi"/>
          <w:szCs w:val="20"/>
          <w:lang w:val="en-AU"/>
        </w:rPr>
        <w:t xml:space="preserve">rban </w:t>
      </w:r>
      <w:r w:rsidR="00E94FA4" w:rsidRPr="00D14CE9">
        <w:rPr>
          <w:rFonts w:cstheme="majorHAnsi"/>
          <w:szCs w:val="20"/>
          <w:lang w:val="en-AU"/>
        </w:rPr>
        <w:t>G</w:t>
      </w:r>
      <w:r w:rsidRPr="00D14CE9">
        <w:rPr>
          <w:rFonts w:cstheme="majorHAnsi"/>
          <w:szCs w:val="20"/>
          <w:lang w:val="en-AU"/>
        </w:rPr>
        <w:t xml:space="preserve">rowth </w:t>
      </w:r>
      <w:r w:rsidR="00E94FA4" w:rsidRPr="00D14CE9">
        <w:rPr>
          <w:rFonts w:cstheme="majorHAnsi"/>
          <w:szCs w:val="20"/>
          <w:lang w:val="en-AU"/>
        </w:rPr>
        <w:t>A</w:t>
      </w:r>
      <w:r w:rsidRPr="00D14CE9">
        <w:rPr>
          <w:rFonts w:cstheme="majorHAnsi"/>
          <w:szCs w:val="20"/>
          <w:lang w:val="en-AU"/>
        </w:rPr>
        <w:t xml:space="preserve">reas such as Wyndham and Hume, and predominantly within Metropolitan LGAs. Population centres in regional Victoria such as Greater Bendigo (ranked </w:t>
      </w:r>
      <w:r w:rsidR="00783C89" w:rsidRPr="00D14CE9">
        <w:rPr>
          <w:rFonts w:cstheme="majorHAnsi"/>
          <w:szCs w:val="20"/>
          <w:lang w:val="en-AU"/>
        </w:rPr>
        <w:t>20th</w:t>
      </w:r>
      <w:r w:rsidRPr="00D14CE9">
        <w:rPr>
          <w:rFonts w:cstheme="majorHAnsi"/>
          <w:szCs w:val="20"/>
          <w:lang w:val="en-AU"/>
        </w:rPr>
        <w:t xml:space="preserve">), Mitchell (ranked 23rd), Ballarat (ranked </w:t>
      </w:r>
      <w:r w:rsidR="00783C89" w:rsidRPr="00D14CE9">
        <w:rPr>
          <w:rFonts w:cstheme="majorHAnsi"/>
          <w:szCs w:val="20"/>
          <w:lang w:val="en-AU"/>
        </w:rPr>
        <w:t>18th</w:t>
      </w:r>
      <w:r w:rsidRPr="00D14CE9">
        <w:rPr>
          <w:rFonts w:cstheme="majorHAnsi"/>
          <w:szCs w:val="20"/>
          <w:lang w:val="en-AU"/>
        </w:rPr>
        <w:t xml:space="preserve">) and Greater Geelong (ranked 7th) are also driving demand for extractives. </w:t>
      </w:r>
    </w:p>
    <w:p w:rsidR="00D3438A" w:rsidRDefault="00714DD7" w:rsidP="00C200D0">
      <w:pPr>
        <w:pStyle w:val="EYBodytextwithparaspace"/>
        <w:rPr>
          <w:rFonts w:cstheme="majorHAnsi"/>
          <w:szCs w:val="20"/>
          <w:lang w:val="en-AU"/>
        </w:rPr>
      </w:pPr>
      <w:r w:rsidRPr="00D14CE9">
        <w:rPr>
          <w:rFonts w:cstheme="majorHAnsi"/>
          <w:szCs w:val="20"/>
          <w:lang w:val="en-AU"/>
        </w:rPr>
        <w:t xml:space="preserve">To a lesser extent, note that as illustrated in </w:t>
      </w:r>
      <w:r w:rsidR="00C46219">
        <w:rPr>
          <w:rFonts w:cstheme="majorHAnsi"/>
          <w:szCs w:val="20"/>
          <w:lang w:val="en-AU"/>
        </w:rPr>
        <w:fldChar w:fldCharType="begin"/>
      </w:r>
      <w:r w:rsidR="00C46219">
        <w:rPr>
          <w:rFonts w:cstheme="majorHAnsi"/>
          <w:szCs w:val="20"/>
          <w:lang w:val="en-AU"/>
        </w:rPr>
        <w:instrText xml:space="preserve"> REF _Ref441413577 \h  \* MERGEFORMAT </w:instrText>
      </w:r>
      <w:r w:rsidR="00C46219">
        <w:rPr>
          <w:rFonts w:cstheme="majorHAnsi"/>
          <w:szCs w:val="20"/>
          <w:lang w:val="en-AU"/>
        </w:rPr>
      </w:r>
      <w:r w:rsidR="00C46219">
        <w:rPr>
          <w:rFonts w:cstheme="majorHAnsi"/>
          <w:szCs w:val="20"/>
          <w:lang w:val="en-AU"/>
        </w:rPr>
        <w:fldChar w:fldCharType="separate"/>
      </w:r>
      <w:r w:rsidR="00525C82" w:rsidRPr="00525C82">
        <w:rPr>
          <w:rFonts w:cstheme="majorHAnsi"/>
          <w:szCs w:val="20"/>
          <w:lang w:val="en-AU"/>
        </w:rPr>
        <w:t>Figure 21</w:t>
      </w:r>
      <w:r w:rsidR="00C46219">
        <w:rPr>
          <w:rFonts w:cstheme="majorHAnsi"/>
          <w:szCs w:val="20"/>
          <w:lang w:val="en-AU"/>
        </w:rPr>
        <w:fldChar w:fldCharType="end"/>
      </w:r>
      <w:r w:rsidRPr="00D14CE9">
        <w:rPr>
          <w:rFonts w:cstheme="majorHAnsi"/>
          <w:szCs w:val="20"/>
          <w:lang w:val="en-AU"/>
        </w:rPr>
        <w:t>, remote rural LGAs such as East Gippsland and Mildura are also driving needs for extractive resources, due to their projected increases in population growth over the period.</w:t>
      </w:r>
    </w:p>
    <w:p w:rsidR="00714DD7" w:rsidRPr="00D14CE9" w:rsidRDefault="00714DD7" w:rsidP="00C200D0">
      <w:pPr>
        <w:pStyle w:val="EYBodytextwithparaspace"/>
        <w:rPr>
          <w:rFonts w:cstheme="majorHAnsi"/>
          <w:szCs w:val="20"/>
          <w:lang w:val="en-AU"/>
        </w:rPr>
      </w:pPr>
      <w:r w:rsidRPr="00D14CE9">
        <w:rPr>
          <w:rFonts w:cstheme="majorHAnsi"/>
          <w:szCs w:val="20"/>
          <w:lang w:val="en-AU"/>
        </w:rPr>
        <w:t xml:space="preserve">From 2026 to 2050, the long term demand for extractive resources is forecast to continue to be in locations with strong population growth, predominantly in metropolitan areas, as illustrated in </w:t>
      </w:r>
      <w:r w:rsidR="00C46219">
        <w:rPr>
          <w:rFonts w:cstheme="majorHAnsi"/>
          <w:szCs w:val="20"/>
          <w:lang w:val="en-AU"/>
        </w:rPr>
        <w:fldChar w:fldCharType="begin"/>
      </w:r>
      <w:r w:rsidR="00C46219">
        <w:rPr>
          <w:rFonts w:cstheme="majorHAnsi"/>
          <w:szCs w:val="20"/>
          <w:lang w:val="en-AU"/>
        </w:rPr>
        <w:instrText xml:space="preserve"> REF _Ref441414075 \h </w:instrText>
      </w:r>
      <w:r w:rsidR="00C46219">
        <w:rPr>
          <w:rFonts w:cstheme="majorHAnsi"/>
          <w:szCs w:val="20"/>
          <w:lang w:val="en-AU"/>
        </w:rPr>
      </w:r>
      <w:r w:rsidR="00C46219">
        <w:rPr>
          <w:rFonts w:cstheme="majorHAnsi"/>
          <w:szCs w:val="20"/>
          <w:lang w:val="en-AU"/>
        </w:rPr>
        <w:fldChar w:fldCharType="separate"/>
      </w:r>
      <w:r w:rsidR="00525C82" w:rsidRPr="00D14CE9">
        <w:t xml:space="preserve">Table </w:t>
      </w:r>
      <w:r w:rsidR="00525C82">
        <w:rPr>
          <w:noProof/>
        </w:rPr>
        <w:t>15</w:t>
      </w:r>
      <w:r w:rsidR="00C46219">
        <w:rPr>
          <w:rFonts w:cstheme="majorHAnsi"/>
          <w:szCs w:val="20"/>
          <w:lang w:val="en-AU"/>
        </w:rPr>
        <w:fldChar w:fldCharType="end"/>
      </w:r>
      <w:r w:rsidRPr="00D14CE9">
        <w:rPr>
          <w:rFonts w:cstheme="majorHAnsi"/>
          <w:szCs w:val="20"/>
          <w:lang w:val="en-AU"/>
        </w:rPr>
        <w:t xml:space="preserve"> which identified the following hot spots:</w:t>
      </w:r>
    </w:p>
    <w:tbl>
      <w:tblPr>
        <w:tblW w:w="925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15 "/>
        <w:tblDescription w:val="Table 15 lists the top 10 LGAs by demand for the period 2015 - 2025. They are, in descending order, Melbourne, Wyndham, Melton, Casey, Hume, Whittlesea, Greater Geelong, Greater Dandenong, Moreland and Cardinia. "/>
      </w:tblPr>
      <w:tblGrid>
        <w:gridCol w:w="612"/>
        <w:gridCol w:w="2250"/>
        <w:gridCol w:w="1170"/>
        <w:gridCol w:w="1350"/>
        <w:gridCol w:w="1170"/>
        <w:gridCol w:w="1260"/>
        <w:gridCol w:w="1440"/>
      </w:tblGrid>
      <w:tr w:rsidR="00033BC8" w:rsidRPr="00D14CE9" w:rsidTr="000B6297">
        <w:trPr>
          <w:trHeight w:val="20"/>
        </w:trPr>
        <w:tc>
          <w:tcPr>
            <w:tcW w:w="9252" w:type="dxa"/>
            <w:gridSpan w:val="7"/>
            <w:shd w:val="clear" w:color="auto" w:fill="808080"/>
            <w:noWrap/>
            <w:tcMar>
              <w:top w:w="28" w:type="dxa"/>
              <w:left w:w="28" w:type="dxa"/>
              <w:bottom w:w="28" w:type="dxa"/>
              <w:right w:w="28" w:type="dxa"/>
            </w:tcMar>
            <w:vAlign w:val="bottom"/>
          </w:tcPr>
          <w:p w:rsidR="00033BC8" w:rsidRPr="00D14CE9" w:rsidRDefault="00033BC8" w:rsidP="000B6297">
            <w:pPr>
              <w:pStyle w:val="EYTableHeadingWhite"/>
              <w:spacing w:after="0"/>
              <w:rPr>
                <w:rFonts w:eastAsia="Arial Unicode MS"/>
              </w:rPr>
            </w:pPr>
            <w:bookmarkStart w:id="551" w:name="_Ref441414075"/>
            <w:bookmarkStart w:id="552" w:name="_Toc445240949"/>
            <w:bookmarkStart w:id="553" w:name="_Toc448914642"/>
            <w:bookmarkStart w:id="554" w:name="_Toc448920459"/>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15</w:t>
            </w:r>
            <w:r w:rsidR="00A9654D" w:rsidRPr="00802792">
              <w:fldChar w:fldCharType="end"/>
            </w:r>
            <w:bookmarkEnd w:id="551"/>
            <w:r w:rsidRPr="00D14CE9">
              <w:t xml:space="preserve"> – Demand Forecast – Top 10 LGAs 2026-2050 (million tonnes)</w:t>
            </w:r>
            <w:bookmarkEnd w:id="552"/>
            <w:bookmarkEnd w:id="553"/>
            <w:bookmarkEnd w:id="554"/>
          </w:p>
        </w:tc>
      </w:tr>
      <w:tr w:rsidR="00033BC8" w:rsidRPr="00D14CE9" w:rsidTr="000B6297">
        <w:trPr>
          <w:trHeight w:val="20"/>
        </w:trPr>
        <w:tc>
          <w:tcPr>
            <w:tcW w:w="612" w:type="dxa"/>
            <w:shd w:val="clear" w:color="auto" w:fill="F0F0F0"/>
            <w:tcMar>
              <w:top w:w="28" w:type="dxa"/>
              <w:left w:w="28" w:type="dxa"/>
              <w:bottom w:w="28" w:type="dxa"/>
              <w:right w:w="28" w:type="dxa"/>
            </w:tcMar>
            <w:vAlign w:val="center"/>
          </w:tcPr>
          <w:p w:rsidR="00033BC8" w:rsidRPr="00D14CE9" w:rsidRDefault="00033BC8" w:rsidP="000B6297">
            <w:pPr>
              <w:pStyle w:val="EYTableHeading"/>
              <w:spacing w:after="0"/>
              <w:rPr>
                <w:rFonts w:eastAsia="Arial Unicode MS"/>
              </w:rPr>
            </w:pPr>
            <w:r w:rsidRPr="00D14CE9">
              <w:t>#</w:t>
            </w:r>
          </w:p>
        </w:tc>
        <w:tc>
          <w:tcPr>
            <w:tcW w:w="2250" w:type="dxa"/>
            <w:shd w:val="clear" w:color="auto" w:fill="F0F0F0"/>
            <w:tcMar>
              <w:top w:w="28" w:type="dxa"/>
              <w:left w:w="28" w:type="dxa"/>
              <w:bottom w:w="28" w:type="dxa"/>
              <w:right w:w="28" w:type="dxa"/>
            </w:tcMar>
            <w:vAlign w:val="center"/>
          </w:tcPr>
          <w:p w:rsidR="00033BC8" w:rsidRPr="00D14CE9" w:rsidRDefault="00033BC8" w:rsidP="000B6297">
            <w:pPr>
              <w:pStyle w:val="EYTableHeading"/>
              <w:spacing w:after="0"/>
              <w:rPr>
                <w:rFonts w:eastAsia="Arial Unicode MS"/>
              </w:rPr>
            </w:pPr>
            <w:r w:rsidRPr="00D14CE9">
              <w:t>Top 10 LGAs</w:t>
            </w:r>
          </w:p>
        </w:tc>
        <w:tc>
          <w:tcPr>
            <w:tcW w:w="1170" w:type="dxa"/>
            <w:shd w:val="clear" w:color="auto" w:fill="F0F0F0"/>
            <w:tcMar>
              <w:top w:w="28" w:type="dxa"/>
              <w:left w:w="28" w:type="dxa"/>
              <w:bottom w:w="28" w:type="dxa"/>
              <w:right w:w="28" w:type="dxa"/>
            </w:tcMar>
            <w:vAlign w:val="center"/>
          </w:tcPr>
          <w:p w:rsidR="00033BC8" w:rsidRPr="00D14CE9" w:rsidRDefault="00033BC8" w:rsidP="000B6297">
            <w:pPr>
              <w:pStyle w:val="EYTableHeading"/>
              <w:spacing w:after="0"/>
              <w:rPr>
                <w:rFonts w:eastAsia="Arial Unicode MS"/>
              </w:rPr>
            </w:pPr>
            <w:r w:rsidRPr="00D14CE9">
              <w:t>Total demand</w:t>
            </w:r>
          </w:p>
        </w:tc>
        <w:tc>
          <w:tcPr>
            <w:tcW w:w="1350" w:type="dxa"/>
            <w:shd w:val="clear" w:color="auto" w:fill="F0F0F0"/>
            <w:tcMar>
              <w:top w:w="28" w:type="dxa"/>
              <w:left w:w="28" w:type="dxa"/>
              <w:bottom w:w="28" w:type="dxa"/>
              <w:right w:w="28" w:type="dxa"/>
            </w:tcMar>
            <w:vAlign w:val="center"/>
          </w:tcPr>
          <w:p w:rsidR="00033BC8" w:rsidRPr="00D14CE9" w:rsidRDefault="00033BC8" w:rsidP="000B6297">
            <w:pPr>
              <w:pStyle w:val="EYTableHeading"/>
              <w:spacing w:after="0"/>
              <w:rPr>
                <w:rFonts w:eastAsia="Arial Unicode MS"/>
              </w:rPr>
            </w:pPr>
            <w:r w:rsidRPr="00D14CE9">
              <w:t>Hard rock total demand</w:t>
            </w:r>
          </w:p>
        </w:tc>
        <w:tc>
          <w:tcPr>
            <w:tcW w:w="1170" w:type="dxa"/>
            <w:shd w:val="clear" w:color="auto" w:fill="F0F0F0"/>
            <w:tcMar>
              <w:top w:w="28" w:type="dxa"/>
              <w:left w:w="28" w:type="dxa"/>
              <w:bottom w:w="28" w:type="dxa"/>
              <w:right w:w="28" w:type="dxa"/>
            </w:tcMar>
            <w:vAlign w:val="center"/>
          </w:tcPr>
          <w:p w:rsidR="00033BC8" w:rsidRPr="00D14CE9" w:rsidRDefault="00033BC8" w:rsidP="000B6297">
            <w:pPr>
              <w:pStyle w:val="EYTableHeading"/>
              <w:spacing w:after="0"/>
            </w:pPr>
            <w:r w:rsidRPr="00D14CE9">
              <w:t>Limestone total demand</w:t>
            </w:r>
          </w:p>
        </w:tc>
        <w:tc>
          <w:tcPr>
            <w:tcW w:w="1260" w:type="dxa"/>
            <w:shd w:val="clear" w:color="auto" w:fill="F0F0F0"/>
            <w:tcMar>
              <w:top w:w="28" w:type="dxa"/>
              <w:left w:w="28" w:type="dxa"/>
              <w:bottom w:w="28" w:type="dxa"/>
              <w:right w:w="28" w:type="dxa"/>
            </w:tcMar>
            <w:vAlign w:val="center"/>
          </w:tcPr>
          <w:p w:rsidR="00033BC8" w:rsidRPr="00D14CE9" w:rsidRDefault="00033BC8" w:rsidP="000B6297">
            <w:pPr>
              <w:pStyle w:val="EYTableHeading"/>
              <w:spacing w:after="0"/>
            </w:pPr>
            <w:r w:rsidRPr="00D14CE9">
              <w:t>Sand and gravel total demand</w:t>
            </w:r>
          </w:p>
        </w:tc>
        <w:tc>
          <w:tcPr>
            <w:tcW w:w="1440" w:type="dxa"/>
            <w:shd w:val="clear" w:color="auto" w:fill="F0F0F0"/>
            <w:tcMar>
              <w:top w:w="28" w:type="dxa"/>
              <w:left w:w="28" w:type="dxa"/>
              <w:bottom w:w="28" w:type="dxa"/>
              <w:right w:w="28" w:type="dxa"/>
            </w:tcMar>
            <w:vAlign w:val="center"/>
          </w:tcPr>
          <w:p w:rsidR="00033BC8" w:rsidRPr="00D14CE9" w:rsidRDefault="00033BC8" w:rsidP="000B6297">
            <w:pPr>
              <w:pStyle w:val="EYTableHeading"/>
              <w:spacing w:after="0"/>
            </w:pPr>
            <w:r w:rsidRPr="00D14CE9">
              <w:t>Clay and clay shale total demand</w:t>
            </w:r>
          </w:p>
        </w:tc>
      </w:tr>
      <w:tr w:rsidR="00033BC8" w:rsidRPr="00D14CE9" w:rsidTr="003637FD">
        <w:trPr>
          <w:trHeight w:val="20"/>
        </w:trPr>
        <w:tc>
          <w:tcPr>
            <w:tcW w:w="612" w:type="dxa"/>
            <w:noWrap/>
            <w:tcMar>
              <w:top w:w="57" w:type="dxa"/>
              <w:left w:w="28" w:type="dxa"/>
              <w:bottom w:w="57" w:type="dxa"/>
              <w:right w:w="28" w:type="dxa"/>
            </w:tcMar>
            <w:vAlign w:val="center"/>
          </w:tcPr>
          <w:p w:rsidR="00033BC8" w:rsidRPr="00D14CE9" w:rsidRDefault="00033BC8" w:rsidP="000B6297">
            <w:pPr>
              <w:pStyle w:val="EYTableNormal"/>
              <w:numPr>
                <w:ilvl w:val="0"/>
                <w:numId w:val="14"/>
              </w:numPr>
              <w:spacing w:after="0"/>
            </w:pPr>
          </w:p>
        </w:tc>
        <w:tc>
          <w:tcPr>
            <w:tcW w:w="2250" w:type="dxa"/>
            <w:noWrap/>
            <w:tcMar>
              <w:top w:w="57" w:type="dxa"/>
              <w:left w:w="28" w:type="dxa"/>
              <w:bottom w:w="57" w:type="dxa"/>
              <w:right w:w="28" w:type="dxa"/>
            </w:tcMar>
            <w:vAlign w:val="center"/>
          </w:tcPr>
          <w:p w:rsidR="00033BC8" w:rsidRPr="00D14CE9" w:rsidRDefault="00033BC8" w:rsidP="000B6297">
            <w:pPr>
              <w:rPr>
                <w:sz w:val="16"/>
                <w:szCs w:val="16"/>
              </w:rPr>
            </w:pPr>
            <w:r w:rsidRPr="00D14CE9">
              <w:rPr>
                <w:rFonts w:cs="Calibri"/>
                <w:color w:val="000000"/>
                <w:sz w:val="16"/>
                <w:szCs w:val="16"/>
              </w:rPr>
              <w:t>Melbourne (C)</w:t>
            </w:r>
          </w:p>
        </w:tc>
        <w:tc>
          <w:tcPr>
            <w:tcW w:w="1170" w:type="dxa"/>
            <w:noWrap/>
            <w:tcMar>
              <w:top w:w="57" w:type="dxa"/>
              <w:left w:w="28" w:type="dxa"/>
              <w:bottom w:w="57" w:type="dxa"/>
              <w:right w:w="28" w:type="dxa"/>
            </w:tcMar>
            <w:vAlign w:val="center"/>
          </w:tcPr>
          <w:p w:rsidR="00033BC8" w:rsidRPr="00D14CE9" w:rsidRDefault="00396EDE" w:rsidP="000B6297">
            <w:pPr>
              <w:jc w:val="center"/>
              <w:rPr>
                <w:sz w:val="16"/>
                <w:szCs w:val="16"/>
              </w:rPr>
            </w:pPr>
            <w:r w:rsidRPr="00D14CE9">
              <w:rPr>
                <w:sz w:val="16"/>
                <w:szCs w:val="16"/>
              </w:rPr>
              <w:t>201.3</w:t>
            </w:r>
          </w:p>
        </w:tc>
        <w:tc>
          <w:tcPr>
            <w:tcW w:w="1350" w:type="dxa"/>
            <w:noWrap/>
            <w:tcMar>
              <w:top w:w="57" w:type="dxa"/>
              <w:left w:w="28" w:type="dxa"/>
              <w:bottom w:w="57" w:type="dxa"/>
              <w:right w:w="28" w:type="dxa"/>
            </w:tcMar>
            <w:vAlign w:val="center"/>
          </w:tcPr>
          <w:p w:rsidR="00033BC8" w:rsidRPr="00D14CE9" w:rsidRDefault="00396EDE" w:rsidP="000B6297">
            <w:pPr>
              <w:jc w:val="center"/>
              <w:rPr>
                <w:sz w:val="16"/>
                <w:szCs w:val="16"/>
              </w:rPr>
            </w:pPr>
            <w:r w:rsidRPr="00D14CE9">
              <w:rPr>
                <w:sz w:val="16"/>
                <w:szCs w:val="16"/>
              </w:rPr>
              <w:t>142.</w:t>
            </w:r>
            <w:r w:rsidR="0088136B" w:rsidRPr="00D14CE9">
              <w:rPr>
                <w:sz w:val="16"/>
                <w:szCs w:val="16"/>
              </w:rPr>
              <w:t>1</w:t>
            </w:r>
          </w:p>
        </w:tc>
        <w:tc>
          <w:tcPr>
            <w:tcW w:w="1170" w:type="dxa"/>
            <w:tcMar>
              <w:top w:w="57" w:type="dxa"/>
              <w:left w:w="28" w:type="dxa"/>
              <w:bottom w:w="57" w:type="dxa"/>
              <w:right w:w="28" w:type="dxa"/>
            </w:tcMar>
            <w:vAlign w:val="center"/>
          </w:tcPr>
          <w:p w:rsidR="00033BC8" w:rsidRPr="00D14CE9" w:rsidRDefault="00396EDE" w:rsidP="000B6297">
            <w:pPr>
              <w:jc w:val="center"/>
              <w:rPr>
                <w:sz w:val="16"/>
                <w:szCs w:val="16"/>
              </w:rPr>
            </w:pPr>
            <w:r w:rsidRPr="00D14CE9">
              <w:rPr>
                <w:sz w:val="16"/>
                <w:szCs w:val="16"/>
              </w:rPr>
              <w:t>1</w:t>
            </w:r>
            <w:r w:rsidR="0088136B" w:rsidRPr="00D14CE9">
              <w:rPr>
                <w:sz w:val="16"/>
                <w:szCs w:val="16"/>
              </w:rPr>
              <w:t>2</w:t>
            </w:r>
            <w:r w:rsidRPr="00D14CE9">
              <w:rPr>
                <w:sz w:val="16"/>
                <w:szCs w:val="16"/>
              </w:rPr>
              <w:t>.</w:t>
            </w:r>
            <w:r w:rsidR="0088136B" w:rsidRPr="00D14CE9">
              <w:rPr>
                <w:sz w:val="16"/>
                <w:szCs w:val="16"/>
              </w:rPr>
              <w:t>9</w:t>
            </w:r>
          </w:p>
        </w:tc>
        <w:tc>
          <w:tcPr>
            <w:tcW w:w="1260" w:type="dxa"/>
            <w:tcMar>
              <w:top w:w="57" w:type="dxa"/>
              <w:left w:w="28" w:type="dxa"/>
              <w:bottom w:w="57" w:type="dxa"/>
              <w:right w:w="28" w:type="dxa"/>
            </w:tcMar>
            <w:vAlign w:val="center"/>
          </w:tcPr>
          <w:p w:rsidR="00033BC8" w:rsidRPr="00D14CE9" w:rsidRDefault="00396EDE" w:rsidP="000B6297">
            <w:pPr>
              <w:jc w:val="center"/>
              <w:rPr>
                <w:sz w:val="16"/>
                <w:szCs w:val="16"/>
              </w:rPr>
            </w:pPr>
            <w:r w:rsidRPr="00D14CE9">
              <w:rPr>
                <w:sz w:val="16"/>
                <w:szCs w:val="16"/>
              </w:rPr>
              <w:t>42.4</w:t>
            </w:r>
          </w:p>
        </w:tc>
        <w:tc>
          <w:tcPr>
            <w:tcW w:w="1440" w:type="dxa"/>
            <w:tcMar>
              <w:top w:w="57" w:type="dxa"/>
              <w:left w:w="28" w:type="dxa"/>
              <w:bottom w:w="57" w:type="dxa"/>
              <w:right w:w="28" w:type="dxa"/>
            </w:tcMar>
            <w:vAlign w:val="center"/>
          </w:tcPr>
          <w:p w:rsidR="00033BC8" w:rsidRPr="00D14CE9" w:rsidRDefault="00396EDE" w:rsidP="000B6297">
            <w:pPr>
              <w:jc w:val="center"/>
              <w:rPr>
                <w:sz w:val="16"/>
                <w:szCs w:val="16"/>
              </w:rPr>
            </w:pPr>
            <w:r w:rsidRPr="00D14CE9">
              <w:rPr>
                <w:sz w:val="16"/>
                <w:szCs w:val="16"/>
              </w:rPr>
              <w:t>3</w:t>
            </w:r>
            <w:r w:rsidR="00033BC8" w:rsidRPr="00D14CE9">
              <w:rPr>
                <w:sz w:val="16"/>
                <w:szCs w:val="16"/>
              </w:rPr>
              <w:t>.9</w:t>
            </w:r>
          </w:p>
        </w:tc>
      </w:tr>
      <w:tr w:rsidR="00033BC8" w:rsidRPr="00D14CE9" w:rsidTr="003637FD">
        <w:trPr>
          <w:trHeight w:val="20"/>
        </w:trPr>
        <w:tc>
          <w:tcPr>
            <w:tcW w:w="612" w:type="dxa"/>
            <w:noWrap/>
            <w:tcMar>
              <w:top w:w="57" w:type="dxa"/>
              <w:left w:w="28" w:type="dxa"/>
              <w:bottom w:w="57" w:type="dxa"/>
              <w:right w:w="28" w:type="dxa"/>
            </w:tcMar>
            <w:vAlign w:val="center"/>
          </w:tcPr>
          <w:p w:rsidR="00033BC8" w:rsidRPr="00D14CE9" w:rsidRDefault="00033BC8" w:rsidP="000B6297">
            <w:pPr>
              <w:pStyle w:val="EYTableNormal"/>
              <w:numPr>
                <w:ilvl w:val="0"/>
                <w:numId w:val="14"/>
              </w:numPr>
              <w:spacing w:after="0"/>
            </w:pPr>
          </w:p>
        </w:tc>
        <w:tc>
          <w:tcPr>
            <w:tcW w:w="2250" w:type="dxa"/>
            <w:noWrap/>
            <w:tcMar>
              <w:top w:w="57" w:type="dxa"/>
              <w:left w:w="28" w:type="dxa"/>
              <w:bottom w:w="57" w:type="dxa"/>
              <w:right w:w="28" w:type="dxa"/>
            </w:tcMar>
            <w:vAlign w:val="center"/>
          </w:tcPr>
          <w:p w:rsidR="00033BC8" w:rsidRPr="00D14CE9" w:rsidRDefault="00033BC8" w:rsidP="000B6297">
            <w:pPr>
              <w:rPr>
                <w:sz w:val="16"/>
                <w:szCs w:val="16"/>
              </w:rPr>
            </w:pPr>
            <w:r w:rsidRPr="00D14CE9">
              <w:rPr>
                <w:rFonts w:cs="Calibri"/>
                <w:color w:val="000000"/>
                <w:sz w:val="16"/>
                <w:szCs w:val="16"/>
              </w:rPr>
              <w:t>Wyndham (C)</w:t>
            </w:r>
          </w:p>
        </w:tc>
        <w:tc>
          <w:tcPr>
            <w:tcW w:w="1170" w:type="dxa"/>
            <w:noWrap/>
            <w:tcMar>
              <w:top w:w="57" w:type="dxa"/>
              <w:left w:w="28" w:type="dxa"/>
              <w:bottom w:w="57" w:type="dxa"/>
              <w:right w:w="28" w:type="dxa"/>
            </w:tcMar>
            <w:vAlign w:val="center"/>
          </w:tcPr>
          <w:p w:rsidR="00033BC8" w:rsidRPr="00D14CE9" w:rsidRDefault="00396EDE" w:rsidP="000B6297">
            <w:pPr>
              <w:jc w:val="center"/>
              <w:rPr>
                <w:sz w:val="16"/>
                <w:szCs w:val="16"/>
              </w:rPr>
            </w:pPr>
            <w:r w:rsidRPr="00D14CE9">
              <w:rPr>
                <w:sz w:val="16"/>
                <w:szCs w:val="16"/>
              </w:rPr>
              <w:t>114.9</w:t>
            </w:r>
          </w:p>
        </w:tc>
        <w:tc>
          <w:tcPr>
            <w:tcW w:w="1350" w:type="dxa"/>
            <w:noWrap/>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82.7</w:t>
            </w:r>
          </w:p>
        </w:tc>
        <w:tc>
          <w:tcPr>
            <w:tcW w:w="1170" w:type="dxa"/>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6.4</w:t>
            </w:r>
          </w:p>
        </w:tc>
        <w:tc>
          <w:tcPr>
            <w:tcW w:w="1260" w:type="dxa"/>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23.7</w:t>
            </w:r>
          </w:p>
        </w:tc>
        <w:tc>
          <w:tcPr>
            <w:tcW w:w="1440" w:type="dxa"/>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2.1</w:t>
            </w:r>
          </w:p>
        </w:tc>
      </w:tr>
      <w:tr w:rsidR="00033BC8" w:rsidRPr="00D14CE9" w:rsidTr="003637FD">
        <w:trPr>
          <w:trHeight w:val="20"/>
        </w:trPr>
        <w:tc>
          <w:tcPr>
            <w:tcW w:w="612" w:type="dxa"/>
            <w:noWrap/>
            <w:tcMar>
              <w:top w:w="57" w:type="dxa"/>
              <w:left w:w="28" w:type="dxa"/>
              <w:bottom w:w="57" w:type="dxa"/>
              <w:right w:w="28" w:type="dxa"/>
            </w:tcMar>
            <w:vAlign w:val="center"/>
          </w:tcPr>
          <w:p w:rsidR="00033BC8" w:rsidRPr="00D14CE9" w:rsidRDefault="00033BC8" w:rsidP="000B6297">
            <w:pPr>
              <w:pStyle w:val="EYTableNormal"/>
              <w:numPr>
                <w:ilvl w:val="0"/>
                <w:numId w:val="14"/>
              </w:numPr>
              <w:spacing w:after="0"/>
            </w:pPr>
          </w:p>
        </w:tc>
        <w:tc>
          <w:tcPr>
            <w:tcW w:w="2250" w:type="dxa"/>
            <w:noWrap/>
            <w:tcMar>
              <w:top w:w="57" w:type="dxa"/>
              <w:left w:w="28" w:type="dxa"/>
              <w:bottom w:w="57" w:type="dxa"/>
              <w:right w:w="28" w:type="dxa"/>
            </w:tcMar>
            <w:vAlign w:val="center"/>
          </w:tcPr>
          <w:p w:rsidR="00033BC8" w:rsidRPr="00D14CE9" w:rsidRDefault="00033BC8" w:rsidP="000B6297">
            <w:pPr>
              <w:rPr>
                <w:b/>
                <w:sz w:val="16"/>
                <w:szCs w:val="16"/>
              </w:rPr>
            </w:pPr>
            <w:r w:rsidRPr="00D14CE9">
              <w:rPr>
                <w:rFonts w:cs="Calibri"/>
                <w:color w:val="000000"/>
                <w:sz w:val="16"/>
                <w:szCs w:val="16"/>
              </w:rPr>
              <w:t>Melton (S)</w:t>
            </w:r>
          </w:p>
        </w:tc>
        <w:tc>
          <w:tcPr>
            <w:tcW w:w="1170" w:type="dxa"/>
            <w:noWrap/>
            <w:tcMar>
              <w:top w:w="57" w:type="dxa"/>
              <w:left w:w="28" w:type="dxa"/>
              <w:bottom w:w="57" w:type="dxa"/>
              <w:right w:w="28" w:type="dxa"/>
            </w:tcMar>
            <w:vAlign w:val="center"/>
          </w:tcPr>
          <w:p w:rsidR="00033BC8" w:rsidRPr="00D14CE9" w:rsidRDefault="00396EDE" w:rsidP="000B6297">
            <w:pPr>
              <w:jc w:val="center"/>
              <w:rPr>
                <w:rFonts w:cs="Calibri"/>
                <w:color w:val="000000"/>
                <w:sz w:val="16"/>
                <w:szCs w:val="16"/>
              </w:rPr>
            </w:pPr>
            <w:r w:rsidRPr="00D14CE9">
              <w:rPr>
                <w:rFonts w:cs="Calibri"/>
                <w:color w:val="000000"/>
                <w:sz w:val="16"/>
                <w:szCs w:val="16"/>
              </w:rPr>
              <w:t>90.4</w:t>
            </w:r>
          </w:p>
        </w:tc>
        <w:tc>
          <w:tcPr>
            <w:tcW w:w="1350" w:type="dxa"/>
            <w:noWrap/>
            <w:tcMar>
              <w:top w:w="57" w:type="dxa"/>
              <w:left w:w="28" w:type="dxa"/>
              <w:bottom w:w="57" w:type="dxa"/>
              <w:right w:w="28" w:type="dxa"/>
            </w:tcMar>
            <w:vAlign w:val="center"/>
          </w:tcPr>
          <w:p w:rsidR="00033BC8" w:rsidRPr="00D14CE9" w:rsidRDefault="0088136B" w:rsidP="000B6297">
            <w:pPr>
              <w:jc w:val="center"/>
              <w:rPr>
                <w:rFonts w:cs="Calibri"/>
                <w:color w:val="000000"/>
                <w:sz w:val="16"/>
                <w:szCs w:val="16"/>
              </w:rPr>
            </w:pPr>
            <w:r w:rsidRPr="00D14CE9">
              <w:rPr>
                <w:rFonts w:cs="Calibri"/>
                <w:color w:val="000000"/>
                <w:sz w:val="16"/>
                <w:szCs w:val="16"/>
              </w:rPr>
              <w:t>64.9</w:t>
            </w:r>
          </w:p>
        </w:tc>
        <w:tc>
          <w:tcPr>
            <w:tcW w:w="1170" w:type="dxa"/>
            <w:tcMar>
              <w:top w:w="57" w:type="dxa"/>
              <w:left w:w="28" w:type="dxa"/>
              <w:bottom w:w="57" w:type="dxa"/>
              <w:right w:w="28" w:type="dxa"/>
            </w:tcMar>
            <w:vAlign w:val="center"/>
          </w:tcPr>
          <w:p w:rsidR="00033BC8" w:rsidRPr="00D14CE9" w:rsidRDefault="0088136B" w:rsidP="000B6297">
            <w:pPr>
              <w:jc w:val="center"/>
              <w:rPr>
                <w:rFonts w:cs="Calibri"/>
                <w:color w:val="000000"/>
                <w:sz w:val="16"/>
                <w:szCs w:val="16"/>
              </w:rPr>
            </w:pPr>
            <w:r w:rsidRPr="00D14CE9">
              <w:rPr>
                <w:rFonts w:cs="Calibri"/>
                <w:color w:val="000000"/>
                <w:sz w:val="16"/>
                <w:szCs w:val="16"/>
              </w:rPr>
              <w:t>5.0</w:t>
            </w:r>
          </w:p>
        </w:tc>
        <w:tc>
          <w:tcPr>
            <w:tcW w:w="1260" w:type="dxa"/>
            <w:tcMar>
              <w:top w:w="57" w:type="dxa"/>
              <w:left w:w="28" w:type="dxa"/>
              <w:bottom w:w="57" w:type="dxa"/>
              <w:right w:w="28" w:type="dxa"/>
            </w:tcMar>
            <w:vAlign w:val="center"/>
          </w:tcPr>
          <w:p w:rsidR="00033BC8" w:rsidRPr="00D14CE9" w:rsidRDefault="0088136B" w:rsidP="000B6297">
            <w:pPr>
              <w:jc w:val="center"/>
              <w:rPr>
                <w:rFonts w:cs="Calibri"/>
                <w:color w:val="000000"/>
                <w:sz w:val="16"/>
                <w:szCs w:val="16"/>
              </w:rPr>
            </w:pPr>
            <w:r w:rsidRPr="00D14CE9">
              <w:rPr>
                <w:rFonts w:cs="Calibri"/>
                <w:color w:val="000000"/>
                <w:sz w:val="16"/>
                <w:szCs w:val="16"/>
              </w:rPr>
              <w:t>18.8</w:t>
            </w:r>
          </w:p>
        </w:tc>
        <w:tc>
          <w:tcPr>
            <w:tcW w:w="1440" w:type="dxa"/>
            <w:tcMar>
              <w:top w:w="57" w:type="dxa"/>
              <w:left w:w="28" w:type="dxa"/>
              <w:bottom w:w="57" w:type="dxa"/>
              <w:right w:w="28" w:type="dxa"/>
            </w:tcMar>
            <w:vAlign w:val="center"/>
          </w:tcPr>
          <w:p w:rsidR="00033BC8" w:rsidRPr="00D14CE9" w:rsidRDefault="0088136B" w:rsidP="000B6297">
            <w:pPr>
              <w:jc w:val="center"/>
              <w:rPr>
                <w:rFonts w:cs="Calibri"/>
                <w:color w:val="000000"/>
                <w:sz w:val="16"/>
                <w:szCs w:val="16"/>
              </w:rPr>
            </w:pPr>
            <w:r w:rsidRPr="00D14CE9">
              <w:rPr>
                <w:rFonts w:cs="Calibri"/>
                <w:color w:val="000000"/>
                <w:sz w:val="16"/>
                <w:szCs w:val="16"/>
              </w:rPr>
              <w:t>1.7</w:t>
            </w:r>
          </w:p>
        </w:tc>
      </w:tr>
      <w:tr w:rsidR="00033BC8" w:rsidRPr="00D14CE9" w:rsidTr="003637FD">
        <w:trPr>
          <w:trHeight w:val="20"/>
        </w:trPr>
        <w:tc>
          <w:tcPr>
            <w:tcW w:w="612" w:type="dxa"/>
            <w:noWrap/>
            <w:tcMar>
              <w:top w:w="57" w:type="dxa"/>
              <w:left w:w="28" w:type="dxa"/>
              <w:bottom w:w="57" w:type="dxa"/>
              <w:right w:w="28" w:type="dxa"/>
            </w:tcMar>
            <w:vAlign w:val="center"/>
          </w:tcPr>
          <w:p w:rsidR="00033BC8" w:rsidRPr="00D14CE9" w:rsidRDefault="00033BC8" w:rsidP="000B6297">
            <w:pPr>
              <w:pStyle w:val="EYTableNormal"/>
              <w:numPr>
                <w:ilvl w:val="0"/>
                <w:numId w:val="14"/>
              </w:numPr>
              <w:spacing w:after="0"/>
            </w:pPr>
          </w:p>
        </w:tc>
        <w:tc>
          <w:tcPr>
            <w:tcW w:w="2250" w:type="dxa"/>
            <w:noWrap/>
            <w:tcMar>
              <w:top w:w="57" w:type="dxa"/>
              <w:left w:w="28" w:type="dxa"/>
              <w:bottom w:w="57" w:type="dxa"/>
              <w:right w:w="28" w:type="dxa"/>
            </w:tcMar>
            <w:vAlign w:val="center"/>
          </w:tcPr>
          <w:p w:rsidR="00033BC8" w:rsidRPr="00D14CE9" w:rsidRDefault="00033BC8" w:rsidP="000B6297">
            <w:pPr>
              <w:rPr>
                <w:sz w:val="16"/>
                <w:szCs w:val="16"/>
              </w:rPr>
            </w:pPr>
            <w:r w:rsidRPr="00D14CE9">
              <w:rPr>
                <w:rFonts w:cs="Calibri"/>
                <w:color w:val="000000"/>
                <w:sz w:val="16"/>
                <w:szCs w:val="16"/>
              </w:rPr>
              <w:t>Casey (C)</w:t>
            </w:r>
          </w:p>
        </w:tc>
        <w:tc>
          <w:tcPr>
            <w:tcW w:w="1170" w:type="dxa"/>
            <w:noWrap/>
            <w:tcMar>
              <w:top w:w="57" w:type="dxa"/>
              <w:left w:w="28" w:type="dxa"/>
              <w:bottom w:w="57" w:type="dxa"/>
              <w:right w:w="28" w:type="dxa"/>
            </w:tcMar>
            <w:vAlign w:val="center"/>
          </w:tcPr>
          <w:p w:rsidR="00033BC8" w:rsidRPr="00D14CE9" w:rsidRDefault="00396EDE" w:rsidP="000B6297">
            <w:pPr>
              <w:jc w:val="center"/>
              <w:rPr>
                <w:sz w:val="16"/>
                <w:szCs w:val="16"/>
              </w:rPr>
            </w:pPr>
            <w:r w:rsidRPr="00D14CE9">
              <w:rPr>
                <w:sz w:val="16"/>
                <w:szCs w:val="16"/>
              </w:rPr>
              <w:t>76.5</w:t>
            </w:r>
          </w:p>
        </w:tc>
        <w:tc>
          <w:tcPr>
            <w:tcW w:w="1350" w:type="dxa"/>
            <w:noWrap/>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54.4</w:t>
            </w:r>
          </w:p>
        </w:tc>
        <w:tc>
          <w:tcPr>
            <w:tcW w:w="1170" w:type="dxa"/>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4.3</w:t>
            </w:r>
          </w:p>
        </w:tc>
        <w:tc>
          <w:tcPr>
            <w:tcW w:w="1260" w:type="dxa"/>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16.3</w:t>
            </w:r>
          </w:p>
        </w:tc>
        <w:tc>
          <w:tcPr>
            <w:tcW w:w="1440" w:type="dxa"/>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1.5</w:t>
            </w:r>
          </w:p>
        </w:tc>
      </w:tr>
      <w:tr w:rsidR="00033BC8" w:rsidRPr="00D14CE9" w:rsidTr="003637FD">
        <w:trPr>
          <w:trHeight w:val="20"/>
        </w:trPr>
        <w:tc>
          <w:tcPr>
            <w:tcW w:w="612" w:type="dxa"/>
            <w:noWrap/>
            <w:tcMar>
              <w:top w:w="57" w:type="dxa"/>
              <w:left w:w="28" w:type="dxa"/>
              <w:bottom w:w="57" w:type="dxa"/>
              <w:right w:w="28" w:type="dxa"/>
            </w:tcMar>
            <w:vAlign w:val="center"/>
          </w:tcPr>
          <w:p w:rsidR="00033BC8" w:rsidRPr="00D14CE9" w:rsidRDefault="00033BC8" w:rsidP="000B6297">
            <w:pPr>
              <w:pStyle w:val="EYTableNormal"/>
              <w:numPr>
                <w:ilvl w:val="0"/>
                <w:numId w:val="14"/>
              </w:numPr>
              <w:spacing w:after="0"/>
            </w:pPr>
          </w:p>
        </w:tc>
        <w:tc>
          <w:tcPr>
            <w:tcW w:w="2250" w:type="dxa"/>
            <w:noWrap/>
            <w:tcMar>
              <w:top w:w="57" w:type="dxa"/>
              <w:left w:w="28" w:type="dxa"/>
              <w:bottom w:w="57" w:type="dxa"/>
              <w:right w:w="28" w:type="dxa"/>
            </w:tcMar>
            <w:vAlign w:val="center"/>
          </w:tcPr>
          <w:p w:rsidR="00033BC8" w:rsidRPr="00D14CE9" w:rsidRDefault="00033BC8" w:rsidP="000B6297">
            <w:pPr>
              <w:rPr>
                <w:sz w:val="16"/>
                <w:szCs w:val="16"/>
              </w:rPr>
            </w:pPr>
            <w:r w:rsidRPr="00D14CE9">
              <w:rPr>
                <w:rFonts w:cs="Calibri"/>
                <w:color w:val="000000"/>
                <w:sz w:val="16"/>
                <w:szCs w:val="16"/>
              </w:rPr>
              <w:t>Hume (C)</w:t>
            </w:r>
          </w:p>
        </w:tc>
        <w:tc>
          <w:tcPr>
            <w:tcW w:w="1170" w:type="dxa"/>
            <w:noWrap/>
            <w:tcMar>
              <w:top w:w="57" w:type="dxa"/>
              <w:left w:w="28" w:type="dxa"/>
              <w:bottom w:w="57" w:type="dxa"/>
              <w:right w:w="28" w:type="dxa"/>
            </w:tcMar>
            <w:vAlign w:val="center"/>
          </w:tcPr>
          <w:p w:rsidR="00033BC8" w:rsidRPr="00D14CE9" w:rsidRDefault="00396EDE" w:rsidP="000B6297">
            <w:pPr>
              <w:jc w:val="center"/>
              <w:rPr>
                <w:rFonts w:cs="Calibri"/>
                <w:color w:val="000000"/>
                <w:sz w:val="16"/>
                <w:szCs w:val="16"/>
              </w:rPr>
            </w:pPr>
            <w:r w:rsidRPr="00D14CE9">
              <w:rPr>
                <w:rFonts w:cs="Calibri"/>
                <w:color w:val="000000"/>
                <w:sz w:val="16"/>
                <w:szCs w:val="16"/>
              </w:rPr>
              <w:t>71.9</w:t>
            </w:r>
          </w:p>
        </w:tc>
        <w:tc>
          <w:tcPr>
            <w:tcW w:w="1350" w:type="dxa"/>
            <w:noWrap/>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51.2</w:t>
            </w:r>
          </w:p>
        </w:tc>
        <w:tc>
          <w:tcPr>
            <w:tcW w:w="117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4.1</w:t>
            </w:r>
          </w:p>
        </w:tc>
        <w:tc>
          <w:tcPr>
            <w:tcW w:w="126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15.2</w:t>
            </w:r>
          </w:p>
        </w:tc>
        <w:tc>
          <w:tcPr>
            <w:tcW w:w="144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1.4</w:t>
            </w:r>
          </w:p>
        </w:tc>
      </w:tr>
      <w:tr w:rsidR="00033BC8" w:rsidRPr="00D14CE9" w:rsidTr="003637FD">
        <w:trPr>
          <w:trHeight w:val="20"/>
        </w:trPr>
        <w:tc>
          <w:tcPr>
            <w:tcW w:w="612" w:type="dxa"/>
            <w:noWrap/>
            <w:tcMar>
              <w:top w:w="57" w:type="dxa"/>
              <w:left w:w="28" w:type="dxa"/>
              <w:bottom w:w="57" w:type="dxa"/>
              <w:right w:w="28" w:type="dxa"/>
            </w:tcMar>
            <w:vAlign w:val="center"/>
          </w:tcPr>
          <w:p w:rsidR="00033BC8" w:rsidRPr="00D14CE9" w:rsidRDefault="00033BC8" w:rsidP="000B6297">
            <w:pPr>
              <w:pStyle w:val="EYTableNormal"/>
              <w:numPr>
                <w:ilvl w:val="0"/>
                <w:numId w:val="14"/>
              </w:numPr>
              <w:spacing w:after="0"/>
            </w:pPr>
          </w:p>
        </w:tc>
        <w:tc>
          <w:tcPr>
            <w:tcW w:w="2250" w:type="dxa"/>
            <w:noWrap/>
            <w:tcMar>
              <w:top w:w="57" w:type="dxa"/>
              <w:left w:w="28" w:type="dxa"/>
              <w:bottom w:w="57" w:type="dxa"/>
              <w:right w:w="28" w:type="dxa"/>
            </w:tcMar>
            <w:vAlign w:val="center"/>
          </w:tcPr>
          <w:p w:rsidR="00033BC8" w:rsidRPr="00D14CE9" w:rsidRDefault="00033BC8" w:rsidP="000B6297">
            <w:pPr>
              <w:rPr>
                <w:sz w:val="16"/>
                <w:szCs w:val="16"/>
              </w:rPr>
            </w:pPr>
            <w:r w:rsidRPr="00D14CE9">
              <w:rPr>
                <w:rFonts w:cs="Calibri"/>
                <w:color w:val="000000"/>
                <w:sz w:val="16"/>
                <w:szCs w:val="16"/>
              </w:rPr>
              <w:t>Whittlesea (C)</w:t>
            </w:r>
          </w:p>
        </w:tc>
        <w:tc>
          <w:tcPr>
            <w:tcW w:w="1170" w:type="dxa"/>
            <w:noWrap/>
            <w:tcMar>
              <w:top w:w="57" w:type="dxa"/>
              <w:left w:w="28" w:type="dxa"/>
              <w:bottom w:w="57" w:type="dxa"/>
              <w:right w:w="28" w:type="dxa"/>
            </w:tcMar>
            <w:vAlign w:val="center"/>
          </w:tcPr>
          <w:p w:rsidR="00033BC8" w:rsidRPr="00D14CE9" w:rsidRDefault="00396EDE" w:rsidP="000B6297">
            <w:pPr>
              <w:jc w:val="center"/>
              <w:rPr>
                <w:sz w:val="16"/>
                <w:szCs w:val="16"/>
              </w:rPr>
            </w:pPr>
            <w:r w:rsidRPr="00D14CE9">
              <w:rPr>
                <w:sz w:val="16"/>
                <w:szCs w:val="16"/>
              </w:rPr>
              <w:t>64.3</w:t>
            </w:r>
          </w:p>
        </w:tc>
        <w:tc>
          <w:tcPr>
            <w:tcW w:w="1350" w:type="dxa"/>
            <w:noWrap/>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45.7</w:t>
            </w:r>
          </w:p>
        </w:tc>
        <w:tc>
          <w:tcPr>
            <w:tcW w:w="1170" w:type="dxa"/>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3.6</w:t>
            </w:r>
          </w:p>
        </w:tc>
        <w:tc>
          <w:tcPr>
            <w:tcW w:w="1260" w:type="dxa"/>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13.8</w:t>
            </w:r>
          </w:p>
        </w:tc>
        <w:tc>
          <w:tcPr>
            <w:tcW w:w="1440" w:type="dxa"/>
            <w:tcMar>
              <w:top w:w="57" w:type="dxa"/>
              <w:left w:w="28" w:type="dxa"/>
              <w:bottom w:w="57" w:type="dxa"/>
              <w:right w:w="28" w:type="dxa"/>
            </w:tcMar>
            <w:vAlign w:val="center"/>
          </w:tcPr>
          <w:p w:rsidR="00033BC8" w:rsidRPr="00D14CE9" w:rsidRDefault="0088136B" w:rsidP="000B6297">
            <w:pPr>
              <w:jc w:val="center"/>
              <w:rPr>
                <w:sz w:val="16"/>
                <w:szCs w:val="16"/>
              </w:rPr>
            </w:pPr>
            <w:r w:rsidRPr="00D14CE9">
              <w:rPr>
                <w:sz w:val="16"/>
                <w:szCs w:val="16"/>
              </w:rPr>
              <w:t>1.2</w:t>
            </w:r>
          </w:p>
        </w:tc>
      </w:tr>
      <w:tr w:rsidR="00033BC8" w:rsidRPr="00D14CE9" w:rsidTr="003637FD">
        <w:trPr>
          <w:trHeight w:val="20"/>
        </w:trPr>
        <w:tc>
          <w:tcPr>
            <w:tcW w:w="612" w:type="dxa"/>
            <w:noWrap/>
            <w:tcMar>
              <w:top w:w="57" w:type="dxa"/>
              <w:left w:w="28" w:type="dxa"/>
              <w:bottom w:w="57" w:type="dxa"/>
              <w:right w:w="28" w:type="dxa"/>
            </w:tcMar>
            <w:vAlign w:val="center"/>
          </w:tcPr>
          <w:p w:rsidR="00033BC8" w:rsidRPr="00D14CE9" w:rsidRDefault="00033BC8" w:rsidP="000B6297">
            <w:pPr>
              <w:pStyle w:val="EYTableNormal"/>
              <w:numPr>
                <w:ilvl w:val="0"/>
                <w:numId w:val="14"/>
              </w:numPr>
              <w:spacing w:after="0"/>
            </w:pPr>
          </w:p>
        </w:tc>
        <w:tc>
          <w:tcPr>
            <w:tcW w:w="2250" w:type="dxa"/>
            <w:noWrap/>
            <w:tcMar>
              <w:top w:w="57" w:type="dxa"/>
              <w:left w:w="28" w:type="dxa"/>
              <w:bottom w:w="57" w:type="dxa"/>
              <w:right w:w="28" w:type="dxa"/>
            </w:tcMar>
            <w:vAlign w:val="center"/>
          </w:tcPr>
          <w:p w:rsidR="00033BC8" w:rsidRPr="00D14CE9" w:rsidRDefault="00033BC8" w:rsidP="000B6297">
            <w:pPr>
              <w:rPr>
                <w:sz w:val="16"/>
                <w:szCs w:val="16"/>
              </w:rPr>
            </w:pPr>
            <w:r w:rsidRPr="00D14CE9">
              <w:rPr>
                <w:rFonts w:cs="Calibri"/>
                <w:color w:val="000000"/>
                <w:sz w:val="16"/>
                <w:szCs w:val="16"/>
              </w:rPr>
              <w:t>Greater Geelong (C)</w:t>
            </w:r>
          </w:p>
        </w:tc>
        <w:tc>
          <w:tcPr>
            <w:tcW w:w="1170" w:type="dxa"/>
            <w:noWrap/>
            <w:tcMar>
              <w:top w:w="57" w:type="dxa"/>
              <w:left w:w="28" w:type="dxa"/>
              <w:bottom w:w="57" w:type="dxa"/>
              <w:right w:w="28" w:type="dxa"/>
            </w:tcMar>
            <w:vAlign w:val="center"/>
          </w:tcPr>
          <w:p w:rsidR="00033BC8" w:rsidRPr="00D14CE9" w:rsidRDefault="00396EDE" w:rsidP="000B6297">
            <w:pPr>
              <w:jc w:val="center"/>
              <w:rPr>
                <w:rFonts w:cs="Calibri"/>
                <w:color w:val="000000"/>
                <w:sz w:val="16"/>
                <w:szCs w:val="16"/>
              </w:rPr>
            </w:pPr>
            <w:r w:rsidRPr="00D14CE9">
              <w:rPr>
                <w:rFonts w:cs="Calibri"/>
                <w:color w:val="000000"/>
                <w:sz w:val="16"/>
                <w:szCs w:val="16"/>
              </w:rPr>
              <w:t>52.6</w:t>
            </w:r>
          </w:p>
        </w:tc>
        <w:tc>
          <w:tcPr>
            <w:tcW w:w="1350" w:type="dxa"/>
            <w:noWrap/>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37.6</w:t>
            </w:r>
          </w:p>
        </w:tc>
        <w:tc>
          <w:tcPr>
            <w:tcW w:w="117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3.1</w:t>
            </w:r>
          </w:p>
        </w:tc>
        <w:tc>
          <w:tcPr>
            <w:tcW w:w="126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10.9</w:t>
            </w:r>
          </w:p>
        </w:tc>
        <w:tc>
          <w:tcPr>
            <w:tcW w:w="144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0.9</w:t>
            </w:r>
          </w:p>
        </w:tc>
      </w:tr>
      <w:tr w:rsidR="00033BC8" w:rsidRPr="00D14CE9" w:rsidTr="003637FD">
        <w:trPr>
          <w:trHeight w:val="20"/>
        </w:trPr>
        <w:tc>
          <w:tcPr>
            <w:tcW w:w="612" w:type="dxa"/>
            <w:noWrap/>
            <w:tcMar>
              <w:top w:w="57" w:type="dxa"/>
              <w:left w:w="28" w:type="dxa"/>
              <w:bottom w:w="57" w:type="dxa"/>
              <w:right w:w="28" w:type="dxa"/>
            </w:tcMar>
            <w:vAlign w:val="center"/>
          </w:tcPr>
          <w:p w:rsidR="00033BC8" w:rsidRPr="00D14CE9" w:rsidRDefault="00033BC8" w:rsidP="000B6297">
            <w:pPr>
              <w:pStyle w:val="EYTableNormal"/>
              <w:numPr>
                <w:ilvl w:val="0"/>
                <w:numId w:val="14"/>
              </w:numPr>
              <w:spacing w:after="0"/>
            </w:pPr>
          </w:p>
        </w:tc>
        <w:tc>
          <w:tcPr>
            <w:tcW w:w="2250" w:type="dxa"/>
            <w:noWrap/>
            <w:tcMar>
              <w:top w:w="57" w:type="dxa"/>
              <w:left w:w="28" w:type="dxa"/>
              <w:bottom w:w="57" w:type="dxa"/>
              <w:right w:w="28" w:type="dxa"/>
            </w:tcMar>
            <w:vAlign w:val="center"/>
          </w:tcPr>
          <w:p w:rsidR="00033BC8" w:rsidRPr="00D14CE9" w:rsidRDefault="00033BC8" w:rsidP="000B6297">
            <w:pPr>
              <w:rPr>
                <w:sz w:val="16"/>
                <w:szCs w:val="16"/>
              </w:rPr>
            </w:pPr>
            <w:r w:rsidRPr="00D14CE9">
              <w:rPr>
                <w:rFonts w:cs="Calibri"/>
                <w:color w:val="000000"/>
                <w:sz w:val="16"/>
                <w:szCs w:val="16"/>
              </w:rPr>
              <w:t>Greater Dandenong (C)</w:t>
            </w:r>
          </w:p>
        </w:tc>
        <w:tc>
          <w:tcPr>
            <w:tcW w:w="1170" w:type="dxa"/>
            <w:noWrap/>
            <w:tcMar>
              <w:top w:w="57" w:type="dxa"/>
              <w:left w:w="28" w:type="dxa"/>
              <w:bottom w:w="57" w:type="dxa"/>
              <w:right w:w="28" w:type="dxa"/>
            </w:tcMar>
            <w:vAlign w:val="center"/>
          </w:tcPr>
          <w:p w:rsidR="00033BC8" w:rsidRPr="00D14CE9" w:rsidRDefault="00396EDE" w:rsidP="000B6297">
            <w:pPr>
              <w:jc w:val="center"/>
              <w:rPr>
                <w:rFonts w:cs="Calibri"/>
                <w:color w:val="000000"/>
                <w:sz w:val="16"/>
                <w:szCs w:val="16"/>
              </w:rPr>
            </w:pPr>
            <w:r w:rsidRPr="00D14CE9">
              <w:rPr>
                <w:rFonts w:cs="Calibri"/>
                <w:color w:val="000000"/>
                <w:sz w:val="16"/>
                <w:szCs w:val="16"/>
              </w:rPr>
              <w:t>43.9</w:t>
            </w:r>
          </w:p>
        </w:tc>
        <w:tc>
          <w:tcPr>
            <w:tcW w:w="1350" w:type="dxa"/>
            <w:noWrap/>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31.0</w:t>
            </w:r>
          </w:p>
        </w:tc>
        <w:tc>
          <w:tcPr>
            <w:tcW w:w="117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2.6</w:t>
            </w:r>
          </w:p>
        </w:tc>
        <w:tc>
          <w:tcPr>
            <w:tcW w:w="126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9.4</w:t>
            </w:r>
          </w:p>
        </w:tc>
        <w:tc>
          <w:tcPr>
            <w:tcW w:w="144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0.9</w:t>
            </w:r>
          </w:p>
        </w:tc>
      </w:tr>
      <w:tr w:rsidR="00033BC8" w:rsidRPr="00D14CE9" w:rsidTr="003637FD">
        <w:trPr>
          <w:trHeight w:val="20"/>
        </w:trPr>
        <w:tc>
          <w:tcPr>
            <w:tcW w:w="612" w:type="dxa"/>
            <w:noWrap/>
            <w:tcMar>
              <w:top w:w="57" w:type="dxa"/>
              <w:left w:w="28" w:type="dxa"/>
              <w:bottom w:w="57" w:type="dxa"/>
              <w:right w:w="28" w:type="dxa"/>
            </w:tcMar>
            <w:vAlign w:val="center"/>
          </w:tcPr>
          <w:p w:rsidR="00033BC8" w:rsidRPr="00D14CE9" w:rsidRDefault="00033BC8" w:rsidP="000B6297">
            <w:pPr>
              <w:pStyle w:val="EYTableNormal"/>
              <w:numPr>
                <w:ilvl w:val="0"/>
                <w:numId w:val="14"/>
              </w:numPr>
              <w:spacing w:after="0"/>
            </w:pPr>
          </w:p>
        </w:tc>
        <w:tc>
          <w:tcPr>
            <w:tcW w:w="2250" w:type="dxa"/>
            <w:noWrap/>
            <w:tcMar>
              <w:top w:w="57" w:type="dxa"/>
              <w:left w:w="28" w:type="dxa"/>
              <w:bottom w:w="57" w:type="dxa"/>
              <w:right w:w="28" w:type="dxa"/>
            </w:tcMar>
            <w:vAlign w:val="center"/>
          </w:tcPr>
          <w:p w:rsidR="00033BC8" w:rsidRPr="00D14CE9" w:rsidRDefault="00033BC8" w:rsidP="000B6297">
            <w:pPr>
              <w:rPr>
                <w:sz w:val="16"/>
                <w:szCs w:val="16"/>
              </w:rPr>
            </w:pPr>
            <w:r w:rsidRPr="00D14CE9">
              <w:rPr>
                <w:rFonts w:cs="Calibri"/>
                <w:color w:val="000000"/>
                <w:sz w:val="16"/>
                <w:szCs w:val="16"/>
              </w:rPr>
              <w:t>Moreland (C)</w:t>
            </w:r>
          </w:p>
        </w:tc>
        <w:tc>
          <w:tcPr>
            <w:tcW w:w="1170" w:type="dxa"/>
            <w:noWrap/>
            <w:tcMar>
              <w:top w:w="57" w:type="dxa"/>
              <w:left w:w="28" w:type="dxa"/>
              <w:bottom w:w="57" w:type="dxa"/>
              <w:right w:w="28" w:type="dxa"/>
            </w:tcMar>
            <w:vAlign w:val="center"/>
          </w:tcPr>
          <w:p w:rsidR="00033BC8" w:rsidRPr="00D14CE9" w:rsidRDefault="00396EDE" w:rsidP="000B6297">
            <w:pPr>
              <w:jc w:val="center"/>
              <w:rPr>
                <w:rFonts w:cs="Calibri"/>
                <w:color w:val="000000"/>
                <w:sz w:val="16"/>
                <w:szCs w:val="16"/>
              </w:rPr>
            </w:pPr>
            <w:r w:rsidRPr="00D14CE9">
              <w:rPr>
                <w:rFonts w:cs="Calibri"/>
                <w:color w:val="000000"/>
                <w:sz w:val="16"/>
                <w:szCs w:val="16"/>
              </w:rPr>
              <w:t>41.4</w:t>
            </w:r>
          </w:p>
        </w:tc>
        <w:tc>
          <w:tcPr>
            <w:tcW w:w="1350" w:type="dxa"/>
            <w:noWrap/>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29.6</w:t>
            </w:r>
          </w:p>
        </w:tc>
        <w:tc>
          <w:tcPr>
            <w:tcW w:w="117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2.3</w:t>
            </w:r>
          </w:p>
        </w:tc>
        <w:tc>
          <w:tcPr>
            <w:tcW w:w="126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8.7</w:t>
            </w:r>
          </w:p>
        </w:tc>
        <w:tc>
          <w:tcPr>
            <w:tcW w:w="1440" w:type="dxa"/>
            <w:tcMar>
              <w:top w:w="57" w:type="dxa"/>
              <w:left w:w="28" w:type="dxa"/>
              <w:bottom w:w="57" w:type="dxa"/>
              <w:right w:w="28" w:type="dxa"/>
            </w:tcMar>
            <w:vAlign w:val="center"/>
          </w:tcPr>
          <w:p w:rsidR="00033BC8" w:rsidRPr="00D14CE9" w:rsidRDefault="00D861E4" w:rsidP="000B6297">
            <w:pPr>
              <w:jc w:val="center"/>
              <w:rPr>
                <w:rFonts w:cs="Calibri"/>
                <w:color w:val="000000"/>
                <w:sz w:val="16"/>
                <w:szCs w:val="16"/>
              </w:rPr>
            </w:pPr>
            <w:r w:rsidRPr="00D14CE9">
              <w:rPr>
                <w:rFonts w:cs="Calibri"/>
                <w:color w:val="000000"/>
                <w:sz w:val="16"/>
                <w:szCs w:val="16"/>
              </w:rPr>
              <w:t>0.8</w:t>
            </w:r>
          </w:p>
        </w:tc>
      </w:tr>
      <w:tr w:rsidR="00033BC8" w:rsidRPr="00D14CE9" w:rsidTr="003637FD">
        <w:trPr>
          <w:trHeight w:val="20"/>
        </w:trPr>
        <w:tc>
          <w:tcPr>
            <w:tcW w:w="612" w:type="dxa"/>
            <w:noWrap/>
            <w:tcMar>
              <w:top w:w="57" w:type="dxa"/>
              <w:left w:w="28" w:type="dxa"/>
              <w:bottom w:w="57" w:type="dxa"/>
              <w:right w:w="28" w:type="dxa"/>
            </w:tcMar>
            <w:vAlign w:val="center"/>
          </w:tcPr>
          <w:p w:rsidR="00033BC8" w:rsidRPr="00D14CE9" w:rsidRDefault="00033BC8" w:rsidP="000B6297">
            <w:pPr>
              <w:pStyle w:val="EYTableNormal"/>
              <w:numPr>
                <w:ilvl w:val="0"/>
                <w:numId w:val="14"/>
              </w:numPr>
              <w:spacing w:after="0"/>
            </w:pPr>
          </w:p>
        </w:tc>
        <w:tc>
          <w:tcPr>
            <w:tcW w:w="2250" w:type="dxa"/>
            <w:noWrap/>
            <w:tcMar>
              <w:top w:w="57" w:type="dxa"/>
              <w:left w:w="28" w:type="dxa"/>
              <w:bottom w:w="57" w:type="dxa"/>
              <w:right w:w="28" w:type="dxa"/>
            </w:tcMar>
            <w:vAlign w:val="center"/>
          </w:tcPr>
          <w:p w:rsidR="00033BC8" w:rsidRPr="00D14CE9" w:rsidRDefault="00033BC8" w:rsidP="000B6297">
            <w:pPr>
              <w:rPr>
                <w:sz w:val="16"/>
                <w:szCs w:val="16"/>
              </w:rPr>
            </w:pPr>
            <w:r w:rsidRPr="00D14CE9">
              <w:rPr>
                <w:rFonts w:cs="Calibri"/>
                <w:color w:val="000000"/>
                <w:sz w:val="16"/>
                <w:szCs w:val="16"/>
              </w:rPr>
              <w:t>Cardinia (S)</w:t>
            </w:r>
          </w:p>
        </w:tc>
        <w:tc>
          <w:tcPr>
            <w:tcW w:w="1170" w:type="dxa"/>
            <w:noWrap/>
            <w:tcMar>
              <w:top w:w="57" w:type="dxa"/>
              <w:left w:w="28" w:type="dxa"/>
              <w:bottom w:w="57" w:type="dxa"/>
              <w:right w:w="28" w:type="dxa"/>
            </w:tcMar>
            <w:vAlign w:val="center"/>
          </w:tcPr>
          <w:p w:rsidR="00033BC8" w:rsidRPr="00D14CE9" w:rsidRDefault="00396EDE" w:rsidP="000B6297">
            <w:pPr>
              <w:jc w:val="center"/>
              <w:rPr>
                <w:rFonts w:cs="Calibri"/>
                <w:color w:val="000000"/>
                <w:sz w:val="16"/>
                <w:szCs w:val="16"/>
              </w:rPr>
            </w:pPr>
            <w:r w:rsidRPr="00D14CE9">
              <w:rPr>
                <w:rFonts w:cs="Calibri"/>
                <w:color w:val="000000"/>
                <w:sz w:val="16"/>
                <w:szCs w:val="16"/>
              </w:rPr>
              <w:t>36.0</w:t>
            </w:r>
          </w:p>
        </w:tc>
        <w:tc>
          <w:tcPr>
            <w:tcW w:w="1350" w:type="dxa"/>
            <w:noWrap/>
            <w:tcMar>
              <w:top w:w="57" w:type="dxa"/>
              <w:left w:w="28" w:type="dxa"/>
              <w:bottom w:w="57" w:type="dxa"/>
              <w:right w:w="28" w:type="dxa"/>
            </w:tcMar>
            <w:vAlign w:val="center"/>
          </w:tcPr>
          <w:p w:rsidR="00033BC8" w:rsidRPr="00D14CE9" w:rsidRDefault="00783C89" w:rsidP="000B6297">
            <w:pPr>
              <w:jc w:val="center"/>
              <w:rPr>
                <w:rFonts w:cs="Calibri"/>
                <w:color w:val="000000"/>
                <w:sz w:val="16"/>
                <w:szCs w:val="16"/>
              </w:rPr>
            </w:pPr>
            <w:r w:rsidRPr="00D14CE9">
              <w:rPr>
                <w:rFonts w:cs="Calibri"/>
                <w:color w:val="000000"/>
                <w:sz w:val="16"/>
                <w:szCs w:val="16"/>
              </w:rPr>
              <w:t>25.6</w:t>
            </w:r>
          </w:p>
        </w:tc>
        <w:tc>
          <w:tcPr>
            <w:tcW w:w="1170" w:type="dxa"/>
            <w:tcMar>
              <w:top w:w="57" w:type="dxa"/>
              <w:left w:w="28" w:type="dxa"/>
              <w:bottom w:w="57" w:type="dxa"/>
              <w:right w:w="28" w:type="dxa"/>
            </w:tcMar>
            <w:vAlign w:val="center"/>
          </w:tcPr>
          <w:p w:rsidR="00033BC8" w:rsidRPr="00D14CE9" w:rsidRDefault="00783C89" w:rsidP="000B6297">
            <w:pPr>
              <w:jc w:val="center"/>
              <w:rPr>
                <w:rFonts w:cs="Calibri"/>
                <w:color w:val="000000"/>
                <w:sz w:val="16"/>
                <w:szCs w:val="16"/>
              </w:rPr>
            </w:pPr>
            <w:r w:rsidRPr="00D14CE9">
              <w:rPr>
                <w:rFonts w:cs="Calibri"/>
                <w:color w:val="000000"/>
                <w:sz w:val="16"/>
                <w:szCs w:val="16"/>
              </w:rPr>
              <w:t>1.9</w:t>
            </w:r>
          </w:p>
        </w:tc>
        <w:tc>
          <w:tcPr>
            <w:tcW w:w="1260" w:type="dxa"/>
            <w:tcMar>
              <w:top w:w="57" w:type="dxa"/>
              <w:left w:w="28" w:type="dxa"/>
              <w:bottom w:w="57" w:type="dxa"/>
              <w:right w:w="28" w:type="dxa"/>
            </w:tcMar>
            <w:vAlign w:val="center"/>
          </w:tcPr>
          <w:p w:rsidR="00033BC8" w:rsidRPr="00D14CE9" w:rsidRDefault="00783C89" w:rsidP="000B6297">
            <w:pPr>
              <w:jc w:val="center"/>
              <w:rPr>
                <w:rFonts w:cs="Calibri"/>
                <w:color w:val="000000"/>
                <w:sz w:val="16"/>
                <w:szCs w:val="16"/>
              </w:rPr>
            </w:pPr>
            <w:r w:rsidRPr="00D14CE9">
              <w:rPr>
                <w:rFonts w:cs="Calibri"/>
                <w:color w:val="000000"/>
                <w:sz w:val="16"/>
                <w:szCs w:val="16"/>
              </w:rPr>
              <w:t>7.7</w:t>
            </w:r>
          </w:p>
        </w:tc>
        <w:tc>
          <w:tcPr>
            <w:tcW w:w="1440" w:type="dxa"/>
            <w:tcMar>
              <w:top w:w="57" w:type="dxa"/>
              <w:left w:w="28" w:type="dxa"/>
              <w:bottom w:w="57" w:type="dxa"/>
              <w:right w:w="28" w:type="dxa"/>
            </w:tcMar>
            <w:vAlign w:val="center"/>
          </w:tcPr>
          <w:p w:rsidR="00033BC8" w:rsidRPr="00D14CE9" w:rsidRDefault="00783C89" w:rsidP="000B6297">
            <w:pPr>
              <w:jc w:val="center"/>
              <w:rPr>
                <w:rFonts w:cs="Calibri"/>
                <w:color w:val="000000"/>
                <w:sz w:val="16"/>
                <w:szCs w:val="16"/>
              </w:rPr>
            </w:pPr>
            <w:r w:rsidRPr="00D14CE9">
              <w:rPr>
                <w:rFonts w:cs="Calibri"/>
                <w:color w:val="000000"/>
                <w:sz w:val="16"/>
                <w:szCs w:val="16"/>
              </w:rPr>
              <w:t>0.8</w:t>
            </w:r>
          </w:p>
        </w:tc>
      </w:tr>
    </w:tbl>
    <w:p w:rsidR="00714DD7" w:rsidRPr="00D14CE9" w:rsidRDefault="00714DD7" w:rsidP="00C15F5A">
      <w:pPr>
        <w:pStyle w:val="EYSource"/>
        <w:rPr>
          <w:lang w:val="en-AU"/>
        </w:rPr>
      </w:pPr>
      <w:r w:rsidRPr="00D14CE9">
        <w:rPr>
          <w:lang w:val="en-AU"/>
        </w:rPr>
        <w:t>Source: EY analysis</w:t>
      </w:r>
    </w:p>
    <w:p w:rsidR="00714DD7" w:rsidRPr="00D14CE9" w:rsidRDefault="00714DD7" w:rsidP="00C200D0"/>
    <w:p w:rsidR="007513A5" w:rsidRPr="00AB2F47" w:rsidRDefault="007513A5" w:rsidP="003637FD">
      <w:r>
        <w:br w:type="page"/>
      </w:r>
    </w:p>
    <w:p w:rsidR="00714DD7" w:rsidRPr="00D14CE9" w:rsidRDefault="00714DD7" w:rsidP="00C9521C">
      <w:pPr>
        <w:pStyle w:val="EYHeading2"/>
      </w:pPr>
      <w:bookmarkStart w:id="555" w:name="_Toc451847085"/>
      <w:r w:rsidRPr="00D14CE9">
        <w:lastRenderedPageBreak/>
        <w:t xml:space="preserve">Validation of </w:t>
      </w:r>
      <w:r w:rsidR="00B3690C" w:rsidRPr="00D14CE9">
        <w:t>results</w:t>
      </w:r>
      <w:bookmarkEnd w:id="555"/>
    </w:p>
    <w:p w:rsidR="00714DD7" w:rsidRPr="00D14CE9" w:rsidRDefault="00714DD7" w:rsidP="00C200D0">
      <w:pPr>
        <w:pStyle w:val="EYBodytextwithparaspace"/>
        <w:rPr>
          <w:rFonts w:cstheme="majorHAnsi"/>
          <w:szCs w:val="20"/>
          <w:lang w:val="en-AU"/>
        </w:rPr>
      </w:pPr>
      <w:r w:rsidRPr="00D14CE9">
        <w:rPr>
          <w:rFonts w:cstheme="majorHAnsi"/>
          <w:szCs w:val="20"/>
          <w:lang w:val="en-AU"/>
        </w:rPr>
        <w:t>Tailored using key technical inputs provided by AECOM, the macro-economic driven model:</w:t>
      </w:r>
    </w:p>
    <w:p w:rsidR="00714DD7" w:rsidRPr="00D14CE9" w:rsidRDefault="00714DD7" w:rsidP="00C200D0">
      <w:pPr>
        <w:pStyle w:val="EYBulletedList1"/>
        <w:spacing w:after="120"/>
        <w:rPr>
          <w:rFonts w:cstheme="majorHAnsi"/>
          <w:szCs w:val="20"/>
          <w:lang w:val="en-AU"/>
        </w:rPr>
      </w:pPr>
      <w:r w:rsidRPr="00D14CE9">
        <w:rPr>
          <w:rFonts w:cstheme="majorHAnsi"/>
          <w:szCs w:val="20"/>
          <w:lang w:val="en-AU"/>
        </w:rPr>
        <w:t>►Provides a robust long term forecast of the total demand for extractive resources required to service the construction sectors as it is based on historic relationships across activity levels and resource use.</w:t>
      </w:r>
    </w:p>
    <w:p w:rsidR="00714DD7" w:rsidRPr="00D14CE9" w:rsidRDefault="00714DD7" w:rsidP="00C200D0">
      <w:pPr>
        <w:pStyle w:val="EYBulletedList1"/>
        <w:spacing w:after="120"/>
        <w:rPr>
          <w:rFonts w:cstheme="majorHAnsi"/>
          <w:szCs w:val="20"/>
          <w:lang w:val="en-AU"/>
        </w:rPr>
      </w:pPr>
      <w:r w:rsidRPr="00D14CE9">
        <w:rPr>
          <w:rFonts w:cstheme="majorHAnsi"/>
          <w:szCs w:val="20"/>
          <w:lang w:val="en-AU"/>
        </w:rPr>
        <w:t>Provides a good spatial coverage using relevant demand drivers (i.e. population, employment, infrastructure profiles)</w:t>
      </w:r>
      <w:r w:rsidR="003A1D14">
        <w:rPr>
          <w:rFonts w:cstheme="majorHAnsi"/>
          <w:szCs w:val="20"/>
          <w:lang w:val="en-AU"/>
        </w:rPr>
        <w:t>.</w:t>
      </w:r>
    </w:p>
    <w:p w:rsidR="00714DD7" w:rsidRPr="00D14CE9" w:rsidRDefault="00714DD7" w:rsidP="00C200D0">
      <w:pPr>
        <w:pStyle w:val="EYBulletedList1"/>
        <w:spacing w:after="120"/>
        <w:rPr>
          <w:rFonts w:cstheme="majorHAnsi"/>
          <w:szCs w:val="20"/>
          <w:lang w:val="en-AU"/>
        </w:rPr>
      </w:pPr>
      <w:r w:rsidRPr="00D14CE9">
        <w:rPr>
          <w:rFonts w:cstheme="majorHAnsi"/>
          <w:szCs w:val="20"/>
          <w:lang w:val="en-AU"/>
        </w:rPr>
        <w:t xml:space="preserve">Is well informed by industry assumptions that link construction types with resources use at a high level. </w:t>
      </w:r>
    </w:p>
    <w:p w:rsidR="00714DD7" w:rsidRPr="00D14CE9" w:rsidRDefault="00714DD7" w:rsidP="00C9521C">
      <w:pPr>
        <w:pStyle w:val="EYBulletedList1"/>
        <w:spacing w:after="240"/>
        <w:rPr>
          <w:rFonts w:cstheme="majorHAnsi"/>
          <w:szCs w:val="20"/>
          <w:lang w:val="en-AU"/>
        </w:rPr>
      </w:pPr>
      <w:r w:rsidRPr="00D14CE9">
        <w:rPr>
          <w:rFonts w:cstheme="majorHAnsi"/>
          <w:szCs w:val="20"/>
          <w:lang w:val="en-AU"/>
        </w:rPr>
        <w:t>Captures regional variations in relation to the availability of specific types of rocks.</w:t>
      </w:r>
    </w:p>
    <w:p w:rsidR="005978C4" w:rsidRPr="00D14CE9" w:rsidRDefault="00DA60A8" w:rsidP="00DA60A8">
      <w:pPr>
        <w:pStyle w:val="EYBodytextwithparaspace"/>
        <w:rPr>
          <w:lang w:val="en-AU"/>
        </w:rPr>
      </w:pPr>
      <w:r w:rsidRPr="00D14CE9">
        <w:rPr>
          <w:rFonts w:cstheme="majorHAnsi"/>
          <w:szCs w:val="20"/>
          <w:lang w:val="en-AU"/>
        </w:rPr>
        <w:t>A further detailed industry analysis</w:t>
      </w:r>
      <w:r w:rsidR="005978C4" w:rsidRPr="00D14CE9">
        <w:rPr>
          <w:rFonts w:cstheme="majorHAnsi"/>
          <w:szCs w:val="20"/>
          <w:lang w:val="en-AU"/>
        </w:rPr>
        <w:t>, through the development of detailed industry models</w:t>
      </w:r>
      <w:r w:rsidRPr="00D14CE9">
        <w:rPr>
          <w:rFonts w:cstheme="majorHAnsi"/>
          <w:szCs w:val="20"/>
          <w:lang w:val="en-AU"/>
        </w:rPr>
        <w:t xml:space="preserve">, was </w:t>
      </w:r>
      <w:r w:rsidR="005978C4" w:rsidRPr="00D14CE9">
        <w:rPr>
          <w:rFonts w:cstheme="majorHAnsi"/>
          <w:szCs w:val="20"/>
          <w:lang w:val="en-AU"/>
        </w:rPr>
        <w:t xml:space="preserve">also </w:t>
      </w:r>
      <w:r w:rsidRPr="00D14CE9">
        <w:rPr>
          <w:rFonts w:cstheme="majorHAnsi"/>
          <w:szCs w:val="20"/>
          <w:lang w:val="en-AU"/>
        </w:rPr>
        <w:t xml:space="preserve">undertaken to validate </w:t>
      </w:r>
      <w:r w:rsidR="005978C4" w:rsidRPr="00D14CE9">
        <w:rPr>
          <w:rFonts w:cstheme="majorHAnsi"/>
          <w:szCs w:val="20"/>
          <w:lang w:val="en-AU"/>
        </w:rPr>
        <w:t xml:space="preserve">our projections. </w:t>
      </w:r>
    </w:p>
    <w:p w:rsidR="00DA60A8" w:rsidRPr="00D14CE9" w:rsidRDefault="00DA60A8" w:rsidP="00DA60A8">
      <w:pPr>
        <w:pStyle w:val="EYBodytextwithparaspace"/>
        <w:rPr>
          <w:lang w:val="en-AU"/>
        </w:rPr>
      </w:pPr>
      <w:r w:rsidRPr="00D14CE9">
        <w:rPr>
          <w:lang w:val="en-AU"/>
        </w:rPr>
        <w:t xml:space="preserve">The detailed industry analysis specifically consisted of developing a forecast based on </w:t>
      </w:r>
      <w:r w:rsidR="00426EC8" w:rsidRPr="00D14CE9">
        <w:rPr>
          <w:lang w:val="en-AU"/>
        </w:rPr>
        <w:t>our</w:t>
      </w:r>
      <w:r w:rsidRPr="00D14CE9">
        <w:rPr>
          <w:lang w:val="en-AU"/>
        </w:rPr>
        <w:t xml:space="preserve"> projections of the numbers of buildings and infrastructure projects expected to be built by the public and private sectors across Victoria (subject to available data in the public domain) and the conversion metrics provided by the DEDJTR technical advisor (AECOM) for each of those construction types, allowing to first identify the extractive resources used for each construction type, whether directly or through the manufacturing of commodity products, and then to calculate the quantity, in tonnes, of extractive resources required by construction type. The analysis consisted of developing a forecast for the following construction activities:</w:t>
      </w:r>
    </w:p>
    <w:p w:rsidR="00714DD7" w:rsidRPr="00D14CE9" w:rsidRDefault="00714DD7" w:rsidP="00C200D0">
      <w:pPr>
        <w:pStyle w:val="EYBulletedList1"/>
        <w:spacing w:after="120"/>
        <w:rPr>
          <w:rFonts w:cstheme="majorHAnsi"/>
          <w:szCs w:val="20"/>
          <w:lang w:val="en-AU"/>
        </w:rPr>
      </w:pPr>
      <w:r w:rsidRPr="00D14CE9">
        <w:rPr>
          <w:rFonts w:cstheme="majorHAnsi"/>
          <w:szCs w:val="20"/>
          <w:lang w:val="en-AU"/>
        </w:rPr>
        <w:t xml:space="preserve">Residential </w:t>
      </w:r>
      <w:r w:rsidR="00426EC8" w:rsidRPr="00D14CE9">
        <w:rPr>
          <w:rFonts w:cstheme="majorHAnsi"/>
          <w:szCs w:val="20"/>
          <w:lang w:val="en-AU"/>
        </w:rPr>
        <w:t>activity</w:t>
      </w:r>
      <w:r w:rsidRPr="00D14CE9">
        <w:rPr>
          <w:rFonts w:cstheme="majorHAnsi"/>
          <w:szCs w:val="20"/>
          <w:lang w:val="en-AU"/>
        </w:rPr>
        <w:t>: the number of separate houses, townhouses, apartments in up to three storey buildings and apartments in more than three storeys buildings has been projected over the period of analysis, using population projections and key assumptions in relation to household sizes and accordingly required types of dwellings, per LGA.</w:t>
      </w:r>
    </w:p>
    <w:p w:rsidR="00714DD7" w:rsidRPr="00D14CE9" w:rsidRDefault="00714DD7" w:rsidP="00C200D0">
      <w:pPr>
        <w:pStyle w:val="EYBulletedList1"/>
        <w:spacing w:after="120"/>
        <w:rPr>
          <w:rFonts w:cstheme="majorHAnsi"/>
          <w:szCs w:val="20"/>
          <w:lang w:val="en-AU"/>
        </w:rPr>
      </w:pPr>
      <w:r w:rsidRPr="00D14CE9">
        <w:rPr>
          <w:rFonts w:cstheme="majorHAnsi"/>
          <w:szCs w:val="20"/>
          <w:lang w:val="en-AU"/>
        </w:rPr>
        <w:t xml:space="preserve">Non-residential </w:t>
      </w:r>
      <w:r w:rsidR="00426EC8" w:rsidRPr="00D14CE9">
        <w:rPr>
          <w:rFonts w:cstheme="majorHAnsi"/>
          <w:szCs w:val="20"/>
          <w:lang w:val="en-AU"/>
        </w:rPr>
        <w:t>activity</w:t>
      </w:r>
      <w:r w:rsidRPr="00D14CE9">
        <w:rPr>
          <w:rFonts w:cstheme="majorHAnsi"/>
          <w:szCs w:val="20"/>
          <w:lang w:val="en-AU"/>
        </w:rPr>
        <w:t xml:space="preserve">:  the number of new jobs expected to be created over the period of analysis has been projected and a relationship identified between the number of new jobs and the number of new buildings to be constructed, therefore allowing to forecast the number of commercial, industrial and retail buildings required to be built in accordance with the projections of retail, industrial and commercial jobs over the period. </w:t>
      </w:r>
    </w:p>
    <w:p w:rsidR="00714DD7" w:rsidRPr="00D14CE9" w:rsidRDefault="00714DD7" w:rsidP="00C200D0">
      <w:pPr>
        <w:pStyle w:val="EYBulletedList1"/>
        <w:spacing w:after="120"/>
        <w:rPr>
          <w:rFonts w:cstheme="majorHAnsi"/>
          <w:szCs w:val="20"/>
          <w:lang w:val="en-AU"/>
        </w:rPr>
      </w:pPr>
      <w:r w:rsidRPr="00D14CE9">
        <w:rPr>
          <w:rFonts w:cstheme="majorHAnsi"/>
          <w:szCs w:val="20"/>
          <w:lang w:val="en-AU"/>
        </w:rPr>
        <w:t>Transport</w:t>
      </w:r>
      <w:r w:rsidR="00426EC8" w:rsidRPr="00D14CE9">
        <w:rPr>
          <w:rFonts w:cstheme="majorHAnsi"/>
          <w:szCs w:val="20"/>
          <w:lang w:val="en-AU"/>
        </w:rPr>
        <w:t xml:space="preserve"> activity</w:t>
      </w:r>
      <w:r w:rsidRPr="00D14CE9">
        <w:rPr>
          <w:rFonts w:cstheme="majorHAnsi"/>
          <w:szCs w:val="20"/>
          <w:lang w:val="en-AU"/>
        </w:rPr>
        <w:t xml:space="preserve">: </w:t>
      </w:r>
    </w:p>
    <w:p w:rsidR="00714DD7" w:rsidRPr="00D14CE9" w:rsidRDefault="00714DD7" w:rsidP="00C200D0">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Future transport major projects, with extraction implications, were identified and their requirements in terms of extractive resources assessed.</w:t>
      </w:r>
    </w:p>
    <w:p w:rsidR="00714DD7" w:rsidRPr="00D14CE9" w:rsidRDefault="00714DD7" w:rsidP="00C200D0">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VicRoads’ network expansions over the period, as well as VicRoads’ maintenance and rehabilitation requirements, with extractive implications, have been forecast, relying on information provided by VicRoads through the stakeholders’ consultation.</w:t>
      </w:r>
    </w:p>
    <w:p w:rsidR="00714DD7" w:rsidRPr="00D14CE9" w:rsidRDefault="00714DD7" w:rsidP="00C200D0">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 xml:space="preserve">Local Councils’ arterial network expansions over the period, as well as those roads’ maintenance and rehabilitation requirements, with extractive implications, have been forecast, relying on information available in the public domain.  </w:t>
      </w:r>
    </w:p>
    <w:p w:rsidR="00714DD7" w:rsidRPr="00D14CE9" w:rsidRDefault="00714DD7" w:rsidP="00C200D0">
      <w:pPr>
        <w:pStyle w:val="EYBulletedList1"/>
        <w:spacing w:after="120"/>
        <w:rPr>
          <w:rFonts w:cstheme="majorHAnsi"/>
          <w:szCs w:val="20"/>
          <w:lang w:val="en-AU"/>
        </w:rPr>
      </w:pPr>
      <w:r w:rsidRPr="00D14CE9">
        <w:rPr>
          <w:rFonts w:cstheme="majorHAnsi"/>
          <w:szCs w:val="20"/>
          <w:lang w:val="en-AU"/>
        </w:rPr>
        <w:t xml:space="preserve">Energy and Utilities development: the number of wind farms has been projected, relying upon information publically available in relation to the wind farm projects approved and subject to an ongoing approval. Limited information available in the public domain, particularly to forecast corresponding construction activity over the period of analysis, prevented a broader </w:t>
      </w:r>
      <w:r w:rsidR="00454E48" w:rsidRPr="00D14CE9">
        <w:rPr>
          <w:rFonts w:cstheme="majorHAnsi"/>
          <w:szCs w:val="20"/>
          <w:lang w:val="en-AU"/>
        </w:rPr>
        <w:t xml:space="preserve">and more </w:t>
      </w:r>
      <w:r w:rsidR="00B302CD" w:rsidRPr="00D14CE9">
        <w:rPr>
          <w:rFonts w:cstheme="majorHAnsi"/>
          <w:szCs w:val="20"/>
          <w:lang w:val="en-AU"/>
        </w:rPr>
        <w:t>detailed industry</w:t>
      </w:r>
      <w:r w:rsidRPr="00D14CE9">
        <w:rPr>
          <w:rFonts w:cstheme="majorHAnsi"/>
          <w:szCs w:val="20"/>
          <w:lang w:val="en-AU"/>
        </w:rPr>
        <w:t xml:space="preserve"> assessment of the construction of energy and utilities related infrastructures.</w:t>
      </w:r>
    </w:p>
    <w:p w:rsidR="00714DD7" w:rsidRPr="00D14CE9" w:rsidRDefault="00714DD7" w:rsidP="00C200D0">
      <w:pPr>
        <w:pStyle w:val="EYBodytextwithparaspace"/>
        <w:rPr>
          <w:rFonts w:cstheme="majorHAnsi"/>
          <w:szCs w:val="20"/>
          <w:lang w:val="en-AU"/>
        </w:rPr>
      </w:pPr>
      <w:r w:rsidRPr="00D14CE9">
        <w:rPr>
          <w:rFonts w:cstheme="majorHAnsi"/>
          <w:szCs w:val="20"/>
          <w:lang w:val="en-AU"/>
        </w:rPr>
        <w:t xml:space="preserve">All assumptions considered to develop the </w:t>
      </w:r>
      <w:r w:rsidR="00B302CD" w:rsidRPr="00D14CE9">
        <w:rPr>
          <w:rFonts w:cstheme="majorHAnsi"/>
          <w:szCs w:val="20"/>
          <w:lang w:val="en-AU"/>
        </w:rPr>
        <w:t xml:space="preserve">detailed industry </w:t>
      </w:r>
      <w:r w:rsidR="005978C4" w:rsidRPr="00D14CE9">
        <w:rPr>
          <w:rFonts w:cstheme="majorHAnsi"/>
          <w:szCs w:val="20"/>
          <w:lang w:val="en-AU"/>
        </w:rPr>
        <w:t>models</w:t>
      </w:r>
      <w:r w:rsidRPr="00D14CE9">
        <w:rPr>
          <w:rFonts w:cstheme="majorHAnsi"/>
          <w:szCs w:val="20"/>
          <w:lang w:val="en-AU"/>
        </w:rPr>
        <w:t xml:space="preserve"> are provided in the </w:t>
      </w:r>
      <w:r w:rsidRPr="00474B05">
        <w:rPr>
          <w:rFonts w:cstheme="majorHAnsi"/>
          <w:szCs w:val="20"/>
          <w:lang w:val="en-AU"/>
        </w:rPr>
        <w:fldChar w:fldCharType="begin" w:fldLock="1"/>
      </w:r>
      <w:r w:rsidRPr="00D14CE9">
        <w:rPr>
          <w:rFonts w:cstheme="majorHAnsi"/>
          <w:szCs w:val="20"/>
          <w:lang w:val="en-AU"/>
        </w:rPr>
        <w:instrText xml:space="preserve"> REF _Ref441133802 \r \h </w:instrText>
      </w:r>
      <w:r w:rsidR="004D1212" w:rsidRPr="00D14CE9">
        <w:rPr>
          <w:rFonts w:cstheme="majorHAnsi"/>
          <w:szCs w:val="20"/>
          <w:lang w:val="en-AU"/>
        </w:rPr>
        <w:instrText xml:space="preserve"> \* MERGEFORMAT </w:instrText>
      </w:r>
      <w:r w:rsidRPr="00474B05">
        <w:rPr>
          <w:rFonts w:cstheme="majorHAnsi"/>
          <w:szCs w:val="20"/>
          <w:lang w:val="en-AU"/>
        </w:rPr>
      </w:r>
      <w:r w:rsidRPr="00474B05">
        <w:rPr>
          <w:rFonts w:cstheme="majorHAnsi"/>
          <w:szCs w:val="20"/>
          <w:lang w:val="en-AU"/>
        </w:rPr>
        <w:fldChar w:fldCharType="separate"/>
      </w:r>
      <w:r w:rsidR="00895089">
        <w:rPr>
          <w:rFonts w:cstheme="majorHAnsi"/>
          <w:szCs w:val="20"/>
          <w:lang w:val="en-AU"/>
        </w:rPr>
        <w:t>Appendix C</w:t>
      </w:r>
      <w:r w:rsidRPr="00474B05">
        <w:rPr>
          <w:rFonts w:cstheme="majorHAnsi"/>
          <w:szCs w:val="20"/>
          <w:lang w:val="en-AU"/>
        </w:rPr>
        <w:fldChar w:fldCharType="end"/>
      </w:r>
      <w:r w:rsidRPr="00D14CE9">
        <w:rPr>
          <w:rFonts w:cstheme="majorHAnsi"/>
          <w:szCs w:val="20"/>
          <w:lang w:val="en-AU"/>
        </w:rPr>
        <w:t xml:space="preserve"> sub-section 2 of the Report. It should also be noted that where asphalt is used as a commodity product for construction purposes, 15% of the quantity of asphalt is considered to be recycled materials and therefore not accounted in the demand for extractive resources subsequent to the construction needs. This is reflecting a growing trend of using recycled materials in construction activities and could potentially reach as high as 30% over the next 20 to 30 years. </w:t>
      </w:r>
    </w:p>
    <w:p w:rsidR="00B65C18" w:rsidRPr="00D14CE9" w:rsidRDefault="00714DD7" w:rsidP="00C200D0">
      <w:pPr>
        <w:pStyle w:val="EYBodytextwithparaspace"/>
        <w:rPr>
          <w:rFonts w:cstheme="majorHAnsi"/>
          <w:szCs w:val="20"/>
          <w:lang w:val="en-AU"/>
        </w:rPr>
      </w:pPr>
      <w:r w:rsidRPr="00D14CE9">
        <w:rPr>
          <w:rFonts w:cstheme="majorHAnsi"/>
          <w:szCs w:val="20"/>
          <w:lang w:val="en-AU"/>
        </w:rPr>
        <w:t>The figure below presents the results of this analysis and provides a</w:t>
      </w:r>
      <w:r w:rsidR="0060482D">
        <w:rPr>
          <w:rFonts w:cstheme="majorHAnsi"/>
          <w:szCs w:val="20"/>
          <w:lang w:val="en-AU"/>
        </w:rPr>
        <w:t xml:space="preserve"> comparison</w:t>
      </w:r>
      <w:r w:rsidRPr="00D14CE9">
        <w:rPr>
          <w:rFonts w:cstheme="majorHAnsi"/>
          <w:szCs w:val="20"/>
          <w:lang w:val="en-AU"/>
        </w:rPr>
        <w:t xml:space="preserve"> between the macro-economic driven demand </w:t>
      </w:r>
      <w:r w:rsidR="00426EC8" w:rsidRPr="00D14CE9">
        <w:rPr>
          <w:rFonts w:cstheme="majorHAnsi"/>
          <w:szCs w:val="20"/>
          <w:lang w:val="en-AU"/>
        </w:rPr>
        <w:t xml:space="preserve">projections </w:t>
      </w:r>
      <w:r w:rsidRPr="00D14CE9">
        <w:rPr>
          <w:rFonts w:cstheme="majorHAnsi"/>
          <w:szCs w:val="20"/>
          <w:lang w:val="en-AU"/>
        </w:rPr>
        <w:t xml:space="preserve">and the </w:t>
      </w:r>
      <w:r w:rsidR="00426EC8" w:rsidRPr="00D14CE9">
        <w:rPr>
          <w:rFonts w:cstheme="majorHAnsi"/>
          <w:szCs w:val="20"/>
          <w:lang w:val="en-AU"/>
        </w:rPr>
        <w:t>demand forecast resulting from the detailed industry analysis</w:t>
      </w:r>
      <w:r w:rsidR="004D1212" w:rsidRPr="00D14CE9">
        <w:rPr>
          <w:rFonts w:cstheme="majorHAnsi"/>
          <w:szCs w:val="20"/>
          <w:lang w:val="en-AU"/>
        </w:rPr>
        <w:t>.</w:t>
      </w:r>
      <w:r w:rsidR="00426EC8" w:rsidRPr="00D14CE9">
        <w:rPr>
          <w:rFonts w:cstheme="majorHAnsi"/>
          <w:szCs w:val="20"/>
          <w:lang w:val="en-AU"/>
        </w:rPr>
        <w:t xml:space="preserve"> Note that DIA in the below figure stands for detailed industry analysis.</w:t>
      </w:r>
      <w:r w:rsidR="00633380" w:rsidRPr="00D14CE9">
        <w:rPr>
          <w:rFonts w:cstheme="majorHAnsi"/>
          <w:szCs w:val="20"/>
          <w:lang w:val="en-AU"/>
        </w:rPr>
        <w:t xml:space="preserve"> This figure </w:t>
      </w:r>
      <w:r w:rsidR="00633380" w:rsidRPr="00D14CE9">
        <w:rPr>
          <w:lang w:val="en-AU"/>
        </w:rPr>
        <w:t xml:space="preserve">illustrates how closely aligned the macro-driven forecast and the projections resulting from the detailed industry analysis are. </w:t>
      </w:r>
      <w:r w:rsidR="00633380" w:rsidRPr="00D14CE9">
        <w:rPr>
          <w:rFonts w:cstheme="majorHAnsi"/>
          <w:szCs w:val="20"/>
          <w:lang w:val="en-AU"/>
        </w:rPr>
        <w:t xml:space="preserve"> </w:t>
      </w:r>
    </w:p>
    <w:p w:rsidR="003404A2" w:rsidRPr="00D14CE9" w:rsidRDefault="003404A2" w:rsidP="00C9521C">
      <w:pPr>
        <w:pStyle w:val="Caption"/>
      </w:pPr>
      <w:bookmarkStart w:id="556" w:name="_Toc445240921"/>
      <w:bookmarkStart w:id="557" w:name="_Toc448914585"/>
      <w:bookmarkEnd w:id="10"/>
      <w:r w:rsidRPr="00D14CE9">
        <w:rPr>
          <w:sz w:val="16"/>
          <w:szCs w:val="18"/>
        </w:rPr>
        <w:lastRenderedPageBreak/>
        <w:t xml:space="preserve">Figure </w:t>
      </w:r>
      <w:r w:rsidRPr="00474B05">
        <w:rPr>
          <w:b w:val="0"/>
          <w:bCs w:val="0"/>
          <w:sz w:val="16"/>
          <w:szCs w:val="18"/>
        </w:rPr>
        <w:fldChar w:fldCharType="begin"/>
      </w:r>
      <w:r w:rsidRPr="00D14CE9">
        <w:rPr>
          <w:sz w:val="16"/>
          <w:szCs w:val="18"/>
        </w:rPr>
        <w:instrText xml:space="preserve"> SEQ Figure \* ARABIC </w:instrText>
      </w:r>
      <w:r w:rsidRPr="00474B05">
        <w:rPr>
          <w:b w:val="0"/>
          <w:bCs w:val="0"/>
          <w:sz w:val="16"/>
          <w:szCs w:val="18"/>
        </w:rPr>
        <w:fldChar w:fldCharType="separate"/>
      </w:r>
      <w:r w:rsidR="00525C82">
        <w:rPr>
          <w:noProof/>
          <w:sz w:val="16"/>
          <w:szCs w:val="18"/>
        </w:rPr>
        <w:t>23</w:t>
      </w:r>
      <w:r w:rsidRPr="00474B05">
        <w:rPr>
          <w:b w:val="0"/>
          <w:bCs w:val="0"/>
          <w:sz w:val="16"/>
          <w:szCs w:val="18"/>
        </w:rPr>
        <w:fldChar w:fldCharType="end"/>
      </w:r>
      <w:r w:rsidRPr="00D14CE9">
        <w:rPr>
          <w:sz w:val="16"/>
          <w:szCs w:val="18"/>
        </w:rPr>
        <w:t xml:space="preserve"> – </w:t>
      </w:r>
      <w:r w:rsidR="00A52BFF" w:rsidRPr="00D14CE9">
        <w:rPr>
          <w:sz w:val="16"/>
          <w:szCs w:val="18"/>
        </w:rPr>
        <w:t>Total d</w:t>
      </w:r>
      <w:r w:rsidRPr="00D14CE9">
        <w:rPr>
          <w:sz w:val="16"/>
          <w:szCs w:val="18"/>
        </w:rPr>
        <w:t xml:space="preserve">emand </w:t>
      </w:r>
      <w:r w:rsidR="00A52BFF" w:rsidRPr="00D14CE9">
        <w:rPr>
          <w:sz w:val="16"/>
          <w:szCs w:val="18"/>
        </w:rPr>
        <w:t>f</w:t>
      </w:r>
      <w:r w:rsidRPr="00D14CE9">
        <w:rPr>
          <w:sz w:val="16"/>
          <w:szCs w:val="18"/>
        </w:rPr>
        <w:t xml:space="preserve">orecast </w:t>
      </w:r>
      <w:r w:rsidR="00A52BFF" w:rsidRPr="00D14CE9">
        <w:rPr>
          <w:sz w:val="16"/>
          <w:szCs w:val="18"/>
        </w:rPr>
        <w:t>m</w:t>
      </w:r>
      <w:r w:rsidRPr="00D14CE9">
        <w:rPr>
          <w:sz w:val="16"/>
          <w:szCs w:val="18"/>
        </w:rPr>
        <w:t>odels</w:t>
      </w:r>
      <w:r w:rsidR="00C9521C" w:rsidRPr="00D14CE9">
        <w:rPr>
          <w:sz w:val="16"/>
          <w:szCs w:val="18"/>
        </w:rPr>
        <w:t xml:space="preserve"> </w:t>
      </w:r>
      <w:r w:rsidR="00A52BFF" w:rsidRPr="00D14CE9">
        <w:rPr>
          <w:sz w:val="16"/>
          <w:szCs w:val="18"/>
        </w:rPr>
        <w:t>a</w:t>
      </w:r>
      <w:r w:rsidR="00C9521C" w:rsidRPr="00D14CE9">
        <w:rPr>
          <w:sz w:val="16"/>
          <w:szCs w:val="18"/>
        </w:rPr>
        <w:t>ppraisal</w:t>
      </w:r>
      <w:r w:rsidRPr="00D14CE9">
        <w:rPr>
          <w:sz w:val="16"/>
          <w:szCs w:val="18"/>
        </w:rPr>
        <w:t xml:space="preserve"> – Demand Yearly Evolution</w:t>
      </w:r>
      <w:bookmarkEnd w:id="556"/>
      <w:bookmarkEnd w:id="557"/>
      <w:r w:rsidRPr="00D14CE9">
        <w:rPr>
          <w:sz w:val="16"/>
          <w:szCs w:val="18"/>
        </w:rPr>
        <w:t xml:space="preserve"> </w:t>
      </w:r>
    </w:p>
    <w:p w:rsidR="009F79C7" w:rsidRPr="00D14CE9" w:rsidRDefault="009F79C7" w:rsidP="00C200D0">
      <w:r w:rsidRPr="00474B05">
        <w:rPr>
          <w:noProof/>
          <w:lang w:eastAsia="en-AU"/>
        </w:rPr>
        <w:drawing>
          <wp:inline distT="0" distB="0" distL="0" distR="0" wp14:anchorId="3C604964" wp14:editId="54EC6236">
            <wp:extent cx="5916116" cy="3064853"/>
            <wp:effectExtent l="0" t="0" r="8890" b="2540"/>
            <wp:docPr id="2061" name="Picture 2061" descr="Figure 23 is a graph showing total demand forecast models appraisal.  It shows that total macro economic demand forecast increases from around 49 million tonnes in 2015 to around 93 million tonnes in 2050. "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a:extLst>
                        <a:ext uri="{28A0092B-C50C-407E-A947-70E740481C1C}">
                          <a14:useLocalDpi xmlns:a14="http://schemas.microsoft.com/office/drawing/2010/main" val="0"/>
                        </a:ext>
                      </a:extLst>
                    </a:blip>
                    <a:srcRect l="215" t="990" r="461" b="4726"/>
                    <a:stretch/>
                  </pic:blipFill>
                  <pic:spPr bwMode="auto">
                    <a:xfrm>
                      <a:off x="0" y="0"/>
                      <a:ext cx="5920564" cy="3067157"/>
                    </a:xfrm>
                    <a:prstGeom prst="rect">
                      <a:avLst/>
                    </a:prstGeom>
                    <a:noFill/>
                    <a:ln>
                      <a:noFill/>
                    </a:ln>
                    <a:extLst>
                      <a:ext uri="{53640926-AAD7-44D8-BBD7-CCE9431645EC}">
                        <a14:shadowObscured xmlns:a14="http://schemas.microsoft.com/office/drawing/2010/main"/>
                      </a:ext>
                    </a:extLst>
                  </pic:spPr>
                </pic:pic>
              </a:graphicData>
            </a:graphic>
          </wp:inline>
        </w:drawing>
      </w:r>
    </w:p>
    <w:p w:rsidR="00B264BF" w:rsidRPr="00D14CE9" w:rsidRDefault="00426EC8" w:rsidP="00F552CC">
      <w:pPr>
        <w:pStyle w:val="EYSource"/>
        <w:rPr>
          <w:lang w:val="en-AU"/>
        </w:rPr>
      </w:pPr>
      <w:r w:rsidRPr="00D14CE9">
        <w:rPr>
          <w:lang w:val="en-AU"/>
        </w:rPr>
        <w:t xml:space="preserve">Source: EY Analysis. </w:t>
      </w:r>
    </w:p>
    <w:p w:rsidR="00442D50" w:rsidRPr="00D14CE9" w:rsidRDefault="00442D50" w:rsidP="00CF11FB">
      <w:pPr>
        <w:pStyle w:val="EYBodytextwithparaspace"/>
        <w:spacing w:after="0"/>
        <w:rPr>
          <w:rFonts w:cstheme="majorHAnsi"/>
          <w:szCs w:val="20"/>
          <w:lang w:val="en-AU"/>
        </w:rPr>
      </w:pP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The forecast over the period </w:t>
      </w:r>
      <w:r w:rsidR="00426EC8" w:rsidRPr="00D14CE9">
        <w:rPr>
          <w:rFonts w:cstheme="majorHAnsi"/>
          <w:szCs w:val="20"/>
          <w:lang w:val="en-AU"/>
        </w:rPr>
        <w:t xml:space="preserve">resulting from the detailed industry </w:t>
      </w:r>
      <w:r w:rsidR="001E7246" w:rsidRPr="00D14CE9">
        <w:rPr>
          <w:rFonts w:cstheme="majorHAnsi"/>
          <w:szCs w:val="20"/>
          <w:lang w:val="en-AU"/>
        </w:rPr>
        <w:t>model</w:t>
      </w:r>
      <w:r w:rsidR="005978C4" w:rsidRPr="00D14CE9">
        <w:rPr>
          <w:rFonts w:cstheme="majorHAnsi"/>
          <w:szCs w:val="20"/>
          <w:lang w:val="en-AU"/>
        </w:rPr>
        <w:t>s</w:t>
      </w:r>
      <w:r w:rsidR="00426EC8" w:rsidRPr="00D14CE9">
        <w:rPr>
          <w:rFonts w:cstheme="majorHAnsi"/>
          <w:szCs w:val="20"/>
          <w:lang w:val="en-AU"/>
        </w:rPr>
        <w:t xml:space="preserve"> </w:t>
      </w:r>
      <w:r w:rsidRPr="00D14CE9">
        <w:rPr>
          <w:rFonts w:cstheme="majorHAnsi"/>
          <w:szCs w:val="20"/>
          <w:lang w:val="en-AU"/>
        </w:rPr>
        <w:t xml:space="preserve">is mainly driven by the needs for extractive resources in relation to residential and transport construction activities’ expected development. In relation to transport major projects, note that from 2027, transport major projects have not been forecast using a </w:t>
      </w:r>
      <w:r w:rsidR="00B302CD" w:rsidRPr="00D14CE9">
        <w:rPr>
          <w:rFonts w:cstheme="majorHAnsi"/>
          <w:szCs w:val="20"/>
          <w:lang w:val="en-AU"/>
        </w:rPr>
        <w:t>detailed industry analysis</w:t>
      </w:r>
      <w:r w:rsidRPr="00D14CE9">
        <w:rPr>
          <w:rFonts w:cstheme="majorHAnsi"/>
          <w:szCs w:val="20"/>
          <w:lang w:val="en-AU"/>
        </w:rPr>
        <w:t>, due to the lack of data availability. As a result, based on the requirements of extractive resources calculated from 2015 to 2026, a trend line has been used to forecast the assumed demand for extractive resources from major transport projects from 2027 onwards. This forecast trend is consistent with guidelines provided by the State Budget Papers, according to which, out of 30% of the State GSP committed to infrastructure projects, 80% should be dedicated to transport projects.</w:t>
      </w:r>
    </w:p>
    <w:p w:rsidR="00633380" w:rsidRPr="00D14CE9" w:rsidRDefault="00633380" w:rsidP="00633380">
      <w:pPr>
        <w:pStyle w:val="EYBodytextwithparaspace"/>
        <w:rPr>
          <w:lang w:val="en-AU"/>
        </w:rPr>
      </w:pPr>
      <w:r w:rsidRPr="00D14CE9">
        <w:rPr>
          <w:lang w:val="en-AU"/>
        </w:rPr>
        <w:t xml:space="preserve">The forecast resulting from the detailed industry </w:t>
      </w:r>
      <w:r w:rsidR="00045212" w:rsidRPr="00D14CE9">
        <w:rPr>
          <w:lang w:val="en-AU"/>
        </w:rPr>
        <w:t xml:space="preserve">analysis </w:t>
      </w:r>
      <w:r w:rsidRPr="00D14CE9">
        <w:rPr>
          <w:lang w:val="en-AU"/>
        </w:rPr>
        <w:t xml:space="preserve">is within a </w:t>
      </w:r>
      <w:r w:rsidR="00783C89" w:rsidRPr="00D14CE9">
        <w:rPr>
          <w:lang w:val="en-AU"/>
        </w:rPr>
        <w:t>+</w:t>
      </w:r>
      <w:r w:rsidRPr="00D14CE9">
        <w:rPr>
          <w:lang w:val="en-AU"/>
        </w:rPr>
        <w:t>10% range from the total demand generated by our baseline macro-driven model, on a</w:t>
      </w:r>
      <w:r w:rsidR="00E763EC" w:rsidRPr="00D14CE9">
        <w:rPr>
          <w:lang w:val="en-AU"/>
        </w:rPr>
        <w:t>n average</w:t>
      </w:r>
      <w:r w:rsidRPr="00D14CE9">
        <w:rPr>
          <w:lang w:val="en-AU"/>
        </w:rPr>
        <w:t xml:space="preserve"> yearly basis</w:t>
      </w:r>
      <w:r w:rsidR="00045212" w:rsidRPr="00D14CE9">
        <w:rPr>
          <w:lang w:val="en-AU"/>
        </w:rPr>
        <w:t>. With</w:t>
      </w:r>
      <w:r w:rsidRPr="00D14CE9">
        <w:rPr>
          <w:lang w:val="en-AU"/>
        </w:rPr>
        <w:t xml:space="preserve"> respect to the complexity associated with this analysis,</w:t>
      </w:r>
      <w:r w:rsidR="00045212" w:rsidRPr="00D14CE9">
        <w:rPr>
          <w:lang w:val="en-AU"/>
        </w:rPr>
        <w:t xml:space="preserve"> this</w:t>
      </w:r>
      <w:r w:rsidRPr="00D14CE9">
        <w:rPr>
          <w:lang w:val="en-AU"/>
        </w:rPr>
        <w:t xml:space="preserve"> is considered as a reasonable criterion and threshold to </w:t>
      </w:r>
      <w:r w:rsidR="00045212" w:rsidRPr="00D14CE9">
        <w:rPr>
          <w:lang w:val="en-AU"/>
        </w:rPr>
        <w:t xml:space="preserve">validate </w:t>
      </w:r>
      <w:r w:rsidRPr="00D14CE9">
        <w:rPr>
          <w:lang w:val="en-AU"/>
        </w:rPr>
        <w:t xml:space="preserve">the adequate representation of the demand resulting from our overall </w:t>
      </w:r>
      <w:r w:rsidR="00C656E0" w:rsidRPr="00D14CE9">
        <w:rPr>
          <w:lang w:val="en-AU"/>
        </w:rPr>
        <w:t xml:space="preserve">macro-driven </w:t>
      </w:r>
      <w:r w:rsidRPr="00D14CE9">
        <w:rPr>
          <w:lang w:val="en-AU"/>
        </w:rPr>
        <w:t xml:space="preserve">forecast framework. </w:t>
      </w:r>
    </w:p>
    <w:p w:rsidR="00606F4A" w:rsidRDefault="0060482D" w:rsidP="00E763EC">
      <w:pPr>
        <w:pStyle w:val="EYBodytextwithparaspace"/>
        <w:rPr>
          <w:rFonts w:cstheme="majorHAnsi"/>
          <w:szCs w:val="20"/>
          <w:lang w:val="en-AU"/>
        </w:rPr>
        <w:sectPr w:rsidR="00606F4A" w:rsidSect="000B6297">
          <w:footerReference w:type="default" r:id="rId51"/>
          <w:pgSz w:w="11909" w:h="16834" w:code="9"/>
          <w:pgMar w:top="1440" w:right="1440" w:bottom="1440" w:left="1440" w:header="720" w:footer="567" w:gutter="0"/>
          <w:cols w:space="720"/>
          <w:docGrid w:linePitch="360"/>
        </w:sectPr>
      </w:pPr>
      <w:r>
        <w:rPr>
          <w:rFonts w:cstheme="majorHAnsi"/>
          <w:szCs w:val="20"/>
          <w:lang w:val="en-AU"/>
        </w:rPr>
        <w:t>Sudden d</w:t>
      </w:r>
      <w:r w:rsidR="00E763EC" w:rsidRPr="00D14CE9">
        <w:rPr>
          <w:rFonts w:cstheme="majorHAnsi"/>
          <w:szCs w:val="20"/>
          <w:lang w:val="en-AU"/>
        </w:rPr>
        <w:t xml:space="preserve">ownward </w:t>
      </w:r>
      <w:r>
        <w:rPr>
          <w:rFonts w:cstheme="majorHAnsi"/>
          <w:szCs w:val="20"/>
          <w:lang w:val="en-AU"/>
        </w:rPr>
        <w:t>movements at years 2022 and 2032</w:t>
      </w:r>
      <w:r w:rsidR="00E763EC" w:rsidRPr="00D14CE9">
        <w:rPr>
          <w:rFonts w:cstheme="majorHAnsi"/>
          <w:szCs w:val="20"/>
          <w:lang w:val="en-AU"/>
        </w:rPr>
        <w:t xml:space="preserve"> are related to </w:t>
      </w:r>
      <w:r>
        <w:rPr>
          <w:rFonts w:cstheme="majorHAnsi"/>
          <w:szCs w:val="20"/>
          <w:lang w:val="en-AU"/>
        </w:rPr>
        <w:t xml:space="preserve">changes to </w:t>
      </w:r>
      <w:r w:rsidR="00E763EC" w:rsidRPr="00D14CE9">
        <w:rPr>
          <w:rFonts w:cstheme="majorHAnsi"/>
          <w:szCs w:val="20"/>
          <w:lang w:val="en-AU"/>
        </w:rPr>
        <w:t xml:space="preserve">population growth rates </w:t>
      </w:r>
      <w:r>
        <w:rPr>
          <w:rFonts w:cstheme="majorHAnsi"/>
          <w:szCs w:val="20"/>
          <w:lang w:val="en-AU"/>
        </w:rPr>
        <w:t>provided by the Victorian Government in its official population forecast (</w:t>
      </w:r>
      <w:r w:rsidRPr="001B623F">
        <w:rPr>
          <w:rFonts w:cstheme="majorHAnsi"/>
          <w:i/>
          <w:szCs w:val="20"/>
          <w:lang w:val="en-AU"/>
        </w:rPr>
        <w:t>Victoria in Future</w:t>
      </w:r>
      <w:r>
        <w:rPr>
          <w:rFonts w:cstheme="majorHAnsi"/>
          <w:szCs w:val="20"/>
          <w:lang w:val="en-AU"/>
        </w:rPr>
        <w:t xml:space="preserve">). As our approach to forecasting the demand for extractive resources is based on absolute changes in population and other macroeconomic variables, this has the impact of creating sudden drops in total demand as the amount of people added in those years identified is less than the amount added in the previous year. It is considered preferable to adhere to the Government’s population profile rather than artificially smoothing the results. </w:t>
      </w:r>
    </w:p>
    <w:p w:rsidR="00606F4A" w:rsidRPr="00D14CE9" w:rsidRDefault="00606F4A" w:rsidP="00E763EC">
      <w:pPr>
        <w:pStyle w:val="EYBodytextwithparaspace"/>
        <w:rPr>
          <w:rFonts w:cstheme="majorHAnsi"/>
          <w:szCs w:val="20"/>
          <w:lang w:val="en-AU"/>
        </w:rPr>
      </w:pPr>
      <w:r>
        <w:rPr>
          <w:noProof/>
          <w:lang w:val="en-AU" w:eastAsia="en-AU"/>
        </w:rPr>
        <w:lastRenderedPageBreak/>
        <w:drawing>
          <wp:anchor distT="0" distB="0" distL="114300" distR="114300" simplePos="0" relativeHeight="251686912" behindDoc="1" locked="1" layoutInCell="1" allowOverlap="1" wp14:anchorId="0B808624" wp14:editId="5CA6C25B">
            <wp:simplePos x="0" y="0"/>
            <wp:positionH relativeFrom="column">
              <wp:posOffset>-1066800</wp:posOffset>
            </wp:positionH>
            <wp:positionV relativeFrom="paragraph">
              <wp:posOffset>-1153795</wp:posOffset>
            </wp:positionV>
            <wp:extent cx="7757160" cy="10988040"/>
            <wp:effectExtent l="0" t="0" r="0" b="3810"/>
            <wp:wrapNone/>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7757160" cy="1098804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75648" behindDoc="0" locked="0" layoutInCell="1" allowOverlap="1" wp14:anchorId="047B0E81" wp14:editId="7FE81E7C">
                <wp:simplePos x="0" y="0"/>
                <wp:positionH relativeFrom="column">
                  <wp:posOffset>-518160</wp:posOffset>
                </wp:positionH>
                <wp:positionV relativeFrom="paragraph">
                  <wp:posOffset>5288280</wp:posOffset>
                </wp:positionV>
                <wp:extent cx="6385560" cy="1310640"/>
                <wp:effectExtent l="0" t="0" r="0" b="3810"/>
                <wp:wrapNone/>
                <wp:docPr id="2166" name="Text Box 2166"/>
                <wp:cNvGraphicFramePr/>
                <a:graphic xmlns:a="http://schemas.openxmlformats.org/drawingml/2006/main">
                  <a:graphicData uri="http://schemas.microsoft.com/office/word/2010/wordprocessingShape">
                    <wps:wsp>
                      <wps:cNvSpPr txBox="1"/>
                      <wps:spPr>
                        <a:xfrm>
                          <a:off x="0" y="0"/>
                          <a:ext cx="638556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754" w:rsidRDefault="003C7754" w:rsidP="00606F4A">
                            <w:pPr>
                              <w:pStyle w:val="EYCoverTitle"/>
                            </w:pPr>
                            <w:r>
                              <w:t>Scenarios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66" o:spid="_x0000_s1033" type="#_x0000_t202" style="position:absolute;margin-left:-40.8pt;margin-top:416.4pt;width:502.8pt;height:103.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nYgwIAAHAFAAAOAAAAZHJzL2Uyb0RvYy54bWysVN1P2zAQf5+0/8Hy+0hTaGEVKepATJMQ&#10;oJWJZ9exaTTH59nXJt1fz9lJ2orthWkvyfnud98fl1dtbdhW+VCBLXh+MuJMWQllZV8K/uPp9tMF&#10;ZwGFLYUBqwq+U4FfzT9+uGzcTI1hDaZUnpERG2aNK/ga0c2yLMi1qkU4AacsCTX4WiA9/UtWetGQ&#10;9dpk49FomjXgS+dBqhCIe9MJ+TzZ11pJfNA6KGSm4BQbpq9P31X8ZvNLMXvxwq0r2Ych/iGKWlSW&#10;nO5N3QgUbOOrP0zVlfQQQOOJhDoDrSupUg6UTT56k81yLZxKuVBxgtuXKfw/s/J+++hZVRZ8nE+n&#10;nFlRU5eeVIvsC7QsMalGjQszgi4dgbElCfU61i7yAzFj6q32dfxTUozkVO3dvsLRniTm9PRiMpmS&#10;SJIsP81H07PUg+yg7nzArwpqFomCe2phqqzY3gUklwQdINGbhdvKmNRGY1kTXUxGSWEvIQ1jI1al&#10;gejNHEJPFO6MihhjvytNBUkZREYaRXVtPNsKGiIhpbKYkk92CR1RmoJ4j2KPP0T1HuUuj8EzWNwr&#10;15UFn7J/E3b5cwhZd3gq5FHekcR21aZJOB86u4JyRw330K1NcPK2oqbciYCPwtOeUCNp9/GBPtoA&#10;FR96irM1+N9/40c8jS9JOWto7woefm2EV5yZb5YG+3N+RiPBMD3OJudjevhjyepYYjf1NVBXcroy&#10;TiYy4tEMpPZQP9OJWESvJBJWku+C40BeY3cN6MRItVgkEK2mE3hnl05G07FJceSe2mfhXT+XSCN9&#10;D8OGitmb8eywUdPCYoOgqzS7sc5dVfv601qnke5PULwbx++EOhzK+SsAAAD//wMAUEsDBBQABgAI&#10;AAAAIQCrb29s4wAAAAwBAAAPAAAAZHJzL2Rvd25yZXYueG1sTI9NT8JAFEX3Jv6HySNxB1MGJaV2&#10;SkgTYmJ0AbJxN+082ob5qJ0Bqr/e5wqXL+/k3nPz9WgNu+AQOu8kzGcJMHS1151rJBw+ttMUWIjK&#10;aWW8QwnfGGBd3N/lKtP+6nZ42ceGUYgLmZLQxthnnIe6RavCzPfo6Hf0g1WRzqHhelBXCreGiyRZ&#10;cqs6Rw2t6rFssT7tz1bCa7l9V7tK2PTHlC9vx03/dfh8kvJhMm6egUUc4w2GP31Sh4KcKn92OjAj&#10;YZrOl4RKSBeCNhCxEo+0riI0WawE8CLn/0cUvwAAAP//AwBQSwECLQAUAAYACAAAACEAtoM4kv4A&#10;AADhAQAAEwAAAAAAAAAAAAAAAAAAAAAAW0NvbnRlbnRfVHlwZXNdLnhtbFBLAQItABQABgAIAAAA&#10;IQA4/SH/1gAAAJQBAAALAAAAAAAAAAAAAAAAAC8BAABfcmVscy8ucmVsc1BLAQItABQABgAIAAAA&#10;IQBudynYgwIAAHAFAAAOAAAAAAAAAAAAAAAAAC4CAABkcnMvZTJvRG9jLnhtbFBLAQItABQABgAI&#10;AAAAIQCrb29s4wAAAAwBAAAPAAAAAAAAAAAAAAAAAN0EAABkcnMvZG93bnJldi54bWxQSwUGAAAA&#10;AAQABADzAAAA7QUAAAAA&#10;" filled="f" stroked="f" strokeweight=".5pt">
                <v:textbox>
                  <w:txbxContent>
                    <w:p w:rsidR="003C7754" w:rsidRDefault="003C7754" w:rsidP="00606F4A">
                      <w:pPr>
                        <w:pStyle w:val="EYCoverTitle"/>
                      </w:pPr>
                      <w:r>
                        <w:t>Scenarios analysis</w:t>
                      </w:r>
                    </w:p>
                  </w:txbxContent>
                </v:textbox>
              </v:shape>
            </w:pict>
          </mc:Fallback>
        </mc:AlternateContent>
      </w:r>
    </w:p>
    <w:p w:rsidR="003404A2" w:rsidRPr="00D14CE9" w:rsidRDefault="003404A2" w:rsidP="00C200D0">
      <w:pPr>
        <w:pStyle w:val="EYHeading1"/>
      </w:pPr>
      <w:bookmarkStart w:id="558" w:name="_Toc445151291"/>
      <w:bookmarkStart w:id="559" w:name="_Toc445208517"/>
      <w:bookmarkStart w:id="560" w:name="_Toc445215988"/>
      <w:bookmarkStart w:id="561" w:name="_Toc445218344"/>
      <w:bookmarkStart w:id="562" w:name="_Toc445219428"/>
      <w:bookmarkStart w:id="563" w:name="_Toc445219637"/>
      <w:bookmarkStart w:id="564" w:name="_Toc445219987"/>
      <w:bookmarkStart w:id="565" w:name="_Toc445220361"/>
      <w:bookmarkStart w:id="566" w:name="_Toc445220505"/>
      <w:bookmarkStart w:id="567" w:name="_Toc445220623"/>
      <w:bookmarkStart w:id="568" w:name="_Toc445239638"/>
      <w:bookmarkStart w:id="569" w:name="_Toc445240881"/>
      <w:bookmarkStart w:id="570" w:name="_Toc445382973"/>
      <w:bookmarkStart w:id="571" w:name="_Toc445383572"/>
      <w:bookmarkStart w:id="572" w:name="_Toc445383872"/>
      <w:bookmarkStart w:id="573" w:name="_Toc445384043"/>
      <w:bookmarkStart w:id="574" w:name="_Toc445151292"/>
      <w:bookmarkStart w:id="575" w:name="_Toc445208518"/>
      <w:bookmarkStart w:id="576" w:name="_Toc445215989"/>
      <w:bookmarkStart w:id="577" w:name="_Toc445218345"/>
      <w:bookmarkStart w:id="578" w:name="_Toc445219429"/>
      <w:bookmarkStart w:id="579" w:name="_Toc445219638"/>
      <w:bookmarkStart w:id="580" w:name="_Toc445219988"/>
      <w:bookmarkStart w:id="581" w:name="_Toc445220362"/>
      <w:bookmarkStart w:id="582" w:name="_Toc445220506"/>
      <w:bookmarkStart w:id="583" w:name="_Toc445220624"/>
      <w:bookmarkStart w:id="584" w:name="_Toc445239639"/>
      <w:bookmarkStart w:id="585" w:name="_Toc445240882"/>
      <w:bookmarkStart w:id="586" w:name="_Toc445382974"/>
      <w:bookmarkStart w:id="587" w:name="_Toc445383573"/>
      <w:bookmarkStart w:id="588" w:name="_Toc445383873"/>
      <w:bookmarkStart w:id="589" w:name="_Toc445384044"/>
      <w:bookmarkStart w:id="590" w:name="_Toc445151293"/>
      <w:bookmarkStart w:id="591" w:name="_Toc445208519"/>
      <w:bookmarkStart w:id="592" w:name="_Toc445215990"/>
      <w:bookmarkStart w:id="593" w:name="_Toc445218346"/>
      <w:bookmarkStart w:id="594" w:name="_Toc445219430"/>
      <w:bookmarkStart w:id="595" w:name="_Toc445219639"/>
      <w:bookmarkStart w:id="596" w:name="_Toc445219989"/>
      <w:bookmarkStart w:id="597" w:name="_Toc445220363"/>
      <w:bookmarkStart w:id="598" w:name="_Toc445220507"/>
      <w:bookmarkStart w:id="599" w:name="_Toc445220625"/>
      <w:bookmarkStart w:id="600" w:name="_Toc445239640"/>
      <w:bookmarkStart w:id="601" w:name="_Toc445240883"/>
      <w:bookmarkStart w:id="602" w:name="_Toc445382975"/>
      <w:bookmarkStart w:id="603" w:name="_Toc445383574"/>
      <w:bookmarkStart w:id="604" w:name="_Toc445383874"/>
      <w:bookmarkStart w:id="605" w:name="_Toc445384045"/>
      <w:bookmarkStart w:id="606" w:name="_Ref441154565"/>
      <w:bookmarkStart w:id="607" w:name="_Toc441435314"/>
      <w:bookmarkStart w:id="608" w:name="_Toc451847086"/>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D14CE9">
        <w:lastRenderedPageBreak/>
        <w:t>Scenarios analysis</w:t>
      </w:r>
      <w:bookmarkEnd w:id="606"/>
      <w:bookmarkEnd w:id="607"/>
      <w:bookmarkEnd w:id="608"/>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Five scenarios analyses have been performed on the </w:t>
      </w:r>
      <w:r w:rsidR="00520170" w:rsidRPr="00D14CE9">
        <w:rPr>
          <w:rFonts w:cstheme="majorHAnsi"/>
          <w:szCs w:val="20"/>
          <w:lang w:val="en-AU"/>
        </w:rPr>
        <w:t>baseline</w:t>
      </w:r>
      <w:r w:rsidRPr="00D14CE9">
        <w:rPr>
          <w:rFonts w:cstheme="majorHAnsi"/>
          <w:szCs w:val="20"/>
          <w:lang w:val="en-AU"/>
        </w:rPr>
        <w:t xml:space="preserve"> outputs calculated based on the macro-economic demand driven model. The purpose of those analyses was to help understand and inform the sensitivity of the </w:t>
      </w:r>
      <w:r w:rsidR="00520170" w:rsidRPr="00D14CE9">
        <w:rPr>
          <w:rFonts w:cstheme="majorHAnsi"/>
          <w:szCs w:val="20"/>
          <w:lang w:val="en-AU"/>
        </w:rPr>
        <w:t xml:space="preserve">baseline </w:t>
      </w:r>
      <w:r w:rsidRPr="00D14CE9">
        <w:rPr>
          <w:rFonts w:cstheme="majorHAnsi"/>
          <w:szCs w:val="20"/>
          <w:lang w:val="en-AU"/>
        </w:rPr>
        <w:t xml:space="preserve">demand for extractive resources to changes in economic patterns or other key demand drivers for extractive resources, therefore helping assessing the impact of potential industry occurrences on the demand for extractive resources. </w:t>
      </w:r>
    </w:p>
    <w:p w:rsidR="001C53C9" w:rsidRPr="00D14CE9" w:rsidRDefault="003404A2" w:rsidP="00C200D0">
      <w:pPr>
        <w:pStyle w:val="EYBodytextwithparaspace"/>
        <w:rPr>
          <w:rFonts w:cstheme="majorHAnsi"/>
          <w:szCs w:val="20"/>
          <w:lang w:val="en-AU"/>
        </w:rPr>
      </w:pPr>
      <w:r w:rsidRPr="00D14CE9">
        <w:rPr>
          <w:rFonts w:cstheme="majorHAnsi"/>
          <w:szCs w:val="20"/>
          <w:lang w:val="en-AU"/>
        </w:rPr>
        <w:t xml:space="preserve">The scenarios </w:t>
      </w:r>
      <w:r w:rsidR="00062445" w:rsidRPr="00D14CE9">
        <w:rPr>
          <w:rFonts w:cstheme="majorHAnsi"/>
          <w:szCs w:val="20"/>
          <w:lang w:val="en-AU"/>
        </w:rPr>
        <w:t xml:space="preserve">analysed are listed as follows and the scenarios analysis </w:t>
      </w:r>
      <w:r w:rsidRPr="00D14CE9">
        <w:rPr>
          <w:rFonts w:cstheme="majorHAnsi"/>
          <w:szCs w:val="20"/>
          <w:lang w:val="en-AU"/>
        </w:rPr>
        <w:t xml:space="preserve">performed, as well as their key outcomes, are detailed </w:t>
      </w:r>
      <w:r w:rsidR="001C53C9" w:rsidRPr="00D14CE9">
        <w:rPr>
          <w:rFonts w:cstheme="majorHAnsi"/>
          <w:szCs w:val="20"/>
          <w:lang w:val="en-AU"/>
        </w:rPr>
        <w:t xml:space="preserve">in </w:t>
      </w:r>
      <w:r w:rsidR="00062445" w:rsidRPr="00D14CE9">
        <w:rPr>
          <w:rFonts w:cstheme="majorHAnsi"/>
          <w:szCs w:val="20"/>
          <w:lang w:val="en-AU"/>
        </w:rPr>
        <w:t xml:space="preserve">the </w:t>
      </w:r>
      <w:r w:rsidR="00C7517D" w:rsidRPr="00D14CE9">
        <w:rPr>
          <w:rFonts w:cstheme="majorHAnsi"/>
          <w:szCs w:val="20"/>
          <w:lang w:val="en-AU"/>
        </w:rPr>
        <w:t>sub-sections</w:t>
      </w:r>
      <w:r w:rsidR="00062445" w:rsidRPr="00D14CE9">
        <w:rPr>
          <w:rFonts w:cstheme="majorHAnsi"/>
          <w:szCs w:val="20"/>
          <w:lang w:val="en-AU"/>
        </w:rPr>
        <w:t xml:space="preserve"> presented below</w:t>
      </w:r>
      <w:r w:rsidR="001C53C9" w:rsidRPr="00D14CE9">
        <w:rPr>
          <w:rFonts w:cstheme="majorHAnsi"/>
          <w:szCs w:val="20"/>
          <w:lang w:val="en-AU"/>
        </w:rPr>
        <w:t>:</w:t>
      </w:r>
    </w:p>
    <w:p w:rsidR="00C7517D" w:rsidRPr="003A1D14" w:rsidRDefault="00C7517D" w:rsidP="003637FD">
      <w:pPr>
        <w:pStyle w:val="EYBulletedList1"/>
        <w:spacing w:after="100"/>
      </w:pPr>
      <w:r w:rsidRPr="003A1D14">
        <w:t>S</w:t>
      </w:r>
      <w:r w:rsidR="00E94FA4" w:rsidRPr="003A1D14">
        <w:t xml:space="preserve">cenario 1A: </w:t>
      </w:r>
      <w:r w:rsidR="00667D50" w:rsidRPr="003A1D14">
        <w:t>population and employment growth ahead of government projections in Victoria – (20% increase).</w:t>
      </w:r>
    </w:p>
    <w:p w:rsidR="00C7517D" w:rsidRPr="003A1D14" w:rsidRDefault="00E94FA4" w:rsidP="003637FD">
      <w:pPr>
        <w:pStyle w:val="EYBulletedList1"/>
        <w:spacing w:after="100"/>
      </w:pPr>
      <w:r w:rsidRPr="003A1D14">
        <w:t xml:space="preserve">Scenario 1B: </w:t>
      </w:r>
      <w:r w:rsidR="00667D50" w:rsidRPr="003A1D14">
        <w:t>population and employment growth ahead of government projections in Wyndham</w:t>
      </w:r>
      <w:r w:rsidR="005264FD" w:rsidRPr="003A1D14">
        <w:t xml:space="preserve"> LGA</w:t>
      </w:r>
      <w:r w:rsidR="00667D50" w:rsidRPr="003A1D14">
        <w:t>– (20% increase)</w:t>
      </w:r>
      <w:r w:rsidR="00062445" w:rsidRPr="003A1D14">
        <w:t>.</w:t>
      </w:r>
    </w:p>
    <w:p w:rsidR="00667D50" w:rsidRPr="003A1D14" w:rsidRDefault="00E94FA4" w:rsidP="003637FD">
      <w:pPr>
        <w:pStyle w:val="EYBulletedList1"/>
        <w:spacing w:after="100"/>
      </w:pPr>
      <w:r w:rsidRPr="003A1D14">
        <w:t xml:space="preserve">Scenario 2A: </w:t>
      </w:r>
      <w:r w:rsidR="00667D50" w:rsidRPr="003A1D14">
        <w:t>population and employment growth behind government projections in Victoria– (20% decrease).</w:t>
      </w:r>
    </w:p>
    <w:p w:rsidR="00E94FA4" w:rsidRPr="003A1D14" w:rsidRDefault="00E94FA4" w:rsidP="003637FD">
      <w:pPr>
        <w:pStyle w:val="EYBulletedList1"/>
        <w:spacing w:after="100"/>
      </w:pPr>
      <w:r w:rsidRPr="003A1D14">
        <w:t xml:space="preserve">Scenario 3A: redistribution of the </w:t>
      </w:r>
      <w:r w:rsidR="00062445" w:rsidRPr="003A1D14">
        <w:t>growth</w:t>
      </w:r>
      <w:r w:rsidRPr="003A1D14">
        <w:t xml:space="preserve"> </w:t>
      </w:r>
      <w:r w:rsidR="00667D50" w:rsidRPr="003A1D14">
        <w:t xml:space="preserve">in Metropolitan Melbourne </w:t>
      </w:r>
      <w:r w:rsidR="00062445" w:rsidRPr="003A1D14">
        <w:t>toward</w:t>
      </w:r>
      <w:r w:rsidRPr="003A1D14">
        <w:t xml:space="preserve"> Urban Infill LGAs</w:t>
      </w:r>
      <w:r w:rsidR="00062445" w:rsidRPr="003A1D14">
        <w:t>.</w:t>
      </w:r>
    </w:p>
    <w:p w:rsidR="00E94FA4" w:rsidRPr="003A1D14" w:rsidRDefault="00E94FA4" w:rsidP="003637FD">
      <w:pPr>
        <w:pStyle w:val="EYBulletedList1"/>
        <w:spacing w:after="100"/>
      </w:pPr>
      <w:r w:rsidRPr="003A1D14">
        <w:t xml:space="preserve">Scenario 3B: redistribution of the </w:t>
      </w:r>
      <w:r w:rsidR="00062445" w:rsidRPr="003A1D14">
        <w:t>growth</w:t>
      </w:r>
      <w:r w:rsidRPr="003A1D14">
        <w:t xml:space="preserve"> </w:t>
      </w:r>
      <w:r w:rsidR="00667D50" w:rsidRPr="003A1D14">
        <w:t xml:space="preserve">in Metropolitan Melbourne </w:t>
      </w:r>
      <w:r w:rsidRPr="003A1D14">
        <w:t>toward Urban Growth Areas</w:t>
      </w:r>
      <w:r w:rsidR="00667D50" w:rsidRPr="003A1D14">
        <w:t xml:space="preserve"> LGAs</w:t>
      </w:r>
      <w:r w:rsidR="00062445" w:rsidRPr="003A1D14">
        <w:t>.</w:t>
      </w:r>
    </w:p>
    <w:p w:rsidR="00062445" w:rsidRPr="000B6297" w:rsidRDefault="00062445" w:rsidP="000B6297"/>
    <w:p w:rsidR="003404A2" w:rsidRDefault="002542FD" w:rsidP="00C200D0">
      <w:pPr>
        <w:pStyle w:val="EYBodytextwithparaspace"/>
        <w:rPr>
          <w:rFonts w:cstheme="majorHAnsi"/>
          <w:szCs w:val="20"/>
          <w:lang w:val="en-AU"/>
        </w:rPr>
      </w:pPr>
      <w:r w:rsidRPr="00D14CE9">
        <w:rPr>
          <w:rFonts w:cstheme="majorHAnsi"/>
          <w:szCs w:val="20"/>
          <w:lang w:val="en-AU"/>
        </w:rPr>
        <w:t xml:space="preserve">Extensive </w:t>
      </w:r>
      <w:r w:rsidR="003404A2" w:rsidRPr="00D14CE9">
        <w:rPr>
          <w:rFonts w:cstheme="majorHAnsi"/>
          <w:szCs w:val="20"/>
          <w:lang w:val="en-AU"/>
        </w:rPr>
        <w:t xml:space="preserve">details in relation to the demand for extractive resources per LGA and per category of resources </w:t>
      </w:r>
      <w:r w:rsidRPr="00D14CE9">
        <w:rPr>
          <w:rFonts w:cstheme="majorHAnsi"/>
          <w:szCs w:val="20"/>
          <w:lang w:val="en-AU"/>
        </w:rPr>
        <w:t xml:space="preserve">have </w:t>
      </w:r>
      <w:r w:rsidR="003404A2" w:rsidRPr="00D14CE9">
        <w:rPr>
          <w:rFonts w:cstheme="majorHAnsi"/>
          <w:szCs w:val="20"/>
          <w:lang w:val="en-AU"/>
        </w:rPr>
        <w:t xml:space="preserve">been provided, on a yearly basis from 2015 to 2050, to PwC on </w:t>
      </w:r>
      <w:r w:rsidR="00156D50" w:rsidRPr="00D14CE9">
        <w:rPr>
          <w:rFonts w:cstheme="majorHAnsi"/>
          <w:szCs w:val="20"/>
          <w:lang w:val="en-AU"/>
        </w:rPr>
        <w:t>15 February</w:t>
      </w:r>
      <w:r w:rsidR="003404A2" w:rsidRPr="00D14CE9">
        <w:rPr>
          <w:rFonts w:cstheme="majorHAnsi"/>
          <w:szCs w:val="20"/>
          <w:lang w:val="en-AU"/>
        </w:rPr>
        <w:t xml:space="preserve"> 2016</w:t>
      </w:r>
      <w:r w:rsidR="000A067A">
        <w:rPr>
          <w:rFonts w:cstheme="majorHAnsi"/>
          <w:szCs w:val="20"/>
          <w:lang w:val="en-AU"/>
        </w:rPr>
        <w:t>, and</w:t>
      </w:r>
      <w:r w:rsidR="003404A2" w:rsidRPr="00D14CE9">
        <w:rPr>
          <w:rFonts w:cstheme="majorHAnsi"/>
          <w:szCs w:val="20"/>
          <w:lang w:val="en-AU"/>
        </w:rPr>
        <w:t xml:space="preserve"> are available in </w:t>
      </w:r>
      <w:r w:rsidR="003404A2" w:rsidRPr="00474B05">
        <w:rPr>
          <w:rFonts w:cstheme="majorHAnsi"/>
          <w:szCs w:val="20"/>
          <w:lang w:val="en-AU"/>
        </w:rPr>
        <w:fldChar w:fldCharType="begin" w:fldLock="1"/>
      </w:r>
      <w:r w:rsidR="003404A2" w:rsidRPr="00D14CE9">
        <w:rPr>
          <w:rFonts w:cstheme="majorHAnsi"/>
          <w:szCs w:val="20"/>
          <w:lang w:val="en-AU"/>
        </w:rPr>
        <w:instrText xml:space="preserve"> REF _Ref441226399 \r \h  \* MERGEFORMAT </w:instrText>
      </w:r>
      <w:r w:rsidR="003404A2" w:rsidRPr="00474B05">
        <w:rPr>
          <w:rFonts w:cstheme="majorHAnsi"/>
          <w:szCs w:val="20"/>
          <w:lang w:val="en-AU"/>
        </w:rPr>
      </w:r>
      <w:r w:rsidR="003404A2" w:rsidRPr="00474B05">
        <w:rPr>
          <w:rFonts w:cstheme="majorHAnsi"/>
          <w:szCs w:val="20"/>
          <w:lang w:val="en-AU"/>
        </w:rPr>
        <w:fldChar w:fldCharType="separate"/>
      </w:r>
      <w:r w:rsidR="00895089">
        <w:rPr>
          <w:rFonts w:cstheme="majorHAnsi"/>
          <w:szCs w:val="20"/>
          <w:lang w:val="en-AU"/>
        </w:rPr>
        <w:t>Appendix F</w:t>
      </w:r>
      <w:r w:rsidR="003404A2" w:rsidRPr="00474B05">
        <w:rPr>
          <w:rFonts w:cstheme="majorHAnsi"/>
          <w:szCs w:val="20"/>
          <w:lang w:val="en-AU"/>
        </w:rPr>
        <w:fldChar w:fldCharType="end"/>
      </w:r>
      <w:r w:rsidR="003404A2" w:rsidRPr="00D14CE9">
        <w:rPr>
          <w:rFonts w:cstheme="majorHAnsi"/>
          <w:szCs w:val="20"/>
          <w:lang w:val="en-AU"/>
        </w:rPr>
        <w:t xml:space="preserve"> of this Report.</w:t>
      </w:r>
    </w:p>
    <w:p w:rsidR="00D3438A" w:rsidRPr="00D14CE9" w:rsidRDefault="00D3438A" w:rsidP="00D3438A">
      <w:pPr>
        <w:pStyle w:val="EYBodytextwithparaspace"/>
        <w:rPr>
          <w:rFonts w:cstheme="majorHAnsi"/>
          <w:szCs w:val="20"/>
          <w:lang w:val="en-AU"/>
        </w:rPr>
      </w:pPr>
      <w:r>
        <w:rPr>
          <w:rFonts w:cstheme="majorHAnsi"/>
          <w:szCs w:val="20"/>
          <w:lang w:val="en-AU"/>
        </w:rPr>
        <w:t>The m</w:t>
      </w:r>
      <w:r w:rsidRPr="00D14CE9">
        <w:rPr>
          <w:rFonts w:cstheme="majorHAnsi"/>
          <w:szCs w:val="20"/>
          <w:lang w:val="en-AU"/>
        </w:rPr>
        <w:t xml:space="preserve">aps </w:t>
      </w:r>
      <w:r>
        <w:rPr>
          <w:rFonts w:cstheme="majorHAnsi"/>
          <w:szCs w:val="20"/>
          <w:lang w:val="en-AU"/>
        </w:rPr>
        <w:t>illustrating the aggregate demand for extractive resources per LGA for each scenario</w:t>
      </w:r>
      <w:r w:rsidR="00DF0626">
        <w:rPr>
          <w:rFonts w:cstheme="majorHAnsi"/>
          <w:szCs w:val="20"/>
          <w:lang w:val="en-AU"/>
        </w:rPr>
        <w:t xml:space="preserve"> </w:t>
      </w:r>
      <w:r>
        <w:rPr>
          <w:rFonts w:cstheme="majorHAnsi"/>
          <w:szCs w:val="20"/>
          <w:lang w:val="en-AU"/>
        </w:rPr>
        <w:t xml:space="preserve">are available in </w:t>
      </w:r>
      <w:r w:rsidR="00DF0626">
        <w:rPr>
          <w:rFonts w:cstheme="majorHAnsi"/>
          <w:szCs w:val="20"/>
          <w:lang w:val="en-AU"/>
        </w:rPr>
        <w:fldChar w:fldCharType="begin" w:fldLock="1"/>
      </w:r>
      <w:r w:rsidR="00DF0626">
        <w:rPr>
          <w:rFonts w:cstheme="majorHAnsi"/>
          <w:szCs w:val="20"/>
          <w:lang w:val="en-AU"/>
        </w:rPr>
        <w:instrText xml:space="preserve"> REF _Ref445136682 \r \h </w:instrText>
      </w:r>
      <w:r w:rsidR="00DF0626">
        <w:rPr>
          <w:rFonts w:cstheme="majorHAnsi"/>
          <w:szCs w:val="20"/>
          <w:lang w:val="en-AU"/>
        </w:rPr>
      </w:r>
      <w:r w:rsidR="00DF0626">
        <w:rPr>
          <w:rFonts w:cstheme="majorHAnsi"/>
          <w:szCs w:val="20"/>
          <w:lang w:val="en-AU"/>
        </w:rPr>
        <w:fldChar w:fldCharType="separate"/>
      </w:r>
      <w:r w:rsidR="00895089">
        <w:rPr>
          <w:rFonts w:cstheme="majorHAnsi"/>
          <w:szCs w:val="20"/>
          <w:lang w:val="en-AU"/>
        </w:rPr>
        <w:t>Appendix G</w:t>
      </w:r>
      <w:r w:rsidR="00DF0626">
        <w:rPr>
          <w:rFonts w:cstheme="majorHAnsi"/>
          <w:szCs w:val="20"/>
          <w:lang w:val="en-AU"/>
        </w:rPr>
        <w:fldChar w:fldCharType="end"/>
      </w:r>
      <w:r>
        <w:rPr>
          <w:rFonts w:cstheme="majorHAnsi"/>
          <w:szCs w:val="20"/>
          <w:lang w:val="en-AU"/>
        </w:rPr>
        <w:t xml:space="preserve"> of the Report</w:t>
      </w:r>
      <w:r w:rsidRPr="00D14CE9">
        <w:rPr>
          <w:rFonts w:cstheme="majorHAnsi"/>
          <w:szCs w:val="20"/>
          <w:lang w:val="en-AU"/>
        </w:rPr>
        <w:t>.</w:t>
      </w:r>
    </w:p>
    <w:p w:rsidR="003404A2" w:rsidRPr="00D14CE9" w:rsidRDefault="00D02DFB" w:rsidP="00C200D0">
      <w:pPr>
        <w:pStyle w:val="EYHeading2"/>
      </w:pPr>
      <w:bookmarkStart w:id="609" w:name="_Toc451847087"/>
      <w:r w:rsidRPr="00D14CE9">
        <w:t>High d</w:t>
      </w:r>
      <w:r w:rsidR="003404A2" w:rsidRPr="00D14CE9">
        <w:t>emand</w:t>
      </w:r>
      <w:bookmarkEnd w:id="609"/>
    </w:p>
    <w:p w:rsidR="003404A2" w:rsidRPr="00D14CE9" w:rsidRDefault="00C30C56" w:rsidP="00C200D0">
      <w:pPr>
        <w:pStyle w:val="EYHeading3"/>
      </w:pPr>
      <w:r>
        <w:t>Scenario 1A: i</w:t>
      </w:r>
      <w:r w:rsidR="003404A2" w:rsidRPr="00D14CE9">
        <w:t>ncrease by 20% of government project</w:t>
      </w:r>
      <w:r w:rsidR="00360EC7" w:rsidRPr="00D14CE9">
        <w:t>ion</w:t>
      </w:r>
      <w:r w:rsidR="003404A2" w:rsidRPr="00D14CE9">
        <w:t>s</w:t>
      </w:r>
      <w:r>
        <w:t xml:space="preserve"> </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Scenario 1A consisted of assessing the impact of an increase by 20% of government projections driving the demand for extractive resources. </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Based on demand drivers identified, this scenario has been performed by increasing the population and GSP growth by 20%, of the baseline projection but as per current projections for land use patterns. The scenario assumes that the 20% increase in demand drivers would result in a 20% increase in construction activities (residential, non-residential, transport, energy and utilities), therefore flowing through to a 20% increase of extractive resources demand but as per current projections of land use. It should be noted that within this scenario growth by 20% is not applied to transport major projects identified over the next ten years, as the demand for extractive resources should not increase for a specific project from those drivers. </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The impact of scenario 1A against the </w:t>
      </w:r>
      <w:r w:rsidR="00520170" w:rsidRPr="00D14CE9">
        <w:rPr>
          <w:rFonts w:cstheme="majorHAnsi"/>
          <w:szCs w:val="20"/>
          <w:lang w:val="en-AU"/>
        </w:rPr>
        <w:t xml:space="preserve">baseline </w:t>
      </w:r>
      <w:r w:rsidRPr="00D14CE9">
        <w:rPr>
          <w:rFonts w:cstheme="majorHAnsi"/>
          <w:szCs w:val="20"/>
          <w:lang w:val="en-AU"/>
        </w:rPr>
        <w:t xml:space="preserve">demand forecast, in terms of spatial allocation per LGA classification, is presented below </w:t>
      </w:r>
      <w:r w:rsidR="002542FD" w:rsidRPr="00D14CE9">
        <w:rPr>
          <w:rFonts w:cstheme="majorHAnsi"/>
          <w:szCs w:val="20"/>
          <w:lang w:val="en-AU"/>
        </w:rPr>
        <w:t xml:space="preserve">in </w:t>
      </w:r>
      <w:r w:rsidR="00AD6683">
        <w:rPr>
          <w:rFonts w:cstheme="majorHAnsi"/>
          <w:szCs w:val="20"/>
          <w:lang w:val="en-AU"/>
        </w:rPr>
        <w:fldChar w:fldCharType="begin"/>
      </w:r>
      <w:r w:rsidR="00AD6683">
        <w:rPr>
          <w:rFonts w:cstheme="majorHAnsi"/>
          <w:szCs w:val="20"/>
          <w:lang w:val="en-AU"/>
        </w:rPr>
        <w:instrText xml:space="preserve"> REF _Ref441417973 \h  \* MERGEFORMAT </w:instrText>
      </w:r>
      <w:r w:rsidR="00AD6683">
        <w:rPr>
          <w:rFonts w:cstheme="majorHAnsi"/>
          <w:szCs w:val="20"/>
          <w:lang w:val="en-AU"/>
        </w:rPr>
      </w:r>
      <w:r w:rsidR="00AD6683">
        <w:rPr>
          <w:rFonts w:cstheme="majorHAnsi"/>
          <w:szCs w:val="20"/>
          <w:lang w:val="en-AU"/>
        </w:rPr>
        <w:fldChar w:fldCharType="separate"/>
      </w:r>
      <w:r w:rsidR="00525C82" w:rsidRPr="00525C82">
        <w:rPr>
          <w:rFonts w:cstheme="majorHAnsi"/>
          <w:szCs w:val="20"/>
          <w:lang w:val="en-AU"/>
        </w:rPr>
        <w:t>Figure 24</w:t>
      </w:r>
      <w:r w:rsidR="00AD6683">
        <w:rPr>
          <w:rFonts w:cstheme="majorHAnsi"/>
          <w:szCs w:val="20"/>
          <w:lang w:val="en-AU"/>
        </w:rPr>
        <w:fldChar w:fldCharType="end"/>
      </w:r>
      <w:r w:rsidR="00F552CC" w:rsidRPr="00D14CE9">
        <w:rPr>
          <w:rFonts w:cstheme="majorHAnsi"/>
          <w:szCs w:val="20"/>
          <w:lang w:val="en-AU"/>
        </w:rPr>
        <w:t>.</w:t>
      </w:r>
    </w:p>
    <w:p w:rsidR="003404A2" w:rsidRPr="00D14CE9" w:rsidRDefault="003404A2" w:rsidP="00C200D0">
      <w:pPr>
        <w:pStyle w:val="Caption"/>
        <w:rPr>
          <w:sz w:val="16"/>
        </w:rPr>
      </w:pPr>
      <w:bookmarkStart w:id="610" w:name="_Ref441417973"/>
      <w:bookmarkStart w:id="611" w:name="_Toc445240922"/>
      <w:bookmarkStart w:id="612" w:name="_Toc448914586"/>
      <w:r w:rsidRPr="00D14CE9">
        <w:rPr>
          <w:sz w:val="16"/>
          <w:szCs w:val="18"/>
        </w:rPr>
        <w:t xml:space="preserve">Figure </w:t>
      </w:r>
      <w:r w:rsidRPr="00855A0C">
        <w:rPr>
          <w:sz w:val="16"/>
          <w:szCs w:val="18"/>
        </w:rPr>
        <w:fldChar w:fldCharType="begin"/>
      </w:r>
      <w:r w:rsidRPr="00D14CE9">
        <w:rPr>
          <w:sz w:val="16"/>
          <w:szCs w:val="18"/>
        </w:rPr>
        <w:instrText xml:space="preserve"> SEQ Figure \* ARABIC </w:instrText>
      </w:r>
      <w:r w:rsidRPr="00855A0C">
        <w:rPr>
          <w:sz w:val="16"/>
          <w:szCs w:val="18"/>
        </w:rPr>
        <w:fldChar w:fldCharType="separate"/>
      </w:r>
      <w:r w:rsidR="00525C82">
        <w:rPr>
          <w:noProof/>
          <w:sz w:val="16"/>
          <w:szCs w:val="18"/>
        </w:rPr>
        <w:t>24</w:t>
      </w:r>
      <w:r w:rsidRPr="00855A0C">
        <w:rPr>
          <w:sz w:val="16"/>
          <w:szCs w:val="18"/>
        </w:rPr>
        <w:fldChar w:fldCharType="end"/>
      </w:r>
      <w:bookmarkEnd w:id="610"/>
      <w:r w:rsidRPr="00D14CE9">
        <w:rPr>
          <w:sz w:val="16"/>
          <w:szCs w:val="18"/>
        </w:rPr>
        <w:t xml:space="preserve"> – </w:t>
      </w:r>
      <w:r w:rsidR="00A52BFF" w:rsidRPr="00D14CE9">
        <w:rPr>
          <w:sz w:val="16"/>
          <w:szCs w:val="18"/>
        </w:rPr>
        <w:t>Total d</w:t>
      </w:r>
      <w:r w:rsidRPr="00D14CE9">
        <w:rPr>
          <w:sz w:val="16"/>
          <w:szCs w:val="18"/>
        </w:rPr>
        <w:t xml:space="preserve">emand </w:t>
      </w:r>
      <w:r w:rsidR="00A52BFF" w:rsidRPr="00D14CE9">
        <w:rPr>
          <w:sz w:val="16"/>
          <w:szCs w:val="18"/>
        </w:rPr>
        <w:t>for extractive resources over the period</w:t>
      </w:r>
      <w:r w:rsidRPr="00D14CE9">
        <w:rPr>
          <w:sz w:val="16"/>
          <w:szCs w:val="18"/>
        </w:rPr>
        <w:t xml:space="preserve"> 2015-2050 – </w:t>
      </w:r>
      <w:r w:rsidR="00520170" w:rsidRPr="00D14CE9">
        <w:rPr>
          <w:sz w:val="16"/>
          <w:szCs w:val="18"/>
        </w:rPr>
        <w:t xml:space="preserve">Baseline </w:t>
      </w:r>
      <w:r w:rsidRPr="00D14CE9">
        <w:rPr>
          <w:sz w:val="16"/>
          <w:szCs w:val="18"/>
        </w:rPr>
        <w:t>vs. Scenario 1A</w:t>
      </w:r>
      <w:bookmarkEnd w:id="611"/>
      <w:bookmarkEnd w:id="612"/>
      <w:r w:rsidRPr="00D14CE9">
        <w:rPr>
          <w:sz w:val="16"/>
          <w:szCs w:val="18"/>
        </w:rPr>
        <w:t xml:space="preserve"> </w:t>
      </w:r>
    </w:p>
    <w:p w:rsidR="00C061E0" w:rsidRPr="00D14CE9" w:rsidRDefault="006636EA" w:rsidP="00C200D0">
      <w:pPr>
        <w:rPr>
          <w:highlight w:val="yellow"/>
        </w:rPr>
      </w:pPr>
      <w:r>
        <w:rPr>
          <w:noProof/>
          <w:lang w:eastAsia="en-AU"/>
        </w:rPr>
        <w:drawing>
          <wp:inline distT="0" distB="0" distL="0" distR="0" wp14:anchorId="06E68106" wp14:editId="53F06DF6">
            <wp:extent cx="5847008" cy="1989455"/>
            <wp:effectExtent l="0" t="0" r="1905" b="0"/>
            <wp:docPr id="2095" name="Picture 2095" descr="Figure 24 shows the total demand for extractive resources over the period 2015-2050 by comparing the baseline with scenario 1A.  In each of the total, baseline urban infil LGAs, Baseline urban growth areas and baseline regional LGAs, the scenario 1A values are higher. &#10;&#10;" title="Figure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a:extLst>
                        <a:ext uri="{28A0092B-C50C-407E-A947-70E740481C1C}">
                          <a14:useLocalDpi xmlns:a14="http://schemas.microsoft.com/office/drawing/2010/main" val="0"/>
                        </a:ext>
                      </a:extLst>
                    </a:blip>
                    <a:srcRect l="545" t="949" r="565" b="1262"/>
                    <a:stretch/>
                  </pic:blipFill>
                  <pic:spPr bwMode="auto">
                    <a:xfrm>
                      <a:off x="0" y="0"/>
                      <a:ext cx="5897327" cy="2006576"/>
                    </a:xfrm>
                    <a:prstGeom prst="rect">
                      <a:avLst/>
                    </a:prstGeom>
                    <a:noFill/>
                    <a:ln>
                      <a:noFill/>
                    </a:ln>
                    <a:extLst>
                      <a:ext uri="{53640926-AAD7-44D8-BBD7-CCE9431645EC}">
                        <a14:shadowObscured xmlns:a14="http://schemas.microsoft.com/office/drawing/2010/main"/>
                      </a:ext>
                    </a:extLst>
                  </pic:spPr>
                </pic:pic>
              </a:graphicData>
            </a:graphic>
          </wp:inline>
        </w:drawing>
      </w:r>
    </w:p>
    <w:p w:rsidR="00AE671A" w:rsidRPr="00D14CE9" w:rsidRDefault="00AE671A" w:rsidP="00AE671A">
      <w:pPr>
        <w:pStyle w:val="ListParagraph"/>
        <w:numPr>
          <w:ilvl w:val="0"/>
          <w:numId w:val="9"/>
        </w:numPr>
        <w:rPr>
          <w:rFonts w:ascii="EYInterstate Light" w:hAnsi="EYInterstate Light"/>
          <w:i/>
          <w:sz w:val="16"/>
          <w:szCs w:val="16"/>
        </w:rPr>
      </w:pPr>
      <w:r w:rsidRPr="00D14CE9">
        <w:rPr>
          <w:rFonts w:ascii="EYInterstate Light" w:hAnsi="EYInterstate Light"/>
          <w:i/>
          <w:sz w:val="16"/>
          <w:szCs w:val="16"/>
        </w:rPr>
        <w:t>Source: EY analysis</w:t>
      </w:r>
    </w:p>
    <w:p w:rsidR="00892B00" w:rsidRPr="00D14CE9" w:rsidRDefault="00892B00" w:rsidP="00892B00">
      <w:pPr>
        <w:pStyle w:val="EYBodytextwithparaspace"/>
        <w:rPr>
          <w:rFonts w:cstheme="majorHAnsi"/>
          <w:szCs w:val="20"/>
          <w:lang w:val="en-AU"/>
        </w:rPr>
      </w:pPr>
      <w:r w:rsidRPr="00D14CE9">
        <w:rPr>
          <w:rFonts w:cstheme="majorHAnsi"/>
          <w:szCs w:val="20"/>
          <w:lang w:val="en-AU"/>
        </w:rPr>
        <w:t>The following table summarises how the scenario 1A compares to the baseline demand projections over the short, medium and long term, in aggregate for LGAs in Urban Infill locations, Urban Growth Areas and regional areas: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16"/>
        <w:tblDescription w:val="Table 16 compares demand forecasts under the baseline and scenario 1A scenarios.  Total demand in 2015 for baseline is 46.4 million tonnes, and for scenario 1A it is 55.7 million tonnes. Total demand forecasted for 2026 for baseline is 55.8 million tonnes, and for scenario 1A it is 67 million tonnes. Total demand in 2050 for baseline is 87.8 million tonnes, and for scenario 1A it is 105.3 million tonnes.&#10;&#10;"/>
      </w:tblPr>
      <w:tblGrid>
        <w:gridCol w:w="3346"/>
        <w:gridCol w:w="2126"/>
        <w:gridCol w:w="2126"/>
        <w:gridCol w:w="1661"/>
      </w:tblGrid>
      <w:tr w:rsidR="00892B00" w:rsidRPr="00D14CE9" w:rsidTr="00BB2299">
        <w:tc>
          <w:tcPr>
            <w:tcW w:w="5000" w:type="pct"/>
            <w:gridSpan w:val="4"/>
            <w:shd w:val="clear" w:color="auto" w:fill="808080" w:themeFill="background1" w:themeFillShade="80"/>
            <w:vAlign w:val="center"/>
          </w:tcPr>
          <w:p w:rsidR="00892B00" w:rsidRPr="00D14CE9" w:rsidRDefault="00892B00" w:rsidP="00802792">
            <w:pPr>
              <w:pStyle w:val="EYTableHeadingWhite"/>
            </w:pPr>
            <w:bookmarkStart w:id="613" w:name="_Toc445240950"/>
            <w:bookmarkStart w:id="614" w:name="_Toc448914643"/>
            <w:bookmarkStart w:id="615" w:name="_Toc448920460"/>
            <w:r w:rsidRPr="00D14CE9">
              <w:lastRenderedPageBreak/>
              <w:t xml:space="preserve">Table </w:t>
            </w:r>
            <w:r w:rsidR="000701D2">
              <w:fldChar w:fldCharType="begin"/>
            </w:r>
            <w:r w:rsidR="000701D2">
              <w:instrText xml:space="preserve"> SEQ Table \* ARABIC </w:instrText>
            </w:r>
            <w:r w:rsidR="000701D2">
              <w:fldChar w:fldCharType="separate"/>
            </w:r>
            <w:r w:rsidR="00525C82">
              <w:rPr>
                <w:noProof/>
              </w:rPr>
              <w:t>16</w:t>
            </w:r>
            <w:r w:rsidR="000701D2">
              <w:rPr>
                <w:noProof/>
              </w:rPr>
              <w:fldChar w:fldCharType="end"/>
            </w:r>
            <w:r w:rsidRPr="00D14CE9">
              <w:t xml:space="preserve"> – Demand Forecast – Baseline vs. Scenario 1A – Total in 2015, 2026 and 2050 (million tonnes)</w:t>
            </w:r>
            <w:bookmarkEnd w:id="613"/>
            <w:bookmarkEnd w:id="614"/>
            <w:bookmarkEnd w:id="615"/>
          </w:p>
        </w:tc>
      </w:tr>
      <w:tr w:rsidR="00892B00" w:rsidRPr="00D14CE9" w:rsidTr="00BB2299">
        <w:tc>
          <w:tcPr>
            <w:tcW w:w="1807" w:type="pct"/>
            <w:shd w:val="clear" w:color="auto" w:fill="F0F0F0"/>
            <w:vAlign w:val="center"/>
          </w:tcPr>
          <w:p w:rsidR="00892B00" w:rsidRPr="00D14CE9" w:rsidRDefault="00892B00" w:rsidP="00E65C9D">
            <w:pPr>
              <w:pStyle w:val="EYTableHeading"/>
              <w:jc w:val="center"/>
              <w:rPr>
                <w:rFonts w:eastAsia="Arial Unicode MS"/>
              </w:rPr>
            </w:pPr>
          </w:p>
        </w:tc>
        <w:tc>
          <w:tcPr>
            <w:tcW w:w="1148" w:type="pct"/>
            <w:shd w:val="clear" w:color="auto" w:fill="F0F0F0"/>
            <w:vAlign w:val="center"/>
          </w:tcPr>
          <w:p w:rsidR="00892B00" w:rsidRPr="00D14CE9" w:rsidRDefault="00892B00" w:rsidP="00E65C9D">
            <w:pPr>
              <w:pStyle w:val="EYTableHeading"/>
              <w:jc w:val="center"/>
              <w:rPr>
                <w:rFonts w:eastAsia="Arial Unicode MS"/>
              </w:rPr>
            </w:pPr>
            <w:r w:rsidRPr="00D14CE9">
              <w:t>2015</w:t>
            </w:r>
          </w:p>
        </w:tc>
        <w:tc>
          <w:tcPr>
            <w:tcW w:w="1148" w:type="pct"/>
            <w:shd w:val="clear" w:color="auto" w:fill="F0F0F0"/>
            <w:vAlign w:val="center"/>
          </w:tcPr>
          <w:p w:rsidR="00892B00" w:rsidRPr="00D14CE9" w:rsidRDefault="00892B00" w:rsidP="00E65C9D">
            <w:pPr>
              <w:pStyle w:val="EYTableHeading"/>
              <w:jc w:val="center"/>
              <w:rPr>
                <w:rFonts w:eastAsia="Arial Unicode MS"/>
              </w:rPr>
            </w:pPr>
            <w:r w:rsidRPr="00D14CE9">
              <w:t>2026</w:t>
            </w:r>
          </w:p>
        </w:tc>
        <w:tc>
          <w:tcPr>
            <w:tcW w:w="897" w:type="pct"/>
            <w:shd w:val="clear" w:color="auto" w:fill="F0F0F0"/>
            <w:vAlign w:val="center"/>
          </w:tcPr>
          <w:p w:rsidR="00892B00" w:rsidRPr="00D14CE9" w:rsidRDefault="00892B00" w:rsidP="00E65C9D">
            <w:pPr>
              <w:pStyle w:val="EYTableHeading"/>
              <w:jc w:val="center"/>
            </w:pPr>
            <w:r w:rsidRPr="00D14CE9">
              <w:t>2050</w:t>
            </w:r>
          </w:p>
        </w:tc>
      </w:tr>
      <w:tr w:rsidR="00892B00" w:rsidRPr="00D14CE9" w:rsidTr="00BB2299">
        <w:trPr>
          <w:trHeight w:val="315"/>
        </w:trPr>
        <w:tc>
          <w:tcPr>
            <w:tcW w:w="5000" w:type="pct"/>
            <w:gridSpan w:val="4"/>
            <w:noWrap/>
            <w:vAlign w:val="center"/>
          </w:tcPr>
          <w:p w:rsidR="00892B00" w:rsidRPr="00D14CE9" w:rsidRDefault="00892B00" w:rsidP="00BB2299">
            <w:pPr>
              <w:rPr>
                <w:b/>
                <w:sz w:val="16"/>
                <w:szCs w:val="16"/>
              </w:rPr>
            </w:pPr>
            <w:r w:rsidRPr="00D14CE9">
              <w:rPr>
                <w:rFonts w:cs="Calibri"/>
                <w:b/>
                <w:color w:val="000000"/>
                <w:sz w:val="16"/>
                <w:szCs w:val="16"/>
              </w:rPr>
              <w:t>Baseline</w:t>
            </w:r>
          </w:p>
        </w:tc>
      </w:tr>
      <w:tr w:rsidR="00B03B5E" w:rsidRPr="00D14CE9" w:rsidTr="00BB2299">
        <w:trPr>
          <w:trHeight w:val="315"/>
        </w:trPr>
        <w:tc>
          <w:tcPr>
            <w:tcW w:w="1807" w:type="pct"/>
            <w:noWrap/>
            <w:vAlign w:val="center"/>
          </w:tcPr>
          <w:p w:rsidR="00B03B5E" w:rsidRPr="00D14CE9" w:rsidRDefault="00B03B5E" w:rsidP="00BB2299">
            <w:pPr>
              <w:rPr>
                <w:sz w:val="16"/>
                <w:szCs w:val="16"/>
              </w:rPr>
            </w:pPr>
            <w:r w:rsidRPr="00D14CE9">
              <w:rPr>
                <w:rFonts w:cs="Calibri"/>
                <w:color w:val="000000"/>
                <w:sz w:val="16"/>
                <w:szCs w:val="16"/>
              </w:rPr>
              <w:t>Urban Infill LGAs</w:t>
            </w:r>
          </w:p>
        </w:tc>
        <w:tc>
          <w:tcPr>
            <w:tcW w:w="1148" w:type="pct"/>
            <w:noWrap/>
            <w:vAlign w:val="center"/>
          </w:tcPr>
          <w:p w:rsidR="00B03B5E" w:rsidRPr="00D14CE9" w:rsidRDefault="00B03B5E" w:rsidP="00BB2299">
            <w:pPr>
              <w:jc w:val="center"/>
              <w:rPr>
                <w:sz w:val="16"/>
                <w:szCs w:val="16"/>
              </w:rPr>
            </w:pPr>
            <w:r w:rsidRPr="00D14CE9">
              <w:rPr>
                <w:sz w:val="16"/>
                <w:szCs w:val="16"/>
              </w:rPr>
              <w:t>22.3</w:t>
            </w:r>
          </w:p>
        </w:tc>
        <w:tc>
          <w:tcPr>
            <w:tcW w:w="1148" w:type="pct"/>
            <w:noWrap/>
            <w:vAlign w:val="center"/>
          </w:tcPr>
          <w:p w:rsidR="00B03B5E" w:rsidRPr="00D14CE9" w:rsidRDefault="00B03B5E" w:rsidP="00BB2299">
            <w:pPr>
              <w:jc w:val="center"/>
              <w:rPr>
                <w:sz w:val="16"/>
                <w:szCs w:val="16"/>
              </w:rPr>
            </w:pPr>
            <w:r w:rsidRPr="00D14CE9">
              <w:rPr>
                <w:sz w:val="16"/>
                <w:szCs w:val="16"/>
              </w:rPr>
              <w:t>25.6</w:t>
            </w:r>
          </w:p>
        </w:tc>
        <w:tc>
          <w:tcPr>
            <w:tcW w:w="897" w:type="pct"/>
            <w:vAlign w:val="center"/>
          </w:tcPr>
          <w:p w:rsidR="00B03B5E" w:rsidRPr="00D14CE9" w:rsidRDefault="00B03B5E" w:rsidP="00BB2299">
            <w:pPr>
              <w:jc w:val="center"/>
              <w:rPr>
                <w:sz w:val="16"/>
                <w:szCs w:val="16"/>
              </w:rPr>
            </w:pPr>
            <w:r w:rsidRPr="00D14CE9">
              <w:rPr>
                <w:sz w:val="16"/>
                <w:szCs w:val="16"/>
              </w:rPr>
              <w:t>46.0</w:t>
            </w:r>
          </w:p>
        </w:tc>
      </w:tr>
      <w:tr w:rsidR="00B03B5E" w:rsidRPr="00D14CE9" w:rsidTr="00BB2299">
        <w:trPr>
          <w:trHeight w:val="315"/>
        </w:trPr>
        <w:tc>
          <w:tcPr>
            <w:tcW w:w="1807" w:type="pct"/>
            <w:noWrap/>
            <w:vAlign w:val="center"/>
          </w:tcPr>
          <w:p w:rsidR="00B03B5E" w:rsidRPr="00D14CE9" w:rsidRDefault="00B03B5E" w:rsidP="00BB2299">
            <w:pPr>
              <w:rPr>
                <w:rFonts w:cs="Calibri"/>
                <w:color w:val="000000"/>
                <w:sz w:val="16"/>
                <w:szCs w:val="16"/>
              </w:rPr>
            </w:pPr>
            <w:r w:rsidRPr="00D14CE9">
              <w:rPr>
                <w:rFonts w:cs="Calibri"/>
                <w:color w:val="000000"/>
                <w:sz w:val="16"/>
                <w:szCs w:val="16"/>
              </w:rPr>
              <w:t>Urban Growth Areas LGAs</w:t>
            </w:r>
          </w:p>
        </w:tc>
        <w:tc>
          <w:tcPr>
            <w:tcW w:w="1148" w:type="pct"/>
            <w:noWrap/>
            <w:vAlign w:val="center"/>
          </w:tcPr>
          <w:p w:rsidR="00B03B5E" w:rsidRPr="00D14CE9" w:rsidRDefault="00B03B5E" w:rsidP="00BB2299">
            <w:pPr>
              <w:jc w:val="center"/>
              <w:rPr>
                <w:sz w:val="16"/>
                <w:szCs w:val="16"/>
              </w:rPr>
            </w:pPr>
            <w:r w:rsidRPr="00D14CE9">
              <w:rPr>
                <w:sz w:val="16"/>
                <w:szCs w:val="16"/>
              </w:rPr>
              <w:t>15.4</w:t>
            </w:r>
          </w:p>
        </w:tc>
        <w:tc>
          <w:tcPr>
            <w:tcW w:w="1148" w:type="pct"/>
            <w:noWrap/>
            <w:vAlign w:val="center"/>
          </w:tcPr>
          <w:p w:rsidR="00B03B5E" w:rsidRPr="00D14CE9" w:rsidRDefault="00B03B5E" w:rsidP="00BB2299">
            <w:pPr>
              <w:jc w:val="center"/>
              <w:rPr>
                <w:sz w:val="16"/>
                <w:szCs w:val="16"/>
              </w:rPr>
            </w:pPr>
            <w:r w:rsidRPr="00D14CE9">
              <w:rPr>
                <w:sz w:val="16"/>
                <w:szCs w:val="16"/>
              </w:rPr>
              <w:t>19.6</w:t>
            </w:r>
          </w:p>
        </w:tc>
        <w:tc>
          <w:tcPr>
            <w:tcW w:w="897" w:type="pct"/>
            <w:vAlign w:val="center"/>
          </w:tcPr>
          <w:p w:rsidR="00B03B5E" w:rsidRPr="00D14CE9" w:rsidRDefault="00B03B5E" w:rsidP="00BB2299">
            <w:pPr>
              <w:jc w:val="center"/>
              <w:rPr>
                <w:sz w:val="16"/>
                <w:szCs w:val="16"/>
              </w:rPr>
            </w:pPr>
            <w:r w:rsidRPr="00D14CE9">
              <w:rPr>
                <w:sz w:val="16"/>
                <w:szCs w:val="16"/>
              </w:rPr>
              <w:t>24.3</w:t>
            </w:r>
          </w:p>
        </w:tc>
      </w:tr>
      <w:tr w:rsidR="00B03B5E" w:rsidRPr="00D14CE9" w:rsidTr="00BB2299">
        <w:trPr>
          <w:trHeight w:val="315"/>
        </w:trPr>
        <w:tc>
          <w:tcPr>
            <w:tcW w:w="1807" w:type="pct"/>
            <w:noWrap/>
            <w:vAlign w:val="center"/>
          </w:tcPr>
          <w:p w:rsidR="00B03B5E" w:rsidRPr="00D14CE9" w:rsidRDefault="00B03B5E" w:rsidP="00BB2299">
            <w:pPr>
              <w:rPr>
                <w:rFonts w:cs="Calibri"/>
                <w:color w:val="000000"/>
                <w:sz w:val="16"/>
                <w:szCs w:val="16"/>
              </w:rPr>
            </w:pPr>
            <w:r w:rsidRPr="00D14CE9">
              <w:rPr>
                <w:rFonts w:cs="Calibri"/>
                <w:color w:val="000000"/>
                <w:sz w:val="16"/>
                <w:szCs w:val="16"/>
              </w:rPr>
              <w:t>Regional LGAs</w:t>
            </w:r>
          </w:p>
        </w:tc>
        <w:tc>
          <w:tcPr>
            <w:tcW w:w="1148" w:type="pct"/>
            <w:noWrap/>
            <w:vAlign w:val="center"/>
          </w:tcPr>
          <w:p w:rsidR="00B03B5E" w:rsidRPr="00D14CE9" w:rsidRDefault="00B03B5E" w:rsidP="00BB2299">
            <w:pPr>
              <w:jc w:val="center"/>
              <w:rPr>
                <w:sz w:val="16"/>
                <w:szCs w:val="16"/>
              </w:rPr>
            </w:pPr>
            <w:r w:rsidRPr="00D14CE9">
              <w:rPr>
                <w:sz w:val="16"/>
                <w:szCs w:val="16"/>
              </w:rPr>
              <w:t>8.7</w:t>
            </w:r>
          </w:p>
        </w:tc>
        <w:tc>
          <w:tcPr>
            <w:tcW w:w="1148" w:type="pct"/>
            <w:noWrap/>
            <w:vAlign w:val="center"/>
          </w:tcPr>
          <w:p w:rsidR="00B03B5E" w:rsidRPr="00D14CE9" w:rsidRDefault="00B03B5E" w:rsidP="00BB2299">
            <w:pPr>
              <w:jc w:val="center"/>
              <w:rPr>
                <w:sz w:val="16"/>
                <w:szCs w:val="16"/>
              </w:rPr>
            </w:pPr>
            <w:r w:rsidRPr="00D14CE9">
              <w:rPr>
                <w:sz w:val="16"/>
                <w:szCs w:val="16"/>
              </w:rPr>
              <w:t>10.6</w:t>
            </w:r>
          </w:p>
        </w:tc>
        <w:tc>
          <w:tcPr>
            <w:tcW w:w="897" w:type="pct"/>
            <w:vAlign w:val="center"/>
          </w:tcPr>
          <w:p w:rsidR="00B03B5E" w:rsidRPr="00D14CE9" w:rsidRDefault="00B03B5E" w:rsidP="00BB2299">
            <w:pPr>
              <w:jc w:val="center"/>
              <w:rPr>
                <w:sz w:val="16"/>
                <w:szCs w:val="16"/>
              </w:rPr>
            </w:pPr>
            <w:r w:rsidRPr="00D14CE9">
              <w:rPr>
                <w:sz w:val="16"/>
                <w:szCs w:val="16"/>
              </w:rPr>
              <w:t>17.5</w:t>
            </w:r>
          </w:p>
        </w:tc>
      </w:tr>
      <w:tr w:rsidR="00B03B5E" w:rsidRPr="00D14CE9" w:rsidTr="00BB2299">
        <w:trPr>
          <w:trHeight w:val="315"/>
        </w:trPr>
        <w:tc>
          <w:tcPr>
            <w:tcW w:w="1807" w:type="pct"/>
            <w:noWrap/>
            <w:vAlign w:val="center"/>
          </w:tcPr>
          <w:p w:rsidR="00B03B5E" w:rsidRPr="00D14CE9" w:rsidRDefault="00B03B5E" w:rsidP="00BB2299">
            <w:pPr>
              <w:rPr>
                <w:rFonts w:cs="Calibri"/>
                <w:b/>
                <w:color w:val="000000"/>
                <w:sz w:val="16"/>
                <w:szCs w:val="16"/>
              </w:rPr>
            </w:pPr>
            <w:r w:rsidRPr="00D14CE9">
              <w:rPr>
                <w:rFonts w:cs="Calibri"/>
                <w:b/>
                <w:color w:val="000000"/>
                <w:sz w:val="16"/>
                <w:szCs w:val="16"/>
              </w:rPr>
              <w:t>Total Demand</w:t>
            </w:r>
          </w:p>
        </w:tc>
        <w:tc>
          <w:tcPr>
            <w:tcW w:w="1148" w:type="pct"/>
            <w:noWrap/>
            <w:vAlign w:val="center"/>
          </w:tcPr>
          <w:p w:rsidR="00B03B5E" w:rsidRPr="00D14CE9" w:rsidRDefault="00B03B5E" w:rsidP="00BB2299">
            <w:pPr>
              <w:jc w:val="center"/>
              <w:rPr>
                <w:b/>
                <w:sz w:val="16"/>
                <w:szCs w:val="16"/>
              </w:rPr>
            </w:pPr>
            <w:r w:rsidRPr="00D14CE9">
              <w:rPr>
                <w:b/>
                <w:sz w:val="16"/>
                <w:szCs w:val="16"/>
              </w:rPr>
              <w:t>46.4</w:t>
            </w:r>
          </w:p>
        </w:tc>
        <w:tc>
          <w:tcPr>
            <w:tcW w:w="1148" w:type="pct"/>
            <w:noWrap/>
            <w:vAlign w:val="center"/>
          </w:tcPr>
          <w:p w:rsidR="00B03B5E" w:rsidRPr="00D14CE9" w:rsidRDefault="00B03B5E" w:rsidP="00BB2299">
            <w:pPr>
              <w:jc w:val="center"/>
              <w:rPr>
                <w:b/>
                <w:sz w:val="16"/>
                <w:szCs w:val="16"/>
              </w:rPr>
            </w:pPr>
            <w:r w:rsidRPr="00D14CE9">
              <w:rPr>
                <w:b/>
                <w:sz w:val="16"/>
                <w:szCs w:val="16"/>
              </w:rPr>
              <w:t>55.8</w:t>
            </w:r>
          </w:p>
        </w:tc>
        <w:tc>
          <w:tcPr>
            <w:tcW w:w="897" w:type="pct"/>
            <w:vAlign w:val="center"/>
          </w:tcPr>
          <w:p w:rsidR="00B03B5E" w:rsidRPr="00D14CE9" w:rsidRDefault="00B03B5E" w:rsidP="00BB2299">
            <w:pPr>
              <w:jc w:val="center"/>
              <w:rPr>
                <w:b/>
                <w:sz w:val="16"/>
                <w:szCs w:val="16"/>
              </w:rPr>
            </w:pPr>
            <w:r w:rsidRPr="00D14CE9">
              <w:rPr>
                <w:b/>
                <w:sz w:val="16"/>
                <w:szCs w:val="16"/>
              </w:rPr>
              <w:t>87.8</w:t>
            </w:r>
          </w:p>
        </w:tc>
      </w:tr>
      <w:tr w:rsidR="00892B00" w:rsidRPr="00D14CE9" w:rsidTr="00BB2299">
        <w:trPr>
          <w:trHeight w:val="315"/>
        </w:trPr>
        <w:tc>
          <w:tcPr>
            <w:tcW w:w="5000" w:type="pct"/>
            <w:gridSpan w:val="4"/>
            <w:noWrap/>
            <w:vAlign w:val="center"/>
          </w:tcPr>
          <w:p w:rsidR="00892B00" w:rsidRPr="00D14CE9" w:rsidRDefault="00892B00" w:rsidP="00716615">
            <w:pPr>
              <w:rPr>
                <w:b/>
                <w:sz w:val="16"/>
                <w:szCs w:val="16"/>
              </w:rPr>
            </w:pPr>
            <w:r w:rsidRPr="00D14CE9">
              <w:rPr>
                <w:rFonts w:cs="Calibri"/>
                <w:b/>
                <w:color w:val="000000"/>
                <w:sz w:val="16"/>
                <w:szCs w:val="16"/>
              </w:rPr>
              <w:t>Scenario 1A</w:t>
            </w:r>
          </w:p>
        </w:tc>
      </w:tr>
      <w:tr w:rsidR="00892B00" w:rsidRPr="00D14CE9" w:rsidTr="00BB2299">
        <w:trPr>
          <w:trHeight w:val="315"/>
        </w:trPr>
        <w:tc>
          <w:tcPr>
            <w:tcW w:w="1807" w:type="pct"/>
            <w:noWrap/>
            <w:vAlign w:val="center"/>
          </w:tcPr>
          <w:p w:rsidR="00892B00" w:rsidRPr="00D14CE9" w:rsidRDefault="00892B00" w:rsidP="00BB2299">
            <w:pPr>
              <w:rPr>
                <w:rFonts w:cs="Calibri"/>
                <w:b/>
                <w:color w:val="000000"/>
                <w:sz w:val="16"/>
                <w:szCs w:val="16"/>
              </w:rPr>
            </w:pPr>
            <w:r w:rsidRPr="00D14CE9">
              <w:rPr>
                <w:rFonts w:cs="Calibri"/>
                <w:color w:val="000000"/>
                <w:sz w:val="16"/>
                <w:szCs w:val="16"/>
              </w:rPr>
              <w:t>Urban Infill LGAs</w:t>
            </w:r>
          </w:p>
        </w:tc>
        <w:tc>
          <w:tcPr>
            <w:tcW w:w="1148" w:type="pct"/>
            <w:noWrap/>
            <w:vAlign w:val="center"/>
          </w:tcPr>
          <w:p w:rsidR="00892B00" w:rsidRPr="00D14CE9" w:rsidRDefault="00B03B5E" w:rsidP="00716615">
            <w:pPr>
              <w:jc w:val="center"/>
              <w:rPr>
                <w:sz w:val="16"/>
                <w:szCs w:val="16"/>
              </w:rPr>
            </w:pPr>
            <w:r w:rsidRPr="00D14CE9">
              <w:rPr>
                <w:sz w:val="16"/>
                <w:szCs w:val="16"/>
              </w:rPr>
              <w:t>26.7</w:t>
            </w:r>
          </w:p>
        </w:tc>
        <w:tc>
          <w:tcPr>
            <w:tcW w:w="1148" w:type="pct"/>
            <w:noWrap/>
            <w:vAlign w:val="center"/>
          </w:tcPr>
          <w:p w:rsidR="00892B00" w:rsidRPr="00D14CE9" w:rsidRDefault="00B03B5E" w:rsidP="00BB2299">
            <w:pPr>
              <w:jc w:val="center"/>
              <w:rPr>
                <w:sz w:val="16"/>
                <w:szCs w:val="16"/>
              </w:rPr>
            </w:pPr>
            <w:r w:rsidRPr="00D14CE9">
              <w:rPr>
                <w:sz w:val="16"/>
                <w:szCs w:val="16"/>
              </w:rPr>
              <w:t>30.7</w:t>
            </w:r>
          </w:p>
        </w:tc>
        <w:tc>
          <w:tcPr>
            <w:tcW w:w="897" w:type="pct"/>
            <w:vAlign w:val="center"/>
          </w:tcPr>
          <w:p w:rsidR="00892B00" w:rsidRPr="00D14CE9" w:rsidRDefault="00B03B5E" w:rsidP="00BB2299">
            <w:pPr>
              <w:jc w:val="center"/>
              <w:rPr>
                <w:sz w:val="16"/>
                <w:szCs w:val="16"/>
              </w:rPr>
            </w:pPr>
            <w:r w:rsidRPr="00D14CE9">
              <w:rPr>
                <w:sz w:val="16"/>
                <w:szCs w:val="16"/>
              </w:rPr>
              <w:t>55.2</w:t>
            </w:r>
          </w:p>
        </w:tc>
      </w:tr>
      <w:tr w:rsidR="00892B00" w:rsidRPr="00D14CE9" w:rsidTr="00BB2299">
        <w:trPr>
          <w:trHeight w:val="315"/>
        </w:trPr>
        <w:tc>
          <w:tcPr>
            <w:tcW w:w="1807" w:type="pct"/>
            <w:noWrap/>
            <w:vAlign w:val="center"/>
          </w:tcPr>
          <w:p w:rsidR="00892B00" w:rsidRPr="00D14CE9" w:rsidRDefault="00892B00" w:rsidP="00BB2299">
            <w:pPr>
              <w:rPr>
                <w:rFonts w:cs="Calibri"/>
                <w:b/>
                <w:color w:val="000000"/>
                <w:sz w:val="16"/>
                <w:szCs w:val="16"/>
              </w:rPr>
            </w:pPr>
            <w:r w:rsidRPr="00D14CE9">
              <w:rPr>
                <w:rFonts w:cs="Calibri"/>
                <w:color w:val="000000"/>
                <w:sz w:val="16"/>
                <w:szCs w:val="16"/>
              </w:rPr>
              <w:t>Urban Growth Areas LGAs</w:t>
            </w:r>
          </w:p>
        </w:tc>
        <w:tc>
          <w:tcPr>
            <w:tcW w:w="1148" w:type="pct"/>
            <w:noWrap/>
            <w:vAlign w:val="center"/>
          </w:tcPr>
          <w:p w:rsidR="00892B00" w:rsidRPr="00D14CE9" w:rsidRDefault="00B03B5E" w:rsidP="00BB2299">
            <w:pPr>
              <w:jc w:val="center"/>
              <w:rPr>
                <w:sz w:val="16"/>
                <w:szCs w:val="16"/>
              </w:rPr>
            </w:pPr>
            <w:r w:rsidRPr="00D14CE9">
              <w:rPr>
                <w:sz w:val="16"/>
                <w:szCs w:val="16"/>
              </w:rPr>
              <w:t>18.5</w:t>
            </w:r>
          </w:p>
        </w:tc>
        <w:tc>
          <w:tcPr>
            <w:tcW w:w="1148" w:type="pct"/>
            <w:noWrap/>
            <w:vAlign w:val="center"/>
          </w:tcPr>
          <w:p w:rsidR="00892B00" w:rsidRPr="00D14CE9" w:rsidRDefault="00B03B5E" w:rsidP="00BB2299">
            <w:pPr>
              <w:jc w:val="center"/>
              <w:rPr>
                <w:sz w:val="16"/>
                <w:szCs w:val="16"/>
              </w:rPr>
            </w:pPr>
            <w:r w:rsidRPr="00D14CE9">
              <w:rPr>
                <w:sz w:val="16"/>
                <w:szCs w:val="16"/>
              </w:rPr>
              <w:t>23.5</w:t>
            </w:r>
          </w:p>
        </w:tc>
        <w:tc>
          <w:tcPr>
            <w:tcW w:w="897" w:type="pct"/>
            <w:vAlign w:val="center"/>
          </w:tcPr>
          <w:p w:rsidR="00892B00" w:rsidRPr="00D14CE9" w:rsidRDefault="00B03B5E" w:rsidP="00BB2299">
            <w:pPr>
              <w:jc w:val="center"/>
              <w:rPr>
                <w:sz w:val="16"/>
                <w:szCs w:val="16"/>
              </w:rPr>
            </w:pPr>
            <w:r w:rsidRPr="00D14CE9">
              <w:rPr>
                <w:sz w:val="16"/>
                <w:szCs w:val="16"/>
              </w:rPr>
              <w:t>29.1</w:t>
            </w:r>
          </w:p>
        </w:tc>
      </w:tr>
      <w:tr w:rsidR="00892B00" w:rsidRPr="00D14CE9" w:rsidTr="00BB2299">
        <w:trPr>
          <w:trHeight w:val="315"/>
        </w:trPr>
        <w:tc>
          <w:tcPr>
            <w:tcW w:w="1807" w:type="pct"/>
            <w:noWrap/>
            <w:vAlign w:val="center"/>
          </w:tcPr>
          <w:p w:rsidR="00892B00" w:rsidRPr="00D14CE9" w:rsidRDefault="00892B00" w:rsidP="00BB2299">
            <w:pPr>
              <w:rPr>
                <w:rFonts w:cs="Calibri"/>
                <w:b/>
                <w:color w:val="000000"/>
                <w:sz w:val="16"/>
                <w:szCs w:val="16"/>
              </w:rPr>
            </w:pPr>
            <w:r w:rsidRPr="00D14CE9">
              <w:rPr>
                <w:rFonts w:cs="Calibri"/>
                <w:color w:val="000000"/>
                <w:sz w:val="16"/>
                <w:szCs w:val="16"/>
              </w:rPr>
              <w:t>Regional LGAs</w:t>
            </w:r>
          </w:p>
        </w:tc>
        <w:tc>
          <w:tcPr>
            <w:tcW w:w="1148" w:type="pct"/>
            <w:noWrap/>
            <w:vAlign w:val="center"/>
          </w:tcPr>
          <w:p w:rsidR="00892B00" w:rsidRPr="00D14CE9" w:rsidRDefault="00B03B5E" w:rsidP="00BB2299">
            <w:pPr>
              <w:jc w:val="center"/>
              <w:rPr>
                <w:sz w:val="16"/>
                <w:szCs w:val="16"/>
              </w:rPr>
            </w:pPr>
            <w:r w:rsidRPr="00D14CE9">
              <w:rPr>
                <w:sz w:val="16"/>
                <w:szCs w:val="16"/>
              </w:rPr>
              <w:t>10.5</w:t>
            </w:r>
          </w:p>
        </w:tc>
        <w:tc>
          <w:tcPr>
            <w:tcW w:w="1148" w:type="pct"/>
            <w:noWrap/>
            <w:vAlign w:val="center"/>
          </w:tcPr>
          <w:p w:rsidR="00892B00" w:rsidRPr="00D14CE9" w:rsidRDefault="00B03B5E" w:rsidP="00802792">
            <w:pPr>
              <w:jc w:val="center"/>
              <w:rPr>
                <w:sz w:val="16"/>
                <w:szCs w:val="16"/>
              </w:rPr>
            </w:pPr>
            <w:r w:rsidRPr="00D14CE9">
              <w:rPr>
                <w:sz w:val="16"/>
                <w:szCs w:val="16"/>
              </w:rPr>
              <w:t>12.</w:t>
            </w:r>
            <w:r w:rsidR="00802792">
              <w:rPr>
                <w:sz w:val="16"/>
                <w:szCs w:val="16"/>
              </w:rPr>
              <w:t>8</w:t>
            </w:r>
          </w:p>
        </w:tc>
        <w:tc>
          <w:tcPr>
            <w:tcW w:w="897" w:type="pct"/>
            <w:vAlign w:val="center"/>
          </w:tcPr>
          <w:p w:rsidR="00892B00" w:rsidRPr="00D14CE9" w:rsidRDefault="00B03B5E" w:rsidP="00BB2299">
            <w:pPr>
              <w:jc w:val="center"/>
              <w:rPr>
                <w:sz w:val="16"/>
                <w:szCs w:val="16"/>
              </w:rPr>
            </w:pPr>
            <w:r w:rsidRPr="00D14CE9">
              <w:rPr>
                <w:sz w:val="16"/>
                <w:szCs w:val="16"/>
              </w:rPr>
              <w:t>21.0</w:t>
            </w:r>
          </w:p>
        </w:tc>
      </w:tr>
      <w:tr w:rsidR="00892B00" w:rsidRPr="00D14CE9" w:rsidTr="00BB2299">
        <w:trPr>
          <w:trHeight w:val="315"/>
        </w:trPr>
        <w:tc>
          <w:tcPr>
            <w:tcW w:w="1807" w:type="pct"/>
            <w:noWrap/>
            <w:vAlign w:val="center"/>
          </w:tcPr>
          <w:p w:rsidR="00892B00" w:rsidRPr="00D14CE9" w:rsidRDefault="00892B00" w:rsidP="00BB2299">
            <w:pPr>
              <w:rPr>
                <w:rFonts w:cs="Calibri"/>
                <w:b/>
                <w:color w:val="000000"/>
                <w:sz w:val="16"/>
                <w:szCs w:val="16"/>
              </w:rPr>
            </w:pPr>
            <w:r w:rsidRPr="00D14CE9">
              <w:rPr>
                <w:rFonts w:cs="Calibri"/>
                <w:b/>
                <w:color w:val="000000"/>
                <w:sz w:val="16"/>
                <w:szCs w:val="16"/>
              </w:rPr>
              <w:t>Total Demand</w:t>
            </w:r>
          </w:p>
        </w:tc>
        <w:tc>
          <w:tcPr>
            <w:tcW w:w="1148" w:type="pct"/>
            <w:noWrap/>
            <w:vAlign w:val="center"/>
          </w:tcPr>
          <w:p w:rsidR="00892B00" w:rsidRPr="00D14CE9" w:rsidRDefault="00B03B5E" w:rsidP="00BB2299">
            <w:pPr>
              <w:jc w:val="center"/>
              <w:rPr>
                <w:b/>
                <w:sz w:val="16"/>
                <w:szCs w:val="16"/>
              </w:rPr>
            </w:pPr>
            <w:r w:rsidRPr="00D14CE9">
              <w:rPr>
                <w:b/>
                <w:sz w:val="16"/>
                <w:szCs w:val="16"/>
              </w:rPr>
              <w:t>55.7</w:t>
            </w:r>
          </w:p>
        </w:tc>
        <w:tc>
          <w:tcPr>
            <w:tcW w:w="1148" w:type="pct"/>
            <w:noWrap/>
            <w:vAlign w:val="center"/>
          </w:tcPr>
          <w:p w:rsidR="00892B00" w:rsidRPr="00D14CE9" w:rsidRDefault="00802792" w:rsidP="00B03B5E">
            <w:pPr>
              <w:jc w:val="center"/>
              <w:rPr>
                <w:b/>
                <w:sz w:val="16"/>
                <w:szCs w:val="16"/>
              </w:rPr>
            </w:pPr>
            <w:r>
              <w:rPr>
                <w:b/>
                <w:sz w:val="16"/>
                <w:szCs w:val="16"/>
              </w:rPr>
              <w:t>67.0</w:t>
            </w:r>
          </w:p>
        </w:tc>
        <w:tc>
          <w:tcPr>
            <w:tcW w:w="897" w:type="pct"/>
            <w:vAlign w:val="center"/>
          </w:tcPr>
          <w:p w:rsidR="00892B00" w:rsidRPr="00D14CE9" w:rsidRDefault="00B03B5E" w:rsidP="00BB2299">
            <w:pPr>
              <w:jc w:val="center"/>
              <w:rPr>
                <w:b/>
                <w:sz w:val="16"/>
                <w:szCs w:val="16"/>
              </w:rPr>
            </w:pPr>
            <w:r w:rsidRPr="00D14CE9">
              <w:rPr>
                <w:b/>
                <w:sz w:val="16"/>
                <w:szCs w:val="16"/>
              </w:rPr>
              <w:t>105.3</w:t>
            </w:r>
          </w:p>
        </w:tc>
      </w:tr>
    </w:tbl>
    <w:p w:rsidR="00892B00" w:rsidRPr="00D14CE9" w:rsidRDefault="00892B00" w:rsidP="00892B00">
      <w:pPr>
        <w:pStyle w:val="ListParagraph"/>
        <w:numPr>
          <w:ilvl w:val="0"/>
          <w:numId w:val="9"/>
        </w:numPr>
        <w:rPr>
          <w:rFonts w:ascii="EYInterstate Light" w:hAnsi="EYInterstate Light"/>
          <w:i/>
          <w:sz w:val="16"/>
          <w:szCs w:val="16"/>
        </w:rPr>
      </w:pPr>
      <w:r w:rsidRPr="00D14CE9">
        <w:rPr>
          <w:rFonts w:ascii="EYInterstate Light" w:hAnsi="EYInterstate Light"/>
          <w:i/>
          <w:sz w:val="16"/>
          <w:szCs w:val="16"/>
        </w:rPr>
        <w:t>Source: EY analysis</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Conclusions in terms of adverse economic impacts of an increase by 20% of the demand </w:t>
      </w:r>
      <w:r w:rsidR="002056F0" w:rsidRPr="00D14CE9">
        <w:rPr>
          <w:rFonts w:cstheme="majorHAnsi"/>
          <w:szCs w:val="20"/>
          <w:lang w:val="en-AU"/>
        </w:rPr>
        <w:t>drivers’</w:t>
      </w:r>
      <w:r w:rsidRPr="00D14CE9">
        <w:rPr>
          <w:rFonts w:cstheme="majorHAnsi"/>
          <w:szCs w:val="20"/>
          <w:lang w:val="en-AU"/>
        </w:rPr>
        <w:t xml:space="preserve"> growth on the supply side are expected to be provided in the overall assessment developed by PwC in relation to the identification of regional gaps in the available capacity of the supply chain and the needs for extractive resources.</w:t>
      </w:r>
    </w:p>
    <w:p w:rsidR="003404A2" w:rsidRPr="00D14CE9" w:rsidRDefault="00C30C56" w:rsidP="00C200D0">
      <w:pPr>
        <w:pStyle w:val="EYHeading3"/>
      </w:pPr>
      <w:r>
        <w:t>Scenario 1B: i</w:t>
      </w:r>
      <w:r w:rsidR="003404A2" w:rsidRPr="00D14CE9">
        <w:t>ncrease by 20% of government project</w:t>
      </w:r>
      <w:r w:rsidR="00360EC7" w:rsidRPr="00D14CE9">
        <w:t>ion</w:t>
      </w:r>
      <w:r w:rsidR="003404A2" w:rsidRPr="00D14CE9">
        <w:t>s</w:t>
      </w:r>
      <w:r w:rsidR="001D657B" w:rsidRPr="00D14CE9">
        <w:t xml:space="preserve"> in Wyndham LGA</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Scenario 1B consisted of considering greater levels of growth, extending the settlement pattern in proximity to the boundary as well as hypothetical locations up to 100 km outside of the boundary. To help inform the issues such scenario could create for the supply side and help assess the potential economic impact of extending the scope of supply to meet demand requirements, this scenario has been performed on a LGA only defined as an urban growth area, Wyndham (C).  </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Scenario 1B therefore consisted of </w:t>
      </w:r>
      <w:r w:rsidR="001D657B" w:rsidRPr="00D14CE9">
        <w:rPr>
          <w:rFonts w:cstheme="majorHAnsi"/>
          <w:szCs w:val="20"/>
          <w:lang w:val="en-AU"/>
        </w:rPr>
        <w:t xml:space="preserve">determining </w:t>
      </w:r>
      <w:r w:rsidRPr="00D14CE9">
        <w:rPr>
          <w:rFonts w:cstheme="majorHAnsi"/>
          <w:szCs w:val="20"/>
          <w:lang w:val="en-AU"/>
        </w:rPr>
        <w:t>the impact of an increased growth within the Wyndham LGA, considered as key as it straddles the settlement boundary. To make the scenario more relevant to DEDJTR, the impact of an increase by 20% of government projections within the Wyndham LGA has been modelled at the Statistical Area 2 level, using population growth forecast available at this level, provided by VITM. This scenario furthermore assumes that the increase in growth is immediate from 2015 and consistent until 2050.</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Conclusions in terms of adverse economic impacts of an increase by 20% of the demand </w:t>
      </w:r>
      <w:r w:rsidR="002056F0" w:rsidRPr="00D14CE9">
        <w:rPr>
          <w:rFonts w:cstheme="majorHAnsi"/>
          <w:szCs w:val="20"/>
          <w:lang w:val="en-AU"/>
        </w:rPr>
        <w:t>drivers’</w:t>
      </w:r>
      <w:r w:rsidRPr="00D14CE9">
        <w:rPr>
          <w:rFonts w:cstheme="majorHAnsi"/>
          <w:szCs w:val="20"/>
          <w:lang w:val="en-AU"/>
        </w:rPr>
        <w:t xml:space="preserve"> growth on the supply side in Wyndham are expected to be provided in the overall assessment developed by PwC in relation to the identification of regional gaps in the available capacity of the supply chain and the needs for extractive resources.</w:t>
      </w:r>
    </w:p>
    <w:p w:rsidR="003404A2" w:rsidRPr="00D14CE9" w:rsidRDefault="00C30C56" w:rsidP="00C200D0">
      <w:pPr>
        <w:pStyle w:val="EYHeading2"/>
      </w:pPr>
      <w:bookmarkStart w:id="616" w:name="_Toc451847088"/>
      <w:r>
        <w:t>Scenario 2A: l</w:t>
      </w:r>
      <w:r w:rsidR="003404A2" w:rsidRPr="00D14CE9">
        <w:t xml:space="preserve">ow </w:t>
      </w:r>
      <w:r w:rsidR="00DF0781" w:rsidRPr="00D14CE9">
        <w:t>d</w:t>
      </w:r>
      <w:r w:rsidR="003404A2" w:rsidRPr="00D14CE9">
        <w:t>emand</w:t>
      </w:r>
      <w:bookmarkEnd w:id="616"/>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Scenario 2A consisted of assessing the impact of a decrease by 20% of government projections driving the demand for extractive resources. </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Based on demand drivers identified, this scenario has been performed by decreasing the population and GSP growth by 20% of the baseline projection but as per current projections for land use patterns. The scenario assumes that the 20% decrease in demand drivers would result in a 20% decrease in construction activities (residential, non-residential, transport, energy and utilities), therefore flowing through to a 20% decrease of extractive resources demand but as per current projections of land use. It should be noted that within this scenario decrease of growth by 20% is not applied to transport major projects identified over the next ten years, as the demand for extractive resources should not decrease for a specific project from those drivers. </w:t>
      </w:r>
    </w:p>
    <w:p w:rsidR="003404A2" w:rsidRPr="00D14CE9" w:rsidRDefault="003404A2" w:rsidP="00C200D0">
      <w:pPr>
        <w:pStyle w:val="EYBodytextwithparaspace"/>
        <w:rPr>
          <w:rFonts w:cstheme="majorHAnsi"/>
          <w:szCs w:val="20"/>
          <w:lang w:val="en-AU"/>
        </w:rPr>
      </w:pPr>
      <w:r w:rsidRPr="00D14CE9">
        <w:rPr>
          <w:rFonts w:cstheme="majorHAnsi"/>
          <w:szCs w:val="20"/>
          <w:lang w:val="en-AU"/>
        </w:rPr>
        <w:t>It is unknown whether any substitute resource will revolutionize the way things are done in the future. Such changes will likely be incremental and lower the demand profile for extractive resources over time, which is therefore to a certain extent reflected in this “low demand” scenario.</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The impact of scenario 2A against the </w:t>
      </w:r>
      <w:r w:rsidR="00520170" w:rsidRPr="00D14CE9">
        <w:rPr>
          <w:rFonts w:cstheme="majorHAnsi"/>
          <w:szCs w:val="20"/>
          <w:lang w:val="en-AU"/>
        </w:rPr>
        <w:t xml:space="preserve">Baseline </w:t>
      </w:r>
      <w:r w:rsidRPr="00D14CE9">
        <w:rPr>
          <w:rFonts w:cstheme="majorHAnsi"/>
          <w:szCs w:val="20"/>
          <w:lang w:val="en-AU"/>
        </w:rPr>
        <w:t xml:space="preserve">demand forecast, in terms of spatial allocation per LGA classification, is presented in below </w:t>
      </w:r>
      <w:r w:rsidR="00AD6683">
        <w:rPr>
          <w:rFonts w:cstheme="majorHAnsi"/>
          <w:szCs w:val="20"/>
          <w:lang w:val="en-AU"/>
        </w:rPr>
        <w:fldChar w:fldCharType="begin"/>
      </w:r>
      <w:r w:rsidR="00AD6683">
        <w:rPr>
          <w:rFonts w:cstheme="majorHAnsi"/>
          <w:szCs w:val="20"/>
          <w:lang w:val="en-AU"/>
        </w:rPr>
        <w:instrText xml:space="preserve"> REF _Ref441418684 \h  \* MERGEFORMAT </w:instrText>
      </w:r>
      <w:r w:rsidR="00AD6683">
        <w:rPr>
          <w:rFonts w:cstheme="majorHAnsi"/>
          <w:szCs w:val="20"/>
          <w:lang w:val="en-AU"/>
        </w:rPr>
      </w:r>
      <w:r w:rsidR="00AD6683">
        <w:rPr>
          <w:rFonts w:cstheme="majorHAnsi"/>
          <w:szCs w:val="20"/>
          <w:lang w:val="en-AU"/>
        </w:rPr>
        <w:fldChar w:fldCharType="separate"/>
      </w:r>
      <w:r w:rsidR="00525C82" w:rsidRPr="00525C82">
        <w:rPr>
          <w:rFonts w:cstheme="majorHAnsi"/>
          <w:szCs w:val="20"/>
          <w:lang w:val="en-AU"/>
        </w:rPr>
        <w:t>Figure 25</w:t>
      </w:r>
      <w:r w:rsidR="00AD6683">
        <w:rPr>
          <w:rFonts w:cstheme="majorHAnsi"/>
          <w:szCs w:val="20"/>
          <w:lang w:val="en-AU"/>
        </w:rPr>
        <w:fldChar w:fldCharType="end"/>
      </w:r>
      <w:r w:rsidR="00DF0781" w:rsidRPr="00D14CE9">
        <w:rPr>
          <w:rFonts w:cstheme="majorHAnsi"/>
          <w:szCs w:val="20"/>
          <w:lang w:val="en-AU"/>
        </w:rPr>
        <w:t>.</w:t>
      </w:r>
    </w:p>
    <w:p w:rsidR="003404A2" w:rsidRPr="00D14CE9" w:rsidRDefault="003404A2" w:rsidP="00C200D0">
      <w:pPr>
        <w:pStyle w:val="Caption"/>
        <w:rPr>
          <w:sz w:val="16"/>
        </w:rPr>
      </w:pPr>
      <w:bookmarkStart w:id="617" w:name="_Ref441418684"/>
      <w:bookmarkStart w:id="618" w:name="_Toc445240923"/>
      <w:bookmarkStart w:id="619" w:name="_Toc448914587"/>
      <w:r w:rsidRPr="00D14CE9">
        <w:rPr>
          <w:sz w:val="16"/>
          <w:szCs w:val="18"/>
        </w:rPr>
        <w:lastRenderedPageBreak/>
        <w:t xml:space="preserve">Figure </w:t>
      </w:r>
      <w:r w:rsidRPr="00474B05">
        <w:rPr>
          <w:sz w:val="16"/>
          <w:szCs w:val="18"/>
        </w:rPr>
        <w:fldChar w:fldCharType="begin"/>
      </w:r>
      <w:r w:rsidRPr="00D14CE9">
        <w:rPr>
          <w:sz w:val="16"/>
          <w:szCs w:val="18"/>
        </w:rPr>
        <w:instrText xml:space="preserve"> SEQ Figure \* ARABIC </w:instrText>
      </w:r>
      <w:r w:rsidRPr="00474B05">
        <w:rPr>
          <w:sz w:val="16"/>
          <w:szCs w:val="18"/>
        </w:rPr>
        <w:fldChar w:fldCharType="separate"/>
      </w:r>
      <w:r w:rsidR="00525C82">
        <w:rPr>
          <w:noProof/>
          <w:sz w:val="16"/>
          <w:szCs w:val="18"/>
        </w:rPr>
        <w:t>25</w:t>
      </w:r>
      <w:r w:rsidRPr="00474B05">
        <w:rPr>
          <w:sz w:val="16"/>
          <w:szCs w:val="18"/>
        </w:rPr>
        <w:fldChar w:fldCharType="end"/>
      </w:r>
      <w:bookmarkEnd w:id="617"/>
      <w:r w:rsidRPr="00D14CE9">
        <w:rPr>
          <w:sz w:val="16"/>
          <w:szCs w:val="18"/>
        </w:rPr>
        <w:t xml:space="preserve"> – </w:t>
      </w:r>
      <w:r w:rsidR="00A52BFF" w:rsidRPr="00D14CE9">
        <w:rPr>
          <w:sz w:val="16"/>
          <w:szCs w:val="18"/>
        </w:rPr>
        <w:t>Total d</w:t>
      </w:r>
      <w:r w:rsidRPr="00D14CE9">
        <w:rPr>
          <w:sz w:val="16"/>
          <w:szCs w:val="18"/>
        </w:rPr>
        <w:t xml:space="preserve">emand </w:t>
      </w:r>
      <w:r w:rsidR="00A52BFF" w:rsidRPr="00D14CE9">
        <w:rPr>
          <w:sz w:val="16"/>
          <w:szCs w:val="18"/>
        </w:rPr>
        <w:t xml:space="preserve">for extractive resources over the period </w:t>
      </w:r>
      <w:r w:rsidRPr="00D14CE9">
        <w:rPr>
          <w:sz w:val="16"/>
          <w:szCs w:val="18"/>
        </w:rPr>
        <w:t xml:space="preserve">2015-2050 – </w:t>
      </w:r>
      <w:r w:rsidR="00520170" w:rsidRPr="00D14CE9">
        <w:rPr>
          <w:sz w:val="16"/>
          <w:szCs w:val="18"/>
        </w:rPr>
        <w:t xml:space="preserve">Baseline </w:t>
      </w:r>
      <w:r w:rsidRPr="00D14CE9">
        <w:rPr>
          <w:sz w:val="16"/>
          <w:szCs w:val="18"/>
        </w:rPr>
        <w:t>vs. Scenario 2A</w:t>
      </w:r>
      <w:bookmarkEnd w:id="618"/>
      <w:bookmarkEnd w:id="619"/>
      <w:r w:rsidRPr="00D14CE9">
        <w:rPr>
          <w:sz w:val="16"/>
          <w:szCs w:val="18"/>
        </w:rPr>
        <w:t xml:space="preserve"> </w:t>
      </w:r>
    </w:p>
    <w:p w:rsidR="00C061E0" w:rsidRPr="00D14CE9" w:rsidRDefault="006636EA" w:rsidP="00C200D0">
      <w:pPr>
        <w:pStyle w:val="ListParagraph"/>
        <w:ind w:left="0"/>
        <w:rPr>
          <w:rFonts w:ascii="EYInterstate Light" w:hAnsi="EYInterstate Light"/>
          <w:highlight w:val="yellow"/>
        </w:rPr>
      </w:pPr>
      <w:r>
        <w:rPr>
          <w:rFonts w:ascii="EYInterstate Light" w:hAnsi="EYInterstate Light"/>
          <w:noProof/>
          <w:lang w:eastAsia="en-AU"/>
        </w:rPr>
        <w:drawing>
          <wp:inline distT="0" distB="0" distL="0" distR="0" wp14:anchorId="49B76BB4" wp14:editId="1CABC377">
            <wp:extent cx="5779706" cy="2137410"/>
            <wp:effectExtent l="0" t="0" r="0" b="0"/>
            <wp:docPr id="2094" name="Picture 2094" descr="Figure 25 shows the total demand for extractive resources over the period 2015-2050 by comparing the baseline with scenario 2A.  In each of the total, baseline urban infil LGAs, Baseline urban growth areas and baseline regional LGAs, the scenario 1A values are lower. "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876" t="1456" r="835" b="1789"/>
                    <a:stretch/>
                  </pic:blipFill>
                  <pic:spPr bwMode="auto">
                    <a:xfrm>
                      <a:off x="0" y="0"/>
                      <a:ext cx="5807715" cy="2147768"/>
                    </a:xfrm>
                    <a:prstGeom prst="rect">
                      <a:avLst/>
                    </a:prstGeom>
                    <a:noFill/>
                    <a:ln>
                      <a:noFill/>
                    </a:ln>
                    <a:extLst>
                      <a:ext uri="{53640926-AAD7-44D8-BBD7-CCE9431645EC}">
                        <a14:shadowObscured xmlns:a14="http://schemas.microsoft.com/office/drawing/2010/main"/>
                      </a:ext>
                    </a:extLst>
                  </pic:spPr>
                </pic:pic>
              </a:graphicData>
            </a:graphic>
          </wp:inline>
        </w:drawing>
      </w:r>
    </w:p>
    <w:p w:rsidR="00AE671A" w:rsidRPr="00D14CE9" w:rsidRDefault="00AE671A" w:rsidP="00AE671A">
      <w:pPr>
        <w:pStyle w:val="ListParagraph"/>
        <w:numPr>
          <w:ilvl w:val="0"/>
          <w:numId w:val="9"/>
        </w:numPr>
        <w:rPr>
          <w:rFonts w:ascii="EYInterstate Light" w:hAnsi="EYInterstate Light"/>
          <w:i/>
          <w:sz w:val="16"/>
          <w:szCs w:val="16"/>
        </w:rPr>
      </w:pPr>
      <w:r w:rsidRPr="00D14CE9">
        <w:rPr>
          <w:rFonts w:ascii="EYInterstate Light" w:hAnsi="EYInterstate Light"/>
          <w:i/>
          <w:sz w:val="16"/>
          <w:szCs w:val="16"/>
        </w:rPr>
        <w:t>Source: EY analysis</w:t>
      </w:r>
    </w:p>
    <w:p w:rsidR="003404A2" w:rsidRPr="00D14CE9" w:rsidRDefault="003404A2" w:rsidP="00C200D0">
      <w:pPr>
        <w:pStyle w:val="ListParagraph"/>
        <w:ind w:left="0"/>
        <w:rPr>
          <w:rFonts w:ascii="EYInterstate Light" w:hAnsi="EYInterstate Light"/>
          <w:highlight w:val="yellow"/>
        </w:rPr>
      </w:pPr>
    </w:p>
    <w:p w:rsidR="004F47D5" w:rsidRPr="00BB6A30" w:rsidRDefault="004F47D5" w:rsidP="00BB6A30">
      <w:pPr>
        <w:pStyle w:val="EYBulletedList1"/>
        <w:spacing w:after="80"/>
        <w:ind w:left="289" w:hanging="289"/>
      </w:pPr>
      <w:r w:rsidRPr="00BB6A30">
        <w:br w:type="page"/>
      </w:r>
    </w:p>
    <w:p w:rsidR="008E6CD0" w:rsidRDefault="008E6CD0" w:rsidP="008E6CD0">
      <w:pPr>
        <w:pStyle w:val="EYBodytextwithparaspace"/>
        <w:rPr>
          <w:rFonts w:cstheme="majorHAnsi"/>
          <w:szCs w:val="20"/>
          <w:lang w:val="en-AU"/>
        </w:rPr>
      </w:pPr>
      <w:r w:rsidRPr="00D14CE9">
        <w:rPr>
          <w:rFonts w:cstheme="majorHAnsi"/>
          <w:szCs w:val="20"/>
          <w:lang w:val="en-AU"/>
        </w:rPr>
        <w:lastRenderedPageBreak/>
        <w:t>The following table summarises how the scenario 2A compares to the baseline demand projections over the short, medium and long term, in aggregate for LGAs in Urban Infill locations, Urban Growth Areas and regional areas: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17"/>
        <w:tblDescription w:val="Table 17 compares demand forecasts under the baseline and scenario 2A scenarios.  Total demand in 2015 for baseline is 46.4 million tonnes, and for scenario 2A it is 37.1 million tonnes. Total demand forecasted for 2026 for baseline is 55.8 million tonnes, and for scenario 2A it is 44.7 million tonnes. Total demand in 2050 for baseline is 87.8 million tonnes, and for scenario 2A it is 70.2 million tonnes."/>
      </w:tblPr>
      <w:tblGrid>
        <w:gridCol w:w="3283"/>
        <w:gridCol w:w="2086"/>
        <w:gridCol w:w="2086"/>
        <w:gridCol w:w="1630"/>
      </w:tblGrid>
      <w:tr w:rsidR="008E6CD0" w:rsidRPr="00D14CE9" w:rsidTr="003E25FF">
        <w:trPr>
          <w:trHeight w:val="253"/>
          <w:tblHeader/>
        </w:trPr>
        <w:tc>
          <w:tcPr>
            <w:tcW w:w="5000" w:type="pct"/>
            <w:gridSpan w:val="4"/>
            <w:shd w:val="clear" w:color="auto" w:fill="808080" w:themeFill="background1" w:themeFillShade="80"/>
            <w:tcMar>
              <w:top w:w="0" w:type="dxa"/>
              <w:left w:w="28" w:type="dxa"/>
              <w:bottom w:w="0" w:type="dxa"/>
              <w:right w:w="28" w:type="dxa"/>
            </w:tcMar>
            <w:vAlign w:val="center"/>
          </w:tcPr>
          <w:p w:rsidR="008E6CD0" w:rsidRPr="00D14CE9" w:rsidRDefault="008E6CD0" w:rsidP="00802792">
            <w:pPr>
              <w:pStyle w:val="EYTableHeadingWhite"/>
            </w:pPr>
            <w:bookmarkStart w:id="620" w:name="_Toc445240951"/>
            <w:bookmarkStart w:id="621" w:name="_Toc448914644"/>
            <w:bookmarkStart w:id="622" w:name="_Toc448920461"/>
            <w:r w:rsidRPr="00D14CE9">
              <w:t xml:space="preserve">Table </w:t>
            </w:r>
            <w:r w:rsidRPr="00802792">
              <w:fldChar w:fldCharType="begin"/>
            </w:r>
            <w:r w:rsidRPr="00D14CE9">
              <w:instrText xml:space="preserve"> SEQ Table \* ARABIC </w:instrText>
            </w:r>
            <w:r w:rsidRPr="00802792">
              <w:fldChar w:fldCharType="separate"/>
            </w:r>
            <w:r w:rsidR="00525C82">
              <w:rPr>
                <w:noProof/>
              </w:rPr>
              <w:t>17</w:t>
            </w:r>
            <w:r w:rsidRPr="00802792">
              <w:fldChar w:fldCharType="end"/>
            </w:r>
            <w:r w:rsidRPr="00D14CE9">
              <w:t xml:space="preserve"> – Demand Forecast – Baseline vs. Scenario 2A – Total in 2015, 2026 and 2050 (million tonnes)</w:t>
            </w:r>
            <w:bookmarkEnd w:id="620"/>
            <w:bookmarkEnd w:id="621"/>
            <w:bookmarkEnd w:id="622"/>
          </w:p>
        </w:tc>
      </w:tr>
      <w:tr w:rsidR="008E6CD0" w:rsidRPr="00D14CE9" w:rsidTr="003637FD">
        <w:trPr>
          <w:trHeight w:val="20"/>
          <w:tblHeader/>
        </w:trPr>
        <w:tc>
          <w:tcPr>
            <w:tcW w:w="1807" w:type="pct"/>
            <w:shd w:val="clear" w:color="auto" w:fill="F0F0F0"/>
            <w:tcMar>
              <w:top w:w="28" w:type="dxa"/>
              <w:left w:w="28" w:type="dxa"/>
              <w:bottom w:w="28" w:type="dxa"/>
              <w:right w:w="28" w:type="dxa"/>
            </w:tcMar>
          </w:tcPr>
          <w:p w:rsidR="008E6CD0" w:rsidRPr="00D14CE9" w:rsidRDefault="008E6CD0" w:rsidP="003637FD">
            <w:pPr>
              <w:pStyle w:val="EYTableHeading"/>
              <w:spacing w:after="0"/>
              <w:jc w:val="center"/>
              <w:rPr>
                <w:rFonts w:eastAsia="Arial Unicode MS"/>
              </w:rPr>
            </w:pPr>
          </w:p>
        </w:tc>
        <w:tc>
          <w:tcPr>
            <w:tcW w:w="1148" w:type="pct"/>
            <w:shd w:val="clear" w:color="auto" w:fill="F0F0F0"/>
            <w:tcMar>
              <w:top w:w="28" w:type="dxa"/>
              <w:left w:w="28" w:type="dxa"/>
              <w:bottom w:w="28" w:type="dxa"/>
              <w:right w:w="28" w:type="dxa"/>
            </w:tcMar>
          </w:tcPr>
          <w:p w:rsidR="008E6CD0" w:rsidRPr="00D14CE9" w:rsidRDefault="008E6CD0" w:rsidP="003637FD">
            <w:pPr>
              <w:pStyle w:val="EYTableHeading"/>
              <w:spacing w:after="0"/>
              <w:jc w:val="center"/>
              <w:rPr>
                <w:rFonts w:eastAsia="Arial Unicode MS"/>
              </w:rPr>
            </w:pPr>
            <w:r w:rsidRPr="00D14CE9">
              <w:t>2015</w:t>
            </w:r>
          </w:p>
        </w:tc>
        <w:tc>
          <w:tcPr>
            <w:tcW w:w="1148" w:type="pct"/>
            <w:shd w:val="clear" w:color="auto" w:fill="F0F0F0"/>
            <w:tcMar>
              <w:top w:w="28" w:type="dxa"/>
              <w:left w:w="28" w:type="dxa"/>
              <w:bottom w:w="28" w:type="dxa"/>
              <w:right w:w="28" w:type="dxa"/>
            </w:tcMar>
          </w:tcPr>
          <w:p w:rsidR="008E6CD0" w:rsidRPr="00D14CE9" w:rsidRDefault="008E6CD0" w:rsidP="003637FD">
            <w:pPr>
              <w:pStyle w:val="EYTableHeading"/>
              <w:spacing w:after="0"/>
              <w:jc w:val="center"/>
              <w:rPr>
                <w:rFonts w:eastAsia="Arial Unicode MS"/>
              </w:rPr>
            </w:pPr>
            <w:r w:rsidRPr="00D14CE9">
              <w:t>2026</w:t>
            </w:r>
          </w:p>
        </w:tc>
        <w:tc>
          <w:tcPr>
            <w:tcW w:w="897" w:type="pct"/>
            <w:shd w:val="clear" w:color="auto" w:fill="F0F0F0"/>
            <w:tcMar>
              <w:top w:w="28" w:type="dxa"/>
              <w:left w:w="28" w:type="dxa"/>
              <w:bottom w:w="28" w:type="dxa"/>
              <w:right w:w="28" w:type="dxa"/>
            </w:tcMar>
          </w:tcPr>
          <w:p w:rsidR="008E6CD0" w:rsidRPr="00D14CE9" w:rsidRDefault="008E6CD0" w:rsidP="003637FD">
            <w:pPr>
              <w:pStyle w:val="EYTableHeading"/>
              <w:spacing w:after="0"/>
              <w:jc w:val="center"/>
            </w:pPr>
            <w:r w:rsidRPr="00D14CE9">
              <w:t>2050</w:t>
            </w:r>
          </w:p>
        </w:tc>
      </w:tr>
      <w:tr w:rsidR="008E6CD0" w:rsidRPr="00D14CE9" w:rsidTr="003A1D14">
        <w:trPr>
          <w:trHeight w:val="20"/>
        </w:trPr>
        <w:tc>
          <w:tcPr>
            <w:tcW w:w="5000" w:type="pct"/>
            <w:gridSpan w:val="4"/>
            <w:noWrap/>
            <w:tcMar>
              <w:top w:w="28" w:type="dxa"/>
              <w:left w:w="28" w:type="dxa"/>
              <w:bottom w:w="28" w:type="dxa"/>
              <w:right w:w="28" w:type="dxa"/>
            </w:tcMar>
            <w:vAlign w:val="center"/>
          </w:tcPr>
          <w:p w:rsidR="008E6CD0" w:rsidRPr="00D14CE9" w:rsidRDefault="008E6CD0" w:rsidP="00BB2299">
            <w:pPr>
              <w:rPr>
                <w:b/>
                <w:sz w:val="16"/>
                <w:szCs w:val="16"/>
              </w:rPr>
            </w:pPr>
            <w:r w:rsidRPr="00D14CE9">
              <w:rPr>
                <w:rFonts w:cs="Calibri"/>
                <w:b/>
                <w:color w:val="000000"/>
                <w:sz w:val="16"/>
                <w:szCs w:val="16"/>
              </w:rPr>
              <w:t>Baseline</w:t>
            </w:r>
          </w:p>
        </w:tc>
      </w:tr>
      <w:tr w:rsidR="00B03B5E" w:rsidRPr="00D14CE9" w:rsidTr="003A1D14">
        <w:trPr>
          <w:trHeight w:val="20"/>
        </w:trPr>
        <w:tc>
          <w:tcPr>
            <w:tcW w:w="1807" w:type="pct"/>
            <w:noWrap/>
            <w:tcMar>
              <w:top w:w="28" w:type="dxa"/>
              <w:left w:w="28" w:type="dxa"/>
              <w:bottom w:w="28" w:type="dxa"/>
              <w:right w:w="28" w:type="dxa"/>
            </w:tcMar>
            <w:vAlign w:val="center"/>
          </w:tcPr>
          <w:p w:rsidR="00B03B5E" w:rsidRPr="00D14CE9" w:rsidRDefault="00B03B5E" w:rsidP="00BB2299">
            <w:pPr>
              <w:rPr>
                <w:sz w:val="16"/>
                <w:szCs w:val="16"/>
              </w:rPr>
            </w:pPr>
            <w:r w:rsidRPr="00D14CE9">
              <w:rPr>
                <w:rFonts w:cs="Calibri"/>
                <w:color w:val="000000"/>
                <w:sz w:val="16"/>
                <w:szCs w:val="16"/>
              </w:rPr>
              <w:t>Urban Infill LGAs</w:t>
            </w:r>
          </w:p>
        </w:tc>
        <w:tc>
          <w:tcPr>
            <w:tcW w:w="1148" w:type="pct"/>
            <w:noWrap/>
            <w:tcMar>
              <w:top w:w="28" w:type="dxa"/>
              <w:left w:w="28" w:type="dxa"/>
              <w:bottom w:w="28" w:type="dxa"/>
              <w:right w:w="28" w:type="dxa"/>
            </w:tcMar>
            <w:vAlign w:val="center"/>
          </w:tcPr>
          <w:p w:rsidR="00B03B5E" w:rsidRPr="00D14CE9" w:rsidRDefault="00B03B5E" w:rsidP="00BB2299">
            <w:pPr>
              <w:jc w:val="center"/>
              <w:rPr>
                <w:sz w:val="16"/>
                <w:szCs w:val="16"/>
              </w:rPr>
            </w:pPr>
            <w:r w:rsidRPr="00D14CE9">
              <w:rPr>
                <w:sz w:val="16"/>
                <w:szCs w:val="16"/>
              </w:rPr>
              <w:t>22.3</w:t>
            </w:r>
          </w:p>
        </w:tc>
        <w:tc>
          <w:tcPr>
            <w:tcW w:w="1148" w:type="pct"/>
            <w:noWrap/>
            <w:tcMar>
              <w:top w:w="28" w:type="dxa"/>
              <w:left w:w="28" w:type="dxa"/>
              <w:bottom w:w="28" w:type="dxa"/>
              <w:right w:w="28" w:type="dxa"/>
            </w:tcMar>
            <w:vAlign w:val="center"/>
          </w:tcPr>
          <w:p w:rsidR="00B03B5E" w:rsidRPr="00D14CE9" w:rsidRDefault="00B03B5E" w:rsidP="00BB2299">
            <w:pPr>
              <w:jc w:val="center"/>
              <w:rPr>
                <w:sz w:val="16"/>
                <w:szCs w:val="16"/>
              </w:rPr>
            </w:pPr>
            <w:r w:rsidRPr="00D14CE9">
              <w:rPr>
                <w:sz w:val="16"/>
                <w:szCs w:val="16"/>
              </w:rPr>
              <w:t>25.6</w:t>
            </w:r>
          </w:p>
        </w:tc>
        <w:tc>
          <w:tcPr>
            <w:tcW w:w="897" w:type="pct"/>
            <w:tcMar>
              <w:top w:w="28" w:type="dxa"/>
              <w:left w:w="28" w:type="dxa"/>
              <w:bottom w:w="28" w:type="dxa"/>
              <w:right w:w="28" w:type="dxa"/>
            </w:tcMar>
            <w:vAlign w:val="center"/>
          </w:tcPr>
          <w:p w:rsidR="00B03B5E" w:rsidRPr="00D14CE9" w:rsidRDefault="00B03B5E" w:rsidP="00BB2299">
            <w:pPr>
              <w:jc w:val="center"/>
              <w:rPr>
                <w:sz w:val="16"/>
                <w:szCs w:val="16"/>
              </w:rPr>
            </w:pPr>
            <w:r w:rsidRPr="00D14CE9">
              <w:rPr>
                <w:sz w:val="16"/>
                <w:szCs w:val="16"/>
              </w:rPr>
              <w:t>46.0</w:t>
            </w:r>
          </w:p>
        </w:tc>
      </w:tr>
      <w:tr w:rsidR="00B03B5E" w:rsidRPr="00D14CE9" w:rsidTr="003A1D14">
        <w:trPr>
          <w:trHeight w:val="20"/>
        </w:trPr>
        <w:tc>
          <w:tcPr>
            <w:tcW w:w="1807" w:type="pct"/>
            <w:noWrap/>
            <w:tcMar>
              <w:top w:w="28" w:type="dxa"/>
              <w:left w:w="28" w:type="dxa"/>
              <w:bottom w:w="28" w:type="dxa"/>
              <w:right w:w="28" w:type="dxa"/>
            </w:tcMar>
            <w:vAlign w:val="center"/>
          </w:tcPr>
          <w:p w:rsidR="00B03B5E" w:rsidRPr="00D14CE9" w:rsidRDefault="00B03B5E" w:rsidP="00BB2299">
            <w:pPr>
              <w:rPr>
                <w:rFonts w:cs="Calibri"/>
                <w:color w:val="000000"/>
                <w:sz w:val="16"/>
                <w:szCs w:val="16"/>
              </w:rPr>
            </w:pPr>
            <w:r w:rsidRPr="00D14CE9">
              <w:rPr>
                <w:rFonts w:cs="Calibri"/>
                <w:color w:val="000000"/>
                <w:sz w:val="16"/>
                <w:szCs w:val="16"/>
              </w:rPr>
              <w:t>Urban Growth Areas LGAs</w:t>
            </w:r>
          </w:p>
        </w:tc>
        <w:tc>
          <w:tcPr>
            <w:tcW w:w="1148" w:type="pct"/>
            <w:noWrap/>
            <w:tcMar>
              <w:top w:w="28" w:type="dxa"/>
              <w:left w:w="28" w:type="dxa"/>
              <w:bottom w:w="28" w:type="dxa"/>
              <w:right w:w="28" w:type="dxa"/>
            </w:tcMar>
            <w:vAlign w:val="center"/>
          </w:tcPr>
          <w:p w:rsidR="00B03B5E" w:rsidRPr="00D14CE9" w:rsidRDefault="00B03B5E" w:rsidP="00BB2299">
            <w:pPr>
              <w:jc w:val="center"/>
              <w:rPr>
                <w:sz w:val="16"/>
                <w:szCs w:val="16"/>
              </w:rPr>
            </w:pPr>
            <w:r w:rsidRPr="00D14CE9">
              <w:rPr>
                <w:sz w:val="16"/>
                <w:szCs w:val="16"/>
              </w:rPr>
              <w:t>15.4</w:t>
            </w:r>
          </w:p>
        </w:tc>
        <w:tc>
          <w:tcPr>
            <w:tcW w:w="1148" w:type="pct"/>
            <w:noWrap/>
            <w:tcMar>
              <w:top w:w="28" w:type="dxa"/>
              <w:left w:w="28" w:type="dxa"/>
              <w:bottom w:w="28" w:type="dxa"/>
              <w:right w:w="28" w:type="dxa"/>
            </w:tcMar>
            <w:vAlign w:val="center"/>
          </w:tcPr>
          <w:p w:rsidR="00B03B5E" w:rsidRPr="00D14CE9" w:rsidRDefault="00B03B5E" w:rsidP="00BB2299">
            <w:pPr>
              <w:jc w:val="center"/>
              <w:rPr>
                <w:sz w:val="16"/>
                <w:szCs w:val="16"/>
              </w:rPr>
            </w:pPr>
            <w:r w:rsidRPr="00D14CE9">
              <w:rPr>
                <w:sz w:val="16"/>
                <w:szCs w:val="16"/>
              </w:rPr>
              <w:t>19.6</w:t>
            </w:r>
          </w:p>
        </w:tc>
        <w:tc>
          <w:tcPr>
            <w:tcW w:w="897" w:type="pct"/>
            <w:tcMar>
              <w:top w:w="28" w:type="dxa"/>
              <w:left w:w="28" w:type="dxa"/>
              <w:bottom w:w="28" w:type="dxa"/>
              <w:right w:w="28" w:type="dxa"/>
            </w:tcMar>
            <w:vAlign w:val="center"/>
          </w:tcPr>
          <w:p w:rsidR="00B03B5E" w:rsidRPr="00D14CE9" w:rsidRDefault="00B03B5E" w:rsidP="00BB2299">
            <w:pPr>
              <w:jc w:val="center"/>
              <w:rPr>
                <w:sz w:val="16"/>
                <w:szCs w:val="16"/>
              </w:rPr>
            </w:pPr>
            <w:r w:rsidRPr="00D14CE9">
              <w:rPr>
                <w:sz w:val="16"/>
                <w:szCs w:val="16"/>
              </w:rPr>
              <w:t>24.3</w:t>
            </w:r>
          </w:p>
        </w:tc>
      </w:tr>
      <w:tr w:rsidR="00B03B5E" w:rsidRPr="00D14CE9" w:rsidTr="003A1D14">
        <w:trPr>
          <w:trHeight w:val="20"/>
        </w:trPr>
        <w:tc>
          <w:tcPr>
            <w:tcW w:w="1807" w:type="pct"/>
            <w:noWrap/>
            <w:tcMar>
              <w:top w:w="28" w:type="dxa"/>
              <w:left w:w="28" w:type="dxa"/>
              <w:bottom w:w="28" w:type="dxa"/>
              <w:right w:w="28" w:type="dxa"/>
            </w:tcMar>
            <w:vAlign w:val="center"/>
          </w:tcPr>
          <w:p w:rsidR="00B03B5E" w:rsidRPr="00D14CE9" w:rsidRDefault="00B03B5E" w:rsidP="00BB2299">
            <w:pPr>
              <w:rPr>
                <w:rFonts w:cs="Calibri"/>
                <w:color w:val="000000"/>
                <w:sz w:val="16"/>
                <w:szCs w:val="16"/>
              </w:rPr>
            </w:pPr>
            <w:r w:rsidRPr="00D14CE9">
              <w:rPr>
                <w:rFonts w:cs="Calibri"/>
                <w:color w:val="000000"/>
                <w:sz w:val="16"/>
                <w:szCs w:val="16"/>
              </w:rPr>
              <w:t>Regional LGAs</w:t>
            </w:r>
          </w:p>
        </w:tc>
        <w:tc>
          <w:tcPr>
            <w:tcW w:w="1148" w:type="pct"/>
            <w:noWrap/>
            <w:tcMar>
              <w:top w:w="28" w:type="dxa"/>
              <w:left w:w="28" w:type="dxa"/>
              <w:bottom w:w="28" w:type="dxa"/>
              <w:right w:w="28" w:type="dxa"/>
            </w:tcMar>
            <w:vAlign w:val="center"/>
          </w:tcPr>
          <w:p w:rsidR="00B03B5E" w:rsidRPr="00D14CE9" w:rsidRDefault="00B03B5E" w:rsidP="00BB2299">
            <w:pPr>
              <w:jc w:val="center"/>
              <w:rPr>
                <w:sz w:val="16"/>
                <w:szCs w:val="16"/>
              </w:rPr>
            </w:pPr>
            <w:r w:rsidRPr="00D14CE9">
              <w:rPr>
                <w:sz w:val="16"/>
                <w:szCs w:val="16"/>
              </w:rPr>
              <w:t>8.7</w:t>
            </w:r>
          </w:p>
        </w:tc>
        <w:tc>
          <w:tcPr>
            <w:tcW w:w="1148" w:type="pct"/>
            <w:noWrap/>
            <w:tcMar>
              <w:top w:w="28" w:type="dxa"/>
              <w:left w:w="28" w:type="dxa"/>
              <w:bottom w:w="28" w:type="dxa"/>
              <w:right w:w="28" w:type="dxa"/>
            </w:tcMar>
            <w:vAlign w:val="center"/>
          </w:tcPr>
          <w:p w:rsidR="00B03B5E" w:rsidRPr="00D14CE9" w:rsidRDefault="00B03B5E" w:rsidP="00BB2299">
            <w:pPr>
              <w:jc w:val="center"/>
              <w:rPr>
                <w:sz w:val="16"/>
                <w:szCs w:val="16"/>
              </w:rPr>
            </w:pPr>
            <w:r w:rsidRPr="00D14CE9">
              <w:rPr>
                <w:sz w:val="16"/>
                <w:szCs w:val="16"/>
              </w:rPr>
              <w:t>10.6</w:t>
            </w:r>
          </w:p>
        </w:tc>
        <w:tc>
          <w:tcPr>
            <w:tcW w:w="897" w:type="pct"/>
            <w:tcMar>
              <w:top w:w="28" w:type="dxa"/>
              <w:left w:w="28" w:type="dxa"/>
              <w:bottom w:w="28" w:type="dxa"/>
              <w:right w:w="28" w:type="dxa"/>
            </w:tcMar>
            <w:vAlign w:val="center"/>
          </w:tcPr>
          <w:p w:rsidR="00B03B5E" w:rsidRPr="00D14CE9" w:rsidRDefault="00B03B5E" w:rsidP="00BB2299">
            <w:pPr>
              <w:jc w:val="center"/>
              <w:rPr>
                <w:sz w:val="16"/>
                <w:szCs w:val="16"/>
              </w:rPr>
            </w:pPr>
            <w:r w:rsidRPr="00D14CE9">
              <w:rPr>
                <w:sz w:val="16"/>
                <w:szCs w:val="16"/>
              </w:rPr>
              <w:t>17.5</w:t>
            </w:r>
          </w:p>
        </w:tc>
      </w:tr>
      <w:tr w:rsidR="00B03B5E" w:rsidRPr="00D14CE9" w:rsidTr="003A1D14">
        <w:trPr>
          <w:trHeight w:val="20"/>
        </w:trPr>
        <w:tc>
          <w:tcPr>
            <w:tcW w:w="1807" w:type="pct"/>
            <w:noWrap/>
            <w:tcMar>
              <w:top w:w="28" w:type="dxa"/>
              <w:left w:w="28" w:type="dxa"/>
              <w:bottom w:w="28" w:type="dxa"/>
              <w:right w:w="28" w:type="dxa"/>
            </w:tcMar>
            <w:vAlign w:val="center"/>
          </w:tcPr>
          <w:p w:rsidR="00B03B5E" w:rsidRPr="00D14CE9" w:rsidRDefault="00B03B5E" w:rsidP="00BB2299">
            <w:pPr>
              <w:rPr>
                <w:rFonts w:cs="Calibri"/>
                <w:b/>
                <w:color w:val="000000"/>
                <w:sz w:val="16"/>
                <w:szCs w:val="16"/>
              </w:rPr>
            </w:pPr>
            <w:r w:rsidRPr="00D14CE9">
              <w:rPr>
                <w:rFonts w:cs="Calibri"/>
                <w:b/>
                <w:color w:val="000000"/>
                <w:sz w:val="16"/>
                <w:szCs w:val="16"/>
              </w:rPr>
              <w:t>Total Demand</w:t>
            </w:r>
          </w:p>
        </w:tc>
        <w:tc>
          <w:tcPr>
            <w:tcW w:w="1148" w:type="pct"/>
            <w:noWrap/>
            <w:tcMar>
              <w:top w:w="28" w:type="dxa"/>
              <w:left w:w="28" w:type="dxa"/>
              <w:bottom w:w="28" w:type="dxa"/>
              <w:right w:w="28" w:type="dxa"/>
            </w:tcMar>
            <w:vAlign w:val="center"/>
          </w:tcPr>
          <w:p w:rsidR="00B03B5E" w:rsidRPr="00D14CE9" w:rsidRDefault="00B03B5E" w:rsidP="00BB2299">
            <w:pPr>
              <w:jc w:val="center"/>
              <w:rPr>
                <w:b/>
                <w:sz w:val="16"/>
                <w:szCs w:val="16"/>
              </w:rPr>
            </w:pPr>
            <w:r w:rsidRPr="00D14CE9">
              <w:rPr>
                <w:b/>
                <w:sz w:val="16"/>
                <w:szCs w:val="16"/>
              </w:rPr>
              <w:t>46.4</w:t>
            </w:r>
          </w:p>
        </w:tc>
        <w:tc>
          <w:tcPr>
            <w:tcW w:w="1148" w:type="pct"/>
            <w:noWrap/>
            <w:tcMar>
              <w:top w:w="28" w:type="dxa"/>
              <w:left w:w="28" w:type="dxa"/>
              <w:bottom w:w="28" w:type="dxa"/>
              <w:right w:w="28" w:type="dxa"/>
            </w:tcMar>
            <w:vAlign w:val="center"/>
          </w:tcPr>
          <w:p w:rsidR="00B03B5E" w:rsidRPr="00D14CE9" w:rsidRDefault="00B03B5E" w:rsidP="00BB2299">
            <w:pPr>
              <w:jc w:val="center"/>
              <w:rPr>
                <w:b/>
                <w:sz w:val="16"/>
                <w:szCs w:val="16"/>
              </w:rPr>
            </w:pPr>
            <w:r w:rsidRPr="00D14CE9">
              <w:rPr>
                <w:b/>
                <w:sz w:val="16"/>
                <w:szCs w:val="16"/>
              </w:rPr>
              <w:t>55.8</w:t>
            </w:r>
          </w:p>
        </w:tc>
        <w:tc>
          <w:tcPr>
            <w:tcW w:w="897" w:type="pct"/>
            <w:tcMar>
              <w:top w:w="28" w:type="dxa"/>
              <w:left w:w="28" w:type="dxa"/>
              <w:bottom w:w="28" w:type="dxa"/>
              <w:right w:w="28" w:type="dxa"/>
            </w:tcMar>
            <w:vAlign w:val="center"/>
          </w:tcPr>
          <w:p w:rsidR="00B03B5E" w:rsidRPr="00D14CE9" w:rsidRDefault="00B03B5E" w:rsidP="00BB2299">
            <w:pPr>
              <w:jc w:val="center"/>
              <w:rPr>
                <w:b/>
                <w:sz w:val="16"/>
                <w:szCs w:val="16"/>
              </w:rPr>
            </w:pPr>
            <w:r w:rsidRPr="00D14CE9">
              <w:rPr>
                <w:b/>
                <w:sz w:val="16"/>
                <w:szCs w:val="16"/>
              </w:rPr>
              <w:t>87.8</w:t>
            </w:r>
          </w:p>
        </w:tc>
      </w:tr>
      <w:tr w:rsidR="008E6CD0" w:rsidRPr="00D14CE9" w:rsidTr="003A1D14">
        <w:trPr>
          <w:trHeight w:val="20"/>
        </w:trPr>
        <w:tc>
          <w:tcPr>
            <w:tcW w:w="5000" w:type="pct"/>
            <w:gridSpan w:val="4"/>
            <w:noWrap/>
            <w:tcMar>
              <w:top w:w="28" w:type="dxa"/>
              <w:left w:w="28" w:type="dxa"/>
              <w:bottom w:w="28" w:type="dxa"/>
              <w:right w:w="28" w:type="dxa"/>
            </w:tcMar>
            <w:vAlign w:val="center"/>
          </w:tcPr>
          <w:p w:rsidR="008E6CD0" w:rsidRPr="00D14CE9" w:rsidRDefault="008E6CD0" w:rsidP="00716615">
            <w:pPr>
              <w:rPr>
                <w:b/>
                <w:sz w:val="16"/>
                <w:szCs w:val="16"/>
              </w:rPr>
            </w:pPr>
            <w:r w:rsidRPr="00D14CE9">
              <w:rPr>
                <w:rFonts w:cs="Calibri"/>
                <w:b/>
                <w:color w:val="000000"/>
                <w:sz w:val="16"/>
                <w:szCs w:val="16"/>
              </w:rPr>
              <w:t>Scenario 2A</w:t>
            </w:r>
          </w:p>
        </w:tc>
      </w:tr>
      <w:tr w:rsidR="008E6CD0" w:rsidRPr="00D14CE9" w:rsidTr="003A1D14">
        <w:trPr>
          <w:trHeight w:val="20"/>
        </w:trPr>
        <w:tc>
          <w:tcPr>
            <w:tcW w:w="1807" w:type="pct"/>
            <w:noWrap/>
            <w:tcMar>
              <w:top w:w="28" w:type="dxa"/>
              <w:left w:w="28" w:type="dxa"/>
              <w:bottom w:w="28" w:type="dxa"/>
              <w:right w:w="28" w:type="dxa"/>
            </w:tcMar>
            <w:vAlign w:val="center"/>
          </w:tcPr>
          <w:p w:rsidR="008E6CD0" w:rsidRPr="00D14CE9" w:rsidRDefault="008E6CD0" w:rsidP="00BB2299">
            <w:pPr>
              <w:rPr>
                <w:rFonts w:cs="Calibri"/>
                <w:b/>
                <w:color w:val="000000"/>
                <w:sz w:val="16"/>
                <w:szCs w:val="16"/>
              </w:rPr>
            </w:pPr>
            <w:r w:rsidRPr="00D14CE9">
              <w:rPr>
                <w:rFonts w:cs="Calibri"/>
                <w:color w:val="000000"/>
                <w:sz w:val="16"/>
                <w:szCs w:val="16"/>
              </w:rPr>
              <w:t>Urban Infill LGAs</w:t>
            </w:r>
          </w:p>
        </w:tc>
        <w:tc>
          <w:tcPr>
            <w:tcW w:w="1148" w:type="pct"/>
            <w:noWrap/>
            <w:tcMar>
              <w:top w:w="28" w:type="dxa"/>
              <w:left w:w="28" w:type="dxa"/>
              <w:bottom w:w="28" w:type="dxa"/>
              <w:right w:w="28" w:type="dxa"/>
            </w:tcMar>
            <w:vAlign w:val="center"/>
          </w:tcPr>
          <w:p w:rsidR="008E6CD0" w:rsidRPr="00D14CE9" w:rsidRDefault="00B03B5E" w:rsidP="00BB2299">
            <w:pPr>
              <w:jc w:val="center"/>
              <w:rPr>
                <w:sz w:val="16"/>
                <w:szCs w:val="16"/>
              </w:rPr>
            </w:pPr>
            <w:r w:rsidRPr="00D14CE9">
              <w:rPr>
                <w:sz w:val="16"/>
                <w:szCs w:val="16"/>
              </w:rPr>
              <w:t>17.9</w:t>
            </w:r>
          </w:p>
        </w:tc>
        <w:tc>
          <w:tcPr>
            <w:tcW w:w="1148" w:type="pct"/>
            <w:noWrap/>
            <w:tcMar>
              <w:top w:w="28" w:type="dxa"/>
              <w:left w:w="28" w:type="dxa"/>
              <w:bottom w:w="28" w:type="dxa"/>
              <w:right w:w="28" w:type="dxa"/>
            </w:tcMar>
            <w:vAlign w:val="center"/>
          </w:tcPr>
          <w:p w:rsidR="008E6CD0" w:rsidRPr="00D14CE9" w:rsidRDefault="00B03B5E" w:rsidP="00BB2299">
            <w:pPr>
              <w:jc w:val="center"/>
              <w:rPr>
                <w:sz w:val="16"/>
                <w:szCs w:val="16"/>
              </w:rPr>
            </w:pPr>
            <w:r w:rsidRPr="00D14CE9">
              <w:rPr>
                <w:sz w:val="16"/>
                <w:szCs w:val="16"/>
              </w:rPr>
              <w:t>20.5</w:t>
            </w:r>
          </w:p>
        </w:tc>
        <w:tc>
          <w:tcPr>
            <w:tcW w:w="897" w:type="pct"/>
            <w:tcMar>
              <w:top w:w="28" w:type="dxa"/>
              <w:left w:w="28" w:type="dxa"/>
              <w:bottom w:w="28" w:type="dxa"/>
              <w:right w:w="28" w:type="dxa"/>
            </w:tcMar>
            <w:vAlign w:val="center"/>
          </w:tcPr>
          <w:p w:rsidR="008E6CD0" w:rsidRPr="00D14CE9" w:rsidRDefault="00B03B5E" w:rsidP="00B03B5E">
            <w:pPr>
              <w:jc w:val="center"/>
              <w:rPr>
                <w:sz w:val="16"/>
                <w:szCs w:val="16"/>
              </w:rPr>
            </w:pPr>
            <w:r w:rsidRPr="00D14CE9">
              <w:rPr>
                <w:sz w:val="16"/>
                <w:szCs w:val="16"/>
              </w:rPr>
              <w:t>36.8</w:t>
            </w:r>
          </w:p>
        </w:tc>
      </w:tr>
      <w:tr w:rsidR="008E6CD0" w:rsidRPr="00D14CE9" w:rsidTr="003A1D14">
        <w:trPr>
          <w:trHeight w:val="20"/>
        </w:trPr>
        <w:tc>
          <w:tcPr>
            <w:tcW w:w="1807" w:type="pct"/>
            <w:noWrap/>
            <w:tcMar>
              <w:top w:w="28" w:type="dxa"/>
              <w:left w:w="28" w:type="dxa"/>
              <w:bottom w:w="28" w:type="dxa"/>
              <w:right w:w="28" w:type="dxa"/>
            </w:tcMar>
            <w:vAlign w:val="center"/>
          </w:tcPr>
          <w:p w:rsidR="008E6CD0" w:rsidRPr="00D14CE9" w:rsidRDefault="008E6CD0" w:rsidP="00BB2299">
            <w:pPr>
              <w:rPr>
                <w:rFonts w:cs="Calibri"/>
                <w:b/>
                <w:color w:val="000000"/>
                <w:sz w:val="16"/>
                <w:szCs w:val="16"/>
              </w:rPr>
            </w:pPr>
            <w:r w:rsidRPr="00D14CE9">
              <w:rPr>
                <w:rFonts w:cs="Calibri"/>
                <w:color w:val="000000"/>
                <w:sz w:val="16"/>
                <w:szCs w:val="16"/>
              </w:rPr>
              <w:t>Urban Growth Areas LGAs</w:t>
            </w:r>
          </w:p>
        </w:tc>
        <w:tc>
          <w:tcPr>
            <w:tcW w:w="1148" w:type="pct"/>
            <w:noWrap/>
            <w:tcMar>
              <w:top w:w="28" w:type="dxa"/>
              <w:left w:w="28" w:type="dxa"/>
              <w:bottom w:w="28" w:type="dxa"/>
              <w:right w:w="28" w:type="dxa"/>
            </w:tcMar>
            <w:vAlign w:val="center"/>
          </w:tcPr>
          <w:p w:rsidR="008E6CD0" w:rsidRPr="00D14CE9" w:rsidRDefault="00B03B5E" w:rsidP="00BB2299">
            <w:pPr>
              <w:jc w:val="center"/>
              <w:rPr>
                <w:sz w:val="16"/>
                <w:szCs w:val="16"/>
              </w:rPr>
            </w:pPr>
            <w:r w:rsidRPr="00D14CE9">
              <w:rPr>
                <w:sz w:val="16"/>
                <w:szCs w:val="16"/>
              </w:rPr>
              <w:t>12.2</w:t>
            </w:r>
          </w:p>
        </w:tc>
        <w:tc>
          <w:tcPr>
            <w:tcW w:w="1148" w:type="pct"/>
            <w:noWrap/>
            <w:tcMar>
              <w:top w:w="28" w:type="dxa"/>
              <w:left w:w="28" w:type="dxa"/>
              <w:bottom w:w="28" w:type="dxa"/>
              <w:right w:w="28" w:type="dxa"/>
            </w:tcMar>
            <w:vAlign w:val="center"/>
          </w:tcPr>
          <w:p w:rsidR="008E6CD0" w:rsidRPr="00D14CE9" w:rsidRDefault="00B03B5E" w:rsidP="00715DB8">
            <w:pPr>
              <w:jc w:val="center"/>
              <w:rPr>
                <w:sz w:val="16"/>
                <w:szCs w:val="16"/>
              </w:rPr>
            </w:pPr>
            <w:r w:rsidRPr="00D14CE9">
              <w:rPr>
                <w:sz w:val="16"/>
                <w:szCs w:val="16"/>
              </w:rPr>
              <w:t>15.</w:t>
            </w:r>
            <w:r w:rsidR="00715DB8">
              <w:rPr>
                <w:sz w:val="16"/>
                <w:szCs w:val="16"/>
              </w:rPr>
              <w:t>6</w:t>
            </w:r>
          </w:p>
        </w:tc>
        <w:tc>
          <w:tcPr>
            <w:tcW w:w="897" w:type="pct"/>
            <w:tcMar>
              <w:top w:w="28" w:type="dxa"/>
              <w:left w:w="28" w:type="dxa"/>
              <w:bottom w:w="28" w:type="dxa"/>
              <w:right w:w="28" w:type="dxa"/>
            </w:tcMar>
            <w:vAlign w:val="center"/>
          </w:tcPr>
          <w:p w:rsidR="008E6CD0" w:rsidRPr="00D14CE9" w:rsidRDefault="00B03B5E" w:rsidP="00BB2299">
            <w:pPr>
              <w:jc w:val="center"/>
              <w:rPr>
                <w:sz w:val="16"/>
                <w:szCs w:val="16"/>
              </w:rPr>
            </w:pPr>
            <w:r w:rsidRPr="00D14CE9">
              <w:rPr>
                <w:sz w:val="16"/>
                <w:szCs w:val="16"/>
              </w:rPr>
              <w:t>19.4</w:t>
            </w:r>
          </w:p>
        </w:tc>
      </w:tr>
      <w:tr w:rsidR="008E6CD0" w:rsidRPr="00D14CE9" w:rsidTr="003A1D14">
        <w:trPr>
          <w:trHeight w:val="20"/>
        </w:trPr>
        <w:tc>
          <w:tcPr>
            <w:tcW w:w="1807" w:type="pct"/>
            <w:noWrap/>
            <w:tcMar>
              <w:top w:w="28" w:type="dxa"/>
              <w:left w:w="28" w:type="dxa"/>
              <w:bottom w:w="28" w:type="dxa"/>
              <w:right w:w="28" w:type="dxa"/>
            </w:tcMar>
            <w:vAlign w:val="center"/>
          </w:tcPr>
          <w:p w:rsidR="008E6CD0" w:rsidRPr="00D14CE9" w:rsidRDefault="008E6CD0" w:rsidP="00BB2299">
            <w:pPr>
              <w:rPr>
                <w:rFonts w:cs="Calibri"/>
                <w:b/>
                <w:color w:val="000000"/>
                <w:sz w:val="16"/>
                <w:szCs w:val="16"/>
              </w:rPr>
            </w:pPr>
            <w:r w:rsidRPr="00D14CE9">
              <w:rPr>
                <w:rFonts w:cs="Calibri"/>
                <w:color w:val="000000"/>
                <w:sz w:val="16"/>
                <w:szCs w:val="16"/>
              </w:rPr>
              <w:t>Regional LGAs</w:t>
            </w:r>
          </w:p>
        </w:tc>
        <w:tc>
          <w:tcPr>
            <w:tcW w:w="1148" w:type="pct"/>
            <w:noWrap/>
            <w:tcMar>
              <w:top w:w="28" w:type="dxa"/>
              <w:left w:w="28" w:type="dxa"/>
              <w:bottom w:w="28" w:type="dxa"/>
              <w:right w:w="28" w:type="dxa"/>
            </w:tcMar>
            <w:vAlign w:val="center"/>
          </w:tcPr>
          <w:p w:rsidR="008E6CD0" w:rsidRPr="00D14CE9" w:rsidRDefault="00B03B5E" w:rsidP="00BB2299">
            <w:pPr>
              <w:jc w:val="center"/>
              <w:rPr>
                <w:sz w:val="16"/>
                <w:szCs w:val="16"/>
              </w:rPr>
            </w:pPr>
            <w:r w:rsidRPr="00D14CE9">
              <w:rPr>
                <w:sz w:val="16"/>
                <w:szCs w:val="16"/>
              </w:rPr>
              <w:t>7.0</w:t>
            </w:r>
          </w:p>
        </w:tc>
        <w:tc>
          <w:tcPr>
            <w:tcW w:w="1148" w:type="pct"/>
            <w:noWrap/>
            <w:tcMar>
              <w:top w:w="28" w:type="dxa"/>
              <w:left w:w="28" w:type="dxa"/>
              <w:bottom w:w="28" w:type="dxa"/>
              <w:right w:w="28" w:type="dxa"/>
            </w:tcMar>
            <w:vAlign w:val="center"/>
          </w:tcPr>
          <w:p w:rsidR="008E6CD0" w:rsidRPr="00D14CE9" w:rsidRDefault="00B03B5E" w:rsidP="00B03B5E">
            <w:pPr>
              <w:jc w:val="center"/>
              <w:rPr>
                <w:sz w:val="16"/>
                <w:szCs w:val="16"/>
              </w:rPr>
            </w:pPr>
            <w:r w:rsidRPr="00D14CE9">
              <w:rPr>
                <w:sz w:val="16"/>
                <w:szCs w:val="16"/>
              </w:rPr>
              <w:t>8.4</w:t>
            </w:r>
          </w:p>
        </w:tc>
        <w:tc>
          <w:tcPr>
            <w:tcW w:w="897" w:type="pct"/>
            <w:tcMar>
              <w:top w:w="28" w:type="dxa"/>
              <w:left w:w="28" w:type="dxa"/>
              <w:bottom w:w="28" w:type="dxa"/>
              <w:right w:w="28" w:type="dxa"/>
            </w:tcMar>
            <w:vAlign w:val="center"/>
          </w:tcPr>
          <w:p w:rsidR="008E6CD0" w:rsidRPr="00D14CE9" w:rsidRDefault="00B03B5E" w:rsidP="00BB2299">
            <w:pPr>
              <w:jc w:val="center"/>
              <w:rPr>
                <w:sz w:val="16"/>
                <w:szCs w:val="16"/>
              </w:rPr>
            </w:pPr>
            <w:r w:rsidRPr="00D14CE9">
              <w:rPr>
                <w:sz w:val="16"/>
                <w:szCs w:val="16"/>
              </w:rPr>
              <w:t>14.0</w:t>
            </w:r>
          </w:p>
        </w:tc>
      </w:tr>
      <w:tr w:rsidR="008E6CD0" w:rsidRPr="00D14CE9" w:rsidTr="003A1D14">
        <w:trPr>
          <w:trHeight w:val="20"/>
        </w:trPr>
        <w:tc>
          <w:tcPr>
            <w:tcW w:w="1807" w:type="pct"/>
            <w:noWrap/>
            <w:tcMar>
              <w:top w:w="28" w:type="dxa"/>
              <w:left w:w="28" w:type="dxa"/>
              <w:bottom w:w="28" w:type="dxa"/>
              <w:right w:w="28" w:type="dxa"/>
            </w:tcMar>
            <w:vAlign w:val="center"/>
          </w:tcPr>
          <w:p w:rsidR="008E6CD0" w:rsidRPr="00D14CE9" w:rsidRDefault="008E6CD0" w:rsidP="00BB2299">
            <w:pPr>
              <w:rPr>
                <w:rFonts w:cs="Calibri"/>
                <w:b/>
                <w:color w:val="000000"/>
                <w:sz w:val="16"/>
                <w:szCs w:val="16"/>
              </w:rPr>
            </w:pPr>
            <w:r w:rsidRPr="00D14CE9">
              <w:rPr>
                <w:rFonts w:cs="Calibri"/>
                <w:b/>
                <w:color w:val="000000"/>
                <w:sz w:val="16"/>
                <w:szCs w:val="16"/>
              </w:rPr>
              <w:t>Total Demand</w:t>
            </w:r>
          </w:p>
        </w:tc>
        <w:tc>
          <w:tcPr>
            <w:tcW w:w="1148" w:type="pct"/>
            <w:noWrap/>
            <w:tcMar>
              <w:top w:w="28" w:type="dxa"/>
              <w:left w:w="28" w:type="dxa"/>
              <w:bottom w:w="28" w:type="dxa"/>
              <w:right w:w="28" w:type="dxa"/>
            </w:tcMar>
            <w:vAlign w:val="center"/>
          </w:tcPr>
          <w:p w:rsidR="008E6CD0" w:rsidRPr="00D14CE9" w:rsidRDefault="00B03B5E" w:rsidP="00BB2299">
            <w:pPr>
              <w:jc w:val="center"/>
              <w:rPr>
                <w:b/>
                <w:sz w:val="16"/>
                <w:szCs w:val="16"/>
              </w:rPr>
            </w:pPr>
            <w:r w:rsidRPr="00D14CE9">
              <w:rPr>
                <w:b/>
                <w:sz w:val="16"/>
                <w:szCs w:val="16"/>
              </w:rPr>
              <w:t>37.1</w:t>
            </w:r>
          </w:p>
        </w:tc>
        <w:tc>
          <w:tcPr>
            <w:tcW w:w="1148" w:type="pct"/>
            <w:noWrap/>
            <w:tcMar>
              <w:top w:w="28" w:type="dxa"/>
              <w:left w:w="28" w:type="dxa"/>
              <w:bottom w:w="28" w:type="dxa"/>
              <w:right w:w="28" w:type="dxa"/>
            </w:tcMar>
            <w:vAlign w:val="center"/>
          </w:tcPr>
          <w:p w:rsidR="008E6CD0" w:rsidRPr="00D14CE9" w:rsidRDefault="00B03B5E" w:rsidP="00715DB8">
            <w:pPr>
              <w:jc w:val="center"/>
              <w:rPr>
                <w:b/>
                <w:sz w:val="16"/>
                <w:szCs w:val="16"/>
              </w:rPr>
            </w:pPr>
            <w:r w:rsidRPr="00D14CE9">
              <w:rPr>
                <w:b/>
                <w:sz w:val="16"/>
                <w:szCs w:val="16"/>
              </w:rPr>
              <w:t>44.</w:t>
            </w:r>
            <w:r w:rsidR="00715DB8">
              <w:rPr>
                <w:b/>
                <w:sz w:val="16"/>
                <w:szCs w:val="16"/>
              </w:rPr>
              <w:t>7</w:t>
            </w:r>
          </w:p>
        </w:tc>
        <w:tc>
          <w:tcPr>
            <w:tcW w:w="897" w:type="pct"/>
            <w:tcMar>
              <w:top w:w="28" w:type="dxa"/>
              <w:left w:w="28" w:type="dxa"/>
              <w:bottom w:w="28" w:type="dxa"/>
              <w:right w:w="28" w:type="dxa"/>
            </w:tcMar>
            <w:vAlign w:val="center"/>
          </w:tcPr>
          <w:p w:rsidR="008E6CD0" w:rsidRPr="00D14CE9" w:rsidRDefault="00B03B5E" w:rsidP="00BB2299">
            <w:pPr>
              <w:jc w:val="center"/>
              <w:rPr>
                <w:b/>
                <w:sz w:val="16"/>
                <w:szCs w:val="16"/>
              </w:rPr>
            </w:pPr>
            <w:r w:rsidRPr="00D14CE9">
              <w:rPr>
                <w:b/>
                <w:sz w:val="16"/>
                <w:szCs w:val="16"/>
              </w:rPr>
              <w:t>70.2</w:t>
            </w:r>
          </w:p>
        </w:tc>
      </w:tr>
    </w:tbl>
    <w:p w:rsidR="008E6CD0" w:rsidRPr="00D14CE9" w:rsidRDefault="008E6CD0" w:rsidP="008E6CD0">
      <w:pPr>
        <w:pStyle w:val="ListParagraph"/>
        <w:numPr>
          <w:ilvl w:val="0"/>
          <w:numId w:val="9"/>
        </w:numPr>
        <w:rPr>
          <w:rFonts w:ascii="EYInterstate Light" w:hAnsi="EYInterstate Light"/>
          <w:i/>
          <w:sz w:val="16"/>
          <w:szCs w:val="16"/>
        </w:rPr>
      </w:pPr>
      <w:r w:rsidRPr="00D14CE9">
        <w:rPr>
          <w:rFonts w:ascii="EYInterstate Light" w:hAnsi="EYInterstate Light"/>
          <w:i/>
          <w:sz w:val="16"/>
          <w:szCs w:val="16"/>
        </w:rPr>
        <w:t>Source: EY analysis</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Conclusions in terms of adverse economic impacts of a decrease by 20% of the demand </w:t>
      </w:r>
      <w:r w:rsidR="002056F0" w:rsidRPr="00D14CE9">
        <w:rPr>
          <w:rFonts w:cstheme="majorHAnsi"/>
          <w:szCs w:val="20"/>
          <w:lang w:val="en-AU"/>
        </w:rPr>
        <w:t>drivers’</w:t>
      </w:r>
      <w:r w:rsidRPr="00D14CE9">
        <w:rPr>
          <w:rFonts w:cstheme="majorHAnsi"/>
          <w:szCs w:val="20"/>
          <w:lang w:val="en-AU"/>
        </w:rPr>
        <w:t xml:space="preserve"> growth on the supply side are expected to be provided in the overall assessment developed by PwC in relation to the identification of regional gaps in the available capacity of the supply chain and the needs for extractive resources.</w:t>
      </w:r>
    </w:p>
    <w:p w:rsidR="003404A2" w:rsidRPr="00D14CE9" w:rsidRDefault="00C30C56" w:rsidP="00C200D0">
      <w:pPr>
        <w:pStyle w:val="EYHeading2"/>
      </w:pPr>
      <w:bookmarkStart w:id="623" w:name="_Toc451847089"/>
      <w:r>
        <w:t>Scenario 3: r</w:t>
      </w:r>
      <w:r w:rsidR="003404A2" w:rsidRPr="00D14CE9">
        <w:t>edistribution of demand</w:t>
      </w:r>
      <w:bookmarkEnd w:id="623"/>
    </w:p>
    <w:p w:rsidR="00AE671A" w:rsidRPr="00D14CE9" w:rsidRDefault="00AE671A" w:rsidP="00CF11FB">
      <w:pPr>
        <w:pStyle w:val="EYBodytextwithparaspace"/>
        <w:spacing w:after="120"/>
        <w:rPr>
          <w:rFonts w:cstheme="majorHAnsi"/>
          <w:szCs w:val="20"/>
          <w:lang w:val="en-AU"/>
        </w:rPr>
      </w:pPr>
      <w:r w:rsidRPr="00D14CE9">
        <w:rPr>
          <w:b/>
          <w:lang w:val="en-AU"/>
        </w:rPr>
        <w:t>Scenario 3A</w:t>
      </w:r>
    </w:p>
    <w:p w:rsidR="004F47D5" w:rsidRDefault="003404A2" w:rsidP="00C200D0">
      <w:pPr>
        <w:pStyle w:val="EYBodytextwithparaspace"/>
        <w:rPr>
          <w:rFonts w:cstheme="majorHAnsi"/>
          <w:szCs w:val="20"/>
          <w:lang w:val="en-AU"/>
        </w:rPr>
        <w:sectPr w:rsidR="004F47D5" w:rsidSect="000B6297">
          <w:pgSz w:w="11909" w:h="16834" w:code="9"/>
          <w:pgMar w:top="1440" w:right="1440" w:bottom="1440" w:left="1440" w:header="720" w:footer="567" w:gutter="0"/>
          <w:cols w:space="720"/>
          <w:docGrid w:linePitch="360"/>
        </w:sectPr>
      </w:pPr>
      <w:r w:rsidRPr="00D14CE9">
        <w:rPr>
          <w:rFonts w:cstheme="majorHAnsi"/>
          <w:szCs w:val="20"/>
          <w:lang w:val="en-AU"/>
        </w:rPr>
        <w:t xml:space="preserve">Scenario 3A consisted of assessing the impact of considering more infill development without amending government projections, therefore resulting in a redistribution of the demand for extractive resources towards those </w:t>
      </w:r>
      <w:r w:rsidR="00E94FA4" w:rsidRPr="00D14CE9">
        <w:rPr>
          <w:rFonts w:cstheme="majorHAnsi"/>
          <w:szCs w:val="20"/>
          <w:lang w:val="en-AU"/>
        </w:rPr>
        <w:t>Urban I</w:t>
      </w:r>
      <w:r w:rsidRPr="00D14CE9">
        <w:rPr>
          <w:rFonts w:cstheme="majorHAnsi"/>
          <w:szCs w:val="20"/>
          <w:lang w:val="en-AU"/>
        </w:rPr>
        <w:t xml:space="preserve">nfill LGAs, listed as follows and defined in </w:t>
      </w:r>
      <w:r w:rsidR="00311810" w:rsidRPr="00474B05">
        <w:rPr>
          <w:rFonts w:cstheme="majorHAnsi"/>
          <w:szCs w:val="20"/>
          <w:lang w:val="en-AU"/>
        </w:rPr>
        <w:fldChar w:fldCharType="begin" w:fldLock="1"/>
      </w:r>
      <w:r w:rsidR="00311810" w:rsidRPr="00D14CE9">
        <w:rPr>
          <w:rFonts w:cstheme="majorHAnsi"/>
          <w:szCs w:val="20"/>
          <w:lang w:val="en-AU"/>
        </w:rPr>
        <w:instrText xml:space="preserve"> REF _Ref441835942 \r \h </w:instrText>
      </w:r>
      <w:r w:rsidR="00311810" w:rsidRPr="00474B05">
        <w:rPr>
          <w:rFonts w:cstheme="majorHAnsi"/>
          <w:szCs w:val="20"/>
          <w:lang w:val="en-AU"/>
        </w:rPr>
      </w:r>
      <w:r w:rsidR="00311810" w:rsidRPr="00474B05">
        <w:rPr>
          <w:rFonts w:cstheme="majorHAnsi"/>
          <w:szCs w:val="20"/>
          <w:lang w:val="en-AU"/>
        </w:rPr>
        <w:fldChar w:fldCharType="separate"/>
      </w:r>
      <w:r w:rsidR="00895089">
        <w:rPr>
          <w:rFonts w:cstheme="majorHAnsi"/>
          <w:szCs w:val="20"/>
          <w:lang w:val="en-AU"/>
        </w:rPr>
        <w:t>Appendix B</w:t>
      </w:r>
      <w:r w:rsidR="00311810" w:rsidRPr="00474B05">
        <w:rPr>
          <w:rFonts w:cstheme="majorHAnsi"/>
          <w:szCs w:val="20"/>
          <w:lang w:val="en-AU"/>
        </w:rPr>
        <w:fldChar w:fldCharType="end"/>
      </w:r>
      <w:r w:rsidRPr="00D14CE9">
        <w:rPr>
          <w:rFonts w:cstheme="majorHAnsi"/>
          <w:szCs w:val="20"/>
          <w:lang w:val="en-AU"/>
        </w:rPr>
        <w:t xml:space="preserve"> of the Report.</w:t>
      </w:r>
    </w:p>
    <w:p w:rsidR="003404A2" w:rsidRPr="00D14CE9" w:rsidRDefault="003404A2" w:rsidP="00C200D0">
      <w:pPr>
        <w:pStyle w:val="EYBulletedList1"/>
        <w:rPr>
          <w:rFonts w:cstheme="majorHAnsi"/>
          <w:szCs w:val="20"/>
          <w:lang w:val="en-AU"/>
        </w:rPr>
      </w:pPr>
      <w:r w:rsidRPr="00D14CE9">
        <w:rPr>
          <w:rFonts w:cstheme="majorHAnsi"/>
          <w:szCs w:val="20"/>
          <w:lang w:val="en-AU"/>
        </w:rPr>
        <w:lastRenderedPageBreak/>
        <w:t>Banyule (C)</w:t>
      </w:r>
    </w:p>
    <w:p w:rsidR="003404A2" w:rsidRPr="00D14CE9" w:rsidRDefault="003404A2" w:rsidP="00C200D0">
      <w:pPr>
        <w:pStyle w:val="EYBulletedList1"/>
        <w:rPr>
          <w:rFonts w:cstheme="majorHAnsi"/>
          <w:szCs w:val="20"/>
          <w:lang w:val="en-AU"/>
        </w:rPr>
      </w:pPr>
      <w:r w:rsidRPr="00D14CE9">
        <w:rPr>
          <w:rFonts w:cstheme="majorHAnsi"/>
          <w:szCs w:val="20"/>
          <w:lang w:val="en-AU"/>
        </w:rPr>
        <w:t>Bayside (C)</w:t>
      </w:r>
    </w:p>
    <w:p w:rsidR="003404A2" w:rsidRPr="00D14CE9" w:rsidRDefault="003404A2" w:rsidP="00C200D0">
      <w:pPr>
        <w:pStyle w:val="EYBulletedList1"/>
        <w:rPr>
          <w:rFonts w:cstheme="majorHAnsi"/>
          <w:szCs w:val="20"/>
          <w:lang w:val="en-AU"/>
        </w:rPr>
      </w:pPr>
      <w:r w:rsidRPr="00D14CE9">
        <w:rPr>
          <w:rFonts w:cstheme="majorHAnsi"/>
          <w:szCs w:val="20"/>
          <w:lang w:val="en-AU"/>
        </w:rPr>
        <w:t>Boroondara (C)</w:t>
      </w:r>
    </w:p>
    <w:p w:rsidR="003404A2" w:rsidRPr="00D14CE9" w:rsidRDefault="003404A2" w:rsidP="00C200D0">
      <w:pPr>
        <w:pStyle w:val="EYBulletedList1"/>
        <w:rPr>
          <w:rFonts w:cstheme="majorHAnsi"/>
          <w:szCs w:val="20"/>
          <w:lang w:val="en-AU"/>
        </w:rPr>
      </w:pPr>
      <w:r w:rsidRPr="00D14CE9">
        <w:rPr>
          <w:rFonts w:cstheme="majorHAnsi"/>
          <w:szCs w:val="20"/>
          <w:lang w:val="en-AU"/>
        </w:rPr>
        <w:t>Brimbank (C)</w:t>
      </w:r>
    </w:p>
    <w:p w:rsidR="003404A2" w:rsidRPr="00D14CE9" w:rsidRDefault="003404A2" w:rsidP="00C200D0">
      <w:pPr>
        <w:pStyle w:val="EYBulletedList1"/>
        <w:rPr>
          <w:rFonts w:cstheme="majorHAnsi"/>
          <w:szCs w:val="20"/>
          <w:lang w:val="en-AU"/>
        </w:rPr>
      </w:pPr>
      <w:r w:rsidRPr="00D14CE9">
        <w:rPr>
          <w:rFonts w:cstheme="majorHAnsi"/>
          <w:szCs w:val="20"/>
          <w:lang w:val="en-AU"/>
        </w:rPr>
        <w:t>Darebin (C)</w:t>
      </w:r>
    </w:p>
    <w:p w:rsidR="003404A2" w:rsidRPr="00D14CE9" w:rsidRDefault="003404A2" w:rsidP="00C200D0">
      <w:pPr>
        <w:pStyle w:val="EYBulletedList1"/>
        <w:rPr>
          <w:rFonts w:cstheme="majorHAnsi"/>
          <w:szCs w:val="20"/>
          <w:lang w:val="en-AU"/>
        </w:rPr>
      </w:pPr>
      <w:r w:rsidRPr="00D14CE9">
        <w:rPr>
          <w:rFonts w:cstheme="majorHAnsi"/>
          <w:szCs w:val="20"/>
          <w:lang w:val="en-AU"/>
        </w:rPr>
        <w:t>Frankston (C)</w:t>
      </w:r>
    </w:p>
    <w:p w:rsidR="003404A2" w:rsidRPr="00D14CE9" w:rsidRDefault="003404A2" w:rsidP="00C200D0">
      <w:pPr>
        <w:pStyle w:val="EYBulletedList1"/>
        <w:rPr>
          <w:rFonts w:cstheme="majorHAnsi"/>
          <w:szCs w:val="20"/>
          <w:lang w:val="en-AU"/>
        </w:rPr>
      </w:pPr>
      <w:r w:rsidRPr="00D14CE9">
        <w:rPr>
          <w:rFonts w:cstheme="majorHAnsi"/>
          <w:szCs w:val="20"/>
          <w:lang w:val="en-AU"/>
        </w:rPr>
        <w:t>Glen Eira (C)</w:t>
      </w:r>
    </w:p>
    <w:p w:rsidR="003404A2" w:rsidRPr="00D14CE9" w:rsidRDefault="003404A2" w:rsidP="00C200D0">
      <w:pPr>
        <w:pStyle w:val="EYBulletedList1"/>
        <w:rPr>
          <w:rFonts w:cstheme="majorHAnsi"/>
          <w:szCs w:val="20"/>
          <w:lang w:val="en-AU"/>
        </w:rPr>
      </w:pPr>
      <w:r w:rsidRPr="00D14CE9">
        <w:rPr>
          <w:rFonts w:cstheme="majorHAnsi"/>
          <w:szCs w:val="20"/>
          <w:lang w:val="en-AU"/>
        </w:rPr>
        <w:t>Greater Dandenong (C)</w:t>
      </w:r>
    </w:p>
    <w:p w:rsidR="003404A2" w:rsidRPr="00D14CE9" w:rsidRDefault="003404A2" w:rsidP="00C200D0">
      <w:pPr>
        <w:pStyle w:val="EYBulletedList1"/>
        <w:rPr>
          <w:rFonts w:cstheme="majorHAnsi"/>
          <w:szCs w:val="20"/>
          <w:lang w:val="en-AU"/>
        </w:rPr>
      </w:pPr>
      <w:r w:rsidRPr="00D14CE9">
        <w:rPr>
          <w:rFonts w:cstheme="majorHAnsi"/>
          <w:szCs w:val="20"/>
          <w:lang w:val="en-AU"/>
        </w:rPr>
        <w:t>Hobsons Bay (C)</w:t>
      </w:r>
    </w:p>
    <w:p w:rsidR="003404A2" w:rsidRPr="00D14CE9" w:rsidRDefault="003404A2" w:rsidP="00C200D0">
      <w:pPr>
        <w:pStyle w:val="EYBulletedList1"/>
        <w:rPr>
          <w:rFonts w:cstheme="majorHAnsi"/>
          <w:szCs w:val="20"/>
          <w:lang w:val="en-AU"/>
        </w:rPr>
      </w:pPr>
      <w:r w:rsidRPr="00D14CE9">
        <w:rPr>
          <w:rFonts w:cstheme="majorHAnsi"/>
          <w:szCs w:val="20"/>
          <w:lang w:val="en-AU"/>
        </w:rPr>
        <w:t>Kingston (C)</w:t>
      </w:r>
    </w:p>
    <w:p w:rsidR="003404A2" w:rsidRPr="00D14CE9" w:rsidRDefault="003404A2" w:rsidP="00C200D0">
      <w:pPr>
        <w:pStyle w:val="EYBulletedList1"/>
        <w:rPr>
          <w:rFonts w:cstheme="majorHAnsi"/>
          <w:szCs w:val="20"/>
          <w:lang w:val="en-AU"/>
        </w:rPr>
      </w:pPr>
      <w:r w:rsidRPr="00D14CE9">
        <w:rPr>
          <w:rFonts w:cstheme="majorHAnsi"/>
          <w:szCs w:val="20"/>
          <w:lang w:val="en-AU"/>
        </w:rPr>
        <w:t>Knox (C)</w:t>
      </w:r>
    </w:p>
    <w:p w:rsidR="003404A2" w:rsidRPr="00D14CE9" w:rsidRDefault="003404A2" w:rsidP="00C200D0">
      <w:pPr>
        <w:pStyle w:val="EYBulletedList1"/>
        <w:rPr>
          <w:rFonts w:cstheme="majorHAnsi"/>
          <w:szCs w:val="20"/>
          <w:lang w:val="en-AU"/>
        </w:rPr>
      </w:pPr>
      <w:r w:rsidRPr="00D14CE9">
        <w:rPr>
          <w:rFonts w:cstheme="majorHAnsi"/>
          <w:szCs w:val="20"/>
          <w:lang w:val="en-AU"/>
        </w:rPr>
        <w:t>Manningham (C)</w:t>
      </w:r>
    </w:p>
    <w:p w:rsidR="003404A2" w:rsidRPr="00D14CE9" w:rsidRDefault="003404A2" w:rsidP="00C200D0">
      <w:pPr>
        <w:pStyle w:val="EYBulletedList1"/>
        <w:rPr>
          <w:rFonts w:cstheme="majorHAnsi"/>
          <w:szCs w:val="20"/>
          <w:lang w:val="en-AU"/>
        </w:rPr>
      </w:pPr>
      <w:r w:rsidRPr="00D14CE9">
        <w:rPr>
          <w:rFonts w:cstheme="majorHAnsi"/>
          <w:szCs w:val="20"/>
          <w:lang w:val="en-AU"/>
        </w:rPr>
        <w:t>Maribyrnong (C)</w:t>
      </w:r>
    </w:p>
    <w:p w:rsidR="003404A2" w:rsidRPr="00D14CE9" w:rsidRDefault="003404A2" w:rsidP="00C200D0">
      <w:pPr>
        <w:pStyle w:val="EYBulletedList1"/>
        <w:rPr>
          <w:rFonts w:cstheme="majorHAnsi"/>
          <w:szCs w:val="20"/>
          <w:lang w:val="en-AU"/>
        </w:rPr>
      </w:pPr>
      <w:r w:rsidRPr="00D14CE9">
        <w:rPr>
          <w:rFonts w:cstheme="majorHAnsi"/>
          <w:szCs w:val="20"/>
          <w:lang w:val="en-AU"/>
        </w:rPr>
        <w:lastRenderedPageBreak/>
        <w:t>Maroondah (C)</w:t>
      </w:r>
    </w:p>
    <w:p w:rsidR="003404A2" w:rsidRPr="00D14CE9" w:rsidRDefault="003404A2" w:rsidP="00C200D0">
      <w:pPr>
        <w:pStyle w:val="EYBulletedList1"/>
        <w:rPr>
          <w:rFonts w:cstheme="majorHAnsi"/>
          <w:szCs w:val="20"/>
          <w:lang w:val="en-AU"/>
        </w:rPr>
      </w:pPr>
      <w:r w:rsidRPr="00D14CE9">
        <w:rPr>
          <w:rFonts w:cstheme="majorHAnsi"/>
          <w:szCs w:val="20"/>
          <w:lang w:val="en-AU"/>
        </w:rPr>
        <w:t>Melbourne (C)</w:t>
      </w:r>
    </w:p>
    <w:p w:rsidR="003404A2" w:rsidRPr="00D14CE9" w:rsidRDefault="003404A2" w:rsidP="00C200D0">
      <w:pPr>
        <w:pStyle w:val="EYBulletedList1"/>
        <w:rPr>
          <w:rFonts w:cstheme="majorHAnsi"/>
          <w:szCs w:val="20"/>
          <w:lang w:val="en-AU"/>
        </w:rPr>
      </w:pPr>
      <w:r w:rsidRPr="00D14CE9">
        <w:rPr>
          <w:rFonts w:cstheme="majorHAnsi"/>
          <w:szCs w:val="20"/>
          <w:lang w:val="en-AU"/>
        </w:rPr>
        <w:t>Monash (C)</w:t>
      </w:r>
    </w:p>
    <w:p w:rsidR="003404A2" w:rsidRPr="00D14CE9" w:rsidRDefault="003404A2" w:rsidP="00C200D0">
      <w:pPr>
        <w:pStyle w:val="EYBulletedList1"/>
        <w:rPr>
          <w:rFonts w:cstheme="majorHAnsi"/>
          <w:szCs w:val="20"/>
          <w:lang w:val="en-AU"/>
        </w:rPr>
      </w:pPr>
      <w:r w:rsidRPr="00D14CE9">
        <w:rPr>
          <w:rFonts w:cstheme="majorHAnsi"/>
          <w:szCs w:val="20"/>
          <w:lang w:val="en-AU"/>
        </w:rPr>
        <w:t>Moonee Valley (C)</w:t>
      </w:r>
    </w:p>
    <w:p w:rsidR="003404A2" w:rsidRPr="00D14CE9" w:rsidRDefault="003404A2" w:rsidP="00C200D0">
      <w:pPr>
        <w:pStyle w:val="EYBulletedList1"/>
        <w:rPr>
          <w:rFonts w:cstheme="majorHAnsi"/>
          <w:szCs w:val="20"/>
          <w:lang w:val="en-AU"/>
        </w:rPr>
      </w:pPr>
      <w:r w:rsidRPr="00D14CE9">
        <w:rPr>
          <w:rFonts w:cstheme="majorHAnsi"/>
          <w:szCs w:val="20"/>
          <w:lang w:val="en-AU"/>
        </w:rPr>
        <w:t>Moreland (C)</w:t>
      </w:r>
    </w:p>
    <w:p w:rsidR="003404A2" w:rsidRPr="00D14CE9" w:rsidRDefault="003404A2" w:rsidP="00C200D0">
      <w:pPr>
        <w:pStyle w:val="EYBulletedList1"/>
        <w:rPr>
          <w:rFonts w:cstheme="majorHAnsi"/>
          <w:szCs w:val="20"/>
          <w:lang w:val="en-AU"/>
        </w:rPr>
      </w:pPr>
      <w:r w:rsidRPr="00D14CE9">
        <w:rPr>
          <w:rFonts w:cstheme="majorHAnsi"/>
          <w:szCs w:val="20"/>
          <w:lang w:val="en-AU"/>
        </w:rPr>
        <w:t>Mornington Peninsula (S)</w:t>
      </w:r>
    </w:p>
    <w:p w:rsidR="003404A2" w:rsidRPr="00D14CE9" w:rsidRDefault="003404A2" w:rsidP="00C200D0">
      <w:pPr>
        <w:pStyle w:val="EYBulletedList1"/>
        <w:rPr>
          <w:rFonts w:cstheme="majorHAnsi"/>
          <w:szCs w:val="20"/>
          <w:lang w:val="en-AU"/>
        </w:rPr>
      </w:pPr>
      <w:r w:rsidRPr="00D14CE9">
        <w:rPr>
          <w:rFonts w:cstheme="majorHAnsi"/>
          <w:szCs w:val="20"/>
          <w:lang w:val="en-AU"/>
        </w:rPr>
        <w:t>Nillumbik (S)</w:t>
      </w:r>
    </w:p>
    <w:p w:rsidR="003404A2" w:rsidRPr="00D14CE9" w:rsidRDefault="003404A2" w:rsidP="00C200D0">
      <w:pPr>
        <w:pStyle w:val="EYBulletedList1"/>
        <w:rPr>
          <w:rFonts w:cstheme="majorHAnsi"/>
          <w:szCs w:val="20"/>
          <w:lang w:val="en-AU"/>
        </w:rPr>
      </w:pPr>
      <w:r w:rsidRPr="00D14CE9">
        <w:rPr>
          <w:rFonts w:cstheme="majorHAnsi"/>
          <w:szCs w:val="20"/>
          <w:lang w:val="en-AU"/>
        </w:rPr>
        <w:t>Port Phillip (C)</w:t>
      </w:r>
    </w:p>
    <w:p w:rsidR="003404A2" w:rsidRPr="00D14CE9" w:rsidRDefault="003404A2" w:rsidP="00C200D0">
      <w:pPr>
        <w:pStyle w:val="EYBulletedList1"/>
        <w:rPr>
          <w:rFonts w:cstheme="majorHAnsi"/>
          <w:szCs w:val="20"/>
          <w:lang w:val="en-AU"/>
        </w:rPr>
      </w:pPr>
      <w:r w:rsidRPr="00D14CE9">
        <w:rPr>
          <w:rFonts w:cstheme="majorHAnsi"/>
          <w:szCs w:val="20"/>
          <w:lang w:val="en-AU"/>
        </w:rPr>
        <w:t>Stonnington (C)</w:t>
      </w:r>
    </w:p>
    <w:p w:rsidR="003404A2" w:rsidRPr="00D14CE9" w:rsidRDefault="003404A2" w:rsidP="00C200D0">
      <w:pPr>
        <w:pStyle w:val="EYBulletedList1"/>
        <w:rPr>
          <w:rFonts w:cstheme="majorHAnsi"/>
          <w:szCs w:val="20"/>
          <w:lang w:val="en-AU"/>
        </w:rPr>
      </w:pPr>
      <w:r w:rsidRPr="00D14CE9">
        <w:rPr>
          <w:rFonts w:cstheme="majorHAnsi"/>
          <w:szCs w:val="20"/>
          <w:lang w:val="en-AU"/>
        </w:rPr>
        <w:t>Whitehorse (C)</w:t>
      </w:r>
    </w:p>
    <w:p w:rsidR="003404A2" w:rsidRPr="00D14CE9" w:rsidRDefault="003404A2" w:rsidP="00C200D0">
      <w:pPr>
        <w:pStyle w:val="EYBulletedList1"/>
        <w:rPr>
          <w:rFonts w:cstheme="majorHAnsi"/>
          <w:szCs w:val="20"/>
          <w:lang w:val="en-AU"/>
        </w:rPr>
      </w:pPr>
      <w:r w:rsidRPr="00D14CE9">
        <w:rPr>
          <w:rFonts w:cstheme="majorHAnsi"/>
          <w:szCs w:val="20"/>
          <w:lang w:val="en-AU"/>
        </w:rPr>
        <w:t>Yarra (C)</w:t>
      </w:r>
    </w:p>
    <w:p w:rsidR="003404A2" w:rsidRPr="00D14CE9" w:rsidRDefault="003404A2" w:rsidP="00C200D0">
      <w:pPr>
        <w:pStyle w:val="ListParagraph"/>
        <w:ind w:left="360"/>
        <w:rPr>
          <w:rFonts w:ascii="EYInterstate Light" w:hAnsi="EYInterstate Light"/>
        </w:rPr>
      </w:pPr>
      <w:r w:rsidRPr="00D14CE9">
        <w:rPr>
          <w:rFonts w:ascii="EYInterstate Light" w:hAnsi="EYInterstate Light"/>
        </w:rPr>
        <w:t xml:space="preserve"> </w:t>
      </w:r>
    </w:p>
    <w:p w:rsidR="004F47D5" w:rsidRDefault="004F47D5" w:rsidP="00C200D0">
      <w:pPr>
        <w:pStyle w:val="EYBodytextwithparaspace"/>
        <w:rPr>
          <w:rFonts w:cstheme="majorHAnsi"/>
          <w:szCs w:val="20"/>
          <w:lang w:val="en-AU"/>
        </w:rPr>
        <w:sectPr w:rsidR="004F47D5" w:rsidSect="003637FD">
          <w:type w:val="continuous"/>
          <w:pgSz w:w="11909" w:h="16834" w:code="9"/>
          <w:pgMar w:top="1440" w:right="1440" w:bottom="1440" w:left="1440" w:header="720" w:footer="567" w:gutter="0"/>
          <w:cols w:num="2" w:space="720"/>
          <w:docGrid w:linePitch="360"/>
        </w:sectPr>
      </w:pPr>
    </w:p>
    <w:p w:rsidR="00AB2F47" w:rsidRPr="00FD57BC" w:rsidRDefault="00AB2F47" w:rsidP="003637FD"/>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To allow the redistribution to </w:t>
      </w:r>
      <w:r w:rsidR="00E94FA4" w:rsidRPr="00D14CE9">
        <w:rPr>
          <w:rFonts w:cstheme="majorHAnsi"/>
          <w:szCs w:val="20"/>
          <w:lang w:val="en-AU"/>
        </w:rPr>
        <w:t>U</w:t>
      </w:r>
      <w:r w:rsidRPr="00D14CE9">
        <w:rPr>
          <w:rFonts w:cstheme="majorHAnsi"/>
          <w:szCs w:val="20"/>
          <w:lang w:val="en-AU"/>
        </w:rPr>
        <w:t xml:space="preserve">rban </w:t>
      </w:r>
      <w:r w:rsidR="00E94FA4" w:rsidRPr="00D14CE9">
        <w:rPr>
          <w:rFonts w:cstheme="majorHAnsi"/>
          <w:szCs w:val="20"/>
          <w:lang w:val="en-AU"/>
        </w:rPr>
        <w:t>I</w:t>
      </w:r>
      <w:r w:rsidRPr="00D14CE9">
        <w:rPr>
          <w:rFonts w:cstheme="majorHAnsi"/>
          <w:szCs w:val="20"/>
          <w:lang w:val="en-AU"/>
        </w:rPr>
        <w:t xml:space="preserve">nfill areas, this scenario considered an increased residential development in those LGAs, involving an automatic decrease in residential development within </w:t>
      </w:r>
      <w:r w:rsidR="00E94FA4" w:rsidRPr="00D14CE9">
        <w:rPr>
          <w:rFonts w:cstheme="majorHAnsi"/>
          <w:szCs w:val="20"/>
          <w:lang w:val="en-AU"/>
        </w:rPr>
        <w:t>U</w:t>
      </w:r>
      <w:r w:rsidRPr="00D14CE9">
        <w:rPr>
          <w:rFonts w:cstheme="majorHAnsi"/>
          <w:szCs w:val="20"/>
          <w:lang w:val="en-AU"/>
        </w:rPr>
        <w:t xml:space="preserve">rban </w:t>
      </w:r>
      <w:r w:rsidR="00E94FA4" w:rsidRPr="00D14CE9">
        <w:rPr>
          <w:rFonts w:cstheme="majorHAnsi"/>
          <w:szCs w:val="20"/>
          <w:lang w:val="en-AU"/>
        </w:rPr>
        <w:t xml:space="preserve">Growth </w:t>
      </w:r>
      <w:r w:rsidRPr="00D14CE9">
        <w:rPr>
          <w:rFonts w:cstheme="majorHAnsi"/>
          <w:szCs w:val="20"/>
          <w:lang w:val="en-AU"/>
        </w:rPr>
        <w:t xml:space="preserve">areas. In terms of transport activity, this scenario considered that the increase in population growth within the </w:t>
      </w:r>
      <w:r w:rsidR="00E94FA4" w:rsidRPr="00D14CE9">
        <w:rPr>
          <w:rFonts w:cstheme="majorHAnsi"/>
          <w:szCs w:val="20"/>
          <w:lang w:val="en-AU"/>
        </w:rPr>
        <w:t>Urban I</w:t>
      </w:r>
      <w:r w:rsidRPr="00D14CE9">
        <w:rPr>
          <w:rFonts w:cstheme="majorHAnsi"/>
          <w:szCs w:val="20"/>
          <w:lang w:val="en-AU"/>
        </w:rPr>
        <w:t xml:space="preserve">nfill LGAs should not have any impact on the roads network due to a presumably already sufficient transport network in those areas. However, within this scenario, transport network growth has been assumed to slow down in the </w:t>
      </w:r>
      <w:r w:rsidR="00E94FA4" w:rsidRPr="00D14CE9">
        <w:rPr>
          <w:rFonts w:cstheme="majorHAnsi"/>
          <w:szCs w:val="20"/>
          <w:lang w:val="en-AU"/>
        </w:rPr>
        <w:t>U</w:t>
      </w:r>
      <w:r w:rsidRPr="00D14CE9">
        <w:rPr>
          <w:rFonts w:cstheme="majorHAnsi"/>
          <w:szCs w:val="20"/>
          <w:lang w:val="en-AU"/>
        </w:rPr>
        <w:t xml:space="preserve">rban </w:t>
      </w:r>
      <w:r w:rsidR="00E94FA4" w:rsidRPr="00D14CE9">
        <w:rPr>
          <w:rFonts w:cstheme="majorHAnsi"/>
          <w:szCs w:val="20"/>
          <w:lang w:val="en-AU"/>
        </w:rPr>
        <w:t xml:space="preserve">Growth </w:t>
      </w:r>
      <w:r w:rsidRPr="00D14CE9">
        <w:rPr>
          <w:rFonts w:cstheme="majorHAnsi"/>
          <w:szCs w:val="20"/>
          <w:lang w:val="en-AU"/>
        </w:rPr>
        <w:t xml:space="preserve">areas.  The scenario assumes that this change is immediate and consistent until 2050. </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The impact of scenario 3A against the </w:t>
      </w:r>
      <w:r w:rsidR="00520170" w:rsidRPr="00D14CE9">
        <w:rPr>
          <w:rFonts w:cstheme="majorHAnsi"/>
          <w:szCs w:val="20"/>
          <w:lang w:val="en-AU"/>
        </w:rPr>
        <w:t xml:space="preserve">Baseline </w:t>
      </w:r>
      <w:r w:rsidRPr="00D14CE9">
        <w:rPr>
          <w:rFonts w:cstheme="majorHAnsi"/>
          <w:szCs w:val="20"/>
          <w:lang w:val="en-AU"/>
        </w:rPr>
        <w:t xml:space="preserve">demand forecast, in terms of spatial allocation per LGA classification, is presented in below </w:t>
      </w:r>
      <w:r w:rsidR="00AD6683">
        <w:rPr>
          <w:rFonts w:cstheme="majorHAnsi"/>
          <w:szCs w:val="20"/>
          <w:lang w:val="en-AU"/>
        </w:rPr>
        <w:fldChar w:fldCharType="begin"/>
      </w:r>
      <w:r w:rsidR="00AD6683">
        <w:rPr>
          <w:rFonts w:cstheme="majorHAnsi"/>
          <w:szCs w:val="20"/>
          <w:lang w:val="en-AU"/>
        </w:rPr>
        <w:instrText xml:space="preserve"> REF _Ref441418908 \h  \* MERGEFORMAT </w:instrText>
      </w:r>
      <w:r w:rsidR="00AD6683">
        <w:rPr>
          <w:rFonts w:cstheme="majorHAnsi"/>
          <w:szCs w:val="20"/>
          <w:lang w:val="en-AU"/>
        </w:rPr>
      </w:r>
      <w:r w:rsidR="00AD6683">
        <w:rPr>
          <w:rFonts w:cstheme="majorHAnsi"/>
          <w:szCs w:val="20"/>
          <w:lang w:val="en-AU"/>
        </w:rPr>
        <w:fldChar w:fldCharType="separate"/>
      </w:r>
      <w:r w:rsidR="00525C82" w:rsidRPr="00525C82">
        <w:rPr>
          <w:rFonts w:cstheme="majorHAnsi"/>
          <w:szCs w:val="20"/>
          <w:lang w:val="en-AU"/>
        </w:rPr>
        <w:t>Figure 26</w:t>
      </w:r>
      <w:r w:rsidR="00AD6683">
        <w:rPr>
          <w:rFonts w:cstheme="majorHAnsi"/>
          <w:szCs w:val="20"/>
          <w:lang w:val="en-AU"/>
        </w:rPr>
        <w:fldChar w:fldCharType="end"/>
      </w:r>
      <w:r w:rsidRPr="00D14CE9">
        <w:rPr>
          <w:rFonts w:cstheme="majorHAnsi"/>
          <w:szCs w:val="20"/>
          <w:lang w:val="en-AU"/>
        </w:rPr>
        <w:t>, which illustrates the impact of the redistribution is expected to be quite neutral in terms of total demand forecast and demand from regional LGAs.</w:t>
      </w:r>
    </w:p>
    <w:p w:rsidR="003404A2" w:rsidRPr="00D14CE9" w:rsidRDefault="003404A2" w:rsidP="00C200D0">
      <w:pPr>
        <w:pStyle w:val="Caption"/>
        <w:rPr>
          <w:sz w:val="16"/>
        </w:rPr>
      </w:pPr>
      <w:bookmarkStart w:id="624" w:name="_Ref441418908"/>
      <w:bookmarkStart w:id="625" w:name="_Toc445240924"/>
      <w:bookmarkStart w:id="626" w:name="_Toc448914588"/>
      <w:r w:rsidRPr="00D14CE9">
        <w:rPr>
          <w:sz w:val="16"/>
          <w:szCs w:val="18"/>
        </w:rPr>
        <w:lastRenderedPageBreak/>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26</w:t>
      </w:r>
      <w:r w:rsidRPr="00802792">
        <w:rPr>
          <w:sz w:val="16"/>
          <w:szCs w:val="18"/>
        </w:rPr>
        <w:fldChar w:fldCharType="end"/>
      </w:r>
      <w:bookmarkEnd w:id="624"/>
      <w:r w:rsidRPr="00D14CE9">
        <w:rPr>
          <w:sz w:val="16"/>
          <w:szCs w:val="18"/>
        </w:rPr>
        <w:t xml:space="preserve"> – </w:t>
      </w:r>
      <w:r w:rsidR="00A52BFF" w:rsidRPr="00D14CE9">
        <w:rPr>
          <w:sz w:val="16"/>
          <w:szCs w:val="18"/>
        </w:rPr>
        <w:t>Total d</w:t>
      </w:r>
      <w:r w:rsidRPr="00D14CE9">
        <w:rPr>
          <w:sz w:val="16"/>
          <w:szCs w:val="18"/>
        </w:rPr>
        <w:t xml:space="preserve">emand </w:t>
      </w:r>
      <w:r w:rsidR="00A52BFF" w:rsidRPr="00D14CE9">
        <w:rPr>
          <w:sz w:val="16"/>
          <w:szCs w:val="18"/>
        </w:rPr>
        <w:t>for extractive resources over the period</w:t>
      </w:r>
      <w:r w:rsidRPr="00D14CE9">
        <w:rPr>
          <w:sz w:val="16"/>
          <w:szCs w:val="18"/>
        </w:rPr>
        <w:t xml:space="preserve"> 2015-2050 – </w:t>
      </w:r>
      <w:r w:rsidR="00520170" w:rsidRPr="00D14CE9">
        <w:rPr>
          <w:sz w:val="16"/>
          <w:szCs w:val="18"/>
        </w:rPr>
        <w:t xml:space="preserve">Baseline </w:t>
      </w:r>
      <w:r w:rsidRPr="00D14CE9">
        <w:rPr>
          <w:sz w:val="16"/>
          <w:szCs w:val="18"/>
        </w:rPr>
        <w:t>vs. Scenario 3A</w:t>
      </w:r>
      <w:bookmarkEnd w:id="625"/>
      <w:bookmarkEnd w:id="626"/>
      <w:r w:rsidRPr="00D14CE9">
        <w:rPr>
          <w:sz w:val="16"/>
          <w:szCs w:val="18"/>
        </w:rPr>
        <w:t xml:space="preserve"> </w:t>
      </w:r>
    </w:p>
    <w:p w:rsidR="003404A2" w:rsidRPr="00D14CE9" w:rsidRDefault="006636EA" w:rsidP="00C200D0">
      <w:pPr>
        <w:pStyle w:val="ListParagraph"/>
        <w:ind w:left="0"/>
        <w:rPr>
          <w:rFonts w:ascii="EYInterstate Light" w:hAnsi="EYInterstate Light"/>
          <w:highlight w:val="yellow"/>
        </w:rPr>
      </w:pPr>
      <w:r>
        <w:rPr>
          <w:rFonts w:ascii="EYInterstate Light" w:hAnsi="EYInterstate Light"/>
          <w:noProof/>
          <w:lang w:eastAsia="en-AU"/>
        </w:rPr>
        <w:drawing>
          <wp:inline distT="0" distB="0" distL="0" distR="0" wp14:anchorId="0476755D" wp14:editId="4F812F0D">
            <wp:extent cx="5743238" cy="2112010"/>
            <wp:effectExtent l="0" t="0" r="0" b="2540"/>
            <wp:docPr id="2092" name="Picture 2092" descr="Figure 26 shows the total demand for extractive resources over the period 2015-2050 by comparing the baseline with scenario 3A.  The totals for each scenario, and the values for Regional LGAs, are about the same. However, the values for Scenario 3A are higher for urban infill LGAs and lower for Urban Growth Area LGAs."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l="774" t="1178" r="504" b="2195"/>
                    <a:stretch/>
                  </pic:blipFill>
                  <pic:spPr bwMode="auto">
                    <a:xfrm>
                      <a:off x="0" y="0"/>
                      <a:ext cx="5773667" cy="2123200"/>
                    </a:xfrm>
                    <a:prstGeom prst="rect">
                      <a:avLst/>
                    </a:prstGeom>
                    <a:noFill/>
                    <a:ln>
                      <a:noFill/>
                    </a:ln>
                    <a:extLst>
                      <a:ext uri="{53640926-AAD7-44D8-BBD7-CCE9431645EC}">
                        <a14:shadowObscured xmlns:a14="http://schemas.microsoft.com/office/drawing/2010/main"/>
                      </a:ext>
                    </a:extLst>
                  </pic:spPr>
                </pic:pic>
              </a:graphicData>
            </a:graphic>
          </wp:inline>
        </w:drawing>
      </w:r>
    </w:p>
    <w:p w:rsidR="00AE671A" w:rsidRPr="00D14CE9" w:rsidRDefault="00AE671A" w:rsidP="00AE671A">
      <w:pPr>
        <w:pStyle w:val="ListParagraph"/>
        <w:numPr>
          <w:ilvl w:val="0"/>
          <w:numId w:val="9"/>
        </w:numPr>
        <w:rPr>
          <w:rFonts w:ascii="EYInterstate Light" w:hAnsi="EYInterstate Light"/>
          <w:i/>
          <w:sz w:val="16"/>
          <w:szCs w:val="16"/>
        </w:rPr>
      </w:pPr>
      <w:r w:rsidRPr="00D14CE9">
        <w:rPr>
          <w:rFonts w:ascii="EYInterstate Light" w:hAnsi="EYInterstate Light"/>
          <w:i/>
          <w:sz w:val="16"/>
          <w:szCs w:val="16"/>
        </w:rPr>
        <w:t>Source: EY analysis</w:t>
      </w:r>
    </w:p>
    <w:p w:rsidR="003404A2" w:rsidRPr="00FD57BC" w:rsidRDefault="003404A2" w:rsidP="003637FD">
      <w:pPr>
        <w:rPr>
          <w:highlight w:val="yellow"/>
        </w:rPr>
      </w:pPr>
    </w:p>
    <w:p w:rsidR="00AE671A" w:rsidRPr="00D14CE9" w:rsidRDefault="00AE671A" w:rsidP="00AE671A">
      <w:pPr>
        <w:pStyle w:val="EYBodytextwithparaspace"/>
        <w:rPr>
          <w:rFonts w:cstheme="majorHAnsi"/>
          <w:szCs w:val="20"/>
          <w:lang w:val="en-AU"/>
        </w:rPr>
      </w:pPr>
      <w:r w:rsidRPr="00D14CE9">
        <w:rPr>
          <w:rFonts w:cstheme="majorHAnsi"/>
          <w:szCs w:val="20"/>
          <w:lang w:val="en-AU"/>
        </w:rPr>
        <w:t>The following table summarises how the scenario 3A compares to the baseline demand projections over the short, medium and long term, in aggregate for LGAs in Urban Infill locations, Urban Growth Areas and regional areas: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18 "/>
        <w:tblDescription w:val="Table 18 compares demand forecasts under the baseline and scenario 3A scenarios.  Total demand in 2015 for baseline is 46.4 million tonnes, and for scenario 3A it is 46.3 million tonnes. Total demand forecasted for 2026 for baseline is 55.8 million tonnes, and for scenario 3A it is also 55.8 million tonnes. Total demand in 2050 for baseline is 87.8 million tonnes, and for scenario 3A it is 87.2 million tonnes."/>
      </w:tblPr>
      <w:tblGrid>
        <w:gridCol w:w="3346"/>
        <w:gridCol w:w="2126"/>
        <w:gridCol w:w="2126"/>
        <w:gridCol w:w="1661"/>
      </w:tblGrid>
      <w:tr w:rsidR="00AE671A" w:rsidRPr="00D14CE9" w:rsidTr="00BB2299">
        <w:tc>
          <w:tcPr>
            <w:tcW w:w="5000" w:type="pct"/>
            <w:gridSpan w:val="4"/>
            <w:shd w:val="clear" w:color="auto" w:fill="808080" w:themeFill="background1" w:themeFillShade="80"/>
            <w:vAlign w:val="center"/>
          </w:tcPr>
          <w:p w:rsidR="00AE671A" w:rsidRPr="00D14CE9" w:rsidRDefault="00AE671A" w:rsidP="00802792">
            <w:pPr>
              <w:pStyle w:val="EYTableHeadingWhite"/>
            </w:pPr>
            <w:bookmarkStart w:id="627" w:name="_Toc445240952"/>
            <w:bookmarkStart w:id="628" w:name="_Toc448914645"/>
            <w:bookmarkStart w:id="629" w:name="_Toc448920462"/>
            <w:r w:rsidRPr="00D14CE9">
              <w:t xml:space="preserve">Table </w:t>
            </w:r>
            <w:r w:rsidRPr="00802792">
              <w:fldChar w:fldCharType="begin"/>
            </w:r>
            <w:r w:rsidRPr="00D14CE9">
              <w:instrText xml:space="preserve"> SEQ Table \* ARABIC </w:instrText>
            </w:r>
            <w:r w:rsidRPr="00802792">
              <w:fldChar w:fldCharType="separate"/>
            </w:r>
            <w:r w:rsidR="00525C82">
              <w:rPr>
                <w:noProof/>
              </w:rPr>
              <w:t>18</w:t>
            </w:r>
            <w:r w:rsidRPr="00802792">
              <w:fldChar w:fldCharType="end"/>
            </w:r>
            <w:r w:rsidRPr="00D14CE9">
              <w:t xml:space="preserve"> – Demand Forecast – Baseline vs. Scenario 3A – Total in 2015, 2026 and 2050 (million tonnes)</w:t>
            </w:r>
            <w:bookmarkEnd w:id="627"/>
            <w:bookmarkEnd w:id="628"/>
            <w:bookmarkEnd w:id="629"/>
          </w:p>
        </w:tc>
      </w:tr>
      <w:tr w:rsidR="00AE671A" w:rsidRPr="00D14CE9" w:rsidTr="00B03B5E">
        <w:tc>
          <w:tcPr>
            <w:tcW w:w="1807" w:type="pct"/>
            <w:shd w:val="clear" w:color="auto" w:fill="F0F0F0"/>
            <w:vAlign w:val="center"/>
          </w:tcPr>
          <w:p w:rsidR="00AE671A" w:rsidRPr="00D14CE9" w:rsidRDefault="00AE671A" w:rsidP="00E65C9D">
            <w:pPr>
              <w:pStyle w:val="EYTableHeading"/>
              <w:jc w:val="center"/>
              <w:rPr>
                <w:rFonts w:eastAsia="Arial Unicode MS"/>
              </w:rPr>
            </w:pPr>
          </w:p>
        </w:tc>
        <w:tc>
          <w:tcPr>
            <w:tcW w:w="1148" w:type="pct"/>
            <w:shd w:val="clear" w:color="auto" w:fill="F0F0F0"/>
            <w:vAlign w:val="center"/>
          </w:tcPr>
          <w:p w:rsidR="00AE671A" w:rsidRPr="00D14CE9" w:rsidRDefault="00AE671A" w:rsidP="00E65C9D">
            <w:pPr>
              <w:pStyle w:val="EYTableHeading"/>
              <w:jc w:val="center"/>
              <w:rPr>
                <w:rFonts w:eastAsia="Arial Unicode MS"/>
              </w:rPr>
            </w:pPr>
            <w:r w:rsidRPr="00D14CE9">
              <w:t>2015</w:t>
            </w:r>
          </w:p>
        </w:tc>
        <w:tc>
          <w:tcPr>
            <w:tcW w:w="1148" w:type="pct"/>
            <w:shd w:val="clear" w:color="auto" w:fill="F0F0F0"/>
            <w:vAlign w:val="center"/>
          </w:tcPr>
          <w:p w:rsidR="00AE671A" w:rsidRPr="00D14CE9" w:rsidRDefault="00AE671A" w:rsidP="00E65C9D">
            <w:pPr>
              <w:pStyle w:val="EYTableHeading"/>
              <w:jc w:val="center"/>
              <w:rPr>
                <w:rFonts w:eastAsia="Arial Unicode MS"/>
              </w:rPr>
            </w:pPr>
            <w:r w:rsidRPr="00D14CE9">
              <w:t>2026</w:t>
            </w:r>
          </w:p>
        </w:tc>
        <w:tc>
          <w:tcPr>
            <w:tcW w:w="897" w:type="pct"/>
            <w:shd w:val="clear" w:color="auto" w:fill="F0F0F0"/>
            <w:vAlign w:val="center"/>
          </w:tcPr>
          <w:p w:rsidR="00AE671A" w:rsidRPr="00D14CE9" w:rsidRDefault="00AE671A" w:rsidP="00E65C9D">
            <w:pPr>
              <w:pStyle w:val="EYTableHeading"/>
              <w:jc w:val="center"/>
            </w:pPr>
            <w:r w:rsidRPr="00D14CE9">
              <w:t>2050</w:t>
            </w:r>
          </w:p>
        </w:tc>
      </w:tr>
      <w:tr w:rsidR="00AE671A" w:rsidRPr="00D14CE9" w:rsidTr="00AE671A">
        <w:trPr>
          <w:trHeight w:val="315"/>
        </w:trPr>
        <w:tc>
          <w:tcPr>
            <w:tcW w:w="5000" w:type="pct"/>
            <w:gridSpan w:val="4"/>
            <w:noWrap/>
            <w:vAlign w:val="center"/>
          </w:tcPr>
          <w:p w:rsidR="00AE671A" w:rsidRPr="00D14CE9" w:rsidRDefault="00AE671A" w:rsidP="00CF11FB">
            <w:pPr>
              <w:rPr>
                <w:b/>
                <w:sz w:val="16"/>
                <w:szCs w:val="16"/>
              </w:rPr>
            </w:pPr>
            <w:r w:rsidRPr="00D14CE9">
              <w:rPr>
                <w:rFonts w:cs="Calibri"/>
                <w:b/>
                <w:color w:val="000000"/>
                <w:sz w:val="16"/>
                <w:szCs w:val="16"/>
              </w:rPr>
              <w:t>Baseline</w:t>
            </w:r>
          </w:p>
        </w:tc>
      </w:tr>
      <w:tr w:rsidR="00B03B5E" w:rsidRPr="00D14CE9" w:rsidTr="00B03B5E">
        <w:trPr>
          <w:trHeight w:val="315"/>
        </w:trPr>
        <w:tc>
          <w:tcPr>
            <w:tcW w:w="1807" w:type="pct"/>
            <w:noWrap/>
            <w:vAlign w:val="center"/>
          </w:tcPr>
          <w:p w:rsidR="00B03B5E" w:rsidRPr="00D14CE9" w:rsidRDefault="00B03B5E" w:rsidP="00BB2299">
            <w:pPr>
              <w:rPr>
                <w:sz w:val="16"/>
                <w:szCs w:val="16"/>
              </w:rPr>
            </w:pPr>
            <w:r w:rsidRPr="00D14CE9">
              <w:rPr>
                <w:rFonts w:cs="Calibri"/>
                <w:color w:val="000000"/>
                <w:sz w:val="16"/>
                <w:szCs w:val="16"/>
              </w:rPr>
              <w:t>Urban Infill LGAs</w:t>
            </w:r>
          </w:p>
        </w:tc>
        <w:tc>
          <w:tcPr>
            <w:tcW w:w="1148" w:type="pct"/>
            <w:noWrap/>
            <w:vAlign w:val="center"/>
          </w:tcPr>
          <w:p w:rsidR="00B03B5E" w:rsidRPr="00D14CE9" w:rsidRDefault="00B03B5E" w:rsidP="00BB2299">
            <w:pPr>
              <w:jc w:val="center"/>
              <w:rPr>
                <w:sz w:val="16"/>
                <w:szCs w:val="16"/>
              </w:rPr>
            </w:pPr>
            <w:r w:rsidRPr="00D14CE9">
              <w:rPr>
                <w:sz w:val="16"/>
                <w:szCs w:val="16"/>
              </w:rPr>
              <w:t>22.3</w:t>
            </w:r>
          </w:p>
        </w:tc>
        <w:tc>
          <w:tcPr>
            <w:tcW w:w="1148" w:type="pct"/>
            <w:noWrap/>
            <w:vAlign w:val="center"/>
          </w:tcPr>
          <w:p w:rsidR="00B03B5E" w:rsidRPr="00D14CE9" w:rsidRDefault="00B03B5E" w:rsidP="00BB2299">
            <w:pPr>
              <w:jc w:val="center"/>
              <w:rPr>
                <w:sz w:val="16"/>
                <w:szCs w:val="16"/>
              </w:rPr>
            </w:pPr>
            <w:r w:rsidRPr="00D14CE9">
              <w:rPr>
                <w:sz w:val="16"/>
                <w:szCs w:val="16"/>
              </w:rPr>
              <w:t>25.6</w:t>
            </w:r>
          </w:p>
        </w:tc>
        <w:tc>
          <w:tcPr>
            <w:tcW w:w="897" w:type="pct"/>
            <w:vAlign w:val="center"/>
          </w:tcPr>
          <w:p w:rsidR="00B03B5E" w:rsidRPr="00D14CE9" w:rsidRDefault="00B03B5E" w:rsidP="00BB2299">
            <w:pPr>
              <w:jc w:val="center"/>
              <w:rPr>
                <w:sz w:val="16"/>
                <w:szCs w:val="16"/>
              </w:rPr>
            </w:pPr>
            <w:r w:rsidRPr="00D14CE9">
              <w:rPr>
                <w:sz w:val="16"/>
                <w:szCs w:val="16"/>
              </w:rPr>
              <w:t>46.0</w:t>
            </w:r>
          </w:p>
        </w:tc>
      </w:tr>
      <w:tr w:rsidR="00B03B5E" w:rsidRPr="00D14CE9" w:rsidTr="00B03B5E">
        <w:trPr>
          <w:trHeight w:val="315"/>
        </w:trPr>
        <w:tc>
          <w:tcPr>
            <w:tcW w:w="1807" w:type="pct"/>
            <w:noWrap/>
            <w:vAlign w:val="center"/>
          </w:tcPr>
          <w:p w:rsidR="00B03B5E" w:rsidRPr="00D14CE9" w:rsidRDefault="00B03B5E" w:rsidP="00BB2299">
            <w:pPr>
              <w:rPr>
                <w:rFonts w:cs="Calibri"/>
                <w:color w:val="000000"/>
                <w:sz w:val="16"/>
                <w:szCs w:val="16"/>
              </w:rPr>
            </w:pPr>
            <w:r w:rsidRPr="00D14CE9">
              <w:rPr>
                <w:rFonts w:cs="Calibri"/>
                <w:color w:val="000000"/>
                <w:sz w:val="16"/>
                <w:szCs w:val="16"/>
              </w:rPr>
              <w:t>Urban Growth Areas LGAs</w:t>
            </w:r>
          </w:p>
        </w:tc>
        <w:tc>
          <w:tcPr>
            <w:tcW w:w="1148" w:type="pct"/>
            <w:noWrap/>
            <w:vAlign w:val="center"/>
          </w:tcPr>
          <w:p w:rsidR="00B03B5E" w:rsidRPr="00D14CE9" w:rsidRDefault="00B03B5E" w:rsidP="00BB2299">
            <w:pPr>
              <w:jc w:val="center"/>
              <w:rPr>
                <w:sz w:val="16"/>
                <w:szCs w:val="16"/>
              </w:rPr>
            </w:pPr>
            <w:r w:rsidRPr="00D14CE9">
              <w:rPr>
                <w:sz w:val="16"/>
                <w:szCs w:val="16"/>
              </w:rPr>
              <w:t>15.4</w:t>
            </w:r>
          </w:p>
        </w:tc>
        <w:tc>
          <w:tcPr>
            <w:tcW w:w="1148" w:type="pct"/>
            <w:noWrap/>
            <w:vAlign w:val="center"/>
          </w:tcPr>
          <w:p w:rsidR="00B03B5E" w:rsidRPr="00D14CE9" w:rsidRDefault="00B03B5E" w:rsidP="00BB2299">
            <w:pPr>
              <w:jc w:val="center"/>
              <w:rPr>
                <w:sz w:val="16"/>
                <w:szCs w:val="16"/>
              </w:rPr>
            </w:pPr>
            <w:r w:rsidRPr="00D14CE9">
              <w:rPr>
                <w:sz w:val="16"/>
                <w:szCs w:val="16"/>
              </w:rPr>
              <w:t>19.6</w:t>
            </w:r>
          </w:p>
        </w:tc>
        <w:tc>
          <w:tcPr>
            <w:tcW w:w="897" w:type="pct"/>
            <w:vAlign w:val="center"/>
          </w:tcPr>
          <w:p w:rsidR="00B03B5E" w:rsidRPr="00D14CE9" w:rsidRDefault="00B03B5E" w:rsidP="00BB2299">
            <w:pPr>
              <w:jc w:val="center"/>
              <w:rPr>
                <w:sz w:val="16"/>
                <w:szCs w:val="16"/>
              </w:rPr>
            </w:pPr>
            <w:r w:rsidRPr="00D14CE9">
              <w:rPr>
                <w:sz w:val="16"/>
                <w:szCs w:val="16"/>
              </w:rPr>
              <w:t>24.3</w:t>
            </w:r>
          </w:p>
        </w:tc>
      </w:tr>
      <w:tr w:rsidR="00B03B5E" w:rsidRPr="00D14CE9" w:rsidTr="00B03B5E">
        <w:trPr>
          <w:trHeight w:val="315"/>
        </w:trPr>
        <w:tc>
          <w:tcPr>
            <w:tcW w:w="1807" w:type="pct"/>
            <w:noWrap/>
            <w:vAlign w:val="center"/>
          </w:tcPr>
          <w:p w:rsidR="00B03B5E" w:rsidRPr="00D14CE9" w:rsidRDefault="00B03B5E" w:rsidP="00BB2299">
            <w:pPr>
              <w:rPr>
                <w:rFonts w:cs="Calibri"/>
                <w:color w:val="000000"/>
                <w:sz w:val="16"/>
                <w:szCs w:val="16"/>
              </w:rPr>
            </w:pPr>
            <w:r w:rsidRPr="00D14CE9">
              <w:rPr>
                <w:rFonts w:cs="Calibri"/>
                <w:color w:val="000000"/>
                <w:sz w:val="16"/>
                <w:szCs w:val="16"/>
              </w:rPr>
              <w:t>Regional LGAs</w:t>
            </w:r>
          </w:p>
        </w:tc>
        <w:tc>
          <w:tcPr>
            <w:tcW w:w="1148" w:type="pct"/>
            <w:noWrap/>
            <w:vAlign w:val="center"/>
          </w:tcPr>
          <w:p w:rsidR="00B03B5E" w:rsidRPr="00D14CE9" w:rsidRDefault="00B03B5E" w:rsidP="00BB2299">
            <w:pPr>
              <w:jc w:val="center"/>
              <w:rPr>
                <w:sz w:val="16"/>
                <w:szCs w:val="16"/>
              </w:rPr>
            </w:pPr>
            <w:r w:rsidRPr="00D14CE9">
              <w:rPr>
                <w:sz w:val="16"/>
                <w:szCs w:val="16"/>
              </w:rPr>
              <w:t>8.7</w:t>
            </w:r>
          </w:p>
        </w:tc>
        <w:tc>
          <w:tcPr>
            <w:tcW w:w="1148" w:type="pct"/>
            <w:noWrap/>
            <w:vAlign w:val="center"/>
          </w:tcPr>
          <w:p w:rsidR="00B03B5E" w:rsidRPr="00D14CE9" w:rsidRDefault="00B03B5E" w:rsidP="00BB2299">
            <w:pPr>
              <w:jc w:val="center"/>
              <w:rPr>
                <w:sz w:val="16"/>
                <w:szCs w:val="16"/>
              </w:rPr>
            </w:pPr>
            <w:r w:rsidRPr="00D14CE9">
              <w:rPr>
                <w:sz w:val="16"/>
                <w:szCs w:val="16"/>
              </w:rPr>
              <w:t>10.6</w:t>
            </w:r>
          </w:p>
        </w:tc>
        <w:tc>
          <w:tcPr>
            <w:tcW w:w="897" w:type="pct"/>
            <w:vAlign w:val="center"/>
          </w:tcPr>
          <w:p w:rsidR="00B03B5E" w:rsidRPr="00D14CE9" w:rsidRDefault="00B03B5E" w:rsidP="00BB2299">
            <w:pPr>
              <w:jc w:val="center"/>
              <w:rPr>
                <w:sz w:val="16"/>
                <w:szCs w:val="16"/>
              </w:rPr>
            </w:pPr>
            <w:r w:rsidRPr="00D14CE9">
              <w:rPr>
                <w:sz w:val="16"/>
                <w:szCs w:val="16"/>
              </w:rPr>
              <w:t>17.5</w:t>
            </w:r>
          </w:p>
        </w:tc>
      </w:tr>
      <w:tr w:rsidR="00B03B5E" w:rsidRPr="00D14CE9" w:rsidTr="00B03B5E">
        <w:trPr>
          <w:trHeight w:val="315"/>
        </w:trPr>
        <w:tc>
          <w:tcPr>
            <w:tcW w:w="1807" w:type="pct"/>
            <w:noWrap/>
            <w:vAlign w:val="center"/>
          </w:tcPr>
          <w:p w:rsidR="00B03B5E" w:rsidRPr="00D14CE9" w:rsidRDefault="00B03B5E" w:rsidP="00BB2299">
            <w:pPr>
              <w:rPr>
                <w:rFonts w:cs="Calibri"/>
                <w:b/>
                <w:color w:val="000000"/>
                <w:sz w:val="16"/>
                <w:szCs w:val="16"/>
              </w:rPr>
            </w:pPr>
            <w:r w:rsidRPr="00D14CE9">
              <w:rPr>
                <w:rFonts w:cs="Calibri"/>
                <w:b/>
                <w:color w:val="000000"/>
                <w:sz w:val="16"/>
                <w:szCs w:val="16"/>
              </w:rPr>
              <w:t>Total Demand</w:t>
            </w:r>
          </w:p>
        </w:tc>
        <w:tc>
          <w:tcPr>
            <w:tcW w:w="1148" w:type="pct"/>
            <w:noWrap/>
            <w:vAlign w:val="center"/>
          </w:tcPr>
          <w:p w:rsidR="00B03B5E" w:rsidRPr="00D14CE9" w:rsidRDefault="00B03B5E" w:rsidP="00BB2299">
            <w:pPr>
              <w:jc w:val="center"/>
              <w:rPr>
                <w:b/>
                <w:sz w:val="16"/>
                <w:szCs w:val="16"/>
              </w:rPr>
            </w:pPr>
            <w:r w:rsidRPr="00D14CE9">
              <w:rPr>
                <w:b/>
                <w:sz w:val="16"/>
                <w:szCs w:val="16"/>
              </w:rPr>
              <w:t>46.4</w:t>
            </w:r>
          </w:p>
        </w:tc>
        <w:tc>
          <w:tcPr>
            <w:tcW w:w="1148" w:type="pct"/>
            <w:noWrap/>
            <w:vAlign w:val="center"/>
          </w:tcPr>
          <w:p w:rsidR="00B03B5E" w:rsidRPr="00D14CE9" w:rsidRDefault="00B03B5E" w:rsidP="00BB2299">
            <w:pPr>
              <w:jc w:val="center"/>
              <w:rPr>
                <w:b/>
                <w:sz w:val="16"/>
                <w:szCs w:val="16"/>
              </w:rPr>
            </w:pPr>
            <w:r w:rsidRPr="00D14CE9">
              <w:rPr>
                <w:b/>
                <w:sz w:val="16"/>
                <w:szCs w:val="16"/>
              </w:rPr>
              <w:t>55.8</w:t>
            </w:r>
          </w:p>
        </w:tc>
        <w:tc>
          <w:tcPr>
            <w:tcW w:w="897" w:type="pct"/>
            <w:vAlign w:val="center"/>
          </w:tcPr>
          <w:p w:rsidR="00B03B5E" w:rsidRPr="00D14CE9" w:rsidRDefault="00B03B5E" w:rsidP="00BB2299">
            <w:pPr>
              <w:jc w:val="center"/>
              <w:rPr>
                <w:b/>
                <w:sz w:val="16"/>
                <w:szCs w:val="16"/>
              </w:rPr>
            </w:pPr>
            <w:r w:rsidRPr="00D14CE9">
              <w:rPr>
                <w:b/>
                <w:sz w:val="16"/>
                <w:szCs w:val="16"/>
              </w:rPr>
              <w:t>87.8</w:t>
            </w:r>
          </w:p>
        </w:tc>
      </w:tr>
      <w:tr w:rsidR="00AE671A" w:rsidRPr="00D14CE9" w:rsidTr="00AE671A">
        <w:trPr>
          <w:trHeight w:val="315"/>
        </w:trPr>
        <w:tc>
          <w:tcPr>
            <w:tcW w:w="5000" w:type="pct"/>
            <w:gridSpan w:val="4"/>
            <w:noWrap/>
            <w:vAlign w:val="center"/>
          </w:tcPr>
          <w:p w:rsidR="00AE671A" w:rsidRPr="00D14CE9" w:rsidRDefault="00AE671A" w:rsidP="00CF11FB">
            <w:pPr>
              <w:rPr>
                <w:b/>
                <w:sz w:val="16"/>
                <w:szCs w:val="16"/>
              </w:rPr>
            </w:pPr>
            <w:r w:rsidRPr="00D14CE9">
              <w:rPr>
                <w:rFonts w:cs="Calibri"/>
                <w:b/>
                <w:color w:val="000000"/>
                <w:sz w:val="16"/>
                <w:szCs w:val="16"/>
              </w:rPr>
              <w:t>Scenario 3A</w:t>
            </w:r>
          </w:p>
        </w:tc>
      </w:tr>
      <w:tr w:rsidR="00AE671A" w:rsidRPr="00D14CE9" w:rsidTr="00B03B5E">
        <w:trPr>
          <w:trHeight w:val="315"/>
        </w:trPr>
        <w:tc>
          <w:tcPr>
            <w:tcW w:w="1807" w:type="pct"/>
            <w:noWrap/>
            <w:vAlign w:val="center"/>
          </w:tcPr>
          <w:p w:rsidR="00AE671A" w:rsidRPr="00D14CE9" w:rsidRDefault="00AE671A" w:rsidP="00BB2299">
            <w:pPr>
              <w:rPr>
                <w:rFonts w:cs="Calibri"/>
                <w:b/>
                <w:color w:val="000000"/>
                <w:sz w:val="16"/>
                <w:szCs w:val="16"/>
              </w:rPr>
            </w:pPr>
            <w:r w:rsidRPr="00D14CE9">
              <w:rPr>
                <w:rFonts w:cs="Calibri"/>
                <w:color w:val="000000"/>
                <w:sz w:val="16"/>
                <w:szCs w:val="16"/>
              </w:rPr>
              <w:t>Urban Infill LGAs</w:t>
            </w:r>
          </w:p>
        </w:tc>
        <w:tc>
          <w:tcPr>
            <w:tcW w:w="1148" w:type="pct"/>
            <w:noWrap/>
            <w:vAlign w:val="center"/>
          </w:tcPr>
          <w:p w:rsidR="00AE671A" w:rsidRPr="00D14CE9" w:rsidRDefault="00B03B5E" w:rsidP="00BB2299">
            <w:pPr>
              <w:jc w:val="center"/>
              <w:rPr>
                <w:sz w:val="16"/>
                <w:szCs w:val="16"/>
              </w:rPr>
            </w:pPr>
            <w:r w:rsidRPr="00D14CE9">
              <w:rPr>
                <w:sz w:val="16"/>
                <w:szCs w:val="16"/>
              </w:rPr>
              <w:t>25.9</w:t>
            </w:r>
          </w:p>
        </w:tc>
        <w:tc>
          <w:tcPr>
            <w:tcW w:w="1148" w:type="pct"/>
            <w:noWrap/>
            <w:vAlign w:val="center"/>
          </w:tcPr>
          <w:p w:rsidR="00AE671A" w:rsidRPr="00D14CE9" w:rsidRDefault="00B03B5E" w:rsidP="00B03B5E">
            <w:pPr>
              <w:jc w:val="center"/>
              <w:rPr>
                <w:sz w:val="16"/>
                <w:szCs w:val="16"/>
              </w:rPr>
            </w:pPr>
            <w:r w:rsidRPr="00D14CE9">
              <w:rPr>
                <w:sz w:val="16"/>
                <w:szCs w:val="16"/>
              </w:rPr>
              <w:t>29.2</w:t>
            </w:r>
          </w:p>
        </w:tc>
        <w:tc>
          <w:tcPr>
            <w:tcW w:w="897" w:type="pct"/>
            <w:vAlign w:val="center"/>
          </w:tcPr>
          <w:p w:rsidR="00AE671A" w:rsidRPr="00D14CE9" w:rsidRDefault="00B03B5E" w:rsidP="00BB2299">
            <w:pPr>
              <w:jc w:val="center"/>
              <w:rPr>
                <w:sz w:val="16"/>
                <w:szCs w:val="16"/>
              </w:rPr>
            </w:pPr>
            <w:r w:rsidRPr="00D14CE9">
              <w:rPr>
                <w:sz w:val="16"/>
                <w:szCs w:val="16"/>
              </w:rPr>
              <w:t>52.9</w:t>
            </w:r>
          </w:p>
        </w:tc>
      </w:tr>
      <w:tr w:rsidR="00AE671A" w:rsidRPr="00D14CE9" w:rsidTr="00B03B5E">
        <w:trPr>
          <w:trHeight w:val="315"/>
        </w:trPr>
        <w:tc>
          <w:tcPr>
            <w:tcW w:w="1807" w:type="pct"/>
            <w:noWrap/>
            <w:vAlign w:val="center"/>
          </w:tcPr>
          <w:p w:rsidR="00AE671A" w:rsidRPr="00D14CE9" w:rsidRDefault="00AE671A" w:rsidP="00BB2299">
            <w:pPr>
              <w:rPr>
                <w:rFonts w:cs="Calibri"/>
                <w:b/>
                <w:color w:val="000000"/>
                <w:sz w:val="16"/>
                <w:szCs w:val="16"/>
              </w:rPr>
            </w:pPr>
            <w:r w:rsidRPr="00D14CE9">
              <w:rPr>
                <w:rFonts w:cs="Calibri"/>
                <w:color w:val="000000"/>
                <w:sz w:val="16"/>
                <w:szCs w:val="16"/>
              </w:rPr>
              <w:t>Urban Growth Areas LGAs</w:t>
            </w:r>
          </w:p>
        </w:tc>
        <w:tc>
          <w:tcPr>
            <w:tcW w:w="1148" w:type="pct"/>
            <w:noWrap/>
            <w:vAlign w:val="center"/>
          </w:tcPr>
          <w:p w:rsidR="00AE671A" w:rsidRPr="00D14CE9" w:rsidRDefault="00B03B5E" w:rsidP="00716615">
            <w:pPr>
              <w:jc w:val="center"/>
              <w:rPr>
                <w:sz w:val="16"/>
                <w:szCs w:val="16"/>
              </w:rPr>
            </w:pPr>
            <w:r w:rsidRPr="00D14CE9">
              <w:rPr>
                <w:sz w:val="16"/>
                <w:szCs w:val="16"/>
              </w:rPr>
              <w:t>11.6</w:t>
            </w:r>
          </w:p>
        </w:tc>
        <w:tc>
          <w:tcPr>
            <w:tcW w:w="1148" w:type="pct"/>
            <w:noWrap/>
            <w:vAlign w:val="center"/>
          </w:tcPr>
          <w:p w:rsidR="00AE671A" w:rsidRPr="00D14CE9" w:rsidRDefault="00B03B5E" w:rsidP="00BB2299">
            <w:pPr>
              <w:jc w:val="center"/>
              <w:rPr>
                <w:sz w:val="16"/>
                <w:szCs w:val="16"/>
              </w:rPr>
            </w:pPr>
            <w:r w:rsidRPr="00D14CE9">
              <w:rPr>
                <w:sz w:val="16"/>
                <w:szCs w:val="16"/>
              </w:rPr>
              <w:t>16.0</w:t>
            </w:r>
          </w:p>
        </w:tc>
        <w:tc>
          <w:tcPr>
            <w:tcW w:w="897" w:type="pct"/>
            <w:vAlign w:val="center"/>
          </w:tcPr>
          <w:p w:rsidR="00AE671A" w:rsidRPr="00D14CE9" w:rsidRDefault="00B03B5E" w:rsidP="00BB2299">
            <w:pPr>
              <w:jc w:val="center"/>
              <w:rPr>
                <w:sz w:val="16"/>
                <w:szCs w:val="16"/>
              </w:rPr>
            </w:pPr>
            <w:r w:rsidRPr="00D14CE9">
              <w:rPr>
                <w:sz w:val="16"/>
                <w:szCs w:val="16"/>
              </w:rPr>
              <w:t>16.7</w:t>
            </w:r>
          </w:p>
        </w:tc>
      </w:tr>
      <w:tr w:rsidR="00AE671A" w:rsidRPr="00D14CE9" w:rsidTr="00B03B5E">
        <w:trPr>
          <w:trHeight w:val="315"/>
        </w:trPr>
        <w:tc>
          <w:tcPr>
            <w:tcW w:w="1807" w:type="pct"/>
            <w:noWrap/>
            <w:vAlign w:val="center"/>
          </w:tcPr>
          <w:p w:rsidR="00AE671A" w:rsidRPr="00D14CE9" w:rsidRDefault="00AE671A" w:rsidP="00BB2299">
            <w:pPr>
              <w:rPr>
                <w:rFonts w:cs="Calibri"/>
                <w:b/>
                <w:color w:val="000000"/>
                <w:sz w:val="16"/>
                <w:szCs w:val="16"/>
              </w:rPr>
            </w:pPr>
            <w:r w:rsidRPr="00D14CE9">
              <w:rPr>
                <w:rFonts w:cs="Calibri"/>
                <w:color w:val="000000"/>
                <w:sz w:val="16"/>
                <w:szCs w:val="16"/>
              </w:rPr>
              <w:t>Regional LGAs</w:t>
            </w:r>
          </w:p>
        </w:tc>
        <w:tc>
          <w:tcPr>
            <w:tcW w:w="1148" w:type="pct"/>
            <w:noWrap/>
            <w:vAlign w:val="center"/>
          </w:tcPr>
          <w:p w:rsidR="00AE671A" w:rsidRPr="00D14CE9" w:rsidRDefault="00B03B5E" w:rsidP="00716615">
            <w:pPr>
              <w:jc w:val="center"/>
              <w:rPr>
                <w:sz w:val="16"/>
                <w:szCs w:val="16"/>
              </w:rPr>
            </w:pPr>
            <w:r w:rsidRPr="00D14CE9">
              <w:rPr>
                <w:sz w:val="16"/>
                <w:szCs w:val="16"/>
              </w:rPr>
              <w:t>8.8</w:t>
            </w:r>
          </w:p>
        </w:tc>
        <w:tc>
          <w:tcPr>
            <w:tcW w:w="1148" w:type="pct"/>
            <w:noWrap/>
            <w:vAlign w:val="center"/>
          </w:tcPr>
          <w:p w:rsidR="00AE671A" w:rsidRPr="00D14CE9" w:rsidRDefault="00B03B5E" w:rsidP="00BB2299">
            <w:pPr>
              <w:jc w:val="center"/>
              <w:rPr>
                <w:sz w:val="16"/>
                <w:szCs w:val="16"/>
              </w:rPr>
            </w:pPr>
            <w:r w:rsidRPr="00D14CE9">
              <w:rPr>
                <w:sz w:val="16"/>
                <w:szCs w:val="16"/>
              </w:rPr>
              <w:t>10.6</w:t>
            </w:r>
          </w:p>
        </w:tc>
        <w:tc>
          <w:tcPr>
            <w:tcW w:w="897" w:type="pct"/>
            <w:vAlign w:val="center"/>
          </w:tcPr>
          <w:p w:rsidR="00AE671A" w:rsidRPr="00D14CE9" w:rsidRDefault="00B03B5E" w:rsidP="00B03B5E">
            <w:pPr>
              <w:jc w:val="center"/>
              <w:rPr>
                <w:sz w:val="16"/>
                <w:szCs w:val="16"/>
              </w:rPr>
            </w:pPr>
            <w:r w:rsidRPr="00D14CE9">
              <w:rPr>
                <w:sz w:val="16"/>
                <w:szCs w:val="16"/>
              </w:rPr>
              <w:t>17.6</w:t>
            </w:r>
          </w:p>
        </w:tc>
      </w:tr>
      <w:tr w:rsidR="00AE671A" w:rsidRPr="00D14CE9" w:rsidTr="00B03B5E">
        <w:trPr>
          <w:trHeight w:val="315"/>
        </w:trPr>
        <w:tc>
          <w:tcPr>
            <w:tcW w:w="1807" w:type="pct"/>
            <w:noWrap/>
            <w:vAlign w:val="center"/>
          </w:tcPr>
          <w:p w:rsidR="00AE671A" w:rsidRPr="00D14CE9" w:rsidRDefault="00AE671A" w:rsidP="00BB2299">
            <w:pPr>
              <w:rPr>
                <w:rFonts w:cs="Calibri"/>
                <w:b/>
                <w:color w:val="000000"/>
                <w:sz w:val="16"/>
                <w:szCs w:val="16"/>
              </w:rPr>
            </w:pPr>
            <w:r w:rsidRPr="00D14CE9">
              <w:rPr>
                <w:rFonts w:cs="Calibri"/>
                <w:b/>
                <w:color w:val="000000"/>
                <w:sz w:val="16"/>
                <w:szCs w:val="16"/>
              </w:rPr>
              <w:t>Total Demand</w:t>
            </w:r>
          </w:p>
        </w:tc>
        <w:tc>
          <w:tcPr>
            <w:tcW w:w="1148" w:type="pct"/>
            <w:noWrap/>
            <w:vAlign w:val="center"/>
          </w:tcPr>
          <w:p w:rsidR="00AE671A" w:rsidRPr="00D14CE9" w:rsidRDefault="00B03B5E" w:rsidP="00BB2299">
            <w:pPr>
              <w:jc w:val="center"/>
              <w:rPr>
                <w:b/>
                <w:sz w:val="16"/>
                <w:szCs w:val="16"/>
              </w:rPr>
            </w:pPr>
            <w:r w:rsidRPr="00D14CE9">
              <w:rPr>
                <w:b/>
                <w:sz w:val="16"/>
                <w:szCs w:val="16"/>
              </w:rPr>
              <w:t>46.3</w:t>
            </w:r>
          </w:p>
        </w:tc>
        <w:tc>
          <w:tcPr>
            <w:tcW w:w="1148" w:type="pct"/>
            <w:noWrap/>
            <w:vAlign w:val="center"/>
          </w:tcPr>
          <w:p w:rsidR="00AE671A" w:rsidRPr="00D14CE9" w:rsidRDefault="00B03B5E" w:rsidP="00BB2299">
            <w:pPr>
              <w:jc w:val="center"/>
              <w:rPr>
                <w:b/>
                <w:sz w:val="16"/>
                <w:szCs w:val="16"/>
              </w:rPr>
            </w:pPr>
            <w:r w:rsidRPr="00D14CE9">
              <w:rPr>
                <w:b/>
                <w:sz w:val="16"/>
                <w:szCs w:val="16"/>
              </w:rPr>
              <w:t>55.8</w:t>
            </w:r>
          </w:p>
        </w:tc>
        <w:tc>
          <w:tcPr>
            <w:tcW w:w="897" w:type="pct"/>
            <w:vAlign w:val="center"/>
          </w:tcPr>
          <w:p w:rsidR="00AE671A" w:rsidRPr="00D14CE9" w:rsidRDefault="00B03B5E" w:rsidP="00BB2299">
            <w:pPr>
              <w:jc w:val="center"/>
              <w:rPr>
                <w:b/>
                <w:sz w:val="16"/>
                <w:szCs w:val="16"/>
              </w:rPr>
            </w:pPr>
            <w:r w:rsidRPr="00D14CE9">
              <w:rPr>
                <w:b/>
                <w:sz w:val="16"/>
                <w:szCs w:val="16"/>
              </w:rPr>
              <w:t>87.2</w:t>
            </w:r>
          </w:p>
        </w:tc>
      </w:tr>
    </w:tbl>
    <w:p w:rsidR="00AE671A" w:rsidRPr="00D14CE9" w:rsidRDefault="00AE671A" w:rsidP="00AE671A">
      <w:pPr>
        <w:pStyle w:val="ListParagraph"/>
        <w:numPr>
          <w:ilvl w:val="0"/>
          <w:numId w:val="9"/>
        </w:numPr>
        <w:rPr>
          <w:rFonts w:ascii="EYInterstate Light" w:hAnsi="EYInterstate Light"/>
          <w:i/>
          <w:sz w:val="16"/>
          <w:szCs w:val="16"/>
        </w:rPr>
      </w:pPr>
      <w:r w:rsidRPr="00D14CE9">
        <w:rPr>
          <w:rFonts w:ascii="EYInterstate Light" w:hAnsi="EYInterstate Light"/>
          <w:i/>
          <w:sz w:val="16"/>
          <w:szCs w:val="16"/>
        </w:rPr>
        <w:t>Source: EY analysis</w:t>
      </w:r>
    </w:p>
    <w:p w:rsidR="00AE671A" w:rsidRPr="00D14CE9" w:rsidRDefault="00AE671A" w:rsidP="00CF11FB">
      <w:pPr>
        <w:pStyle w:val="EYBodytextwithparaspace"/>
        <w:spacing w:after="0"/>
        <w:rPr>
          <w:lang w:val="en-AU"/>
        </w:rPr>
      </w:pPr>
    </w:p>
    <w:p w:rsidR="003404A2" w:rsidRPr="00D14CE9" w:rsidRDefault="003404A2" w:rsidP="00C200D0">
      <w:pPr>
        <w:pStyle w:val="EYBodytextwithparaspace"/>
        <w:rPr>
          <w:rFonts w:cstheme="majorHAnsi"/>
          <w:szCs w:val="20"/>
          <w:lang w:val="en-AU"/>
        </w:rPr>
      </w:pPr>
      <w:r w:rsidRPr="00D14CE9">
        <w:rPr>
          <w:lang w:val="en-AU"/>
        </w:rPr>
        <w:t xml:space="preserve">Conclusions in terms of adverse economic impacts of a redistribution of the growth toward </w:t>
      </w:r>
      <w:r w:rsidR="00B2012A" w:rsidRPr="00D14CE9">
        <w:rPr>
          <w:lang w:val="en-AU"/>
        </w:rPr>
        <w:t>U</w:t>
      </w:r>
      <w:r w:rsidRPr="00D14CE9">
        <w:rPr>
          <w:lang w:val="en-AU"/>
        </w:rPr>
        <w:t xml:space="preserve">rban </w:t>
      </w:r>
      <w:r w:rsidR="00B2012A" w:rsidRPr="00D14CE9">
        <w:rPr>
          <w:lang w:val="en-AU"/>
        </w:rPr>
        <w:t xml:space="preserve">Infill </w:t>
      </w:r>
      <w:r w:rsidRPr="00D14CE9">
        <w:rPr>
          <w:lang w:val="en-AU"/>
        </w:rPr>
        <w:t xml:space="preserve">areas on the supply side are expected to be provided in the overall assessment developed by </w:t>
      </w:r>
      <w:r w:rsidRPr="00D14CE9">
        <w:rPr>
          <w:rFonts w:cstheme="majorHAnsi"/>
          <w:szCs w:val="20"/>
          <w:lang w:val="en-AU"/>
        </w:rPr>
        <w:t>PwC in relation to the identification of regional gaps in the available capacity of the supply chain and the needs for extractive resources.</w:t>
      </w:r>
    </w:p>
    <w:p w:rsidR="00AE671A" w:rsidRPr="00D14CE9" w:rsidRDefault="00AE671A" w:rsidP="00AE671A">
      <w:pPr>
        <w:pStyle w:val="EYBodytextwithparaspace"/>
        <w:spacing w:after="120"/>
        <w:rPr>
          <w:rFonts w:cstheme="majorHAnsi"/>
          <w:szCs w:val="20"/>
          <w:lang w:val="en-AU"/>
        </w:rPr>
      </w:pPr>
      <w:r w:rsidRPr="00D14CE9">
        <w:rPr>
          <w:b/>
          <w:lang w:val="en-AU"/>
        </w:rPr>
        <w:t>Scenario 3B</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Scenario 3B consisted of assessing the impact of considering more development within </w:t>
      </w:r>
      <w:r w:rsidR="00E94FA4" w:rsidRPr="00D14CE9">
        <w:rPr>
          <w:rFonts w:cstheme="majorHAnsi"/>
          <w:szCs w:val="20"/>
          <w:lang w:val="en-AU"/>
        </w:rPr>
        <w:t>Urban Growth A</w:t>
      </w:r>
      <w:r w:rsidRPr="00D14CE9">
        <w:rPr>
          <w:rFonts w:cstheme="majorHAnsi"/>
          <w:szCs w:val="20"/>
          <w:lang w:val="en-AU"/>
        </w:rPr>
        <w:t xml:space="preserve">reas without amending government projections, therefore resulting in a redistribution of the demand for extractive resources towards those </w:t>
      </w:r>
      <w:r w:rsidR="00E94FA4" w:rsidRPr="00D14CE9">
        <w:rPr>
          <w:rFonts w:cstheme="majorHAnsi"/>
          <w:szCs w:val="20"/>
          <w:lang w:val="en-AU"/>
        </w:rPr>
        <w:t>U</w:t>
      </w:r>
      <w:r w:rsidRPr="00D14CE9">
        <w:rPr>
          <w:rFonts w:cstheme="majorHAnsi"/>
          <w:szCs w:val="20"/>
          <w:lang w:val="en-AU"/>
        </w:rPr>
        <w:t xml:space="preserve">rban </w:t>
      </w:r>
      <w:r w:rsidR="00E94FA4" w:rsidRPr="00D14CE9">
        <w:rPr>
          <w:rFonts w:cstheme="majorHAnsi"/>
          <w:szCs w:val="20"/>
          <w:lang w:val="en-AU"/>
        </w:rPr>
        <w:t>Growth Areas</w:t>
      </w:r>
      <w:r w:rsidRPr="00D14CE9">
        <w:rPr>
          <w:rFonts w:cstheme="majorHAnsi"/>
          <w:szCs w:val="20"/>
          <w:lang w:val="en-AU"/>
        </w:rPr>
        <w:t xml:space="preserve">, listed as follows and defined in </w:t>
      </w:r>
      <w:r w:rsidR="00311810" w:rsidRPr="00474B05">
        <w:rPr>
          <w:rFonts w:cstheme="majorHAnsi"/>
          <w:szCs w:val="20"/>
          <w:lang w:val="en-AU"/>
        </w:rPr>
        <w:fldChar w:fldCharType="begin" w:fldLock="1"/>
      </w:r>
      <w:r w:rsidR="00311810" w:rsidRPr="00D14CE9">
        <w:rPr>
          <w:rFonts w:cstheme="majorHAnsi"/>
          <w:szCs w:val="20"/>
          <w:lang w:val="en-AU"/>
        </w:rPr>
        <w:instrText xml:space="preserve"> REF _Ref441835942 \r \h </w:instrText>
      </w:r>
      <w:r w:rsidR="00311810" w:rsidRPr="00474B05">
        <w:rPr>
          <w:rFonts w:cstheme="majorHAnsi"/>
          <w:szCs w:val="20"/>
          <w:lang w:val="en-AU"/>
        </w:rPr>
      </w:r>
      <w:r w:rsidR="00311810" w:rsidRPr="00474B05">
        <w:rPr>
          <w:rFonts w:cstheme="majorHAnsi"/>
          <w:szCs w:val="20"/>
          <w:lang w:val="en-AU"/>
        </w:rPr>
        <w:fldChar w:fldCharType="separate"/>
      </w:r>
      <w:r w:rsidR="00895089">
        <w:rPr>
          <w:rFonts w:cstheme="majorHAnsi"/>
          <w:szCs w:val="20"/>
          <w:lang w:val="en-AU"/>
        </w:rPr>
        <w:t>Appendix B</w:t>
      </w:r>
      <w:r w:rsidR="00311810" w:rsidRPr="00474B05">
        <w:rPr>
          <w:rFonts w:cstheme="majorHAnsi"/>
          <w:szCs w:val="20"/>
          <w:lang w:val="en-AU"/>
        </w:rPr>
        <w:fldChar w:fldCharType="end"/>
      </w:r>
      <w:r w:rsidRPr="00D14CE9">
        <w:rPr>
          <w:rFonts w:cstheme="majorHAnsi"/>
          <w:szCs w:val="20"/>
          <w:lang w:val="en-AU"/>
        </w:rPr>
        <w:t xml:space="preserve"> of the Report. </w:t>
      </w:r>
    </w:p>
    <w:p w:rsidR="003404A2" w:rsidRPr="00D14CE9" w:rsidRDefault="003404A2" w:rsidP="00C200D0">
      <w:pPr>
        <w:pStyle w:val="EYBulletedList1"/>
        <w:rPr>
          <w:rFonts w:cstheme="majorHAnsi"/>
          <w:szCs w:val="20"/>
          <w:lang w:val="en-AU"/>
        </w:rPr>
      </w:pPr>
      <w:r w:rsidRPr="00D14CE9">
        <w:rPr>
          <w:rFonts w:cstheme="majorHAnsi"/>
          <w:szCs w:val="20"/>
          <w:lang w:val="en-AU"/>
        </w:rPr>
        <w:t>Cardinia (S)</w:t>
      </w:r>
    </w:p>
    <w:p w:rsidR="003404A2" w:rsidRPr="00D14CE9" w:rsidRDefault="003404A2" w:rsidP="00C200D0">
      <w:pPr>
        <w:pStyle w:val="EYBulletedList1"/>
        <w:rPr>
          <w:rFonts w:cstheme="majorHAnsi"/>
          <w:szCs w:val="20"/>
          <w:lang w:val="en-AU"/>
        </w:rPr>
      </w:pPr>
      <w:r w:rsidRPr="00D14CE9">
        <w:rPr>
          <w:rFonts w:cstheme="majorHAnsi"/>
          <w:szCs w:val="20"/>
          <w:lang w:val="en-AU"/>
        </w:rPr>
        <w:t>Casey (C)</w:t>
      </w:r>
    </w:p>
    <w:p w:rsidR="003404A2" w:rsidRPr="00D14CE9" w:rsidRDefault="003404A2" w:rsidP="00C200D0">
      <w:pPr>
        <w:pStyle w:val="EYBulletedList1"/>
        <w:rPr>
          <w:rFonts w:cstheme="majorHAnsi"/>
          <w:szCs w:val="20"/>
          <w:lang w:val="en-AU"/>
        </w:rPr>
      </w:pPr>
      <w:r w:rsidRPr="00D14CE9">
        <w:rPr>
          <w:rFonts w:cstheme="majorHAnsi"/>
          <w:szCs w:val="20"/>
          <w:lang w:val="en-AU"/>
        </w:rPr>
        <w:t>Hume (C)</w:t>
      </w:r>
    </w:p>
    <w:p w:rsidR="003404A2" w:rsidRPr="00D14CE9" w:rsidRDefault="003404A2" w:rsidP="00C200D0">
      <w:pPr>
        <w:pStyle w:val="EYBulletedList1"/>
        <w:rPr>
          <w:rFonts w:cstheme="majorHAnsi"/>
          <w:szCs w:val="20"/>
          <w:lang w:val="en-AU"/>
        </w:rPr>
      </w:pPr>
      <w:r w:rsidRPr="00D14CE9">
        <w:rPr>
          <w:rFonts w:cstheme="majorHAnsi"/>
          <w:szCs w:val="20"/>
          <w:lang w:val="en-AU"/>
        </w:rPr>
        <w:t>Melton (C)</w:t>
      </w:r>
    </w:p>
    <w:p w:rsidR="003404A2" w:rsidRPr="00D14CE9" w:rsidRDefault="003404A2" w:rsidP="00C200D0">
      <w:pPr>
        <w:pStyle w:val="EYBulletedList1"/>
        <w:rPr>
          <w:rFonts w:cstheme="majorHAnsi"/>
          <w:szCs w:val="20"/>
          <w:lang w:val="en-AU"/>
        </w:rPr>
      </w:pPr>
      <w:r w:rsidRPr="00D14CE9">
        <w:rPr>
          <w:rFonts w:cstheme="majorHAnsi"/>
          <w:szCs w:val="20"/>
          <w:lang w:val="en-AU"/>
        </w:rPr>
        <w:t>Mitchell  (C)</w:t>
      </w:r>
    </w:p>
    <w:p w:rsidR="003404A2" w:rsidRPr="00D14CE9" w:rsidRDefault="003404A2" w:rsidP="00C200D0">
      <w:pPr>
        <w:pStyle w:val="EYBulletedList1"/>
        <w:rPr>
          <w:rFonts w:cstheme="majorHAnsi"/>
          <w:szCs w:val="20"/>
          <w:lang w:val="en-AU"/>
        </w:rPr>
      </w:pPr>
      <w:r w:rsidRPr="00D14CE9">
        <w:rPr>
          <w:rFonts w:cstheme="majorHAnsi"/>
          <w:szCs w:val="20"/>
          <w:lang w:val="en-AU"/>
        </w:rPr>
        <w:t>Whittlesea (C)</w:t>
      </w:r>
    </w:p>
    <w:p w:rsidR="003404A2" w:rsidRPr="00D14CE9" w:rsidRDefault="003404A2" w:rsidP="00C200D0">
      <w:pPr>
        <w:pStyle w:val="EYBulletedList1"/>
        <w:rPr>
          <w:rFonts w:cstheme="majorHAnsi"/>
          <w:szCs w:val="20"/>
          <w:lang w:val="en-AU"/>
        </w:rPr>
      </w:pPr>
      <w:r w:rsidRPr="00D14CE9">
        <w:rPr>
          <w:rFonts w:cstheme="majorHAnsi"/>
          <w:szCs w:val="20"/>
          <w:lang w:val="en-AU"/>
        </w:rPr>
        <w:t>Wyndham (C)</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To allow the redistribution to </w:t>
      </w:r>
      <w:r w:rsidR="00E94FA4" w:rsidRPr="00D14CE9">
        <w:rPr>
          <w:rFonts w:cstheme="majorHAnsi"/>
          <w:szCs w:val="20"/>
          <w:lang w:val="en-AU"/>
        </w:rPr>
        <w:t>Urban G</w:t>
      </w:r>
      <w:r w:rsidRPr="00D14CE9">
        <w:rPr>
          <w:rFonts w:cstheme="majorHAnsi"/>
          <w:szCs w:val="20"/>
          <w:lang w:val="en-AU"/>
        </w:rPr>
        <w:t xml:space="preserve">rowth </w:t>
      </w:r>
      <w:r w:rsidR="00E94FA4" w:rsidRPr="00D14CE9">
        <w:rPr>
          <w:rFonts w:cstheme="majorHAnsi"/>
          <w:szCs w:val="20"/>
          <w:lang w:val="en-AU"/>
        </w:rPr>
        <w:t>A</w:t>
      </w:r>
      <w:r w:rsidRPr="00D14CE9">
        <w:rPr>
          <w:rFonts w:cstheme="majorHAnsi"/>
          <w:szCs w:val="20"/>
          <w:lang w:val="en-AU"/>
        </w:rPr>
        <w:t xml:space="preserve">reas, this scenario considered an increased residential development in those LGAs, involving an automatic decrease in residential development within </w:t>
      </w:r>
      <w:r w:rsidR="00B2012A" w:rsidRPr="00D14CE9">
        <w:rPr>
          <w:rFonts w:cstheme="majorHAnsi"/>
          <w:szCs w:val="20"/>
          <w:lang w:val="en-AU"/>
        </w:rPr>
        <w:t>Urban I</w:t>
      </w:r>
      <w:r w:rsidRPr="00D14CE9">
        <w:rPr>
          <w:rFonts w:cstheme="majorHAnsi"/>
          <w:szCs w:val="20"/>
          <w:lang w:val="en-AU"/>
        </w:rPr>
        <w:t xml:space="preserve">nfill LGAs. In terms of transport activity, this scenario considered that the increase in population growth within the </w:t>
      </w:r>
      <w:r w:rsidR="00E94FA4" w:rsidRPr="00D14CE9">
        <w:rPr>
          <w:rFonts w:cstheme="majorHAnsi"/>
          <w:szCs w:val="20"/>
          <w:lang w:val="en-AU"/>
        </w:rPr>
        <w:t>U</w:t>
      </w:r>
      <w:r w:rsidRPr="00D14CE9">
        <w:rPr>
          <w:rFonts w:cstheme="majorHAnsi"/>
          <w:szCs w:val="20"/>
          <w:lang w:val="en-AU"/>
        </w:rPr>
        <w:t xml:space="preserve">rban </w:t>
      </w:r>
      <w:r w:rsidR="00E94FA4" w:rsidRPr="00D14CE9">
        <w:rPr>
          <w:rFonts w:cstheme="majorHAnsi"/>
          <w:szCs w:val="20"/>
          <w:lang w:val="en-AU"/>
        </w:rPr>
        <w:t>G</w:t>
      </w:r>
      <w:r w:rsidRPr="00D14CE9">
        <w:rPr>
          <w:rFonts w:cstheme="majorHAnsi"/>
          <w:szCs w:val="20"/>
          <w:lang w:val="en-AU"/>
        </w:rPr>
        <w:t xml:space="preserve">rowth </w:t>
      </w:r>
      <w:r w:rsidR="00E94FA4" w:rsidRPr="00D14CE9">
        <w:rPr>
          <w:rFonts w:cstheme="majorHAnsi"/>
          <w:szCs w:val="20"/>
          <w:lang w:val="en-AU"/>
        </w:rPr>
        <w:t>A</w:t>
      </w:r>
      <w:r w:rsidRPr="00D14CE9">
        <w:rPr>
          <w:rFonts w:cstheme="majorHAnsi"/>
          <w:szCs w:val="20"/>
          <w:lang w:val="en-AU"/>
        </w:rPr>
        <w:t xml:space="preserve">reas would lead to a faster extension of the transport network within those areas. The scenario assumes that this change is immediate and consistent until 2050. </w:t>
      </w:r>
    </w:p>
    <w:p w:rsidR="003404A2" w:rsidRPr="00D14CE9" w:rsidRDefault="003404A2" w:rsidP="00C200D0">
      <w:pPr>
        <w:pStyle w:val="EYBodytextwithparaspace"/>
        <w:rPr>
          <w:rFonts w:cstheme="majorHAnsi"/>
          <w:szCs w:val="20"/>
          <w:lang w:val="en-AU"/>
        </w:rPr>
      </w:pPr>
      <w:r w:rsidRPr="00D14CE9">
        <w:rPr>
          <w:rFonts w:cstheme="majorHAnsi"/>
          <w:szCs w:val="20"/>
          <w:lang w:val="en-AU"/>
        </w:rPr>
        <w:lastRenderedPageBreak/>
        <w:t xml:space="preserve">The impact of scenario 3B against the </w:t>
      </w:r>
      <w:r w:rsidR="00520170" w:rsidRPr="00D14CE9">
        <w:rPr>
          <w:rFonts w:cstheme="majorHAnsi"/>
          <w:szCs w:val="20"/>
          <w:lang w:val="en-AU"/>
        </w:rPr>
        <w:t xml:space="preserve">Baseline </w:t>
      </w:r>
      <w:r w:rsidRPr="00D14CE9">
        <w:rPr>
          <w:rFonts w:cstheme="majorHAnsi"/>
          <w:szCs w:val="20"/>
          <w:lang w:val="en-AU"/>
        </w:rPr>
        <w:t xml:space="preserve">demand forecast, in terms of spatial allocation per LGA classification, is presented in below </w:t>
      </w:r>
      <w:r w:rsidR="00AD6683">
        <w:rPr>
          <w:rFonts w:cstheme="majorHAnsi"/>
          <w:szCs w:val="20"/>
          <w:lang w:val="en-AU"/>
        </w:rPr>
        <w:fldChar w:fldCharType="begin"/>
      </w:r>
      <w:r w:rsidR="00AD6683">
        <w:rPr>
          <w:rFonts w:cstheme="majorHAnsi"/>
          <w:szCs w:val="20"/>
          <w:lang w:val="en-AU"/>
        </w:rPr>
        <w:instrText xml:space="preserve"> REF _Ref441418832 \h  \* MERGEFORMAT </w:instrText>
      </w:r>
      <w:r w:rsidR="00AD6683">
        <w:rPr>
          <w:rFonts w:cstheme="majorHAnsi"/>
          <w:szCs w:val="20"/>
          <w:lang w:val="en-AU"/>
        </w:rPr>
      </w:r>
      <w:r w:rsidR="00AD6683">
        <w:rPr>
          <w:rFonts w:cstheme="majorHAnsi"/>
          <w:szCs w:val="20"/>
          <w:lang w:val="en-AU"/>
        </w:rPr>
        <w:fldChar w:fldCharType="separate"/>
      </w:r>
      <w:r w:rsidR="00525C82" w:rsidRPr="00525C82">
        <w:rPr>
          <w:rFonts w:cstheme="majorHAnsi"/>
          <w:szCs w:val="20"/>
          <w:lang w:val="en-AU"/>
        </w:rPr>
        <w:t>Figure 27</w:t>
      </w:r>
      <w:r w:rsidR="00AD6683">
        <w:rPr>
          <w:rFonts w:cstheme="majorHAnsi"/>
          <w:szCs w:val="20"/>
          <w:lang w:val="en-AU"/>
        </w:rPr>
        <w:fldChar w:fldCharType="end"/>
      </w:r>
      <w:r w:rsidRPr="00D14CE9">
        <w:rPr>
          <w:rFonts w:cstheme="majorHAnsi"/>
          <w:szCs w:val="20"/>
          <w:lang w:val="en-AU"/>
        </w:rPr>
        <w:t>, which illustrates the impact of the redistribution towards Urban Growth Areas is expected not to be minor in terms of total demand forecast while neutral on the demand from regional LGAs.</w:t>
      </w:r>
    </w:p>
    <w:p w:rsidR="003404A2" w:rsidRPr="00D14CE9" w:rsidRDefault="003404A2" w:rsidP="00C200D0">
      <w:pPr>
        <w:pStyle w:val="Caption"/>
        <w:rPr>
          <w:sz w:val="16"/>
        </w:rPr>
      </w:pPr>
      <w:bookmarkStart w:id="630" w:name="_Ref441418832"/>
      <w:bookmarkStart w:id="631" w:name="_Toc445240925"/>
      <w:bookmarkStart w:id="632" w:name="_Toc448914589"/>
      <w:r w:rsidRPr="00D14CE9">
        <w:rPr>
          <w:sz w:val="16"/>
          <w:szCs w:val="18"/>
        </w:rPr>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27</w:t>
      </w:r>
      <w:r w:rsidRPr="00802792">
        <w:rPr>
          <w:sz w:val="16"/>
          <w:szCs w:val="18"/>
        </w:rPr>
        <w:fldChar w:fldCharType="end"/>
      </w:r>
      <w:bookmarkEnd w:id="630"/>
      <w:r w:rsidRPr="00D14CE9">
        <w:rPr>
          <w:sz w:val="16"/>
          <w:szCs w:val="18"/>
        </w:rPr>
        <w:t xml:space="preserve"> – </w:t>
      </w:r>
      <w:r w:rsidR="00A52BFF" w:rsidRPr="00D14CE9">
        <w:rPr>
          <w:sz w:val="16"/>
          <w:szCs w:val="18"/>
        </w:rPr>
        <w:t>Total d</w:t>
      </w:r>
      <w:r w:rsidRPr="00D14CE9">
        <w:rPr>
          <w:sz w:val="16"/>
          <w:szCs w:val="18"/>
        </w:rPr>
        <w:t xml:space="preserve">emand </w:t>
      </w:r>
      <w:r w:rsidR="00A52BFF" w:rsidRPr="00D14CE9">
        <w:rPr>
          <w:sz w:val="16"/>
          <w:szCs w:val="18"/>
        </w:rPr>
        <w:t xml:space="preserve">for extractive resources over the period </w:t>
      </w:r>
      <w:r w:rsidRPr="00D14CE9">
        <w:rPr>
          <w:sz w:val="16"/>
          <w:szCs w:val="18"/>
        </w:rPr>
        <w:t xml:space="preserve">2015-2050 – </w:t>
      </w:r>
      <w:r w:rsidR="00520170" w:rsidRPr="00D14CE9">
        <w:rPr>
          <w:sz w:val="16"/>
          <w:szCs w:val="18"/>
        </w:rPr>
        <w:t xml:space="preserve">Baseline </w:t>
      </w:r>
      <w:r w:rsidRPr="00D14CE9">
        <w:rPr>
          <w:sz w:val="16"/>
          <w:szCs w:val="18"/>
        </w:rPr>
        <w:t>vs. Scenario 3B</w:t>
      </w:r>
      <w:bookmarkEnd w:id="631"/>
      <w:bookmarkEnd w:id="632"/>
      <w:r w:rsidRPr="00D14CE9">
        <w:rPr>
          <w:sz w:val="16"/>
          <w:szCs w:val="18"/>
        </w:rPr>
        <w:t xml:space="preserve"> </w:t>
      </w:r>
    </w:p>
    <w:p w:rsidR="00C061E0" w:rsidRPr="00D14CE9" w:rsidRDefault="006636EA" w:rsidP="00C200D0">
      <w:pPr>
        <w:pStyle w:val="ListParagraph"/>
        <w:ind w:left="0"/>
        <w:rPr>
          <w:rFonts w:ascii="EYInterstate Light" w:hAnsi="EYInterstate Light"/>
          <w:highlight w:val="yellow"/>
        </w:rPr>
      </w:pPr>
      <w:r>
        <w:rPr>
          <w:rFonts w:ascii="EYInterstate Light" w:hAnsi="EYInterstate Light"/>
          <w:noProof/>
          <w:lang w:eastAsia="en-AU"/>
        </w:rPr>
        <w:drawing>
          <wp:inline distT="0" distB="0" distL="0" distR="0" wp14:anchorId="29F6DD64" wp14:editId="7E980CBB">
            <wp:extent cx="5703352" cy="2047240"/>
            <wp:effectExtent l="0" t="0" r="0" b="0"/>
            <wp:docPr id="2093" name="Picture 2093" descr="Figure 27 shows the total demand for extractive resources over the period 2015-2050 by comparing the baseline with scenario 3B. The total demand for all areas under Scenario 3B rises slightly above baseline towards the end of the period. Scenario 3B has lower values than baseline for urban infill LGAs and higher values than urban growth area LGAs. It is about the same as baseline for regional area LGAs. "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889" t="1507" r="644" b="2670"/>
                    <a:stretch/>
                  </pic:blipFill>
                  <pic:spPr bwMode="auto">
                    <a:xfrm>
                      <a:off x="0" y="0"/>
                      <a:ext cx="5719783" cy="2053138"/>
                    </a:xfrm>
                    <a:prstGeom prst="rect">
                      <a:avLst/>
                    </a:prstGeom>
                    <a:noFill/>
                    <a:ln>
                      <a:noFill/>
                    </a:ln>
                    <a:extLst>
                      <a:ext uri="{53640926-AAD7-44D8-BBD7-CCE9431645EC}">
                        <a14:shadowObscured xmlns:a14="http://schemas.microsoft.com/office/drawing/2010/main"/>
                      </a:ext>
                    </a:extLst>
                  </pic:spPr>
                </pic:pic>
              </a:graphicData>
            </a:graphic>
          </wp:inline>
        </w:drawing>
      </w:r>
    </w:p>
    <w:p w:rsidR="00AE671A" w:rsidRPr="00D14CE9" w:rsidRDefault="00AE671A" w:rsidP="00AE671A">
      <w:pPr>
        <w:pStyle w:val="ListParagraph"/>
        <w:numPr>
          <w:ilvl w:val="0"/>
          <w:numId w:val="9"/>
        </w:numPr>
        <w:rPr>
          <w:rFonts w:ascii="EYInterstate Light" w:hAnsi="EYInterstate Light"/>
          <w:i/>
          <w:sz w:val="16"/>
          <w:szCs w:val="16"/>
        </w:rPr>
      </w:pPr>
      <w:r w:rsidRPr="00D14CE9">
        <w:rPr>
          <w:rFonts w:ascii="EYInterstate Light" w:hAnsi="EYInterstate Light"/>
          <w:i/>
          <w:sz w:val="16"/>
          <w:szCs w:val="16"/>
        </w:rPr>
        <w:t>Source: EY analysis</w:t>
      </w:r>
    </w:p>
    <w:p w:rsidR="003404A2" w:rsidRPr="00D14CE9" w:rsidRDefault="003404A2" w:rsidP="00C200D0">
      <w:pPr>
        <w:pStyle w:val="ListParagraph"/>
        <w:ind w:left="0"/>
        <w:rPr>
          <w:rFonts w:ascii="EYInterstate Light" w:hAnsi="EYInterstate Light"/>
          <w:highlight w:val="yellow"/>
        </w:rPr>
      </w:pPr>
    </w:p>
    <w:p w:rsidR="00AE671A" w:rsidRDefault="00AE671A" w:rsidP="00AE671A">
      <w:pPr>
        <w:pStyle w:val="EYBodytextwithparaspace"/>
        <w:rPr>
          <w:rFonts w:cstheme="majorHAnsi"/>
          <w:szCs w:val="20"/>
          <w:lang w:val="en-AU"/>
        </w:rPr>
      </w:pPr>
      <w:r w:rsidRPr="00D14CE9">
        <w:rPr>
          <w:rFonts w:cstheme="majorHAnsi"/>
          <w:szCs w:val="20"/>
          <w:lang w:val="en-AU"/>
        </w:rPr>
        <w:t>The following table summarises how the scenario 3B compares to the baseline demand projections over the short, medium and long term, in aggregate for LGAs in Urban Infill locations, Urban Growth Areas and regional areas: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19 "/>
        <w:tblDescription w:val="Table 19 compares demand forecasts under the baseline and scenario 3B scenarios.  Total demand in 2015 for baseline is 46.4 million tonnes, and for scenario 3B it is 45.7 million tonnes. Total demand forecasted for 2026 for baseline is 56.2 million tonnes, and for scenario 3B it is also 55.8 million tonnes. Total demand in 2050 for baseline is 87.8 million tonnes, and for scenario 3B it is 92.3 million tonnes."/>
      </w:tblPr>
      <w:tblGrid>
        <w:gridCol w:w="3283"/>
        <w:gridCol w:w="2086"/>
        <w:gridCol w:w="2086"/>
        <w:gridCol w:w="1630"/>
      </w:tblGrid>
      <w:tr w:rsidR="00AE671A" w:rsidRPr="00D14CE9" w:rsidTr="003A1D14">
        <w:trPr>
          <w:trHeight w:val="20"/>
        </w:trPr>
        <w:tc>
          <w:tcPr>
            <w:tcW w:w="5000" w:type="pct"/>
            <w:gridSpan w:val="4"/>
            <w:shd w:val="clear" w:color="auto" w:fill="808080" w:themeFill="background1" w:themeFillShade="80"/>
            <w:tcMar>
              <w:top w:w="28" w:type="dxa"/>
              <w:left w:w="28" w:type="dxa"/>
              <w:bottom w:w="28" w:type="dxa"/>
              <w:right w:w="28" w:type="dxa"/>
            </w:tcMar>
            <w:vAlign w:val="center"/>
          </w:tcPr>
          <w:p w:rsidR="00AE671A" w:rsidRPr="00D14CE9" w:rsidRDefault="00AE671A" w:rsidP="003E25FF">
            <w:pPr>
              <w:pStyle w:val="EYTableHeadingWhite"/>
              <w:spacing w:after="0"/>
            </w:pPr>
            <w:bookmarkStart w:id="633" w:name="_Toc445240953"/>
            <w:bookmarkStart w:id="634" w:name="_Toc448914646"/>
            <w:bookmarkStart w:id="635" w:name="_Toc448920463"/>
            <w:r w:rsidRPr="00D14CE9">
              <w:t xml:space="preserve">Table </w:t>
            </w:r>
            <w:r w:rsidRPr="00802792">
              <w:fldChar w:fldCharType="begin"/>
            </w:r>
            <w:r w:rsidRPr="00D14CE9">
              <w:instrText xml:space="preserve"> SEQ Table \* ARABIC </w:instrText>
            </w:r>
            <w:r w:rsidRPr="00802792">
              <w:fldChar w:fldCharType="separate"/>
            </w:r>
            <w:r w:rsidR="00525C82">
              <w:rPr>
                <w:noProof/>
              </w:rPr>
              <w:t>19</w:t>
            </w:r>
            <w:r w:rsidRPr="00802792">
              <w:fldChar w:fldCharType="end"/>
            </w:r>
            <w:r w:rsidRPr="00D14CE9">
              <w:t xml:space="preserve"> – Demand Forecast – Baseline vs. Scenario 3B – Total in 2015, 2026 and 2050 (million tonnes)</w:t>
            </w:r>
            <w:bookmarkEnd w:id="633"/>
            <w:bookmarkEnd w:id="634"/>
            <w:bookmarkEnd w:id="635"/>
          </w:p>
        </w:tc>
      </w:tr>
      <w:tr w:rsidR="00AE671A" w:rsidRPr="00D14CE9" w:rsidTr="003A1D14">
        <w:trPr>
          <w:trHeight w:val="20"/>
        </w:trPr>
        <w:tc>
          <w:tcPr>
            <w:tcW w:w="1807" w:type="pct"/>
            <w:shd w:val="clear" w:color="auto" w:fill="F0F0F0"/>
            <w:tcMar>
              <w:top w:w="28" w:type="dxa"/>
              <w:left w:w="28" w:type="dxa"/>
              <w:bottom w:w="28" w:type="dxa"/>
              <w:right w:w="28" w:type="dxa"/>
            </w:tcMar>
            <w:vAlign w:val="center"/>
          </w:tcPr>
          <w:p w:rsidR="00AE671A" w:rsidRPr="00D14CE9" w:rsidRDefault="00AE671A" w:rsidP="003A1D14">
            <w:pPr>
              <w:pStyle w:val="EYTableHeading"/>
              <w:spacing w:before="0" w:after="0"/>
              <w:jc w:val="center"/>
              <w:rPr>
                <w:rFonts w:eastAsia="Arial Unicode MS"/>
              </w:rPr>
            </w:pPr>
          </w:p>
        </w:tc>
        <w:tc>
          <w:tcPr>
            <w:tcW w:w="1148" w:type="pct"/>
            <w:shd w:val="clear" w:color="auto" w:fill="F0F0F0"/>
            <w:tcMar>
              <w:top w:w="28" w:type="dxa"/>
              <w:left w:w="28" w:type="dxa"/>
              <w:bottom w:w="28" w:type="dxa"/>
              <w:right w:w="28" w:type="dxa"/>
            </w:tcMar>
            <w:vAlign w:val="center"/>
          </w:tcPr>
          <w:p w:rsidR="00AE671A" w:rsidRPr="00D14CE9" w:rsidRDefault="00AE671A" w:rsidP="003A1D14">
            <w:pPr>
              <w:pStyle w:val="EYTableHeading"/>
              <w:spacing w:before="0" w:after="0"/>
              <w:jc w:val="center"/>
              <w:rPr>
                <w:rFonts w:eastAsia="Arial Unicode MS"/>
              </w:rPr>
            </w:pPr>
            <w:r w:rsidRPr="00D14CE9">
              <w:t>2015</w:t>
            </w:r>
          </w:p>
        </w:tc>
        <w:tc>
          <w:tcPr>
            <w:tcW w:w="1148" w:type="pct"/>
            <w:shd w:val="clear" w:color="auto" w:fill="F0F0F0"/>
            <w:tcMar>
              <w:top w:w="28" w:type="dxa"/>
              <w:left w:w="28" w:type="dxa"/>
              <w:bottom w:w="28" w:type="dxa"/>
              <w:right w:w="28" w:type="dxa"/>
            </w:tcMar>
            <w:vAlign w:val="center"/>
          </w:tcPr>
          <w:p w:rsidR="00AE671A" w:rsidRPr="00D14CE9" w:rsidRDefault="00AE671A" w:rsidP="003A1D14">
            <w:pPr>
              <w:pStyle w:val="EYTableHeading"/>
              <w:spacing w:before="0" w:after="0"/>
              <w:jc w:val="center"/>
              <w:rPr>
                <w:rFonts w:eastAsia="Arial Unicode MS"/>
              </w:rPr>
            </w:pPr>
            <w:r w:rsidRPr="00D14CE9">
              <w:t>2026</w:t>
            </w:r>
          </w:p>
        </w:tc>
        <w:tc>
          <w:tcPr>
            <w:tcW w:w="897" w:type="pct"/>
            <w:shd w:val="clear" w:color="auto" w:fill="F0F0F0"/>
            <w:tcMar>
              <w:top w:w="28" w:type="dxa"/>
              <w:left w:w="28" w:type="dxa"/>
              <w:bottom w:w="28" w:type="dxa"/>
              <w:right w:w="28" w:type="dxa"/>
            </w:tcMar>
            <w:vAlign w:val="center"/>
          </w:tcPr>
          <w:p w:rsidR="00AE671A" w:rsidRPr="00D14CE9" w:rsidRDefault="00AE671A" w:rsidP="003A1D14">
            <w:pPr>
              <w:pStyle w:val="EYTableHeading"/>
              <w:spacing w:before="0" w:after="0"/>
              <w:jc w:val="center"/>
            </w:pPr>
            <w:r w:rsidRPr="00D14CE9">
              <w:t>2050</w:t>
            </w:r>
          </w:p>
        </w:tc>
      </w:tr>
      <w:tr w:rsidR="00AE671A" w:rsidRPr="00D14CE9" w:rsidTr="003A1D14">
        <w:trPr>
          <w:trHeight w:val="20"/>
        </w:trPr>
        <w:tc>
          <w:tcPr>
            <w:tcW w:w="5000" w:type="pct"/>
            <w:gridSpan w:val="4"/>
            <w:noWrap/>
            <w:tcMar>
              <w:top w:w="28" w:type="dxa"/>
              <w:left w:w="28" w:type="dxa"/>
              <w:bottom w:w="28" w:type="dxa"/>
              <w:right w:w="28" w:type="dxa"/>
            </w:tcMar>
            <w:vAlign w:val="center"/>
          </w:tcPr>
          <w:p w:rsidR="00AE671A" w:rsidRPr="00D14CE9" w:rsidRDefault="00AE671A" w:rsidP="003A1D14">
            <w:pPr>
              <w:rPr>
                <w:b/>
                <w:sz w:val="16"/>
                <w:szCs w:val="16"/>
              </w:rPr>
            </w:pPr>
            <w:r w:rsidRPr="00D14CE9">
              <w:rPr>
                <w:rFonts w:cs="Calibri"/>
                <w:b/>
                <w:color w:val="000000"/>
                <w:sz w:val="16"/>
                <w:szCs w:val="16"/>
              </w:rPr>
              <w:t>Baseline</w:t>
            </w:r>
          </w:p>
        </w:tc>
      </w:tr>
      <w:tr w:rsidR="00B03B5E" w:rsidRPr="00D14CE9" w:rsidTr="003A1D14">
        <w:trPr>
          <w:trHeight w:val="20"/>
        </w:trPr>
        <w:tc>
          <w:tcPr>
            <w:tcW w:w="1807" w:type="pct"/>
            <w:noWrap/>
            <w:tcMar>
              <w:top w:w="28" w:type="dxa"/>
              <w:left w:w="28" w:type="dxa"/>
              <w:bottom w:w="28" w:type="dxa"/>
              <w:right w:w="28" w:type="dxa"/>
            </w:tcMar>
            <w:vAlign w:val="center"/>
          </w:tcPr>
          <w:p w:rsidR="00B03B5E" w:rsidRPr="00D14CE9" w:rsidRDefault="00B03B5E" w:rsidP="003A1D14">
            <w:pPr>
              <w:rPr>
                <w:sz w:val="16"/>
                <w:szCs w:val="16"/>
              </w:rPr>
            </w:pPr>
            <w:r w:rsidRPr="00D14CE9">
              <w:rPr>
                <w:rFonts w:cs="Calibri"/>
                <w:color w:val="000000"/>
                <w:sz w:val="16"/>
                <w:szCs w:val="16"/>
              </w:rPr>
              <w:t>Urban Infill LGAs</w:t>
            </w:r>
          </w:p>
        </w:tc>
        <w:tc>
          <w:tcPr>
            <w:tcW w:w="1148" w:type="pct"/>
            <w:noWrap/>
            <w:tcMar>
              <w:top w:w="28" w:type="dxa"/>
              <w:left w:w="28" w:type="dxa"/>
              <w:bottom w:w="28" w:type="dxa"/>
              <w:right w:w="28" w:type="dxa"/>
            </w:tcMar>
            <w:vAlign w:val="center"/>
          </w:tcPr>
          <w:p w:rsidR="00B03B5E" w:rsidRPr="00D14CE9" w:rsidRDefault="00B03B5E" w:rsidP="003A1D14">
            <w:pPr>
              <w:jc w:val="center"/>
              <w:rPr>
                <w:sz w:val="16"/>
                <w:szCs w:val="16"/>
              </w:rPr>
            </w:pPr>
            <w:r w:rsidRPr="00D14CE9">
              <w:rPr>
                <w:sz w:val="16"/>
                <w:szCs w:val="16"/>
              </w:rPr>
              <w:t>22.3</w:t>
            </w:r>
          </w:p>
        </w:tc>
        <w:tc>
          <w:tcPr>
            <w:tcW w:w="1148" w:type="pct"/>
            <w:noWrap/>
            <w:tcMar>
              <w:top w:w="28" w:type="dxa"/>
              <w:left w:w="28" w:type="dxa"/>
              <w:bottom w:w="28" w:type="dxa"/>
              <w:right w:w="28" w:type="dxa"/>
            </w:tcMar>
            <w:vAlign w:val="center"/>
          </w:tcPr>
          <w:p w:rsidR="00B03B5E" w:rsidRPr="00D14CE9" w:rsidRDefault="00B03B5E" w:rsidP="003A1D14">
            <w:pPr>
              <w:jc w:val="center"/>
              <w:rPr>
                <w:sz w:val="16"/>
                <w:szCs w:val="16"/>
              </w:rPr>
            </w:pPr>
            <w:r w:rsidRPr="00D14CE9">
              <w:rPr>
                <w:sz w:val="16"/>
                <w:szCs w:val="16"/>
              </w:rPr>
              <w:t>25.6</w:t>
            </w:r>
          </w:p>
        </w:tc>
        <w:tc>
          <w:tcPr>
            <w:tcW w:w="897" w:type="pct"/>
            <w:tcMar>
              <w:top w:w="28" w:type="dxa"/>
              <w:left w:w="28" w:type="dxa"/>
              <w:bottom w:w="28" w:type="dxa"/>
              <w:right w:w="28" w:type="dxa"/>
            </w:tcMar>
            <w:vAlign w:val="center"/>
          </w:tcPr>
          <w:p w:rsidR="00B03B5E" w:rsidRPr="00D14CE9" w:rsidRDefault="00B03B5E" w:rsidP="003A1D14">
            <w:pPr>
              <w:jc w:val="center"/>
              <w:rPr>
                <w:sz w:val="16"/>
                <w:szCs w:val="16"/>
              </w:rPr>
            </w:pPr>
            <w:r w:rsidRPr="00D14CE9">
              <w:rPr>
                <w:sz w:val="16"/>
                <w:szCs w:val="16"/>
              </w:rPr>
              <w:t>46.0</w:t>
            </w:r>
          </w:p>
        </w:tc>
      </w:tr>
      <w:tr w:rsidR="00B03B5E" w:rsidRPr="00D14CE9" w:rsidTr="003A1D14">
        <w:trPr>
          <w:trHeight w:val="20"/>
        </w:trPr>
        <w:tc>
          <w:tcPr>
            <w:tcW w:w="1807" w:type="pct"/>
            <w:noWrap/>
            <w:tcMar>
              <w:top w:w="28" w:type="dxa"/>
              <w:left w:w="28" w:type="dxa"/>
              <w:bottom w:w="28" w:type="dxa"/>
              <w:right w:w="28" w:type="dxa"/>
            </w:tcMar>
            <w:vAlign w:val="center"/>
          </w:tcPr>
          <w:p w:rsidR="00B03B5E" w:rsidRPr="00D14CE9" w:rsidRDefault="00B03B5E" w:rsidP="003A1D14">
            <w:pPr>
              <w:rPr>
                <w:rFonts w:cs="Calibri"/>
                <w:color w:val="000000"/>
                <w:sz w:val="16"/>
                <w:szCs w:val="16"/>
              </w:rPr>
            </w:pPr>
            <w:r w:rsidRPr="00D14CE9">
              <w:rPr>
                <w:rFonts w:cs="Calibri"/>
                <w:color w:val="000000"/>
                <w:sz w:val="16"/>
                <w:szCs w:val="16"/>
              </w:rPr>
              <w:t>Urban Growth Areas LGAs</w:t>
            </w:r>
          </w:p>
        </w:tc>
        <w:tc>
          <w:tcPr>
            <w:tcW w:w="1148" w:type="pct"/>
            <w:noWrap/>
            <w:tcMar>
              <w:top w:w="28" w:type="dxa"/>
              <w:left w:w="28" w:type="dxa"/>
              <w:bottom w:w="28" w:type="dxa"/>
              <w:right w:w="28" w:type="dxa"/>
            </w:tcMar>
            <w:vAlign w:val="center"/>
          </w:tcPr>
          <w:p w:rsidR="00B03B5E" w:rsidRPr="00D14CE9" w:rsidRDefault="00B03B5E" w:rsidP="003A1D14">
            <w:pPr>
              <w:jc w:val="center"/>
              <w:rPr>
                <w:sz w:val="16"/>
                <w:szCs w:val="16"/>
              </w:rPr>
            </w:pPr>
            <w:r w:rsidRPr="00D14CE9">
              <w:rPr>
                <w:sz w:val="16"/>
                <w:szCs w:val="16"/>
              </w:rPr>
              <w:t>15.4</w:t>
            </w:r>
          </w:p>
        </w:tc>
        <w:tc>
          <w:tcPr>
            <w:tcW w:w="1148" w:type="pct"/>
            <w:noWrap/>
            <w:tcMar>
              <w:top w:w="28" w:type="dxa"/>
              <w:left w:w="28" w:type="dxa"/>
              <w:bottom w:w="28" w:type="dxa"/>
              <w:right w:w="28" w:type="dxa"/>
            </w:tcMar>
            <w:vAlign w:val="center"/>
          </w:tcPr>
          <w:p w:rsidR="00B03B5E" w:rsidRPr="00D14CE9" w:rsidRDefault="00B03B5E" w:rsidP="003A1D14">
            <w:pPr>
              <w:jc w:val="center"/>
              <w:rPr>
                <w:sz w:val="16"/>
                <w:szCs w:val="16"/>
              </w:rPr>
            </w:pPr>
            <w:r w:rsidRPr="00D14CE9">
              <w:rPr>
                <w:sz w:val="16"/>
                <w:szCs w:val="16"/>
              </w:rPr>
              <w:t>19.6</w:t>
            </w:r>
          </w:p>
        </w:tc>
        <w:tc>
          <w:tcPr>
            <w:tcW w:w="897" w:type="pct"/>
            <w:tcMar>
              <w:top w:w="28" w:type="dxa"/>
              <w:left w:w="28" w:type="dxa"/>
              <w:bottom w:w="28" w:type="dxa"/>
              <w:right w:w="28" w:type="dxa"/>
            </w:tcMar>
            <w:vAlign w:val="center"/>
          </w:tcPr>
          <w:p w:rsidR="00B03B5E" w:rsidRPr="00D14CE9" w:rsidRDefault="00B03B5E" w:rsidP="003A1D14">
            <w:pPr>
              <w:jc w:val="center"/>
              <w:rPr>
                <w:sz w:val="16"/>
                <w:szCs w:val="16"/>
              </w:rPr>
            </w:pPr>
            <w:r w:rsidRPr="00D14CE9">
              <w:rPr>
                <w:sz w:val="16"/>
                <w:szCs w:val="16"/>
              </w:rPr>
              <w:t>24.3</w:t>
            </w:r>
          </w:p>
        </w:tc>
      </w:tr>
      <w:tr w:rsidR="00B03B5E" w:rsidRPr="00D14CE9" w:rsidTr="003A1D14">
        <w:trPr>
          <w:trHeight w:val="20"/>
        </w:trPr>
        <w:tc>
          <w:tcPr>
            <w:tcW w:w="1807" w:type="pct"/>
            <w:noWrap/>
            <w:tcMar>
              <w:top w:w="28" w:type="dxa"/>
              <w:left w:w="28" w:type="dxa"/>
              <w:bottom w:w="28" w:type="dxa"/>
              <w:right w:w="28" w:type="dxa"/>
            </w:tcMar>
            <w:vAlign w:val="center"/>
          </w:tcPr>
          <w:p w:rsidR="00B03B5E" w:rsidRPr="00D14CE9" w:rsidRDefault="00B03B5E" w:rsidP="003A1D14">
            <w:pPr>
              <w:rPr>
                <w:rFonts w:cs="Calibri"/>
                <w:color w:val="000000"/>
                <w:sz w:val="16"/>
                <w:szCs w:val="16"/>
              </w:rPr>
            </w:pPr>
            <w:r w:rsidRPr="00D14CE9">
              <w:rPr>
                <w:rFonts w:cs="Calibri"/>
                <w:color w:val="000000"/>
                <w:sz w:val="16"/>
                <w:szCs w:val="16"/>
              </w:rPr>
              <w:t>Regional LGAs</w:t>
            </w:r>
          </w:p>
        </w:tc>
        <w:tc>
          <w:tcPr>
            <w:tcW w:w="1148" w:type="pct"/>
            <w:noWrap/>
            <w:tcMar>
              <w:top w:w="28" w:type="dxa"/>
              <w:left w:w="28" w:type="dxa"/>
              <w:bottom w:w="28" w:type="dxa"/>
              <w:right w:w="28" w:type="dxa"/>
            </w:tcMar>
            <w:vAlign w:val="center"/>
          </w:tcPr>
          <w:p w:rsidR="00B03B5E" w:rsidRPr="00D14CE9" w:rsidRDefault="00B03B5E" w:rsidP="003A1D14">
            <w:pPr>
              <w:jc w:val="center"/>
              <w:rPr>
                <w:sz w:val="16"/>
                <w:szCs w:val="16"/>
              </w:rPr>
            </w:pPr>
            <w:r w:rsidRPr="00D14CE9">
              <w:rPr>
                <w:sz w:val="16"/>
                <w:szCs w:val="16"/>
              </w:rPr>
              <w:t>8.7</w:t>
            </w:r>
          </w:p>
        </w:tc>
        <w:tc>
          <w:tcPr>
            <w:tcW w:w="1148" w:type="pct"/>
            <w:noWrap/>
            <w:tcMar>
              <w:top w:w="28" w:type="dxa"/>
              <w:left w:w="28" w:type="dxa"/>
              <w:bottom w:w="28" w:type="dxa"/>
              <w:right w:w="28" w:type="dxa"/>
            </w:tcMar>
            <w:vAlign w:val="center"/>
          </w:tcPr>
          <w:p w:rsidR="00B03B5E" w:rsidRPr="00D14CE9" w:rsidRDefault="00B03B5E" w:rsidP="003A1D14">
            <w:pPr>
              <w:jc w:val="center"/>
              <w:rPr>
                <w:sz w:val="16"/>
                <w:szCs w:val="16"/>
              </w:rPr>
            </w:pPr>
            <w:r w:rsidRPr="00D14CE9">
              <w:rPr>
                <w:sz w:val="16"/>
                <w:szCs w:val="16"/>
              </w:rPr>
              <w:t>10.6</w:t>
            </w:r>
          </w:p>
        </w:tc>
        <w:tc>
          <w:tcPr>
            <w:tcW w:w="897" w:type="pct"/>
            <w:tcMar>
              <w:top w:w="28" w:type="dxa"/>
              <w:left w:w="28" w:type="dxa"/>
              <w:bottom w:w="28" w:type="dxa"/>
              <w:right w:w="28" w:type="dxa"/>
            </w:tcMar>
            <w:vAlign w:val="center"/>
          </w:tcPr>
          <w:p w:rsidR="00B03B5E" w:rsidRPr="00D14CE9" w:rsidRDefault="00B03B5E" w:rsidP="003A1D14">
            <w:pPr>
              <w:jc w:val="center"/>
              <w:rPr>
                <w:sz w:val="16"/>
                <w:szCs w:val="16"/>
              </w:rPr>
            </w:pPr>
            <w:r w:rsidRPr="00D14CE9">
              <w:rPr>
                <w:sz w:val="16"/>
                <w:szCs w:val="16"/>
              </w:rPr>
              <w:t>17.5</w:t>
            </w:r>
          </w:p>
        </w:tc>
      </w:tr>
      <w:tr w:rsidR="00B03B5E" w:rsidRPr="00D14CE9" w:rsidTr="003A1D14">
        <w:trPr>
          <w:trHeight w:val="20"/>
        </w:trPr>
        <w:tc>
          <w:tcPr>
            <w:tcW w:w="1807" w:type="pct"/>
            <w:noWrap/>
            <w:tcMar>
              <w:top w:w="28" w:type="dxa"/>
              <w:left w:w="28" w:type="dxa"/>
              <w:bottom w:w="28" w:type="dxa"/>
              <w:right w:w="28" w:type="dxa"/>
            </w:tcMar>
            <w:vAlign w:val="center"/>
          </w:tcPr>
          <w:p w:rsidR="00B03B5E" w:rsidRPr="00D14CE9" w:rsidRDefault="00B03B5E" w:rsidP="003A1D14">
            <w:pPr>
              <w:rPr>
                <w:rFonts w:cs="Calibri"/>
                <w:b/>
                <w:color w:val="000000"/>
                <w:sz w:val="16"/>
                <w:szCs w:val="16"/>
              </w:rPr>
            </w:pPr>
            <w:r w:rsidRPr="00D14CE9">
              <w:rPr>
                <w:rFonts w:cs="Calibri"/>
                <w:b/>
                <w:color w:val="000000"/>
                <w:sz w:val="16"/>
                <w:szCs w:val="16"/>
              </w:rPr>
              <w:t>Total Demand</w:t>
            </w:r>
          </w:p>
        </w:tc>
        <w:tc>
          <w:tcPr>
            <w:tcW w:w="1148" w:type="pct"/>
            <w:noWrap/>
            <w:tcMar>
              <w:top w:w="28" w:type="dxa"/>
              <w:left w:w="28" w:type="dxa"/>
              <w:bottom w:w="28" w:type="dxa"/>
              <w:right w:w="28" w:type="dxa"/>
            </w:tcMar>
            <w:vAlign w:val="center"/>
          </w:tcPr>
          <w:p w:rsidR="00B03B5E" w:rsidRPr="00D14CE9" w:rsidRDefault="00B03B5E" w:rsidP="003A1D14">
            <w:pPr>
              <w:jc w:val="center"/>
              <w:rPr>
                <w:b/>
                <w:sz w:val="16"/>
                <w:szCs w:val="16"/>
              </w:rPr>
            </w:pPr>
            <w:r w:rsidRPr="00D14CE9">
              <w:rPr>
                <w:b/>
                <w:sz w:val="16"/>
                <w:szCs w:val="16"/>
              </w:rPr>
              <w:t>46.4</w:t>
            </w:r>
          </w:p>
        </w:tc>
        <w:tc>
          <w:tcPr>
            <w:tcW w:w="1148" w:type="pct"/>
            <w:noWrap/>
            <w:tcMar>
              <w:top w:w="28" w:type="dxa"/>
              <w:left w:w="28" w:type="dxa"/>
              <w:bottom w:w="28" w:type="dxa"/>
              <w:right w:w="28" w:type="dxa"/>
            </w:tcMar>
            <w:vAlign w:val="center"/>
          </w:tcPr>
          <w:p w:rsidR="00B03B5E" w:rsidRPr="00D14CE9" w:rsidRDefault="00B03B5E" w:rsidP="003A1D14">
            <w:pPr>
              <w:jc w:val="center"/>
              <w:rPr>
                <w:b/>
                <w:sz w:val="16"/>
                <w:szCs w:val="16"/>
              </w:rPr>
            </w:pPr>
            <w:r w:rsidRPr="00D14CE9">
              <w:rPr>
                <w:b/>
                <w:sz w:val="16"/>
                <w:szCs w:val="16"/>
              </w:rPr>
              <w:t>55.8</w:t>
            </w:r>
          </w:p>
        </w:tc>
        <w:tc>
          <w:tcPr>
            <w:tcW w:w="897" w:type="pct"/>
            <w:tcMar>
              <w:top w:w="28" w:type="dxa"/>
              <w:left w:w="28" w:type="dxa"/>
              <w:bottom w:w="28" w:type="dxa"/>
              <w:right w:w="28" w:type="dxa"/>
            </w:tcMar>
            <w:vAlign w:val="center"/>
          </w:tcPr>
          <w:p w:rsidR="00B03B5E" w:rsidRPr="00D14CE9" w:rsidRDefault="00B03B5E" w:rsidP="003A1D14">
            <w:pPr>
              <w:jc w:val="center"/>
              <w:rPr>
                <w:b/>
                <w:sz w:val="16"/>
                <w:szCs w:val="16"/>
              </w:rPr>
            </w:pPr>
            <w:r w:rsidRPr="00D14CE9">
              <w:rPr>
                <w:b/>
                <w:sz w:val="16"/>
                <w:szCs w:val="16"/>
              </w:rPr>
              <w:t>87.8</w:t>
            </w:r>
          </w:p>
        </w:tc>
      </w:tr>
      <w:tr w:rsidR="00AE671A" w:rsidRPr="00D14CE9" w:rsidTr="003A1D14">
        <w:trPr>
          <w:trHeight w:val="20"/>
        </w:trPr>
        <w:tc>
          <w:tcPr>
            <w:tcW w:w="5000" w:type="pct"/>
            <w:gridSpan w:val="4"/>
            <w:noWrap/>
            <w:tcMar>
              <w:top w:w="28" w:type="dxa"/>
              <w:left w:w="28" w:type="dxa"/>
              <w:bottom w:w="28" w:type="dxa"/>
              <w:right w:w="28" w:type="dxa"/>
            </w:tcMar>
            <w:vAlign w:val="center"/>
          </w:tcPr>
          <w:p w:rsidR="00AE671A" w:rsidRPr="00D14CE9" w:rsidRDefault="00AE671A" w:rsidP="003A1D14">
            <w:pPr>
              <w:rPr>
                <w:b/>
                <w:sz w:val="16"/>
                <w:szCs w:val="16"/>
              </w:rPr>
            </w:pPr>
            <w:r w:rsidRPr="00D14CE9">
              <w:rPr>
                <w:rFonts w:cs="Calibri"/>
                <w:b/>
                <w:color w:val="000000"/>
                <w:sz w:val="16"/>
                <w:szCs w:val="16"/>
              </w:rPr>
              <w:t>Scenario 3</w:t>
            </w:r>
            <w:r w:rsidR="008E6CD0" w:rsidRPr="00D14CE9">
              <w:rPr>
                <w:rFonts w:cs="Calibri"/>
                <w:b/>
                <w:color w:val="000000"/>
                <w:sz w:val="16"/>
                <w:szCs w:val="16"/>
              </w:rPr>
              <w:t>B</w:t>
            </w:r>
          </w:p>
        </w:tc>
      </w:tr>
      <w:tr w:rsidR="00AE671A" w:rsidRPr="00D14CE9" w:rsidTr="003A1D14">
        <w:trPr>
          <w:trHeight w:val="20"/>
        </w:trPr>
        <w:tc>
          <w:tcPr>
            <w:tcW w:w="1807" w:type="pct"/>
            <w:noWrap/>
            <w:tcMar>
              <w:top w:w="28" w:type="dxa"/>
              <w:left w:w="28" w:type="dxa"/>
              <w:bottom w:w="28" w:type="dxa"/>
              <w:right w:w="28" w:type="dxa"/>
            </w:tcMar>
            <w:vAlign w:val="center"/>
          </w:tcPr>
          <w:p w:rsidR="00AE671A" w:rsidRPr="00D14CE9" w:rsidRDefault="00AE671A" w:rsidP="003A1D14">
            <w:pPr>
              <w:rPr>
                <w:rFonts w:cs="Calibri"/>
                <w:b/>
                <w:color w:val="000000"/>
                <w:sz w:val="16"/>
                <w:szCs w:val="16"/>
              </w:rPr>
            </w:pPr>
            <w:r w:rsidRPr="00D14CE9">
              <w:rPr>
                <w:rFonts w:cs="Calibri"/>
                <w:color w:val="000000"/>
                <w:sz w:val="16"/>
                <w:szCs w:val="16"/>
              </w:rPr>
              <w:t>Urban Infill LGAs</w:t>
            </w:r>
          </w:p>
        </w:tc>
        <w:tc>
          <w:tcPr>
            <w:tcW w:w="1148" w:type="pct"/>
            <w:noWrap/>
            <w:tcMar>
              <w:top w:w="28" w:type="dxa"/>
              <w:left w:w="28" w:type="dxa"/>
              <w:bottom w:w="28" w:type="dxa"/>
              <w:right w:w="28" w:type="dxa"/>
            </w:tcMar>
            <w:vAlign w:val="center"/>
          </w:tcPr>
          <w:p w:rsidR="00AE671A" w:rsidRPr="00D14CE9" w:rsidRDefault="00F260FF" w:rsidP="003A1D14">
            <w:pPr>
              <w:jc w:val="center"/>
              <w:rPr>
                <w:sz w:val="16"/>
                <w:szCs w:val="16"/>
              </w:rPr>
            </w:pPr>
            <w:r w:rsidRPr="00D14CE9">
              <w:rPr>
                <w:sz w:val="16"/>
                <w:szCs w:val="16"/>
              </w:rPr>
              <w:t>18.7</w:t>
            </w:r>
          </w:p>
        </w:tc>
        <w:tc>
          <w:tcPr>
            <w:tcW w:w="1148" w:type="pct"/>
            <w:noWrap/>
            <w:tcMar>
              <w:top w:w="28" w:type="dxa"/>
              <w:left w:w="28" w:type="dxa"/>
              <w:bottom w:w="28" w:type="dxa"/>
              <w:right w:w="28" w:type="dxa"/>
            </w:tcMar>
            <w:vAlign w:val="center"/>
          </w:tcPr>
          <w:p w:rsidR="00AE671A" w:rsidRPr="00D14CE9" w:rsidRDefault="00F260FF" w:rsidP="003A1D14">
            <w:pPr>
              <w:jc w:val="center"/>
              <w:rPr>
                <w:sz w:val="16"/>
                <w:szCs w:val="16"/>
              </w:rPr>
            </w:pPr>
            <w:r w:rsidRPr="00D14CE9">
              <w:rPr>
                <w:sz w:val="16"/>
                <w:szCs w:val="16"/>
              </w:rPr>
              <w:t>21.4</w:t>
            </w:r>
          </w:p>
        </w:tc>
        <w:tc>
          <w:tcPr>
            <w:tcW w:w="897" w:type="pct"/>
            <w:tcMar>
              <w:top w:w="28" w:type="dxa"/>
              <w:left w:w="28" w:type="dxa"/>
              <w:bottom w:w="28" w:type="dxa"/>
              <w:right w:w="28" w:type="dxa"/>
            </w:tcMar>
            <w:vAlign w:val="center"/>
          </w:tcPr>
          <w:p w:rsidR="00AE671A" w:rsidRPr="00D14CE9" w:rsidRDefault="00F260FF" w:rsidP="003A1D14">
            <w:pPr>
              <w:jc w:val="center"/>
              <w:rPr>
                <w:sz w:val="16"/>
                <w:szCs w:val="16"/>
              </w:rPr>
            </w:pPr>
            <w:r w:rsidRPr="00D14CE9">
              <w:rPr>
                <w:sz w:val="16"/>
                <w:szCs w:val="16"/>
              </w:rPr>
              <w:t>40.1</w:t>
            </w:r>
          </w:p>
        </w:tc>
      </w:tr>
      <w:tr w:rsidR="00AE671A" w:rsidRPr="00D14CE9" w:rsidTr="003A1D14">
        <w:trPr>
          <w:trHeight w:val="20"/>
        </w:trPr>
        <w:tc>
          <w:tcPr>
            <w:tcW w:w="1807" w:type="pct"/>
            <w:noWrap/>
            <w:tcMar>
              <w:top w:w="28" w:type="dxa"/>
              <w:left w:w="28" w:type="dxa"/>
              <w:bottom w:w="28" w:type="dxa"/>
              <w:right w:w="28" w:type="dxa"/>
            </w:tcMar>
            <w:vAlign w:val="center"/>
          </w:tcPr>
          <w:p w:rsidR="00AE671A" w:rsidRPr="00D14CE9" w:rsidRDefault="00AE671A" w:rsidP="003A1D14">
            <w:pPr>
              <w:rPr>
                <w:rFonts w:cs="Calibri"/>
                <w:b/>
                <w:color w:val="000000"/>
                <w:sz w:val="16"/>
                <w:szCs w:val="16"/>
              </w:rPr>
            </w:pPr>
            <w:r w:rsidRPr="00D14CE9">
              <w:rPr>
                <w:rFonts w:cs="Calibri"/>
                <w:color w:val="000000"/>
                <w:sz w:val="16"/>
                <w:szCs w:val="16"/>
              </w:rPr>
              <w:t>Urban Growth Areas LGAs</w:t>
            </w:r>
          </w:p>
        </w:tc>
        <w:tc>
          <w:tcPr>
            <w:tcW w:w="1148" w:type="pct"/>
            <w:noWrap/>
            <w:tcMar>
              <w:top w:w="28" w:type="dxa"/>
              <w:left w:w="28" w:type="dxa"/>
              <w:bottom w:w="28" w:type="dxa"/>
              <w:right w:w="28" w:type="dxa"/>
            </w:tcMar>
            <w:vAlign w:val="center"/>
          </w:tcPr>
          <w:p w:rsidR="00AE671A" w:rsidRPr="00D14CE9" w:rsidRDefault="00F260FF" w:rsidP="003A1D14">
            <w:pPr>
              <w:jc w:val="center"/>
              <w:rPr>
                <w:sz w:val="16"/>
                <w:szCs w:val="16"/>
              </w:rPr>
            </w:pPr>
            <w:r w:rsidRPr="00D14CE9">
              <w:rPr>
                <w:sz w:val="16"/>
                <w:szCs w:val="16"/>
              </w:rPr>
              <w:t>18.2</w:t>
            </w:r>
          </w:p>
        </w:tc>
        <w:tc>
          <w:tcPr>
            <w:tcW w:w="1148" w:type="pct"/>
            <w:noWrap/>
            <w:tcMar>
              <w:top w:w="28" w:type="dxa"/>
              <w:left w:w="28" w:type="dxa"/>
              <w:bottom w:w="28" w:type="dxa"/>
              <w:right w:w="28" w:type="dxa"/>
            </w:tcMar>
            <w:vAlign w:val="center"/>
          </w:tcPr>
          <w:p w:rsidR="00AE671A" w:rsidRPr="00D14CE9" w:rsidRDefault="00F260FF" w:rsidP="003A1D14">
            <w:pPr>
              <w:jc w:val="center"/>
              <w:rPr>
                <w:sz w:val="16"/>
                <w:szCs w:val="16"/>
              </w:rPr>
            </w:pPr>
            <w:r w:rsidRPr="00D14CE9">
              <w:rPr>
                <w:sz w:val="16"/>
                <w:szCs w:val="16"/>
              </w:rPr>
              <w:t>24.2</w:t>
            </w:r>
          </w:p>
        </w:tc>
        <w:tc>
          <w:tcPr>
            <w:tcW w:w="897" w:type="pct"/>
            <w:tcMar>
              <w:top w:w="28" w:type="dxa"/>
              <w:left w:w="28" w:type="dxa"/>
              <w:bottom w:w="28" w:type="dxa"/>
              <w:right w:w="28" w:type="dxa"/>
            </w:tcMar>
            <w:vAlign w:val="center"/>
          </w:tcPr>
          <w:p w:rsidR="008E6CD0" w:rsidRPr="00D14CE9" w:rsidRDefault="00F260FF" w:rsidP="003A1D14">
            <w:pPr>
              <w:jc w:val="center"/>
              <w:rPr>
                <w:sz w:val="16"/>
                <w:szCs w:val="16"/>
              </w:rPr>
            </w:pPr>
            <w:r w:rsidRPr="00D14CE9">
              <w:rPr>
                <w:sz w:val="16"/>
                <w:szCs w:val="16"/>
              </w:rPr>
              <w:t>34.7</w:t>
            </w:r>
          </w:p>
        </w:tc>
      </w:tr>
      <w:tr w:rsidR="00AE671A" w:rsidRPr="00D14CE9" w:rsidTr="003A1D14">
        <w:trPr>
          <w:trHeight w:val="20"/>
        </w:trPr>
        <w:tc>
          <w:tcPr>
            <w:tcW w:w="1807" w:type="pct"/>
            <w:noWrap/>
            <w:tcMar>
              <w:top w:w="28" w:type="dxa"/>
              <w:left w:w="28" w:type="dxa"/>
              <w:bottom w:w="28" w:type="dxa"/>
              <w:right w:w="28" w:type="dxa"/>
            </w:tcMar>
            <w:vAlign w:val="center"/>
          </w:tcPr>
          <w:p w:rsidR="00AE671A" w:rsidRPr="00D14CE9" w:rsidRDefault="00AE671A" w:rsidP="003A1D14">
            <w:pPr>
              <w:rPr>
                <w:rFonts w:cs="Calibri"/>
                <w:b/>
                <w:color w:val="000000"/>
                <w:sz w:val="16"/>
                <w:szCs w:val="16"/>
              </w:rPr>
            </w:pPr>
            <w:r w:rsidRPr="00D14CE9">
              <w:rPr>
                <w:rFonts w:cs="Calibri"/>
                <w:color w:val="000000"/>
                <w:sz w:val="16"/>
                <w:szCs w:val="16"/>
              </w:rPr>
              <w:t>Regional LGAs</w:t>
            </w:r>
          </w:p>
        </w:tc>
        <w:tc>
          <w:tcPr>
            <w:tcW w:w="1148" w:type="pct"/>
            <w:noWrap/>
            <w:tcMar>
              <w:top w:w="28" w:type="dxa"/>
              <w:left w:w="28" w:type="dxa"/>
              <w:bottom w:w="28" w:type="dxa"/>
              <w:right w:w="28" w:type="dxa"/>
            </w:tcMar>
            <w:vAlign w:val="center"/>
          </w:tcPr>
          <w:p w:rsidR="00AE671A" w:rsidRPr="00D14CE9" w:rsidRDefault="00F260FF" w:rsidP="003A1D14">
            <w:pPr>
              <w:jc w:val="center"/>
              <w:rPr>
                <w:sz w:val="16"/>
                <w:szCs w:val="16"/>
              </w:rPr>
            </w:pPr>
            <w:r w:rsidRPr="00D14CE9">
              <w:rPr>
                <w:sz w:val="16"/>
                <w:szCs w:val="16"/>
              </w:rPr>
              <w:t>8.8</w:t>
            </w:r>
          </w:p>
        </w:tc>
        <w:tc>
          <w:tcPr>
            <w:tcW w:w="1148" w:type="pct"/>
            <w:noWrap/>
            <w:tcMar>
              <w:top w:w="28" w:type="dxa"/>
              <w:left w:w="28" w:type="dxa"/>
              <w:bottom w:w="28" w:type="dxa"/>
              <w:right w:w="28" w:type="dxa"/>
            </w:tcMar>
            <w:vAlign w:val="center"/>
          </w:tcPr>
          <w:p w:rsidR="00AE671A" w:rsidRPr="00D14CE9" w:rsidRDefault="00F260FF" w:rsidP="003A1D14">
            <w:pPr>
              <w:jc w:val="center"/>
              <w:rPr>
                <w:sz w:val="16"/>
                <w:szCs w:val="16"/>
              </w:rPr>
            </w:pPr>
            <w:r w:rsidRPr="00D14CE9">
              <w:rPr>
                <w:sz w:val="16"/>
                <w:szCs w:val="16"/>
              </w:rPr>
              <w:t>10.6</w:t>
            </w:r>
          </w:p>
        </w:tc>
        <w:tc>
          <w:tcPr>
            <w:tcW w:w="897" w:type="pct"/>
            <w:tcMar>
              <w:top w:w="28" w:type="dxa"/>
              <w:left w:w="28" w:type="dxa"/>
              <w:bottom w:w="28" w:type="dxa"/>
              <w:right w:w="28" w:type="dxa"/>
            </w:tcMar>
            <w:vAlign w:val="center"/>
          </w:tcPr>
          <w:p w:rsidR="00AE671A" w:rsidRPr="00D14CE9" w:rsidRDefault="00F260FF" w:rsidP="003A1D14">
            <w:pPr>
              <w:jc w:val="center"/>
              <w:rPr>
                <w:sz w:val="16"/>
                <w:szCs w:val="16"/>
              </w:rPr>
            </w:pPr>
            <w:r w:rsidRPr="00D14CE9">
              <w:rPr>
                <w:sz w:val="16"/>
                <w:szCs w:val="16"/>
              </w:rPr>
              <w:t>17.5</w:t>
            </w:r>
          </w:p>
        </w:tc>
      </w:tr>
      <w:tr w:rsidR="00AE671A" w:rsidRPr="00D14CE9" w:rsidTr="003A1D14">
        <w:trPr>
          <w:trHeight w:val="20"/>
        </w:trPr>
        <w:tc>
          <w:tcPr>
            <w:tcW w:w="1807" w:type="pct"/>
            <w:noWrap/>
            <w:tcMar>
              <w:top w:w="28" w:type="dxa"/>
              <w:left w:w="28" w:type="dxa"/>
              <w:bottom w:w="28" w:type="dxa"/>
              <w:right w:w="28" w:type="dxa"/>
            </w:tcMar>
            <w:vAlign w:val="center"/>
          </w:tcPr>
          <w:p w:rsidR="00AE671A" w:rsidRPr="00D14CE9" w:rsidRDefault="00AE671A" w:rsidP="003A1D14">
            <w:pPr>
              <w:rPr>
                <w:rFonts w:cs="Calibri"/>
                <w:b/>
                <w:color w:val="000000"/>
                <w:sz w:val="16"/>
                <w:szCs w:val="16"/>
              </w:rPr>
            </w:pPr>
            <w:r w:rsidRPr="00D14CE9">
              <w:rPr>
                <w:rFonts w:cs="Calibri"/>
                <w:b/>
                <w:color w:val="000000"/>
                <w:sz w:val="16"/>
                <w:szCs w:val="16"/>
              </w:rPr>
              <w:t>Total Demand</w:t>
            </w:r>
          </w:p>
        </w:tc>
        <w:tc>
          <w:tcPr>
            <w:tcW w:w="1148" w:type="pct"/>
            <w:noWrap/>
            <w:tcMar>
              <w:top w:w="28" w:type="dxa"/>
              <w:left w:w="28" w:type="dxa"/>
              <w:bottom w:w="28" w:type="dxa"/>
              <w:right w:w="28" w:type="dxa"/>
            </w:tcMar>
            <w:vAlign w:val="center"/>
          </w:tcPr>
          <w:p w:rsidR="00AE671A" w:rsidRPr="00D14CE9" w:rsidRDefault="00F260FF" w:rsidP="003A1D14">
            <w:pPr>
              <w:jc w:val="center"/>
              <w:rPr>
                <w:b/>
                <w:sz w:val="16"/>
                <w:szCs w:val="16"/>
              </w:rPr>
            </w:pPr>
            <w:r w:rsidRPr="00D14CE9">
              <w:rPr>
                <w:b/>
                <w:sz w:val="16"/>
                <w:szCs w:val="16"/>
              </w:rPr>
              <w:t>45.7</w:t>
            </w:r>
          </w:p>
        </w:tc>
        <w:tc>
          <w:tcPr>
            <w:tcW w:w="1148" w:type="pct"/>
            <w:noWrap/>
            <w:tcMar>
              <w:top w:w="28" w:type="dxa"/>
              <w:left w:w="28" w:type="dxa"/>
              <w:bottom w:w="28" w:type="dxa"/>
              <w:right w:w="28" w:type="dxa"/>
            </w:tcMar>
            <w:vAlign w:val="center"/>
          </w:tcPr>
          <w:p w:rsidR="00AE671A" w:rsidRPr="00D14CE9" w:rsidRDefault="00F260FF" w:rsidP="003A1D14">
            <w:pPr>
              <w:jc w:val="center"/>
              <w:rPr>
                <w:b/>
                <w:sz w:val="16"/>
                <w:szCs w:val="16"/>
              </w:rPr>
            </w:pPr>
            <w:r w:rsidRPr="00D14CE9">
              <w:rPr>
                <w:b/>
                <w:sz w:val="16"/>
                <w:szCs w:val="16"/>
              </w:rPr>
              <w:t>56.2</w:t>
            </w:r>
          </w:p>
        </w:tc>
        <w:tc>
          <w:tcPr>
            <w:tcW w:w="897" w:type="pct"/>
            <w:tcMar>
              <w:top w:w="28" w:type="dxa"/>
              <w:left w:w="28" w:type="dxa"/>
              <w:bottom w:w="28" w:type="dxa"/>
              <w:right w:w="28" w:type="dxa"/>
            </w:tcMar>
            <w:vAlign w:val="center"/>
          </w:tcPr>
          <w:p w:rsidR="00AE671A" w:rsidRPr="00D14CE9" w:rsidRDefault="00F260FF" w:rsidP="003A1D14">
            <w:pPr>
              <w:jc w:val="center"/>
              <w:rPr>
                <w:b/>
                <w:sz w:val="16"/>
                <w:szCs w:val="16"/>
              </w:rPr>
            </w:pPr>
            <w:r w:rsidRPr="00D14CE9">
              <w:rPr>
                <w:b/>
                <w:sz w:val="16"/>
                <w:szCs w:val="16"/>
              </w:rPr>
              <w:t>92.3</w:t>
            </w:r>
          </w:p>
        </w:tc>
      </w:tr>
    </w:tbl>
    <w:p w:rsidR="00AE671A" w:rsidRPr="00D14CE9" w:rsidRDefault="00AE671A" w:rsidP="00AE671A">
      <w:pPr>
        <w:pStyle w:val="ListParagraph"/>
        <w:numPr>
          <w:ilvl w:val="0"/>
          <w:numId w:val="9"/>
        </w:numPr>
        <w:rPr>
          <w:rFonts w:ascii="EYInterstate Light" w:hAnsi="EYInterstate Light"/>
          <w:i/>
          <w:sz w:val="16"/>
          <w:szCs w:val="16"/>
        </w:rPr>
      </w:pPr>
      <w:r w:rsidRPr="00D14CE9">
        <w:rPr>
          <w:rFonts w:ascii="EYInterstate Light" w:hAnsi="EYInterstate Light"/>
          <w:i/>
          <w:sz w:val="16"/>
          <w:szCs w:val="16"/>
        </w:rPr>
        <w:t>Source: EY analysis</w:t>
      </w:r>
    </w:p>
    <w:p w:rsidR="003404A2" w:rsidRPr="00D14CE9" w:rsidRDefault="003404A2" w:rsidP="00CF11FB">
      <w:pPr>
        <w:pStyle w:val="EYBodytextwithparaspace"/>
        <w:spacing w:after="0"/>
        <w:rPr>
          <w:rFonts w:cstheme="majorHAnsi"/>
          <w:szCs w:val="20"/>
          <w:lang w:val="en-AU"/>
        </w:rPr>
      </w:pPr>
      <w:r w:rsidRPr="00D14CE9">
        <w:rPr>
          <w:rFonts w:cstheme="majorHAnsi"/>
          <w:szCs w:val="20"/>
          <w:lang w:val="en-AU"/>
        </w:rPr>
        <w:t xml:space="preserve">Conclusions in terms of adverse economic impacts of a redistribution of the growth towards </w:t>
      </w:r>
      <w:r w:rsidR="00E94FA4" w:rsidRPr="00D14CE9">
        <w:rPr>
          <w:rFonts w:cstheme="majorHAnsi"/>
          <w:szCs w:val="20"/>
          <w:lang w:val="en-AU"/>
        </w:rPr>
        <w:t>U</w:t>
      </w:r>
      <w:r w:rsidRPr="00D14CE9">
        <w:rPr>
          <w:rFonts w:cstheme="majorHAnsi"/>
          <w:szCs w:val="20"/>
          <w:lang w:val="en-AU"/>
        </w:rPr>
        <w:t xml:space="preserve">rban </w:t>
      </w:r>
      <w:r w:rsidR="00E94FA4" w:rsidRPr="00D14CE9">
        <w:rPr>
          <w:rFonts w:cstheme="majorHAnsi"/>
          <w:szCs w:val="20"/>
          <w:lang w:val="en-AU"/>
        </w:rPr>
        <w:t>G</w:t>
      </w:r>
      <w:r w:rsidRPr="00D14CE9">
        <w:rPr>
          <w:rFonts w:cstheme="majorHAnsi"/>
          <w:szCs w:val="20"/>
          <w:lang w:val="en-AU"/>
        </w:rPr>
        <w:t>rowth areas on the supply side are expected to be provided in the overall assessment developed by PwC in relation to the identification of regional gaps in the available capacity of the supply chain and the needs for extractive resources.</w:t>
      </w:r>
    </w:p>
    <w:p w:rsidR="003404A2" w:rsidRPr="00D14CE9" w:rsidRDefault="003404A2" w:rsidP="00C200D0"/>
    <w:p w:rsidR="00AB2F47" w:rsidRPr="00B86723" w:rsidRDefault="00AB2F47" w:rsidP="003637FD">
      <w:r>
        <w:br w:type="page"/>
      </w:r>
    </w:p>
    <w:p w:rsidR="005169ED" w:rsidRPr="00D14CE9" w:rsidRDefault="005169ED" w:rsidP="005169ED">
      <w:pPr>
        <w:pStyle w:val="EYHeading2"/>
      </w:pPr>
      <w:bookmarkStart w:id="636" w:name="_Toc451847090"/>
      <w:r w:rsidRPr="00D14CE9">
        <w:lastRenderedPageBreak/>
        <w:t>Overview of scenarios results</w:t>
      </w:r>
      <w:bookmarkEnd w:id="636"/>
    </w:p>
    <w:p w:rsidR="00DF0626" w:rsidRPr="00E65C9D" w:rsidRDefault="005169ED" w:rsidP="00C200D0">
      <w:pPr>
        <w:rPr>
          <w:rFonts w:cstheme="majorHAnsi"/>
          <w:kern w:val="12"/>
        </w:rPr>
      </w:pPr>
      <w:r w:rsidRPr="00D14CE9">
        <w:rPr>
          <w:rFonts w:cstheme="majorHAnsi"/>
          <w:kern w:val="12"/>
        </w:rPr>
        <w:t>The respective aggregate</w:t>
      </w:r>
      <w:r w:rsidR="00543CC4" w:rsidRPr="00D14CE9">
        <w:rPr>
          <w:rFonts w:cstheme="majorHAnsi"/>
          <w:kern w:val="12"/>
        </w:rPr>
        <w:t>d</w:t>
      </w:r>
      <w:r w:rsidRPr="00D14CE9">
        <w:rPr>
          <w:rFonts w:cstheme="majorHAnsi"/>
          <w:kern w:val="12"/>
        </w:rPr>
        <w:t xml:space="preserve"> impacts of the scenarios 1A, 2A, 3A and 3B against the Baseline demand forecast, </w:t>
      </w:r>
      <w:r w:rsidR="00543CC4" w:rsidRPr="00D14CE9">
        <w:rPr>
          <w:rFonts w:cstheme="majorHAnsi"/>
          <w:kern w:val="12"/>
        </w:rPr>
        <w:t>are</w:t>
      </w:r>
      <w:r w:rsidRPr="00D14CE9">
        <w:rPr>
          <w:rFonts w:cstheme="majorHAnsi"/>
          <w:kern w:val="12"/>
        </w:rPr>
        <w:t xml:space="preserve"> presented in below </w:t>
      </w:r>
      <w:r w:rsidR="00C46219">
        <w:rPr>
          <w:rFonts w:cstheme="majorHAnsi"/>
          <w:kern w:val="12"/>
        </w:rPr>
        <w:fldChar w:fldCharType="begin"/>
      </w:r>
      <w:r w:rsidR="00C46219">
        <w:rPr>
          <w:rFonts w:cstheme="majorHAnsi"/>
          <w:kern w:val="12"/>
        </w:rPr>
        <w:instrText xml:space="preserve"> REF _Ref444605074 \h  \* MERGEFORMAT </w:instrText>
      </w:r>
      <w:r w:rsidR="00C46219">
        <w:rPr>
          <w:rFonts w:cstheme="majorHAnsi"/>
          <w:kern w:val="12"/>
        </w:rPr>
      </w:r>
      <w:r w:rsidR="00C46219">
        <w:rPr>
          <w:rFonts w:cstheme="majorHAnsi"/>
          <w:kern w:val="12"/>
        </w:rPr>
        <w:fldChar w:fldCharType="separate"/>
      </w:r>
      <w:r w:rsidR="00525C82" w:rsidRPr="00525C82">
        <w:rPr>
          <w:rFonts w:cstheme="majorHAnsi"/>
          <w:kern w:val="12"/>
        </w:rPr>
        <w:t>Figure 28</w:t>
      </w:r>
      <w:r w:rsidR="00C46219">
        <w:rPr>
          <w:rFonts w:cstheme="majorHAnsi"/>
          <w:kern w:val="12"/>
        </w:rPr>
        <w:fldChar w:fldCharType="end"/>
      </w:r>
      <w:r w:rsidRPr="00D14CE9">
        <w:rPr>
          <w:rFonts w:cstheme="majorHAnsi"/>
          <w:kern w:val="12"/>
        </w:rPr>
        <w:t>.</w:t>
      </w:r>
    </w:p>
    <w:p w:rsidR="003404A2" w:rsidRPr="00D14CE9" w:rsidRDefault="003404A2" w:rsidP="00C200D0"/>
    <w:p w:rsidR="005169ED" w:rsidRPr="00D14CE9" w:rsidRDefault="005169ED" w:rsidP="005169ED">
      <w:pPr>
        <w:pStyle w:val="Caption"/>
        <w:rPr>
          <w:sz w:val="16"/>
        </w:rPr>
      </w:pPr>
      <w:bookmarkStart w:id="637" w:name="_Ref444605074"/>
      <w:bookmarkStart w:id="638" w:name="_Toc445240926"/>
      <w:bookmarkStart w:id="639" w:name="_Toc448914590"/>
      <w:r w:rsidRPr="00D14CE9">
        <w:rPr>
          <w:sz w:val="16"/>
          <w:szCs w:val="18"/>
        </w:rPr>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28</w:t>
      </w:r>
      <w:r w:rsidRPr="00802792">
        <w:rPr>
          <w:sz w:val="16"/>
          <w:szCs w:val="18"/>
        </w:rPr>
        <w:fldChar w:fldCharType="end"/>
      </w:r>
      <w:bookmarkEnd w:id="637"/>
      <w:r w:rsidRPr="00D14CE9">
        <w:rPr>
          <w:sz w:val="16"/>
          <w:szCs w:val="18"/>
        </w:rPr>
        <w:t xml:space="preserve"> – Scenarios analysis - Total demand for extractive resources over the period 2015-2050 – Overview of results</w:t>
      </w:r>
      <w:bookmarkEnd w:id="638"/>
      <w:bookmarkEnd w:id="639"/>
    </w:p>
    <w:p w:rsidR="005169ED" w:rsidRPr="00D14CE9" w:rsidRDefault="00C7517D" w:rsidP="00C200D0">
      <w:r w:rsidRPr="00474B05">
        <w:rPr>
          <w:noProof/>
          <w:lang w:eastAsia="en-AU"/>
        </w:rPr>
        <w:drawing>
          <wp:inline distT="0" distB="0" distL="0" distR="0" wp14:anchorId="2A2D661C" wp14:editId="2AB30389">
            <wp:extent cx="5801193" cy="2073275"/>
            <wp:effectExtent l="0" t="0" r="9525" b="3175"/>
            <wp:docPr id="2069" name="Picture 2069" descr="Figure 28 is a graph showing a comparison of the total demand under each scenario. By 2050, the most demand will occur under scenario 1A. This is followed by scenario 3B, the baseline, 3A and 2A."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7">
                      <a:extLst>
                        <a:ext uri="{28A0092B-C50C-407E-A947-70E740481C1C}">
                          <a14:useLocalDpi xmlns:a14="http://schemas.microsoft.com/office/drawing/2010/main" val="0"/>
                        </a:ext>
                      </a:extLst>
                    </a:blip>
                    <a:srcRect l="981" t="1195" r="871" b="2553"/>
                    <a:stretch/>
                  </pic:blipFill>
                  <pic:spPr bwMode="auto">
                    <a:xfrm>
                      <a:off x="0" y="0"/>
                      <a:ext cx="5803563" cy="2074122"/>
                    </a:xfrm>
                    <a:prstGeom prst="rect">
                      <a:avLst/>
                    </a:prstGeom>
                    <a:noFill/>
                    <a:ln>
                      <a:noFill/>
                    </a:ln>
                    <a:extLst>
                      <a:ext uri="{53640926-AAD7-44D8-BBD7-CCE9431645EC}">
                        <a14:shadowObscured xmlns:a14="http://schemas.microsoft.com/office/drawing/2010/main"/>
                      </a:ext>
                    </a:extLst>
                  </pic:spPr>
                </pic:pic>
              </a:graphicData>
            </a:graphic>
          </wp:inline>
        </w:drawing>
      </w:r>
    </w:p>
    <w:p w:rsidR="00C7517D" w:rsidRPr="00D14CE9" w:rsidRDefault="00C7517D" w:rsidP="00C7517D">
      <w:pPr>
        <w:pStyle w:val="ListParagraph"/>
        <w:numPr>
          <w:ilvl w:val="0"/>
          <w:numId w:val="9"/>
        </w:numPr>
        <w:rPr>
          <w:rFonts w:ascii="EYInterstate Light" w:hAnsi="EYInterstate Light"/>
          <w:i/>
          <w:sz w:val="16"/>
          <w:szCs w:val="16"/>
        </w:rPr>
      </w:pPr>
      <w:r w:rsidRPr="00D14CE9">
        <w:rPr>
          <w:rFonts w:ascii="EYInterstate Light" w:hAnsi="EYInterstate Light"/>
          <w:i/>
          <w:sz w:val="16"/>
          <w:szCs w:val="16"/>
        </w:rPr>
        <w:t>Source: EY analysis</w:t>
      </w:r>
    </w:p>
    <w:p w:rsidR="00062445" w:rsidRPr="00E65C9D" w:rsidRDefault="00861BFA" w:rsidP="00861BFA">
      <w:pPr>
        <w:pStyle w:val="CommentText"/>
        <w:rPr>
          <w:rFonts w:ascii="EYInterstate Light" w:hAnsi="EYInterstate Light"/>
          <w:highlight w:val="yellow"/>
        </w:rPr>
      </w:pPr>
      <w:r w:rsidRPr="00E65C9D">
        <w:rPr>
          <w:rFonts w:ascii="EYInterstate Light" w:hAnsi="EYInterstate Light"/>
        </w:rPr>
        <w:t>Note that f</w:t>
      </w:r>
      <w:r w:rsidR="006F27F4" w:rsidRPr="00E65C9D">
        <w:rPr>
          <w:rFonts w:ascii="EYInterstate Light" w:hAnsi="EYInterstate Light"/>
        </w:rPr>
        <w:t>rom an aggregated perspective, the proportion between rock types</w:t>
      </w:r>
      <w:r w:rsidRPr="00E65C9D">
        <w:rPr>
          <w:rFonts w:ascii="EYInterstate Light" w:hAnsi="EYInterstate Light"/>
        </w:rPr>
        <w:t xml:space="preserve"> according to the different scenarios </w:t>
      </w:r>
      <w:r w:rsidRPr="00D14CE9">
        <w:rPr>
          <w:rFonts w:ascii="EYInterstate Light" w:hAnsi="EYInterstate Light"/>
        </w:rPr>
        <w:t>analysed</w:t>
      </w:r>
      <w:r w:rsidRPr="00E65C9D">
        <w:rPr>
          <w:rFonts w:ascii="EYInterstate Light" w:hAnsi="EYInterstate Light"/>
        </w:rPr>
        <w:t xml:space="preserve"> does not materially change. </w:t>
      </w:r>
      <w:r w:rsidR="006F27F4" w:rsidRPr="00E65C9D">
        <w:rPr>
          <w:rFonts w:ascii="EYInterstate Light" w:hAnsi="EYInterstate Light"/>
        </w:rPr>
        <w:t xml:space="preserve"> </w:t>
      </w:r>
    </w:p>
    <w:p w:rsidR="00606F4A" w:rsidRDefault="00606F4A" w:rsidP="00062445">
      <w:pPr>
        <w:pStyle w:val="CommentText"/>
        <w:rPr>
          <w:rFonts w:ascii="EYInterstate Light" w:hAnsi="EYInterstate Light"/>
          <w:highlight w:val="yellow"/>
        </w:rPr>
        <w:sectPr w:rsidR="00606F4A" w:rsidSect="008525FA">
          <w:type w:val="continuous"/>
          <w:pgSz w:w="11909" w:h="16834" w:code="9"/>
          <w:pgMar w:top="1440" w:right="1440" w:bottom="1135" w:left="1440" w:header="720" w:footer="567" w:gutter="0"/>
          <w:cols w:space="720"/>
          <w:docGrid w:linePitch="360"/>
        </w:sectPr>
      </w:pPr>
    </w:p>
    <w:p w:rsidR="00062445" w:rsidRPr="00E65C9D" w:rsidRDefault="00606F4A" w:rsidP="00062445">
      <w:pPr>
        <w:pStyle w:val="CommentText"/>
        <w:rPr>
          <w:rFonts w:ascii="EYInterstate Light" w:hAnsi="EYInterstate Light"/>
          <w:highlight w:val="yellow"/>
        </w:rPr>
      </w:pPr>
      <w:r>
        <w:rPr>
          <w:noProof/>
          <w:lang w:eastAsia="en-AU"/>
        </w:rPr>
        <w:lastRenderedPageBreak/>
        <w:drawing>
          <wp:anchor distT="0" distB="0" distL="114300" distR="114300" simplePos="0" relativeHeight="251687936" behindDoc="1" locked="1" layoutInCell="1" allowOverlap="1" wp14:anchorId="309B5D90" wp14:editId="53611908">
            <wp:simplePos x="0" y="0"/>
            <wp:positionH relativeFrom="column">
              <wp:posOffset>-990600</wp:posOffset>
            </wp:positionH>
            <wp:positionV relativeFrom="paragraph">
              <wp:posOffset>-1206500</wp:posOffset>
            </wp:positionV>
            <wp:extent cx="7726680" cy="11021060"/>
            <wp:effectExtent l="0" t="0" r="7620" b="8890"/>
            <wp:wrapNone/>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7726680" cy="11021060"/>
                    </a:xfrm>
                    <a:prstGeom prst="rect">
                      <a:avLst/>
                    </a:prstGeom>
                  </pic:spPr>
                </pic:pic>
              </a:graphicData>
            </a:graphic>
            <wp14:sizeRelH relativeFrom="margin">
              <wp14:pctWidth>0</wp14:pctWidth>
            </wp14:sizeRelH>
            <wp14:sizeRelV relativeFrom="margin">
              <wp14:pctHeight>0</wp14:pctHeight>
            </wp14:sizeRelV>
          </wp:anchor>
        </w:drawing>
      </w:r>
    </w:p>
    <w:p w:rsidR="00062445" w:rsidRPr="00D14CE9" w:rsidRDefault="00606F4A" w:rsidP="00C200D0">
      <w:r>
        <w:rPr>
          <w:noProof/>
          <w:lang w:eastAsia="en-AU"/>
        </w:rPr>
        <mc:AlternateContent>
          <mc:Choice Requires="wps">
            <w:drawing>
              <wp:anchor distT="0" distB="0" distL="114300" distR="114300" simplePos="0" relativeHeight="251677696" behindDoc="0" locked="0" layoutInCell="1" allowOverlap="1" wp14:anchorId="4F0A18D4" wp14:editId="51675D73">
                <wp:simplePos x="0" y="0"/>
                <wp:positionH relativeFrom="column">
                  <wp:posOffset>-95003</wp:posOffset>
                </wp:positionH>
                <wp:positionV relativeFrom="paragraph">
                  <wp:posOffset>4984667</wp:posOffset>
                </wp:positionV>
                <wp:extent cx="6385560" cy="1555667"/>
                <wp:effectExtent l="0" t="0" r="0" b="6985"/>
                <wp:wrapNone/>
                <wp:docPr id="2167" name="Text Box 2167"/>
                <wp:cNvGraphicFramePr/>
                <a:graphic xmlns:a="http://schemas.openxmlformats.org/drawingml/2006/main">
                  <a:graphicData uri="http://schemas.microsoft.com/office/word/2010/wordprocessingShape">
                    <wps:wsp>
                      <wps:cNvSpPr txBox="1"/>
                      <wps:spPr>
                        <a:xfrm>
                          <a:off x="0" y="0"/>
                          <a:ext cx="6385560" cy="1555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754" w:rsidRDefault="003C7754" w:rsidP="00606F4A">
                            <w:pPr>
                              <w:pStyle w:val="EYCoverTitle"/>
                            </w:pPr>
                            <w:r>
                              <w:t>Broader insights for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7" o:spid="_x0000_s1034" type="#_x0000_t202" style="position:absolute;margin-left:-7.5pt;margin-top:392.5pt;width:502.8pt;height:1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mlgAIAAHAFAAAOAAAAZHJzL2Uyb0RvYy54bWysVFtP2zAUfp+0/2D5faTtaGERKepATJMQ&#10;oMHEs+vYNFri49luk+7X77OTXsT2wrSX5Pic79wvF5ddU7ONcr4iU/DxyYgzZSSVlXkp+Penmw/n&#10;nPkgTClqMqrgW+X55fz9u4vW5mpCK6pL5RiMGJ+3tuCrEGyeZV6uVCP8CVllINTkGhHwdC9Z6UQL&#10;602dTUajWdaSK60jqbwH97oX8nmyr7WS4V5rrwKrC47YQvq69F3Gbza/EPmLE3ZVySEM8Q9RNKIy&#10;cLo3dS2CYGtX/WGqqaQjTzqcSGoy0rqSKuWAbMajV9k8roRVKRcUx9t9mfz/MyvvNg+OVWXBJ+PZ&#10;GWdGNOjSk+oC+0wdS0zUqLU+B/TRAhw6SNDrWLvI92DG1DvtmvhHUgxyVHu7r3C0J8GcfTyfTmcQ&#10;ScjGU9BwCjvZQd06H74oalgkCu7QwlRZsbn1oYfuINGboZuqrsEXeW1YG11MR0lhL4Hx2kSASgMx&#10;mDmEnqiwrVVv5JvSKEjKIDLSKKqr2rGNwBAJKZUJKflkF+iI0gjiLYoD/hDVW5T7PHaeyYS9clMZ&#10;cin7V2GXP3Yh6x6Pmh/lHcnQLbs0Cee7zi6p3KLhjvq18VbeVGjKrfDhQTjsCRqJ3Q/3+OiaUHwa&#10;KM5W5H79jR/xGF9IOWuxdwX3P9fCKc7qrwaD/Wl8ehoXNT1Op2cTPNyxZHksMevmitCVMa6MlYmM&#10;+FDvSO2oecaJWESvEAkj4bvgYUdehf4a4MRItVgkEFbTinBrHq2MpmOT4sg9dc/C2WEuA0b6jnYb&#10;KvJX49ljo6ahxTqQrtLsxjr3VR3qj7VO0z+coHg3jt8JdTiU898AAAD//wMAUEsDBBQABgAIAAAA&#10;IQDZ8WCd4wAAAAwBAAAPAAAAZHJzL2Rvd25yZXYueG1sTI/BTsMwDIbvSLxDZCRuW7Khja40naZK&#10;ExKCw8Yu3NzGaysapzTZVnh6shPcbPnT7+/P1qPtxJkG3zrWMJsqEMSVMy3XGg7v20kCwgdkg51j&#10;0vBNHtb57U2GqXEX3tF5H2oRQ9inqKEJoU+l9FVDFv3U9cTxdnSDxRDXoZZmwEsMt52cK7WUFluO&#10;HxrsqWio+tyfrIaXYvuGu3Juk5+ueH49bvqvw8dC6/u7cfMEItAY/mC46kd1yKNT6U5svOg0TGaL&#10;2CVoeEyuQyRWK7UEUUZUPSgFMs/k/xL5LwAAAP//AwBQSwECLQAUAAYACAAAACEAtoM4kv4AAADh&#10;AQAAEwAAAAAAAAAAAAAAAAAAAAAAW0NvbnRlbnRfVHlwZXNdLnhtbFBLAQItABQABgAIAAAAIQA4&#10;/SH/1gAAAJQBAAALAAAAAAAAAAAAAAAAAC8BAABfcmVscy8ucmVsc1BLAQItABQABgAIAAAAIQCn&#10;KsmlgAIAAHAFAAAOAAAAAAAAAAAAAAAAAC4CAABkcnMvZTJvRG9jLnhtbFBLAQItABQABgAIAAAA&#10;IQDZ8WCd4wAAAAwBAAAPAAAAAAAAAAAAAAAAANoEAABkcnMvZG93bnJldi54bWxQSwUGAAAAAAQA&#10;BADzAAAA6gUAAAAA&#10;" filled="f" stroked="f" strokeweight=".5pt">
                <v:textbox>
                  <w:txbxContent>
                    <w:p w:rsidR="003C7754" w:rsidRDefault="003C7754" w:rsidP="00606F4A">
                      <w:pPr>
                        <w:pStyle w:val="EYCoverTitle"/>
                      </w:pPr>
                      <w:r>
                        <w:t>Broader insights for Government</w:t>
                      </w:r>
                    </w:p>
                  </w:txbxContent>
                </v:textbox>
              </v:shape>
            </w:pict>
          </mc:Fallback>
        </mc:AlternateContent>
      </w:r>
    </w:p>
    <w:p w:rsidR="003404A2" w:rsidRPr="00D14CE9" w:rsidRDefault="003404A2" w:rsidP="00C200D0">
      <w:pPr>
        <w:pStyle w:val="EYHeading1"/>
      </w:pPr>
      <w:bookmarkStart w:id="640" w:name="_Toc441435315"/>
      <w:bookmarkStart w:id="641" w:name="_Toc441435316"/>
      <w:bookmarkStart w:id="642" w:name="_Toc441435317"/>
      <w:bookmarkStart w:id="643" w:name="_Toc441435318"/>
      <w:bookmarkStart w:id="644" w:name="_Toc441435319"/>
      <w:bookmarkStart w:id="645" w:name="_Toc441435320"/>
      <w:bookmarkStart w:id="646" w:name="_Ref441684273"/>
      <w:bookmarkStart w:id="647" w:name="_Toc451847091"/>
      <w:bookmarkEnd w:id="640"/>
      <w:bookmarkEnd w:id="641"/>
      <w:bookmarkEnd w:id="642"/>
      <w:bookmarkEnd w:id="643"/>
      <w:bookmarkEnd w:id="644"/>
      <w:r w:rsidRPr="00D14CE9">
        <w:lastRenderedPageBreak/>
        <w:t xml:space="preserve">Broader </w:t>
      </w:r>
      <w:r w:rsidR="00FD491B" w:rsidRPr="00D14CE9">
        <w:t>i</w:t>
      </w:r>
      <w:r w:rsidRPr="00D14CE9">
        <w:t xml:space="preserve">nsights for </w:t>
      </w:r>
      <w:r w:rsidR="00FD491B" w:rsidRPr="00D14CE9">
        <w:t>G</w:t>
      </w:r>
      <w:r w:rsidRPr="00D14CE9">
        <w:t>overnment</w:t>
      </w:r>
      <w:bookmarkEnd w:id="645"/>
      <w:bookmarkEnd w:id="646"/>
      <w:bookmarkEnd w:id="647"/>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Discussions with construction stakeholders during the consultation process, outlined in </w:t>
      </w:r>
      <w:r w:rsidRPr="00474B05">
        <w:rPr>
          <w:rFonts w:cstheme="majorHAnsi"/>
          <w:szCs w:val="20"/>
          <w:lang w:val="en-AU"/>
        </w:rPr>
        <w:fldChar w:fldCharType="begin" w:fldLock="1"/>
      </w:r>
      <w:r w:rsidRPr="00D14CE9">
        <w:rPr>
          <w:rFonts w:cstheme="majorHAnsi"/>
          <w:szCs w:val="20"/>
          <w:lang w:val="en-AU"/>
        </w:rPr>
        <w:instrText xml:space="preserve"> REF _Ref441151477 \r \h  \* MERGEFORMAT </w:instrText>
      </w:r>
      <w:r w:rsidRPr="00474B05">
        <w:rPr>
          <w:rFonts w:cstheme="majorHAnsi"/>
          <w:szCs w:val="20"/>
          <w:lang w:val="en-AU"/>
        </w:rPr>
      </w:r>
      <w:r w:rsidRPr="00474B05">
        <w:rPr>
          <w:rFonts w:cstheme="majorHAnsi"/>
          <w:szCs w:val="20"/>
          <w:lang w:val="en-AU"/>
        </w:rPr>
        <w:fldChar w:fldCharType="separate"/>
      </w:r>
      <w:r w:rsidR="00895089">
        <w:rPr>
          <w:rFonts w:cstheme="majorHAnsi"/>
          <w:szCs w:val="20"/>
          <w:lang w:val="en-AU"/>
        </w:rPr>
        <w:t>Appendix D</w:t>
      </w:r>
      <w:r w:rsidRPr="00474B05">
        <w:rPr>
          <w:rFonts w:cstheme="majorHAnsi"/>
          <w:szCs w:val="20"/>
          <w:lang w:val="en-AU"/>
        </w:rPr>
        <w:fldChar w:fldCharType="end"/>
      </w:r>
      <w:r w:rsidRPr="00D14CE9">
        <w:rPr>
          <w:rFonts w:cstheme="majorHAnsi"/>
          <w:szCs w:val="20"/>
          <w:lang w:val="en-AU"/>
        </w:rPr>
        <w:t xml:space="preserve"> and </w:t>
      </w:r>
      <w:r w:rsidRPr="00474B05">
        <w:rPr>
          <w:rFonts w:cstheme="majorHAnsi"/>
          <w:szCs w:val="20"/>
          <w:lang w:val="en-AU"/>
        </w:rPr>
        <w:fldChar w:fldCharType="begin" w:fldLock="1"/>
      </w:r>
      <w:r w:rsidRPr="00D14CE9">
        <w:rPr>
          <w:rFonts w:cstheme="majorHAnsi"/>
          <w:szCs w:val="20"/>
          <w:lang w:val="en-AU"/>
        </w:rPr>
        <w:instrText xml:space="preserve"> REF _Ref441151496 \r \h  \* MERGEFORMAT </w:instrText>
      </w:r>
      <w:r w:rsidRPr="00474B05">
        <w:rPr>
          <w:rFonts w:cstheme="majorHAnsi"/>
          <w:szCs w:val="20"/>
          <w:lang w:val="en-AU"/>
        </w:rPr>
      </w:r>
      <w:r w:rsidRPr="00474B05">
        <w:rPr>
          <w:rFonts w:cstheme="majorHAnsi"/>
          <w:szCs w:val="20"/>
          <w:lang w:val="en-AU"/>
        </w:rPr>
        <w:fldChar w:fldCharType="separate"/>
      </w:r>
      <w:r w:rsidR="00895089">
        <w:rPr>
          <w:rFonts w:cstheme="majorHAnsi"/>
          <w:szCs w:val="20"/>
          <w:lang w:val="en-AU"/>
        </w:rPr>
        <w:t>Appendix E</w:t>
      </w:r>
      <w:r w:rsidRPr="00474B05">
        <w:rPr>
          <w:rFonts w:cstheme="majorHAnsi"/>
          <w:szCs w:val="20"/>
          <w:lang w:val="en-AU"/>
        </w:rPr>
        <w:fldChar w:fldCharType="end"/>
      </w:r>
      <w:r w:rsidRPr="00D14CE9">
        <w:rPr>
          <w:rFonts w:cstheme="majorHAnsi"/>
          <w:szCs w:val="20"/>
          <w:lang w:val="en-AU"/>
        </w:rPr>
        <w:t xml:space="preserve"> of the Report, as well as discussions with AECOM provided key insights in relation to current and projected trends with respect to the uses of recycled materials, outlined in Section </w:t>
      </w:r>
      <w:r w:rsidR="002056F0" w:rsidRPr="00474B05">
        <w:rPr>
          <w:rFonts w:cstheme="majorHAnsi"/>
          <w:szCs w:val="20"/>
          <w:lang w:val="en-AU"/>
        </w:rPr>
        <w:fldChar w:fldCharType="begin" w:fldLock="1"/>
      </w:r>
      <w:r w:rsidR="002056F0" w:rsidRPr="00D14CE9">
        <w:rPr>
          <w:rFonts w:cstheme="majorHAnsi"/>
          <w:szCs w:val="20"/>
          <w:lang w:val="en-AU"/>
        </w:rPr>
        <w:instrText xml:space="preserve"> REF _Ref442112967 \r \h </w:instrText>
      </w:r>
      <w:r w:rsidR="002056F0" w:rsidRPr="00474B05">
        <w:rPr>
          <w:rFonts w:cstheme="majorHAnsi"/>
          <w:szCs w:val="20"/>
          <w:lang w:val="en-AU"/>
        </w:rPr>
      </w:r>
      <w:r w:rsidR="002056F0" w:rsidRPr="00474B05">
        <w:rPr>
          <w:rFonts w:cstheme="majorHAnsi"/>
          <w:szCs w:val="20"/>
          <w:lang w:val="en-AU"/>
        </w:rPr>
        <w:fldChar w:fldCharType="separate"/>
      </w:r>
      <w:r w:rsidR="00895089">
        <w:rPr>
          <w:rFonts w:cstheme="majorHAnsi"/>
          <w:szCs w:val="20"/>
          <w:lang w:val="en-AU"/>
        </w:rPr>
        <w:t>2</w:t>
      </w:r>
      <w:r w:rsidR="002056F0" w:rsidRPr="00474B05">
        <w:rPr>
          <w:rFonts w:cstheme="majorHAnsi"/>
          <w:szCs w:val="20"/>
          <w:lang w:val="en-AU"/>
        </w:rPr>
        <w:fldChar w:fldCharType="end"/>
      </w:r>
      <w:r w:rsidRPr="00D14CE9">
        <w:rPr>
          <w:rFonts w:cstheme="majorHAnsi"/>
          <w:szCs w:val="20"/>
          <w:lang w:val="en-AU"/>
        </w:rPr>
        <w:t xml:space="preserve"> of the Report. </w:t>
      </w:r>
    </w:p>
    <w:p w:rsidR="003404A2" w:rsidRPr="00D14CE9" w:rsidRDefault="003404A2" w:rsidP="00C200D0">
      <w:pPr>
        <w:pStyle w:val="EYBodytextwithparaspace"/>
        <w:rPr>
          <w:rFonts w:cstheme="majorHAnsi"/>
          <w:szCs w:val="20"/>
          <w:lang w:val="en-AU"/>
        </w:rPr>
      </w:pPr>
      <w:r w:rsidRPr="00D14CE9">
        <w:rPr>
          <w:rFonts w:cstheme="majorHAnsi"/>
          <w:szCs w:val="20"/>
          <w:lang w:val="en-AU"/>
        </w:rPr>
        <w:t>Additional insights that could be relevant to the DEDJTR in terms of factors that could affect the demand for extractive resources in Victoria are described as follows:</w:t>
      </w:r>
    </w:p>
    <w:p w:rsidR="003404A2" w:rsidRPr="00D14CE9" w:rsidRDefault="003404A2" w:rsidP="00C578F0">
      <w:pPr>
        <w:pStyle w:val="EYBodytextwithparaspace"/>
        <w:spacing w:after="120"/>
        <w:rPr>
          <w:rFonts w:cstheme="majorHAnsi"/>
          <w:b/>
          <w:szCs w:val="20"/>
          <w:lang w:val="en-AU"/>
        </w:rPr>
      </w:pPr>
      <w:r w:rsidRPr="00D14CE9">
        <w:rPr>
          <w:rFonts w:cstheme="majorHAnsi"/>
          <w:b/>
          <w:szCs w:val="20"/>
          <w:lang w:val="en-AU"/>
        </w:rPr>
        <w:t>Trend to importing products</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It has been reported that most façade related products (impacting on the quantity of (glass) sand extracted in Victoria) are currently procured outside of Australia. This trend may be more and more applicable to finished products as well, such as precast materials. </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Discussion with Boral also indicated that clinker, which is a raw material used to produce cement, is imported by Boral from China while the manufacturing process of cement is undertaken in Australia. As indicated in AECOM’s report, the main assumption in relation to cement was that this commodity product was composed of lime (65%), fine sand (25%) and clay (10%), all being extracted in Victoria. Information from Boral, if applicable to other manufacturers of commodity products, may have an impact of the quantities of extractive resources required in Victoria to produce cement. </w:t>
      </w:r>
    </w:p>
    <w:p w:rsidR="003404A2" w:rsidRPr="00D14CE9" w:rsidRDefault="003404A2" w:rsidP="00C578F0">
      <w:pPr>
        <w:pStyle w:val="EYBodytextwithparaspace"/>
        <w:spacing w:after="120"/>
        <w:rPr>
          <w:rFonts w:cstheme="majorHAnsi"/>
          <w:b/>
          <w:szCs w:val="20"/>
          <w:lang w:val="en-AU"/>
        </w:rPr>
      </w:pPr>
      <w:r w:rsidRPr="00D14CE9">
        <w:rPr>
          <w:rFonts w:cstheme="majorHAnsi"/>
          <w:b/>
          <w:szCs w:val="20"/>
          <w:lang w:val="en-AU"/>
        </w:rPr>
        <w:t>Energy and Utilities construction activity</w:t>
      </w:r>
    </w:p>
    <w:p w:rsidR="007E5987" w:rsidRDefault="007E5987" w:rsidP="00C200D0">
      <w:pPr>
        <w:pStyle w:val="EYBodytextwithparaspace"/>
        <w:rPr>
          <w:rFonts w:cstheme="majorHAnsi"/>
          <w:szCs w:val="20"/>
          <w:lang w:val="en-AU"/>
        </w:rPr>
      </w:pPr>
      <w:r>
        <w:rPr>
          <w:rFonts w:cstheme="majorHAnsi"/>
          <w:szCs w:val="20"/>
          <w:lang w:val="en-AU"/>
        </w:rPr>
        <w:t xml:space="preserve">Further discussion with the DEDJTR’s technical advisor indicated that the </w:t>
      </w:r>
      <w:r w:rsidR="003404A2" w:rsidRPr="00D14CE9">
        <w:rPr>
          <w:rFonts w:cstheme="majorHAnsi"/>
          <w:szCs w:val="20"/>
          <w:lang w:val="en-AU"/>
        </w:rPr>
        <w:t xml:space="preserve">Energy and </w:t>
      </w:r>
      <w:r>
        <w:rPr>
          <w:rFonts w:cstheme="majorHAnsi"/>
          <w:szCs w:val="20"/>
          <w:lang w:val="en-AU"/>
        </w:rPr>
        <w:t>U</w:t>
      </w:r>
      <w:r w:rsidR="003404A2" w:rsidRPr="00D14CE9">
        <w:rPr>
          <w:rFonts w:cstheme="majorHAnsi"/>
          <w:szCs w:val="20"/>
          <w:lang w:val="en-AU"/>
        </w:rPr>
        <w:t xml:space="preserve">tilities </w:t>
      </w:r>
      <w:r>
        <w:rPr>
          <w:rFonts w:cstheme="majorHAnsi"/>
          <w:szCs w:val="20"/>
          <w:lang w:val="en-AU"/>
        </w:rPr>
        <w:t xml:space="preserve">sector </w:t>
      </w:r>
      <w:r w:rsidR="003404A2" w:rsidRPr="00D14CE9">
        <w:rPr>
          <w:rFonts w:cstheme="majorHAnsi"/>
          <w:szCs w:val="20"/>
          <w:lang w:val="en-AU"/>
        </w:rPr>
        <w:t xml:space="preserve">may be a construction sector in decline with respect to the new builds as major infrastructure projects have been procured and built over the last decade in relation to power and water related infrastructures. </w:t>
      </w:r>
      <w:r w:rsidR="00A647C2">
        <w:rPr>
          <w:rFonts w:cstheme="majorHAnsi"/>
          <w:szCs w:val="20"/>
          <w:lang w:val="en-AU"/>
        </w:rPr>
        <w:t>And while w</w:t>
      </w:r>
      <w:r w:rsidRPr="00D14CE9">
        <w:rPr>
          <w:rFonts w:cstheme="majorHAnsi"/>
          <w:szCs w:val="20"/>
          <w:lang w:val="en-AU"/>
        </w:rPr>
        <w:t xml:space="preserve">ind farm projects seem to be currently driving the sector, </w:t>
      </w:r>
      <w:r w:rsidR="00A647C2">
        <w:rPr>
          <w:rFonts w:cstheme="majorHAnsi"/>
          <w:szCs w:val="20"/>
          <w:lang w:val="en-AU"/>
        </w:rPr>
        <w:t xml:space="preserve">this is </w:t>
      </w:r>
      <w:r w:rsidRPr="00D14CE9">
        <w:rPr>
          <w:rFonts w:cstheme="majorHAnsi"/>
          <w:szCs w:val="20"/>
          <w:lang w:val="en-AU"/>
        </w:rPr>
        <w:t xml:space="preserve">for an expected short span of a few years only. </w:t>
      </w:r>
      <w:r w:rsidR="00A647C2">
        <w:rPr>
          <w:rFonts w:cstheme="majorHAnsi"/>
          <w:szCs w:val="20"/>
          <w:lang w:val="en-AU"/>
        </w:rPr>
        <w:t>Current expectations are that</w:t>
      </w:r>
      <w:r>
        <w:rPr>
          <w:rFonts w:cstheme="majorHAnsi"/>
          <w:szCs w:val="20"/>
          <w:lang w:val="en-AU"/>
        </w:rPr>
        <w:t>, i</w:t>
      </w:r>
      <w:r w:rsidRPr="00D14CE9">
        <w:rPr>
          <w:rFonts w:cstheme="majorHAnsi"/>
          <w:szCs w:val="20"/>
          <w:lang w:val="en-AU"/>
        </w:rPr>
        <w:t xml:space="preserve">n the next 10 to 20 years, the sector may only focus on improving efficiencies of existing infrastructure rather than building new </w:t>
      </w:r>
      <w:r w:rsidR="00A647C2">
        <w:rPr>
          <w:rFonts w:cstheme="majorHAnsi"/>
          <w:szCs w:val="20"/>
          <w:lang w:val="en-AU"/>
        </w:rPr>
        <w:t xml:space="preserve">power </w:t>
      </w:r>
      <w:r w:rsidRPr="00D14CE9">
        <w:rPr>
          <w:rFonts w:cstheme="majorHAnsi"/>
          <w:szCs w:val="20"/>
          <w:lang w:val="en-AU"/>
        </w:rPr>
        <w:t>stations.</w:t>
      </w:r>
      <w:r>
        <w:rPr>
          <w:rFonts w:cstheme="majorHAnsi"/>
          <w:szCs w:val="20"/>
          <w:lang w:val="en-AU"/>
        </w:rPr>
        <w:t xml:space="preserve"> </w:t>
      </w:r>
    </w:p>
    <w:p w:rsidR="00D116FD" w:rsidRDefault="00A647C2" w:rsidP="00C200D0">
      <w:pPr>
        <w:pStyle w:val="EYBodytextwithparaspace"/>
        <w:rPr>
          <w:rFonts w:cstheme="majorHAnsi"/>
          <w:szCs w:val="20"/>
          <w:lang w:val="en-AU"/>
        </w:rPr>
      </w:pPr>
      <w:r>
        <w:rPr>
          <w:rFonts w:cstheme="majorHAnsi"/>
          <w:szCs w:val="20"/>
          <w:lang w:val="en-AU"/>
        </w:rPr>
        <w:t xml:space="preserve">The Victorian Government discussion paper, </w:t>
      </w:r>
      <w:r w:rsidR="00290D84" w:rsidRPr="002A1D72">
        <w:rPr>
          <w:rFonts w:cstheme="majorHAnsi"/>
          <w:i/>
          <w:szCs w:val="20"/>
          <w:lang w:val="en-AU"/>
        </w:rPr>
        <w:t>Water for Victoria</w:t>
      </w:r>
      <w:r>
        <w:rPr>
          <w:rFonts w:cstheme="majorHAnsi"/>
          <w:szCs w:val="20"/>
          <w:lang w:val="en-AU"/>
        </w:rPr>
        <w:t>, which was</w:t>
      </w:r>
      <w:r w:rsidR="00801505">
        <w:rPr>
          <w:rFonts w:cstheme="majorHAnsi"/>
          <w:szCs w:val="20"/>
          <w:lang w:val="en-AU"/>
        </w:rPr>
        <w:t xml:space="preserve"> </w:t>
      </w:r>
      <w:r w:rsidR="00290D84">
        <w:rPr>
          <w:rFonts w:cstheme="majorHAnsi"/>
          <w:szCs w:val="20"/>
          <w:lang w:val="en-AU"/>
        </w:rPr>
        <w:t xml:space="preserve">released in </w:t>
      </w:r>
      <w:r>
        <w:rPr>
          <w:rFonts w:cstheme="majorHAnsi"/>
          <w:szCs w:val="20"/>
          <w:lang w:val="en-AU"/>
        </w:rPr>
        <w:t xml:space="preserve">early </w:t>
      </w:r>
      <w:r w:rsidR="00290D84">
        <w:rPr>
          <w:rFonts w:cstheme="majorHAnsi"/>
          <w:szCs w:val="20"/>
          <w:lang w:val="en-AU"/>
        </w:rPr>
        <w:t>2016</w:t>
      </w:r>
      <w:r>
        <w:rPr>
          <w:rFonts w:cstheme="majorHAnsi"/>
          <w:szCs w:val="20"/>
          <w:lang w:val="en-AU"/>
        </w:rPr>
        <w:t>,</w:t>
      </w:r>
      <w:r w:rsidR="00290D84">
        <w:rPr>
          <w:rFonts w:cstheme="majorHAnsi"/>
          <w:szCs w:val="20"/>
          <w:lang w:val="en-AU"/>
        </w:rPr>
        <w:t xml:space="preserve"> indicates that the Government is exploring opportunities to improve </w:t>
      </w:r>
      <w:r w:rsidR="00463105">
        <w:rPr>
          <w:rFonts w:cstheme="majorHAnsi"/>
          <w:szCs w:val="20"/>
          <w:lang w:val="en-AU"/>
        </w:rPr>
        <w:t xml:space="preserve">and augment </w:t>
      </w:r>
      <w:r w:rsidR="00290D84">
        <w:rPr>
          <w:rFonts w:cstheme="majorHAnsi"/>
          <w:szCs w:val="20"/>
          <w:lang w:val="en-AU"/>
        </w:rPr>
        <w:t>the Victorian water grid</w:t>
      </w:r>
      <w:r w:rsidR="008C247F">
        <w:rPr>
          <w:rFonts w:cstheme="majorHAnsi"/>
          <w:szCs w:val="20"/>
          <w:lang w:val="en-AU"/>
        </w:rPr>
        <w:t xml:space="preserve"> (e.g. pipeline projects</w:t>
      </w:r>
      <w:r w:rsidR="00463105">
        <w:rPr>
          <w:rFonts w:cstheme="majorHAnsi"/>
          <w:szCs w:val="20"/>
          <w:lang w:val="en-AU"/>
        </w:rPr>
        <w:t>.</w:t>
      </w:r>
      <w:r w:rsidR="00D116FD">
        <w:rPr>
          <w:rFonts w:cstheme="majorHAnsi"/>
          <w:szCs w:val="20"/>
          <w:lang w:val="en-AU"/>
        </w:rPr>
        <w:t xml:space="preserve"> In that respect, the following observations should be noted in relation to the baseline demand projections:</w:t>
      </w:r>
    </w:p>
    <w:p w:rsidR="00D116FD" w:rsidRDefault="00D116FD" w:rsidP="003637FD">
      <w:pPr>
        <w:pStyle w:val="EYBulletedList1"/>
        <w:spacing w:after="160"/>
        <w:rPr>
          <w:rFonts w:cstheme="majorHAnsi"/>
          <w:szCs w:val="20"/>
          <w:lang w:val="en-AU"/>
        </w:rPr>
      </w:pPr>
      <w:r>
        <w:rPr>
          <w:rFonts w:cstheme="majorHAnsi"/>
          <w:szCs w:val="20"/>
          <w:lang w:val="en-AU"/>
        </w:rPr>
        <w:t>The macro-economic driven forecast demand has been developed using the forecast of construction activities from 2015 to 2050, based on historic trends. It therefore</w:t>
      </w:r>
      <w:r w:rsidR="002653CB">
        <w:rPr>
          <w:rFonts w:cstheme="majorHAnsi"/>
          <w:szCs w:val="20"/>
          <w:lang w:val="en-AU"/>
        </w:rPr>
        <w:t xml:space="preserve"> largely reflects the recent</w:t>
      </w:r>
      <w:r>
        <w:rPr>
          <w:rFonts w:cstheme="majorHAnsi"/>
          <w:szCs w:val="20"/>
          <w:lang w:val="en-AU"/>
        </w:rPr>
        <w:t xml:space="preserve"> peak in </w:t>
      </w:r>
      <w:r w:rsidR="002653CB">
        <w:rPr>
          <w:rFonts w:cstheme="majorHAnsi"/>
          <w:szCs w:val="20"/>
          <w:lang w:val="en-AU"/>
        </w:rPr>
        <w:t>the construction of water infrastructure given the effect it had on the long term average spend in the sector (</w:t>
      </w:r>
      <w:r w:rsidR="002653CB" w:rsidRPr="00073199">
        <w:rPr>
          <w:rFonts w:cstheme="majorHAnsi"/>
          <w:szCs w:val="20"/>
          <w:lang w:val="en-AU"/>
        </w:rPr>
        <w:t xml:space="preserve">see </w:t>
      </w:r>
      <w:r w:rsidR="00073199" w:rsidRPr="00073199">
        <w:rPr>
          <w:rFonts w:cstheme="majorHAnsi"/>
          <w:szCs w:val="20"/>
          <w:lang w:val="en-AU"/>
        </w:rPr>
        <w:fldChar w:fldCharType="begin"/>
      </w:r>
      <w:r w:rsidR="00073199" w:rsidRPr="00073199">
        <w:rPr>
          <w:rFonts w:cstheme="majorHAnsi"/>
          <w:szCs w:val="20"/>
          <w:lang w:val="en-AU"/>
        </w:rPr>
        <w:instrText xml:space="preserve"> REF _Ref448827684 \h </w:instrText>
      </w:r>
      <w:r w:rsidR="00073199">
        <w:rPr>
          <w:rFonts w:cstheme="majorHAnsi"/>
          <w:szCs w:val="20"/>
          <w:lang w:val="en-AU"/>
        </w:rPr>
        <w:instrText xml:space="preserve"> \* MERGEFORMAT </w:instrText>
      </w:r>
      <w:r w:rsidR="00073199" w:rsidRPr="00073199">
        <w:rPr>
          <w:rFonts w:cstheme="majorHAnsi"/>
          <w:szCs w:val="20"/>
          <w:lang w:val="en-AU"/>
        </w:rPr>
      </w:r>
      <w:r w:rsidR="00073199" w:rsidRPr="00073199">
        <w:rPr>
          <w:rFonts w:cstheme="majorHAnsi"/>
          <w:szCs w:val="20"/>
          <w:lang w:val="en-AU"/>
        </w:rPr>
        <w:fldChar w:fldCharType="separate"/>
      </w:r>
      <w:r w:rsidR="00525C82" w:rsidRPr="00525C82">
        <w:rPr>
          <w:rFonts w:cstheme="majorHAnsi"/>
          <w:szCs w:val="20"/>
          <w:lang w:val="en-AU"/>
        </w:rPr>
        <w:t>Figure 9</w:t>
      </w:r>
      <w:r w:rsidR="00073199" w:rsidRPr="00073199">
        <w:rPr>
          <w:rFonts w:cstheme="majorHAnsi"/>
          <w:szCs w:val="20"/>
          <w:lang w:val="en-AU"/>
        </w:rPr>
        <w:fldChar w:fldCharType="end"/>
      </w:r>
      <w:r w:rsidR="00073199">
        <w:rPr>
          <w:rFonts w:cstheme="majorHAnsi"/>
          <w:szCs w:val="20"/>
          <w:lang w:val="en-AU"/>
        </w:rPr>
        <w:t>)</w:t>
      </w:r>
      <w:r>
        <w:rPr>
          <w:rFonts w:cstheme="majorHAnsi"/>
          <w:szCs w:val="20"/>
          <w:lang w:val="en-AU"/>
        </w:rPr>
        <w:t xml:space="preserve">. As a result, while major water infrastructure projects have not been specifically </w:t>
      </w:r>
      <w:r w:rsidR="00073199">
        <w:rPr>
          <w:rFonts w:cstheme="majorHAnsi"/>
          <w:szCs w:val="20"/>
          <w:lang w:val="en-AU"/>
        </w:rPr>
        <w:t>modelled</w:t>
      </w:r>
      <w:r>
        <w:rPr>
          <w:rFonts w:cstheme="majorHAnsi"/>
          <w:szCs w:val="20"/>
          <w:lang w:val="en-AU"/>
        </w:rPr>
        <w:t xml:space="preserve"> in the baseline demand projections,</w:t>
      </w:r>
      <w:r w:rsidR="00073199">
        <w:rPr>
          <w:rFonts w:cstheme="majorHAnsi"/>
          <w:szCs w:val="20"/>
          <w:lang w:val="en-AU"/>
        </w:rPr>
        <w:t xml:space="preserve"> by reflecting recent trends,</w:t>
      </w:r>
      <w:r>
        <w:rPr>
          <w:rFonts w:cstheme="majorHAnsi"/>
          <w:szCs w:val="20"/>
          <w:lang w:val="en-AU"/>
        </w:rPr>
        <w:t xml:space="preserve"> </w:t>
      </w:r>
      <w:r w:rsidR="00073199">
        <w:rPr>
          <w:rFonts w:cstheme="majorHAnsi"/>
          <w:szCs w:val="20"/>
          <w:lang w:val="en-AU"/>
        </w:rPr>
        <w:t>a level of ongoing</w:t>
      </w:r>
      <w:r>
        <w:rPr>
          <w:rFonts w:cstheme="majorHAnsi"/>
          <w:szCs w:val="20"/>
          <w:lang w:val="en-AU"/>
        </w:rPr>
        <w:t xml:space="preserve"> construction in this sector </w:t>
      </w:r>
      <w:r w:rsidR="00073199">
        <w:rPr>
          <w:rFonts w:cstheme="majorHAnsi"/>
          <w:szCs w:val="20"/>
          <w:lang w:val="en-AU"/>
        </w:rPr>
        <w:t>has been</w:t>
      </w:r>
      <w:r>
        <w:rPr>
          <w:rFonts w:cstheme="majorHAnsi"/>
          <w:szCs w:val="20"/>
          <w:lang w:val="en-AU"/>
        </w:rPr>
        <w:t xml:space="preserve"> factored in the forecast demand for extractive resources</w:t>
      </w:r>
      <w:r w:rsidR="00073199">
        <w:rPr>
          <w:rFonts w:cstheme="majorHAnsi"/>
          <w:szCs w:val="20"/>
          <w:lang w:val="en-AU"/>
        </w:rPr>
        <w:t>. This gives confidence that any significant changes in the Government’s investment program would not require a material upwards revision to the current demand projections</w:t>
      </w:r>
      <w:r w:rsidR="000107C7">
        <w:rPr>
          <w:rFonts w:cstheme="majorHAnsi"/>
          <w:szCs w:val="20"/>
          <w:lang w:val="en-AU"/>
        </w:rPr>
        <w:t xml:space="preserve">. </w:t>
      </w:r>
    </w:p>
    <w:p w:rsidR="00073199" w:rsidRDefault="000107C7" w:rsidP="003637FD">
      <w:pPr>
        <w:pStyle w:val="EYBulletedList1"/>
        <w:spacing w:after="160"/>
        <w:rPr>
          <w:rFonts w:cstheme="majorHAnsi"/>
          <w:szCs w:val="20"/>
          <w:lang w:val="en-AU"/>
        </w:rPr>
      </w:pPr>
      <w:r>
        <w:rPr>
          <w:rFonts w:cstheme="majorHAnsi"/>
          <w:szCs w:val="20"/>
          <w:lang w:val="en-AU"/>
        </w:rPr>
        <w:t>Further discussion with the DEDJTR’s technical advisor</w:t>
      </w:r>
      <w:r w:rsidR="00073199">
        <w:rPr>
          <w:rFonts w:cstheme="majorHAnsi"/>
          <w:szCs w:val="20"/>
          <w:lang w:val="en-AU"/>
        </w:rPr>
        <w:t xml:space="preserve"> also</w:t>
      </w:r>
      <w:r>
        <w:rPr>
          <w:rFonts w:cstheme="majorHAnsi"/>
          <w:szCs w:val="20"/>
          <w:lang w:val="en-AU"/>
        </w:rPr>
        <w:t xml:space="preserve"> indicated that </w:t>
      </w:r>
      <w:r w:rsidR="00801505">
        <w:rPr>
          <w:rFonts w:cstheme="majorHAnsi"/>
          <w:szCs w:val="20"/>
          <w:lang w:val="en-AU"/>
        </w:rPr>
        <w:t>f</w:t>
      </w:r>
      <w:r w:rsidR="00073199">
        <w:rPr>
          <w:rFonts w:cstheme="majorHAnsi"/>
          <w:szCs w:val="20"/>
          <w:lang w:val="en-AU"/>
        </w:rPr>
        <w:t>or the</w:t>
      </w:r>
      <w:r w:rsidRPr="000107C7">
        <w:rPr>
          <w:rFonts w:cstheme="majorHAnsi"/>
          <w:szCs w:val="20"/>
          <w:lang w:val="en-AU"/>
        </w:rPr>
        <w:t xml:space="preserve"> Energy and Utilities sector, most of the materials required for new builds would be hard rock and soil</w:t>
      </w:r>
      <w:r>
        <w:rPr>
          <w:rFonts w:cstheme="majorHAnsi"/>
          <w:szCs w:val="20"/>
          <w:lang w:val="en-AU"/>
        </w:rPr>
        <w:t>, the latter being excluded from the demand analysis</w:t>
      </w:r>
      <w:r w:rsidRPr="000107C7">
        <w:rPr>
          <w:rFonts w:cstheme="majorHAnsi"/>
          <w:szCs w:val="20"/>
          <w:lang w:val="en-AU"/>
        </w:rPr>
        <w:t>.</w:t>
      </w:r>
      <w:r>
        <w:rPr>
          <w:rFonts w:cstheme="majorHAnsi"/>
          <w:szCs w:val="20"/>
          <w:lang w:val="en-AU"/>
        </w:rPr>
        <w:t xml:space="preserve"> </w:t>
      </w:r>
    </w:p>
    <w:p w:rsidR="00D116FD" w:rsidRPr="00D14CE9" w:rsidRDefault="00073199" w:rsidP="00073199">
      <w:pPr>
        <w:pStyle w:val="EYBodytextwithparaspace"/>
        <w:rPr>
          <w:rFonts w:cstheme="majorHAnsi"/>
          <w:szCs w:val="20"/>
          <w:lang w:val="en-AU"/>
        </w:rPr>
      </w:pPr>
      <w:r>
        <w:rPr>
          <w:rFonts w:cstheme="majorHAnsi"/>
          <w:szCs w:val="20"/>
          <w:lang w:val="en-AU"/>
        </w:rPr>
        <w:t>Based on these considerations,</w:t>
      </w:r>
      <w:r w:rsidR="000107C7">
        <w:rPr>
          <w:rFonts w:cstheme="majorHAnsi"/>
          <w:szCs w:val="20"/>
          <w:lang w:val="en-AU"/>
        </w:rPr>
        <w:t xml:space="preserve"> it is not anticipated that the projects outlined in </w:t>
      </w:r>
      <w:r w:rsidR="000107C7" w:rsidRPr="002A1D72">
        <w:rPr>
          <w:rFonts w:cstheme="majorHAnsi"/>
          <w:i/>
          <w:szCs w:val="20"/>
          <w:lang w:val="en-AU"/>
        </w:rPr>
        <w:t xml:space="preserve">Water for Victoria </w:t>
      </w:r>
      <w:r w:rsidR="000107C7" w:rsidRPr="002A1D72">
        <w:rPr>
          <w:rFonts w:cstheme="majorHAnsi"/>
          <w:szCs w:val="20"/>
          <w:lang w:val="en-AU"/>
        </w:rPr>
        <w:t>should have</w:t>
      </w:r>
      <w:r w:rsidR="000107C7">
        <w:rPr>
          <w:rFonts w:cstheme="majorHAnsi"/>
          <w:szCs w:val="20"/>
          <w:lang w:val="en-AU"/>
        </w:rPr>
        <w:t xml:space="preserve"> any major impact on the demand projections presented in </w:t>
      </w:r>
      <w:r>
        <w:rPr>
          <w:rFonts w:cstheme="majorHAnsi"/>
          <w:szCs w:val="20"/>
          <w:lang w:val="en-AU"/>
        </w:rPr>
        <w:t>this</w:t>
      </w:r>
      <w:r w:rsidR="000107C7">
        <w:rPr>
          <w:rFonts w:cstheme="majorHAnsi"/>
          <w:szCs w:val="20"/>
          <w:lang w:val="en-AU"/>
        </w:rPr>
        <w:t xml:space="preserve"> Report</w:t>
      </w:r>
      <w:r>
        <w:rPr>
          <w:rFonts w:cstheme="majorHAnsi"/>
          <w:szCs w:val="20"/>
          <w:lang w:val="en-AU"/>
        </w:rPr>
        <w:t>. However</w:t>
      </w:r>
      <w:r w:rsidR="000107C7">
        <w:rPr>
          <w:rFonts w:cstheme="majorHAnsi"/>
          <w:szCs w:val="20"/>
          <w:lang w:val="en-AU"/>
        </w:rPr>
        <w:t xml:space="preserve">, it is recommended </w:t>
      </w:r>
      <w:r>
        <w:rPr>
          <w:rFonts w:cstheme="majorHAnsi"/>
          <w:szCs w:val="20"/>
          <w:lang w:val="en-AU"/>
        </w:rPr>
        <w:t>that the Government continues to</w:t>
      </w:r>
      <w:r w:rsidR="000107C7">
        <w:rPr>
          <w:rFonts w:cstheme="majorHAnsi"/>
          <w:szCs w:val="20"/>
          <w:lang w:val="en-AU"/>
        </w:rPr>
        <w:t xml:space="preserve"> monitor the construction trends in the water sector in the short to medium term</w:t>
      </w:r>
      <w:r>
        <w:rPr>
          <w:rFonts w:cstheme="majorHAnsi"/>
          <w:szCs w:val="20"/>
          <w:lang w:val="en-AU"/>
        </w:rPr>
        <w:t xml:space="preserve"> in order to identify any major changes in construction activity and the implications for the demand for extractive resources</w:t>
      </w:r>
      <w:r w:rsidR="000107C7">
        <w:rPr>
          <w:rFonts w:cstheme="majorHAnsi"/>
          <w:szCs w:val="20"/>
          <w:lang w:val="en-AU"/>
        </w:rPr>
        <w:t xml:space="preserve">. </w:t>
      </w:r>
      <w:r w:rsidR="000107C7" w:rsidRPr="000107C7">
        <w:rPr>
          <w:rFonts w:cstheme="majorHAnsi"/>
          <w:szCs w:val="20"/>
          <w:lang w:val="en-AU"/>
        </w:rPr>
        <w:t xml:space="preserve"> </w:t>
      </w:r>
    </w:p>
    <w:p w:rsidR="003404A2" w:rsidRPr="00D14CE9" w:rsidRDefault="003404A2">
      <w:pPr>
        <w:pStyle w:val="EYBodytextwithparaspace"/>
        <w:spacing w:after="120"/>
        <w:rPr>
          <w:rFonts w:cstheme="majorHAnsi"/>
          <w:b/>
          <w:szCs w:val="20"/>
          <w:lang w:val="en-AU"/>
        </w:rPr>
      </w:pPr>
      <w:r w:rsidRPr="00D14CE9">
        <w:rPr>
          <w:rFonts w:cstheme="majorHAnsi"/>
          <w:b/>
          <w:szCs w:val="20"/>
          <w:lang w:val="en-AU"/>
        </w:rPr>
        <w:t>Wind farms and rural areas</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Quarries may be created on site in relation to wind farm projects. While identified as a potentially very expensive and lengthy process to get approvals from Works Authority, such trend could have an impact on the demand for extractive resources from an existing supply </w:t>
      </w:r>
      <w:r w:rsidR="002542FD" w:rsidRPr="00D14CE9">
        <w:rPr>
          <w:rFonts w:cstheme="majorHAnsi"/>
          <w:szCs w:val="20"/>
          <w:lang w:val="en-AU"/>
        </w:rPr>
        <w:t>perspective</w:t>
      </w:r>
      <w:r w:rsidRPr="00D14CE9">
        <w:rPr>
          <w:rFonts w:cstheme="majorHAnsi"/>
          <w:szCs w:val="20"/>
          <w:lang w:val="en-AU"/>
        </w:rPr>
        <w:t>, all the more if combined to an existing reported trend, according to which less materials seem to be sourced from quarries in rural areas.</w:t>
      </w:r>
    </w:p>
    <w:p w:rsidR="003404A2" w:rsidRPr="00D14CE9" w:rsidRDefault="003404A2" w:rsidP="00C578F0">
      <w:pPr>
        <w:pStyle w:val="EYBodytextwithparaspace"/>
        <w:spacing w:after="120"/>
        <w:rPr>
          <w:rFonts w:cstheme="majorHAnsi"/>
          <w:b/>
          <w:szCs w:val="20"/>
          <w:lang w:val="en-AU"/>
        </w:rPr>
      </w:pPr>
      <w:r w:rsidRPr="00D14CE9">
        <w:rPr>
          <w:rFonts w:cstheme="majorHAnsi"/>
          <w:b/>
          <w:szCs w:val="20"/>
          <w:lang w:val="en-AU"/>
        </w:rPr>
        <w:t>Technological changes</w:t>
      </w:r>
    </w:p>
    <w:p w:rsidR="003404A2" w:rsidRPr="00D14CE9" w:rsidRDefault="003404A2" w:rsidP="00C200D0">
      <w:pPr>
        <w:pStyle w:val="EYBodytextwithparaspace"/>
        <w:rPr>
          <w:rFonts w:cstheme="majorHAnsi"/>
          <w:szCs w:val="20"/>
          <w:lang w:val="en-AU"/>
        </w:rPr>
      </w:pPr>
      <w:r w:rsidRPr="00D14CE9">
        <w:rPr>
          <w:rFonts w:cstheme="majorHAnsi"/>
          <w:szCs w:val="20"/>
          <w:lang w:val="en-AU"/>
        </w:rPr>
        <w:lastRenderedPageBreak/>
        <w:t xml:space="preserve">AECOM reported an existing trend in buildings construction towards stiffer materials, illustrated for instance through an increasing appeal to the communities of sustainable or green buildings. This would imply a potential impact on the needs for extractive resources. </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While concrete is not expected however to be fully substituted in the construction sector in the long term, where a scarcity of this commodity product was to take place, the substitution process would lead to move away completely from concrete and extractive materials altogether (rather than accepting a sharp increase in costs). The practical implementation of such a trend would heavily rely however on technological progress. </w:t>
      </w:r>
    </w:p>
    <w:p w:rsidR="003404A2" w:rsidRPr="00D14CE9" w:rsidRDefault="003404A2" w:rsidP="00C200D0">
      <w:pPr>
        <w:pStyle w:val="EYBodytextwithparaspace"/>
        <w:rPr>
          <w:rFonts w:cstheme="majorHAnsi"/>
          <w:szCs w:val="20"/>
          <w:lang w:val="en-AU"/>
        </w:rPr>
      </w:pPr>
      <w:r w:rsidRPr="00D14CE9">
        <w:rPr>
          <w:rFonts w:cstheme="majorHAnsi"/>
          <w:szCs w:val="20"/>
          <w:lang w:val="en-AU"/>
        </w:rPr>
        <w:t xml:space="preserve">Steel and metal products in general may emerge as one of the leading materials for building construction activities in the future, as well as wood products. </w:t>
      </w:r>
    </w:p>
    <w:p w:rsidR="00606F4A" w:rsidRDefault="003404A2" w:rsidP="00C200D0">
      <w:pPr>
        <w:pStyle w:val="EYBodytextwithparaspace"/>
        <w:rPr>
          <w:rFonts w:cstheme="majorHAnsi"/>
          <w:szCs w:val="20"/>
          <w:lang w:val="en-AU"/>
        </w:rPr>
        <w:sectPr w:rsidR="00606F4A" w:rsidSect="000B6297">
          <w:pgSz w:w="11909" w:h="16834" w:code="9"/>
          <w:pgMar w:top="1440" w:right="1440" w:bottom="1440" w:left="1440" w:header="720" w:footer="567" w:gutter="0"/>
          <w:cols w:space="720"/>
          <w:docGrid w:linePitch="360"/>
        </w:sectPr>
      </w:pPr>
      <w:r w:rsidRPr="00D14CE9">
        <w:rPr>
          <w:rFonts w:cstheme="majorHAnsi"/>
          <w:szCs w:val="20"/>
          <w:lang w:val="en-AU"/>
        </w:rPr>
        <w:t>In relation to transport construction activity, plastic roads are looked at in Europe, contemplated as an innovative and sustainable (from a value for money prospective) solution to replace concrete. Plastic roads are currently mainly considered for non-vehicle access surfaces such as bike lanes, footpath or shared users path).</w:t>
      </w:r>
    </w:p>
    <w:p w:rsidR="003404A2" w:rsidRPr="00D14CE9" w:rsidRDefault="00606F4A" w:rsidP="00C200D0">
      <w:pPr>
        <w:pStyle w:val="EYBodytextwithparaspace"/>
        <w:rPr>
          <w:rFonts w:cstheme="majorHAnsi"/>
          <w:szCs w:val="20"/>
          <w:lang w:val="en-AU"/>
        </w:rPr>
      </w:pPr>
      <w:r>
        <w:rPr>
          <w:noProof/>
          <w:lang w:val="en-AU" w:eastAsia="en-AU"/>
        </w:rPr>
        <w:lastRenderedPageBreak/>
        <mc:AlternateContent>
          <mc:Choice Requires="wps">
            <w:drawing>
              <wp:anchor distT="0" distB="0" distL="114300" distR="114300" simplePos="0" relativeHeight="251679744" behindDoc="0" locked="0" layoutInCell="1" allowOverlap="1" wp14:anchorId="0578D5DB" wp14:editId="07B0D435">
                <wp:simplePos x="0" y="0"/>
                <wp:positionH relativeFrom="column">
                  <wp:posOffset>-154379</wp:posOffset>
                </wp:positionH>
                <wp:positionV relativeFrom="paragraph">
                  <wp:posOffset>142504</wp:posOffset>
                </wp:positionV>
                <wp:extent cx="6385560" cy="1686296"/>
                <wp:effectExtent l="0" t="0" r="0" b="0"/>
                <wp:wrapNone/>
                <wp:docPr id="2168" name="Text Box 2168"/>
                <wp:cNvGraphicFramePr/>
                <a:graphic xmlns:a="http://schemas.openxmlformats.org/drawingml/2006/main">
                  <a:graphicData uri="http://schemas.microsoft.com/office/word/2010/wordprocessingShape">
                    <wps:wsp>
                      <wps:cNvSpPr txBox="1"/>
                      <wps:spPr>
                        <a:xfrm>
                          <a:off x="0" y="0"/>
                          <a:ext cx="6385560" cy="1686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754" w:rsidRPr="00606F4A" w:rsidRDefault="003C7754" w:rsidP="00606F4A">
                            <w:pPr>
                              <w:pStyle w:val="EYCoverTitle"/>
                              <w:rPr>
                                <w:color w:val="808080" w:themeColor="background1" w:themeShade="80"/>
                              </w:rPr>
                            </w:pPr>
                            <w:r>
                              <w:rPr>
                                <w:color w:val="808080" w:themeColor="background1" w:themeShade="80"/>
                              </w:rPr>
                              <w:t xml:space="preserve">Recommended </w:t>
                            </w:r>
                            <w:r>
                              <w:rPr>
                                <w:color w:val="808080" w:themeColor="background1" w:themeShade="80"/>
                              </w:rPr>
                              <w:br/>
                              <w:t>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8" o:spid="_x0000_s1035" type="#_x0000_t202" style="position:absolute;margin-left:-12.15pt;margin-top:11.2pt;width:502.8pt;height:13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LjgAIAAHAFAAAOAAAAZHJzL2Uyb0RvYy54bWysVFtP2zAUfp+0/2D5faTtaAcRKepATJMQ&#10;oMHEs+vYNFri49luk+7X77OTXsT2wrSX5Pic79wvF5ddU7ONcr4iU/DxyYgzZSSVlXkp+Penmw9n&#10;nPkgTClqMqrgW+X55fz9u4vW5mpCK6pL5RiMGJ+3tuCrEGyeZV6uVCP8CVllINTkGhHwdC9Z6UQL&#10;602dTUajWdaSK60jqbwH97oX8nmyr7WS4V5rrwKrC47YQvq69F3Gbza/EPmLE3ZVySEM8Q9RNKIy&#10;cLo3dS2CYGtX/WGqqaQjTzqcSGoy0rqSKuWAbMajV9k8roRVKRcUx9t9mfz/MyvvNg+OVWXBJ+MZ&#10;emVEgy49qS6wz9SxxESNWutzQB8twKGDBL2OtYt8D2ZMvdOuiX8kxSBHtbf7Ckd7EszZx7PpdAaR&#10;hAwOZ5PzWbSTHdSt8+GLooZFouAOLUyVFZtbH3roDhK9Gbqp6hp8kdeGtdHFdJQU9hIYr00EqDQQ&#10;g5lD6IkK21r1Rr4pjYKkDCIjjaK6qh3bCAyRkFKZkJJPdoGOKI0g3qI44A9RvUW5z2PnmUzYKzeV&#10;IZeyfxV2+WMXsu7xqPlR3pEM3bJLk3C+6+ySyi0a7qhfG2/lTYWm3AofHoTDnqCR2P1wj4+uCcWn&#10;geJsRe7X3/gRj/GFlLMWe1dw/3MtnOKs/mow2Ofj09O4qOlxOv00wcMdS5bHErNurghdGePKWJnI&#10;iA/1jtSOmmeciEX0CpEwEr4LHnbkVeivAU6MVItFAmE1rQi35tHKaDo2KY7cU/csnB3mMmCk72i3&#10;oSJ/NZ49NmoaWqwD6SrNbqxzX9Wh/ljrNP3DCYp34/idUIdDOf8NAAD//wMAUEsDBBQABgAIAAAA&#10;IQCN0ShT4QAAAAoBAAAPAAAAZHJzL2Rvd25yZXYueG1sTI/LTsMwEEX3SPyDNUjsWqemIBPiVFWk&#10;CgnBoqUbdpPYTSL8CLHbBr6eYVWWc+fozpliNTnLTmaMffAKFvMMmPFN0L1vFezfNzMJLCb0Gm3w&#10;RsG3ibAqr68KzHU4+6057VLLqMTHHBV0KQ0557HpjMM4D4PxtDuE0WGicWy5HvFM5c5ykWUP3GHv&#10;6UKHg6k603zujk7BS7V5w20tnPyx1fPrYT187T/ulbq9mdZPwJKZ0gWGP31Sh5Kc6nD0OjKrYCaW&#10;d4QqEGIJjIBHuaCgpkDKDHhZ8P8vlL8AAAD//wMAUEsBAi0AFAAGAAgAAAAhALaDOJL+AAAA4QEA&#10;ABMAAAAAAAAAAAAAAAAAAAAAAFtDb250ZW50X1R5cGVzXS54bWxQSwECLQAUAAYACAAAACEAOP0h&#10;/9YAAACUAQAACwAAAAAAAAAAAAAAAAAvAQAAX3JlbHMvLnJlbHNQSwECLQAUAAYACAAAACEAIV+C&#10;44ACAABwBQAADgAAAAAAAAAAAAAAAAAuAgAAZHJzL2Uyb0RvYy54bWxQSwECLQAUAAYACAAAACEA&#10;jdEoU+EAAAAKAQAADwAAAAAAAAAAAAAAAADaBAAAZHJzL2Rvd25yZXYueG1sUEsFBgAAAAAEAAQA&#10;8wAAAOgFAAAAAA==&#10;" filled="f" stroked="f" strokeweight=".5pt">
                <v:textbox>
                  <w:txbxContent>
                    <w:p w:rsidR="003C7754" w:rsidRPr="00606F4A" w:rsidRDefault="003C7754" w:rsidP="00606F4A">
                      <w:pPr>
                        <w:pStyle w:val="EYCoverTitle"/>
                        <w:rPr>
                          <w:color w:val="808080" w:themeColor="background1" w:themeShade="80"/>
                        </w:rPr>
                      </w:pPr>
                      <w:r>
                        <w:rPr>
                          <w:color w:val="808080" w:themeColor="background1" w:themeShade="80"/>
                        </w:rPr>
                        <w:t xml:space="preserve">Recommended </w:t>
                      </w:r>
                      <w:r>
                        <w:rPr>
                          <w:color w:val="808080" w:themeColor="background1" w:themeShade="80"/>
                        </w:rPr>
                        <w:br/>
                        <w:t>next steps</w:t>
                      </w:r>
                    </w:p>
                  </w:txbxContent>
                </v:textbox>
              </v:shape>
            </w:pict>
          </mc:Fallback>
        </mc:AlternateContent>
      </w:r>
      <w:r>
        <w:rPr>
          <w:noProof/>
          <w:lang w:val="en-AU" w:eastAsia="en-AU"/>
        </w:rPr>
        <w:drawing>
          <wp:anchor distT="0" distB="0" distL="114300" distR="114300" simplePos="0" relativeHeight="251688960" behindDoc="1" locked="1" layoutInCell="1" allowOverlap="1" wp14:anchorId="25C997B9" wp14:editId="41CE5CF6">
            <wp:simplePos x="0" y="0"/>
            <wp:positionH relativeFrom="column">
              <wp:posOffset>-1097280</wp:posOffset>
            </wp:positionH>
            <wp:positionV relativeFrom="paragraph">
              <wp:posOffset>-966470</wp:posOffset>
            </wp:positionV>
            <wp:extent cx="7812405" cy="10781030"/>
            <wp:effectExtent l="0" t="0" r="0" b="1270"/>
            <wp:wrapNone/>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7812405" cy="10781030"/>
                    </a:xfrm>
                    <a:prstGeom prst="rect">
                      <a:avLst/>
                    </a:prstGeom>
                  </pic:spPr>
                </pic:pic>
              </a:graphicData>
            </a:graphic>
            <wp14:sizeRelH relativeFrom="margin">
              <wp14:pctWidth>0</wp14:pctWidth>
            </wp14:sizeRelH>
            <wp14:sizeRelV relativeFrom="margin">
              <wp14:pctHeight>0</wp14:pctHeight>
            </wp14:sizeRelV>
          </wp:anchor>
        </w:drawing>
      </w:r>
    </w:p>
    <w:p w:rsidR="00A856D6" w:rsidRPr="00D14CE9" w:rsidRDefault="003D29E8" w:rsidP="00C200D0">
      <w:pPr>
        <w:pStyle w:val="EYHeading1"/>
      </w:pPr>
      <w:bookmarkStart w:id="648" w:name="_Ref441846994"/>
      <w:bookmarkStart w:id="649" w:name="_Ref441847076"/>
      <w:bookmarkStart w:id="650" w:name="_Toc451847092"/>
      <w:r w:rsidRPr="00D14CE9">
        <w:lastRenderedPageBreak/>
        <w:t xml:space="preserve">Recommended </w:t>
      </w:r>
      <w:r w:rsidR="00BC1353" w:rsidRPr="00D14CE9">
        <w:t>next steps</w:t>
      </w:r>
      <w:bookmarkEnd w:id="648"/>
      <w:bookmarkEnd w:id="649"/>
      <w:bookmarkEnd w:id="650"/>
    </w:p>
    <w:p w:rsidR="00464A6A" w:rsidRPr="00D14CE9" w:rsidRDefault="00464A6A" w:rsidP="00464A6A">
      <w:pPr>
        <w:pStyle w:val="EYBodytextwithparaspace"/>
        <w:rPr>
          <w:lang w:val="en-AU"/>
        </w:rPr>
      </w:pPr>
      <w:r w:rsidRPr="00D14CE9">
        <w:rPr>
          <w:lang w:val="en-AU"/>
        </w:rPr>
        <w:t xml:space="preserve">Continued strong population growth and economic development is going to drive significant increases in the demand for extractive resources, especially in growing population </w:t>
      </w:r>
      <w:r w:rsidR="006F5ED2" w:rsidRPr="00D14CE9">
        <w:rPr>
          <w:lang w:val="en-AU"/>
        </w:rPr>
        <w:t>centres</w:t>
      </w:r>
      <w:r w:rsidRPr="00D14CE9">
        <w:rPr>
          <w:lang w:val="en-AU"/>
        </w:rPr>
        <w:t xml:space="preserve"> in key Urban Growth Areas, infill suburbs in Metropolitan Melbourne and major regional centres like Ballarat, Geelong and Bendigo. As the extractive resources and construction industries respond to these persistent trends and industry pressures, there is likely to be a growing role for the further development and updating of these demand projections.</w:t>
      </w:r>
    </w:p>
    <w:p w:rsidR="006F5ED2" w:rsidRPr="00D14CE9" w:rsidRDefault="006F5ED2" w:rsidP="006F5ED2">
      <w:pPr>
        <w:pStyle w:val="EYBodytextwithparaspace"/>
        <w:rPr>
          <w:lang w:val="en-AU"/>
        </w:rPr>
      </w:pPr>
      <w:r w:rsidRPr="00D14CE9">
        <w:rPr>
          <w:lang w:val="en-AU"/>
        </w:rPr>
        <w:t>Through the process of completing this study, and to assist the DEDJTR and the Extractive Industries Taskforce, possible next steps that could be taken to enhance any future updates have been identified:</w:t>
      </w:r>
    </w:p>
    <w:p w:rsidR="00A856D6" w:rsidRPr="00D14CE9" w:rsidRDefault="00A856D6" w:rsidP="00C578F0">
      <w:pPr>
        <w:pStyle w:val="EYBodytextwithparaspace"/>
        <w:spacing w:after="120"/>
        <w:rPr>
          <w:rFonts w:cstheme="majorHAnsi"/>
          <w:b/>
          <w:szCs w:val="20"/>
          <w:lang w:val="en-AU"/>
        </w:rPr>
      </w:pPr>
      <w:r w:rsidRPr="00D14CE9">
        <w:rPr>
          <w:rFonts w:cstheme="majorHAnsi"/>
          <w:b/>
          <w:szCs w:val="20"/>
          <w:lang w:val="en-AU"/>
        </w:rPr>
        <w:t>Update of the demand analysis based on latest data available</w:t>
      </w:r>
    </w:p>
    <w:p w:rsidR="006F5ED2" w:rsidRPr="00D14CE9" w:rsidRDefault="006F5ED2" w:rsidP="00CF11FB">
      <w:pPr>
        <w:pStyle w:val="EYBulletedList1"/>
        <w:numPr>
          <w:ilvl w:val="0"/>
          <w:numId w:val="0"/>
        </w:numPr>
        <w:spacing w:after="120"/>
        <w:rPr>
          <w:lang w:val="en-AU"/>
        </w:rPr>
      </w:pPr>
      <w:r w:rsidRPr="00D14CE9">
        <w:rPr>
          <w:lang w:val="en-AU"/>
        </w:rPr>
        <w:t>The forecast model that has been developed to assess the needs for extractive resources from the construction sector in Victoria was calibrated based on historic production data and linked to the Victorian Government’s long term forecasts around population and economic growth. Given the limitations and the inherent challenges around undertaking year-on-year demand projections for the highly cyclical construction industry, future updates could consider approaches to readily accommodate up-to-date production data as they arise, particularly given the inherent volatility of extractive resources production.</w:t>
      </w:r>
    </w:p>
    <w:p w:rsidR="00A856D6" w:rsidRPr="00D14CE9" w:rsidRDefault="00A856D6" w:rsidP="00C578F0">
      <w:pPr>
        <w:pStyle w:val="EYBodytextwithparaspace"/>
        <w:spacing w:after="120"/>
        <w:rPr>
          <w:rFonts w:cstheme="majorHAnsi"/>
          <w:b/>
          <w:szCs w:val="20"/>
          <w:lang w:val="en-AU"/>
        </w:rPr>
      </w:pPr>
      <w:r w:rsidRPr="00D14CE9">
        <w:rPr>
          <w:rFonts w:cstheme="majorHAnsi"/>
          <w:b/>
          <w:szCs w:val="20"/>
          <w:lang w:val="en-AU"/>
        </w:rPr>
        <w:t>Extended market sounding</w:t>
      </w:r>
    </w:p>
    <w:p w:rsidR="00A856D6" w:rsidRPr="00D14CE9" w:rsidRDefault="00A856D6" w:rsidP="00C200D0">
      <w:pPr>
        <w:pStyle w:val="EYBodytextwithparaspace"/>
        <w:rPr>
          <w:rFonts w:cstheme="majorHAnsi"/>
          <w:szCs w:val="20"/>
          <w:lang w:val="en-AU"/>
        </w:rPr>
      </w:pPr>
      <w:r w:rsidRPr="00D14CE9">
        <w:rPr>
          <w:rFonts w:cstheme="majorHAnsi"/>
          <w:szCs w:val="20"/>
          <w:lang w:val="en-AU"/>
        </w:rPr>
        <w:t>Stakeholders’ consultation implemented during the development process of the demand for extractive resources was quite limited in terms of number of stakeholders consulted. An extended market testing process may be considered so as to confirm and/or fine-tune the outcomes of the demand analysis.</w:t>
      </w:r>
    </w:p>
    <w:p w:rsidR="00A856D6" w:rsidRPr="00D14CE9" w:rsidRDefault="00A856D6" w:rsidP="00C578F0">
      <w:pPr>
        <w:pStyle w:val="EYBodytextwithparaspace"/>
        <w:spacing w:after="120"/>
        <w:rPr>
          <w:rFonts w:cstheme="majorHAnsi"/>
          <w:b/>
          <w:szCs w:val="20"/>
          <w:lang w:val="en-AU"/>
        </w:rPr>
      </w:pPr>
      <w:r w:rsidRPr="00D14CE9">
        <w:rPr>
          <w:rFonts w:cstheme="majorHAnsi"/>
          <w:b/>
          <w:szCs w:val="20"/>
          <w:lang w:val="en-AU"/>
        </w:rPr>
        <w:t>Integration of demand and supply analysis</w:t>
      </w:r>
    </w:p>
    <w:p w:rsidR="00A856D6" w:rsidRPr="00D14CE9" w:rsidRDefault="00A856D6" w:rsidP="00C200D0">
      <w:pPr>
        <w:pStyle w:val="EYBodytextwithparaspace"/>
        <w:rPr>
          <w:rFonts w:cstheme="majorHAnsi"/>
          <w:szCs w:val="20"/>
          <w:lang w:val="en-AU"/>
        </w:rPr>
      </w:pPr>
      <w:r w:rsidRPr="00D14CE9">
        <w:rPr>
          <w:rFonts w:cstheme="majorHAnsi"/>
          <w:szCs w:val="20"/>
          <w:lang w:val="en-AU"/>
        </w:rPr>
        <w:t xml:space="preserve">A constraint identified during the demand analysis was the lack of available data from a supply </w:t>
      </w:r>
      <w:r w:rsidR="002542FD" w:rsidRPr="00D14CE9">
        <w:rPr>
          <w:rFonts w:cstheme="majorHAnsi"/>
          <w:szCs w:val="20"/>
          <w:lang w:val="en-AU"/>
        </w:rPr>
        <w:t>perspective</w:t>
      </w:r>
      <w:r w:rsidRPr="00D14CE9">
        <w:rPr>
          <w:rFonts w:cstheme="majorHAnsi"/>
          <w:szCs w:val="20"/>
          <w:lang w:val="en-AU"/>
        </w:rPr>
        <w:t xml:space="preserve">, leading therefore to the development of an unconstrained demand forecast based on current patterns. </w:t>
      </w:r>
      <w:r w:rsidR="00464A6A" w:rsidRPr="00D14CE9">
        <w:rPr>
          <w:rFonts w:cstheme="majorHAnsi"/>
          <w:szCs w:val="20"/>
          <w:lang w:val="en-AU"/>
        </w:rPr>
        <w:t>Looking forward a</w:t>
      </w:r>
      <w:r w:rsidRPr="00D14CE9">
        <w:rPr>
          <w:rFonts w:cstheme="majorHAnsi"/>
          <w:szCs w:val="20"/>
          <w:lang w:val="en-AU"/>
        </w:rPr>
        <w:t xml:space="preserve"> more integrated supply </w:t>
      </w:r>
      <w:r w:rsidR="00464A6A" w:rsidRPr="00D14CE9">
        <w:rPr>
          <w:rFonts w:cstheme="majorHAnsi"/>
          <w:szCs w:val="20"/>
          <w:lang w:val="en-AU"/>
        </w:rPr>
        <w:t xml:space="preserve">and demand </w:t>
      </w:r>
      <w:r w:rsidRPr="00D14CE9">
        <w:rPr>
          <w:rFonts w:cstheme="majorHAnsi"/>
          <w:szCs w:val="20"/>
          <w:lang w:val="en-AU"/>
        </w:rPr>
        <w:t>analysis could be contemplated</w:t>
      </w:r>
      <w:r w:rsidR="00464A6A" w:rsidRPr="00D14CE9">
        <w:rPr>
          <w:rFonts w:cstheme="majorHAnsi"/>
          <w:szCs w:val="20"/>
          <w:lang w:val="en-AU"/>
        </w:rPr>
        <w:t xml:space="preserve"> to more explicitly account for possible regional supply constraints. </w:t>
      </w:r>
      <w:r w:rsidRPr="00D14CE9">
        <w:rPr>
          <w:rFonts w:cstheme="majorHAnsi"/>
          <w:szCs w:val="20"/>
          <w:lang w:val="en-AU"/>
        </w:rPr>
        <w:t xml:space="preserve"> </w:t>
      </w:r>
    </w:p>
    <w:p w:rsidR="00A856D6" w:rsidRPr="00D14CE9" w:rsidRDefault="00A856D6" w:rsidP="00C578F0">
      <w:pPr>
        <w:pStyle w:val="EYBodytextwithparaspace"/>
        <w:spacing w:after="120"/>
        <w:rPr>
          <w:rFonts w:cstheme="majorHAnsi"/>
          <w:b/>
          <w:szCs w:val="20"/>
          <w:lang w:val="en-AU"/>
        </w:rPr>
      </w:pPr>
      <w:r w:rsidRPr="00D14CE9">
        <w:rPr>
          <w:rFonts w:cstheme="majorHAnsi"/>
          <w:b/>
          <w:szCs w:val="20"/>
          <w:lang w:val="en-AU"/>
        </w:rPr>
        <w:t>Demand for commodity products</w:t>
      </w:r>
    </w:p>
    <w:p w:rsidR="00A856D6" w:rsidRPr="00D14CE9" w:rsidRDefault="00A856D6" w:rsidP="00C200D0">
      <w:pPr>
        <w:pStyle w:val="EYBodytextwithparaspace"/>
        <w:rPr>
          <w:rFonts w:cstheme="majorHAnsi"/>
          <w:szCs w:val="20"/>
          <w:lang w:val="en-AU"/>
        </w:rPr>
      </w:pPr>
      <w:r w:rsidRPr="00D14CE9">
        <w:rPr>
          <w:rFonts w:cstheme="majorHAnsi"/>
          <w:szCs w:val="20"/>
          <w:lang w:val="en-AU"/>
        </w:rPr>
        <w:t xml:space="preserve">Road base Class 1 and 2, concrete and concrete sand have been identified throughout the analysis as potential areas of concern due to their </w:t>
      </w:r>
      <w:r w:rsidR="00F63AE4" w:rsidRPr="00D14CE9">
        <w:rPr>
          <w:rFonts w:cstheme="majorHAnsi"/>
          <w:szCs w:val="20"/>
          <w:lang w:val="en-AU"/>
        </w:rPr>
        <w:t>minimal</w:t>
      </w:r>
      <w:r w:rsidRPr="00D14CE9">
        <w:rPr>
          <w:rFonts w:cstheme="majorHAnsi"/>
          <w:szCs w:val="20"/>
          <w:lang w:val="en-AU"/>
        </w:rPr>
        <w:t xml:space="preserve"> substitutability. Should a similar exercise of forecasting the demand for extractive resources in Victoria be undertaken in the future, it may be recommended to narrow it down on those non-substitutable commodity products. </w:t>
      </w:r>
    </w:p>
    <w:p w:rsidR="005D561B" w:rsidRPr="00D14CE9" w:rsidRDefault="005D561B" w:rsidP="00F552CC"/>
    <w:p w:rsidR="00B264BF" w:rsidRPr="00D14CE9" w:rsidRDefault="00B264BF" w:rsidP="00F552CC"/>
    <w:p w:rsidR="00B264BF" w:rsidRPr="00D14CE9" w:rsidRDefault="00B264BF" w:rsidP="00F552CC"/>
    <w:p w:rsidR="00606F4A" w:rsidRDefault="00606F4A" w:rsidP="00C200D0">
      <w:pPr>
        <w:pStyle w:val="EYNormal"/>
        <w:rPr>
          <w:lang w:val="en-AU"/>
        </w:rPr>
        <w:sectPr w:rsidR="00606F4A" w:rsidSect="000B6297">
          <w:pgSz w:w="11909" w:h="16834" w:code="9"/>
          <w:pgMar w:top="1440" w:right="1440" w:bottom="1440" w:left="1440" w:header="720" w:footer="567" w:gutter="0"/>
          <w:cols w:space="720"/>
          <w:docGrid w:linePitch="360"/>
        </w:sectPr>
      </w:pPr>
    </w:p>
    <w:p w:rsidR="00B264BF" w:rsidRPr="00D14CE9" w:rsidRDefault="00044AF8" w:rsidP="00C200D0">
      <w:pPr>
        <w:pStyle w:val="EYNormal"/>
        <w:rPr>
          <w:lang w:val="en-AU"/>
        </w:rPr>
      </w:pPr>
      <w:r>
        <w:rPr>
          <w:noProof/>
          <w:lang w:val="en-AU" w:eastAsia="en-AU"/>
        </w:rPr>
        <w:lastRenderedPageBreak/>
        <w:drawing>
          <wp:anchor distT="0" distB="0" distL="114300" distR="114300" simplePos="0" relativeHeight="251689984" behindDoc="1" locked="1" layoutInCell="1" allowOverlap="1" wp14:anchorId="24D13185" wp14:editId="0865813A">
            <wp:simplePos x="0" y="0"/>
            <wp:positionH relativeFrom="column">
              <wp:posOffset>-975360</wp:posOffset>
            </wp:positionH>
            <wp:positionV relativeFrom="paragraph">
              <wp:posOffset>-1065530</wp:posOffset>
            </wp:positionV>
            <wp:extent cx="7635240" cy="10849610"/>
            <wp:effectExtent l="0" t="0" r="3810" b="8890"/>
            <wp:wrapNone/>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7635240" cy="10849610"/>
                    </a:xfrm>
                    <a:prstGeom prst="rect">
                      <a:avLst/>
                    </a:prstGeom>
                  </pic:spPr>
                </pic:pic>
              </a:graphicData>
            </a:graphic>
            <wp14:sizeRelH relativeFrom="margin">
              <wp14:pctWidth>0</wp14:pctWidth>
            </wp14:sizeRelH>
            <wp14:sizeRelV relativeFrom="margin">
              <wp14:pctHeight>0</wp14:pctHeight>
            </wp14:sizeRelV>
          </wp:anchor>
        </w:drawing>
      </w:r>
      <w:r w:rsidR="00606F4A">
        <w:rPr>
          <w:noProof/>
          <w:lang w:val="en-AU" w:eastAsia="en-AU"/>
        </w:rPr>
        <mc:AlternateContent>
          <mc:Choice Requires="wps">
            <w:drawing>
              <wp:anchor distT="0" distB="0" distL="114300" distR="114300" simplePos="0" relativeHeight="251681792" behindDoc="0" locked="0" layoutInCell="1" allowOverlap="1" wp14:anchorId="391B539B" wp14:editId="68632A5D">
                <wp:simplePos x="0" y="0"/>
                <wp:positionH relativeFrom="column">
                  <wp:posOffset>-259080</wp:posOffset>
                </wp:positionH>
                <wp:positionV relativeFrom="paragraph">
                  <wp:posOffset>5852160</wp:posOffset>
                </wp:positionV>
                <wp:extent cx="6385560" cy="1310640"/>
                <wp:effectExtent l="0" t="0" r="0" b="3810"/>
                <wp:wrapNone/>
                <wp:docPr id="2169" name="Text Box 2169"/>
                <wp:cNvGraphicFramePr/>
                <a:graphic xmlns:a="http://schemas.openxmlformats.org/drawingml/2006/main">
                  <a:graphicData uri="http://schemas.microsoft.com/office/word/2010/wordprocessingShape">
                    <wps:wsp>
                      <wps:cNvSpPr txBox="1"/>
                      <wps:spPr>
                        <a:xfrm>
                          <a:off x="0" y="0"/>
                          <a:ext cx="638556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754" w:rsidRDefault="003C7754" w:rsidP="00606F4A">
                            <w:pPr>
                              <w:pStyle w:val="EYCoverTitle"/>
                            </w:pPr>
                            <w: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69" o:spid="_x0000_s1036" type="#_x0000_t202" style="position:absolute;margin-left:-20.4pt;margin-top:460.8pt;width:502.8pt;height:103.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HAggIAAHEFAAAOAAAAZHJzL2Uyb0RvYy54bWysVEtPGzEQvlfqf7B8L5sNJIWIDUpBVJUQ&#10;oELVs+O1yapej2s7yaa/vp+dzUO0F6pedscz37wfl1dda9hK+dCQrXh5MuBMWUl1Y18q/u359sM5&#10;ZyEKWwtDVlV8owK/mr5/d7l2EzWkBZlaeQYjNkzWruKLGN2kKIJcqFaEE3LKQqjJtyLi6V+K2os1&#10;rLemGA4G42JNvnaepAoB3JutkE+zfa2VjA9aBxWZqThii/nr83eevsX0UkxevHCLRvZhiH+IohWN&#10;hdO9qRsRBVv65g9TbSM9BdLxRFJbkNaNVDkHZFMOXmXztBBO5VxQnOD2ZQr/z6y8Xz161tQVH5bj&#10;C86saNGlZ9VF9ok6lpmo0dqFCaBPDuDYQYJep9olfgAzpd5p36Y/kmKQo9qbfYWTPQnm+PR8NBpD&#10;JCErT8vB+Cz3oDioOx/iZ0UtS0TFPVqYKytWdyHCJaA7SPJm6bYxJrfRWLZOLkaDrLCXQMPYhFV5&#10;IHozh9AzFTdGJYyxX5VGQXIGiZFHUV0bz1YCQySkVDbm5LNdoBNKI4i3KPb4Q1RvUd7msfNMNu6V&#10;28aSz9m/Crv+sQtZb/Eo5FHeiYzdvMuTUOaWJNac6g067mm7N8HJ2wZduRMhPgqPRUEnsfzxAR9t&#10;CNWnnuJsQf7X3/gJj/mFlLM1Fq/i4edSeMWZ+WIx2RflGWaCxfw4G30c4uGPJfNjiV2214S2lDgz&#10;TmYy4aPZkdpT+x03Ypa8QiSshO+Kxx15HbfnADdGqtksg7CbTsQ7++RkMp26lGbuufsuvOsHM2Km&#10;72m3omLyaj632KRpabaMpJs8vIeq9g3AXueZ7m9QOhzH74w6XMrpbwAAAP//AwBQSwMEFAAGAAgA&#10;AAAhABlqnEXjAAAADAEAAA8AAABkcnMvZG93bnJldi54bWxMj01Lw0AQhu+C/2EZwVu7m1BDGrMp&#10;JVAE0UNrL94m2W0S3I+Y3bbRX+940uPMPLzzvOVmtoZd9BQG7yQkSwFMu9arwXUSjm+7RQ4sRHQK&#10;jXdawpcOsKlub0oslL+6vb4cYscoxIUCJfQxjgXnoe21xbD0o3Z0O/nJYqRx6ria8Erh1vBUiIxb&#10;HBx96HHUda/bj8PZSniud6+4b1Kbf5v66eW0HT+P7w9S3t/N20dgUc/xD4ZffVKHipwaf3YqMCNh&#10;sRKkHiWs0yQDRsQ6W9GmITRJcwG8Kvn/EtUPAAAA//8DAFBLAQItABQABgAIAAAAIQC2gziS/gAA&#10;AOEBAAATAAAAAAAAAAAAAAAAAAAAAABbQ29udGVudF9UeXBlc10ueG1sUEsBAi0AFAAGAAgAAAAh&#10;ADj9If/WAAAAlAEAAAsAAAAAAAAAAAAAAAAALwEAAF9yZWxzLy5yZWxzUEsBAi0AFAAGAAgAAAAh&#10;ADTMwcCCAgAAcQUAAA4AAAAAAAAAAAAAAAAALgIAAGRycy9lMm9Eb2MueG1sUEsBAi0AFAAGAAgA&#10;AAAhABlqnEXjAAAADAEAAA8AAAAAAAAAAAAAAAAA3AQAAGRycy9kb3ducmV2LnhtbFBLBQYAAAAA&#10;BAAEAPMAAADsBQAAAAA=&#10;" filled="f" stroked="f" strokeweight=".5pt">
                <v:textbox>
                  <w:txbxContent>
                    <w:p w:rsidR="003C7754" w:rsidRDefault="003C7754" w:rsidP="00606F4A">
                      <w:pPr>
                        <w:pStyle w:val="EYCoverTitle"/>
                      </w:pPr>
                      <w:r>
                        <w:t>Appendices</w:t>
                      </w:r>
                    </w:p>
                  </w:txbxContent>
                </v:textbox>
              </v:shape>
            </w:pict>
          </mc:Fallback>
        </mc:AlternateContent>
      </w:r>
      <w:r w:rsidR="00B264BF" w:rsidRPr="00D14CE9">
        <w:rPr>
          <w:lang w:val="en-AU"/>
        </w:rPr>
        <w:br w:type="page"/>
      </w:r>
    </w:p>
    <w:p w:rsidR="00651564" w:rsidRPr="00D14CE9" w:rsidRDefault="00651564" w:rsidP="00651564">
      <w:pPr>
        <w:pStyle w:val="EYAppendix"/>
        <w:pageBreakBefore/>
        <w:ind w:left="2275" w:hanging="2275"/>
        <w:rPr>
          <w:lang w:val="en-AU"/>
        </w:rPr>
      </w:pPr>
      <w:bookmarkStart w:id="651" w:name="_Ref441829817"/>
      <w:bookmarkStart w:id="652" w:name="_Toc451847093"/>
      <w:bookmarkStart w:id="653" w:name="_Ref441146256"/>
      <w:bookmarkStart w:id="654" w:name="_Ref441226490"/>
      <w:bookmarkStart w:id="655" w:name="_Ref441226873"/>
      <w:bookmarkStart w:id="656" w:name="_Ref441403267"/>
      <w:bookmarkStart w:id="657" w:name="_Ref441403287"/>
      <w:bookmarkStart w:id="658" w:name="_Toc441435329"/>
      <w:r w:rsidRPr="00D14CE9">
        <w:rPr>
          <w:lang w:val="en-AU"/>
        </w:rPr>
        <w:lastRenderedPageBreak/>
        <w:t>Limitations</w:t>
      </w:r>
      <w:bookmarkEnd w:id="651"/>
      <w:bookmarkEnd w:id="652"/>
    </w:p>
    <w:p w:rsidR="00651564" w:rsidRPr="00D14CE9" w:rsidRDefault="00651564" w:rsidP="00651564">
      <w:pPr>
        <w:pStyle w:val="EYBodytextwithparaspace"/>
        <w:numPr>
          <w:ilvl w:val="4"/>
          <w:numId w:val="2"/>
        </w:numPr>
        <w:rPr>
          <w:lang w:val="en-AU"/>
        </w:rPr>
      </w:pPr>
      <w:r w:rsidRPr="00D14CE9">
        <w:rPr>
          <w:lang w:val="en-AU"/>
        </w:rPr>
        <w:t>The demand analysis of the extractive resources in Victoria is a first of its kind exercise, meant to be indicative only for policy making purposes in line with the requirements of the Taskforce and not for use as a general industry forecast for commercial or other purposes.</w:t>
      </w:r>
    </w:p>
    <w:p w:rsidR="00651564" w:rsidRPr="00D14CE9" w:rsidRDefault="00651564" w:rsidP="00651564">
      <w:pPr>
        <w:pStyle w:val="EYBodytextwithparaspace"/>
        <w:numPr>
          <w:ilvl w:val="4"/>
          <w:numId w:val="2"/>
        </w:numPr>
        <w:rPr>
          <w:lang w:val="en-AU"/>
        </w:rPr>
      </w:pPr>
      <w:r w:rsidRPr="00D14CE9">
        <w:rPr>
          <w:lang w:val="en-AU"/>
        </w:rPr>
        <w:t>The extractive resources industry and the construction activities it supports are part of complex value chains, where both short and long term production and consumption could be subject to significant variations in demand and supply characteristics. For example, changing demographic and employment profiles could have material but as yet unknown implications for the demand for building construction. There could also be significant changes in the provision and use of transport and other forms of infrastructure, which could reflect changing preferences or the implementation of new technologies that create sudden step-changes in demand. There are also likely to be technological and other changes that affect the construction industry, which could include greater use of recycled materials or new commodity products and substitutes that are developed to overcome supply constraints or to meet changing community needs.</w:t>
      </w:r>
    </w:p>
    <w:p w:rsidR="00651564" w:rsidRPr="00D14CE9" w:rsidRDefault="00651564" w:rsidP="00651564">
      <w:pPr>
        <w:pStyle w:val="EYBodytextwithparaspace"/>
        <w:numPr>
          <w:ilvl w:val="4"/>
          <w:numId w:val="2"/>
        </w:numPr>
        <w:rPr>
          <w:lang w:val="en-AU"/>
        </w:rPr>
      </w:pPr>
      <w:r w:rsidRPr="00D14CE9">
        <w:rPr>
          <w:lang w:val="en-AU"/>
        </w:rPr>
        <w:t xml:space="preserve">An important limitation is around the challenge of developing long term demand projections without detailed information of the supply of extractive resources, particularly over the longer term. This information is either commercially sensitive or not generally available, and the nature of the studies being undertaken for the Taskforce has meant that any detailed analysis of the supply of extractive resources has been completed separately by other advisors to the DEDJTR (PwC). </w:t>
      </w:r>
      <w:r w:rsidR="007400EF" w:rsidRPr="00D14CE9">
        <w:rPr>
          <w:lang w:val="en-AU"/>
        </w:rPr>
        <w:t xml:space="preserve">EY </w:t>
      </w:r>
      <w:r w:rsidRPr="00D14CE9">
        <w:rPr>
          <w:lang w:val="en-AU"/>
        </w:rPr>
        <w:t>ha</w:t>
      </w:r>
      <w:r w:rsidR="007400EF" w:rsidRPr="00D14CE9">
        <w:rPr>
          <w:lang w:val="en-AU"/>
        </w:rPr>
        <w:t>s</w:t>
      </w:r>
      <w:r w:rsidRPr="00D14CE9">
        <w:rPr>
          <w:lang w:val="en-AU"/>
        </w:rPr>
        <w:t xml:space="preserve"> therefore been unable to identify and model the impact of future supply constraints on the demand for extractive resources at the economy-wide or local levels. Instead, our projections rely on the current patterns of supply of extractive resources being available over the longer term.</w:t>
      </w:r>
    </w:p>
    <w:p w:rsidR="00651564" w:rsidRPr="00D14CE9" w:rsidRDefault="00651564" w:rsidP="00651564">
      <w:pPr>
        <w:pStyle w:val="EYBodytextwithparaspace"/>
        <w:numPr>
          <w:ilvl w:val="4"/>
          <w:numId w:val="2"/>
        </w:numPr>
        <w:rPr>
          <w:lang w:val="en-AU"/>
        </w:rPr>
      </w:pPr>
      <w:r w:rsidRPr="00D14CE9">
        <w:rPr>
          <w:lang w:val="en-AU"/>
        </w:rPr>
        <w:t>Given these limitations and the inherent challenges around undertaking year-on-year demand projections, there are likely to be significant variations in annual resource production that cannot be predicted in macro-driven models that are generally linked to long term Government forecasts of population growth and economic activity, which generally assume smooth changes over the short, medium and long term.</w:t>
      </w:r>
    </w:p>
    <w:p w:rsidR="00651564" w:rsidRPr="00D14CE9" w:rsidRDefault="00651564" w:rsidP="00651564">
      <w:pPr>
        <w:pStyle w:val="EYBodytextwithparaspace"/>
        <w:numPr>
          <w:ilvl w:val="4"/>
          <w:numId w:val="2"/>
        </w:numPr>
        <w:rPr>
          <w:lang w:val="en-AU"/>
        </w:rPr>
      </w:pPr>
      <w:r w:rsidRPr="00D14CE9">
        <w:rPr>
          <w:lang w:val="en-AU"/>
        </w:rPr>
        <w:t xml:space="preserve">Despite these issues </w:t>
      </w:r>
      <w:r w:rsidR="007400EF" w:rsidRPr="00D14CE9">
        <w:rPr>
          <w:lang w:val="en-AU"/>
        </w:rPr>
        <w:t>EY</w:t>
      </w:r>
      <w:r w:rsidRPr="00D14CE9">
        <w:rPr>
          <w:lang w:val="en-AU"/>
        </w:rPr>
        <w:t xml:space="preserve"> ha</w:t>
      </w:r>
      <w:r w:rsidR="007400EF" w:rsidRPr="00D14CE9">
        <w:rPr>
          <w:lang w:val="en-AU"/>
        </w:rPr>
        <w:t>s</w:t>
      </w:r>
      <w:r w:rsidRPr="00D14CE9">
        <w:rPr>
          <w:lang w:val="en-AU"/>
        </w:rPr>
        <w:t xml:space="preserve"> used </w:t>
      </w:r>
      <w:r w:rsidR="007400EF" w:rsidRPr="00D14CE9">
        <w:rPr>
          <w:lang w:val="en-AU"/>
        </w:rPr>
        <w:t>its</w:t>
      </w:r>
      <w:r w:rsidRPr="00D14CE9">
        <w:rPr>
          <w:lang w:val="en-AU"/>
        </w:rPr>
        <w:t xml:space="preserve"> best endeavours to develop a robust and informative set of demand projections, making use of all available industry information and economic data. </w:t>
      </w:r>
      <w:r w:rsidR="007400EF" w:rsidRPr="00D14CE9">
        <w:rPr>
          <w:lang w:val="en-AU"/>
        </w:rPr>
        <w:t>EY</w:t>
      </w:r>
      <w:r w:rsidRPr="00D14CE9">
        <w:rPr>
          <w:lang w:val="en-AU"/>
        </w:rPr>
        <w:t xml:space="preserve"> also relied on input from key government and non-government stakeholders (e.g. VicRoads) and detailed data on the use of resources according to different construction types, which was supplied by the DEDJTR’s technical advisor (AECOM).</w:t>
      </w:r>
    </w:p>
    <w:p w:rsidR="00651564" w:rsidRPr="00D14CE9" w:rsidRDefault="007400EF" w:rsidP="00651564">
      <w:pPr>
        <w:pStyle w:val="EYBodytextwithparaspace"/>
        <w:numPr>
          <w:ilvl w:val="4"/>
          <w:numId w:val="2"/>
        </w:numPr>
        <w:rPr>
          <w:lang w:val="en-AU"/>
        </w:rPr>
      </w:pPr>
      <w:r w:rsidRPr="00D14CE9">
        <w:rPr>
          <w:lang w:val="en-AU"/>
        </w:rPr>
        <w:t xml:space="preserve">EY </w:t>
      </w:r>
      <w:r w:rsidR="00651564" w:rsidRPr="00D14CE9">
        <w:rPr>
          <w:lang w:val="en-AU"/>
        </w:rPr>
        <w:t>ha</w:t>
      </w:r>
      <w:r w:rsidRPr="00D14CE9">
        <w:rPr>
          <w:lang w:val="en-AU"/>
        </w:rPr>
        <w:t>s</w:t>
      </w:r>
      <w:r w:rsidR="00651564" w:rsidRPr="00D14CE9">
        <w:rPr>
          <w:lang w:val="en-AU"/>
        </w:rPr>
        <w:t xml:space="preserve"> not been in a position to verify the accuracy of these statements and other inputs from stakeholders. Neither </w:t>
      </w:r>
      <w:r w:rsidRPr="00D14CE9">
        <w:rPr>
          <w:lang w:val="en-AU"/>
        </w:rPr>
        <w:t>has EY</w:t>
      </w:r>
      <w:r w:rsidR="00651564" w:rsidRPr="00D14CE9">
        <w:rPr>
          <w:lang w:val="en-AU"/>
        </w:rPr>
        <w:t xml:space="preserve"> sought to verify the accuracy and consistency of the data provided by the technical advisor. </w:t>
      </w:r>
    </w:p>
    <w:p w:rsidR="00651564" w:rsidRPr="00D14CE9" w:rsidRDefault="00651564" w:rsidP="00651564">
      <w:pPr>
        <w:pStyle w:val="EYBodytextwithparaspace"/>
        <w:numPr>
          <w:ilvl w:val="4"/>
          <w:numId w:val="2"/>
        </w:numPr>
        <w:rPr>
          <w:lang w:val="en-AU"/>
        </w:rPr>
      </w:pPr>
      <w:r w:rsidRPr="00D14CE9">
        <w:rPr>
          <w:lang w:val="en-AU"/>
        </w:rPr>
        <w:t xml:space="preserve">Furthermore, a number of the assumptions used to develop and test the demand projections derive from industry generalizations and rules-of-thumb, which </w:t>
      </w:r>
      <w:r w:rsidR="007400EF" w:rsidRPr="00D14CE9">
        <w:rPr>
          <w:lang w:val="en-AU"/>
        </w:rPr>
        <w:t xml:space="preserve">were </w:t>
      </w:r>
      <w:r w:rsidRPr="00D14CE9">
        <w:rPr>
          <w:lang w:val="en-AU"/>
        </w:rPr>
        <w:t>consider</w:t>
      </w:r>
      <w:r w:rsidR="007400EF" w:rsidRPr="00D14CE9">
        <w:rPr>
          <w:lang w:val="en-AU"/>
        </w:rPr>
        <w:t>ed</w:t>
      </w:r>
      <w:r w:rsidRPr="00D14CE9">
        <w:rPr>
          <w:lang w:val="en-AU"/>
        </w:rPr>
        <w:t xml:space="preserve"> to be an acceptable approach at the industry level, but may not reflect the actual use of extractive resources in particular locations. These considerations add further weight to treating these projections with a reasonable degree of caution.</w:t>
      </w:r>
    </w:p>
    <w:p w:rsidR="00651564" w:rsidRPr="00D14CE9" w:rsidRDefault="00651564" w:rsidP="00F552CC"/>
    <w:p w:rsidR="00F552CC" w:rsidRPr="00D14CE9" w:rsidRDefault="00F552CC">
      <w:pPr>
        <w:widowControl/>
        <w:autoSpaceDE/>
        <w:autoSpaceDN/>
        <w:adjustRightInd/>
      </w:pPr>
      <w:r w:rsidRPr="00D14CE9">
        <w:br w:type="page"/>
      </w:r>
    </w:p>
    <w:p w:rsidR="007700E5" w:rsidRPr="00D14CE9" w:rsidRDefault="007700E5" w:rsidP="00C200D0">
      <w:pPr>
        <w:pStyle w:val="EYAppendix"/>
        <w:rPr>
          <w:lang w:val="en-AU"/>
        </w:rPr>
      </w:pPr>
      <w:bookmarkStart w:id="659" w:name="_Ref441835942"/>
      <w:bookmarkStart w:id="660" w:name="_Ref441835943"/>
      <w:bookmarkStart w:id="661" w:name="_Ref441835961"/>
      <w:bookmarkStart w:id="662" w:name="_Toc451847094"/>
      <w:r w:rsidRPr="00D14CE9">
        <w:rPr>
          <w:lang w:val="en-AU"/>
        </w:rPr>
        <w:lastRenderedPageBreak/>
        <w:t>Local Government Areas Directory</w:t>
      </w:r>
      <w:bookmarkEnd w:id="653"/>
      <w:bookmarkEnd w:id="654"/>
      <w:bookmarkEnd w:id="655"/>
      <w:bookmarkEnd w:id="656"/>
      <w:bookmarkEnd w:id="657"/>
      <w:bookmarkEnd w:id="658"/>
      <w:bookmarkEnd w:id="659"/>
      <w:bookmarkEnd w:id="660"/>
      <w:bookmarkEnd w:id="661"/>
      <w:bookmarkEnd w:id="662"/>
    </w:p>
    <w:p w:rsidR="007700E5" w:rsidRPr="00D14CE9" w:rsidRDefault="007700E5" w:rsidP="00C200D0">
      <w:pPr>
        <w:pStyle w:val="EYBodytextwithparaspace"/>
        <w:rPr>
          <w:rFonts w:cstheme="majorHAnsi"/>
          <w:szCs w:val="20"/>
          <w:lang w:val="en-AU"/>
        </w:rPr>
      </w:pPr>
      <w:r w:rsidRPr="00D14CE9">
        <w:rPr>
          <w:rFonts w:cstheme="majorHAnsi"/>
          <w:szCs w:val="20"/>
          <w:lang w:val="en-AU"/>
        </w:rPr>
        <w:t>The geographic unit used to undertake the analysis of the demand for extractive resources is the</w:t>
      </w:r>
      <w:r w:rsidR="00F552CC" w:rsidRPr="00D14CE9">
        <w:rPr>
          <w:rFonts w:cstheme="majorHAnsi"/>
          <w:szCs w:val="20"/>
          <w:lang w:val="en-AU"/>
        </w:rPr>
        <w:t> </w:t>
      </w:r>
      <w:r w:rsidRPr="00D14CE9">
        <w:rPr>
          <w:rFonts w:cstheme="majorHAnsi"/>
          <w:szCs w:val="20"/>
          <w:lang w:val="en-AU"/>
        </w:rPr>
        <w:t xml:space="preserve">LGA. </w:t>
      </w:r>
    </w:p>
    <w:p w:rsidR="007700E5" w:rsidRPr="00D14CE9" w:rsidRDefault="007700E5" w:rsidP="00C200D0">
      <w:pPr>
        <w:pStyle w:val="EYBodytextwithparaspace"/>
        <w:rPr>
          <w:rFonts w:cstheme="majorHAnsi"/>
          <w:szCs w:val="20"/>
          <w:lang w:val="en-AU"/>
        </w:rPr>
      </w:pPr>
      <w:r w:rsidRPr="00D14CE9">
        <w:rPr>
          <w:rFonts w:cstheme="majorHAnsi"/>
          <w:szCs w:val="20"/>
          <w:lang w:val="en-AU"/>
        </w:rPr>
        <w:t xml:space="preserve">The table below outlines the list of LGAs used for the demand assessment, as well as their classifications (e.g. urban vs regional, </w:t>
      </w:r>
      <w:r w:rsidR="00E94FA4" w:rsidRPr="00D14CE9">
        <w:rPr>
          <w:rFonts w:cstheme="majorHAnsi"/>
          <w:szCs w:val="20"/>
          <w:lang w:val="en-AU"/>
        </w:rPr>
        <w:t>Urban I</w:t>
      </w:r>
      <w:r w:rsidRPr="00D14CE9">
        <w:rPr>
          <w:rFonts w:cstheme="majorHAnsi"/>
          <w:szCs w:val="20"/>
          <w:lang w:val="en-AU"/>
        </w:rPr>
        <w:t xml:space="preserve">nfill vs </w:t>
      </w:r>
      <w:r w:rsidR="00E94FA4" w:rsidRPr="00D14CE9">
        <w:rPr>
          <w:rFonts w:cstheme="majorHAnsi"/>
          <w:szCs w:val="20"/>
          <w:lang w:val="en-AU"/>
        </w:rPr>
        <w:t>U</w:t>
      </w:r>
      <w:r w:rsidRPr="00D14CE9">
        <w:rPr>
          <w:rFonts w:cstheme="majorHAnsi"/>
          <w:szCs w:val="20"/>
          <w:lang w:val="en-AU"/>
        </w:rPr>
        <w:t xml:space="preserve">rban </w:t>
      </w:r>
      <w:r w:rsidR="00E94FA4" w:rsidRPr="00D14CE9">
        <w:rPr>
          <w:rFonts w:cstheme="majorHAnsi"/>
          <w:szCs w:val="20"/>
          <w:lang w:val="en-AU"/>
        </w:rPr>
        <w:t>G</w:t>
      </w:r>
      <w:r w:rsidRPr="00D14CE9">
        <w:rPr>
          <w:rFonts w:cstheme="majorHAnsi"/>
          <w:szCs w:val="20"/>
          <w:lang w:val="en-AU"/>
        </w:rPr>
        <w:t xml:space="preserve">rowth </w:t>
      </w:r>
      <w:r w:rsidR="00E94FA4" w:rsidRPr="00D14CE9">
        <w:rPr>
          <w:rFonts w:cstheme="majorHAnsi"/>
          <w:szCs w:val="20"/>
          <w:lang w:val="en-AU"/>
        </w:rPr>
        <w:t>A</w:t>
      </w:r>
      <w:r w:rsidRPr="00D14CE9">
        <w:rPr>
          <w:rFonts w:cstheme="majorHAnsi"/>
          <w:szCs w:val="20"/>
          <w:lang w:val="en-AU"/>
        </w:rPr>
        <w:t xml:space="preserve">reas) and their regional affiliations.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20"/>
        <w:tblDescription w:val="Table 20 is a directory of the LGAs which lists each LGA next to its classification as regional, urban infill or urban growth area, and also identifies the LGA’s regional affiliation. The LGAs are classified as follows (in alphabetical order): Alpine Shire Council - Regional - Ovens Murray, Ararat Rural Council - Regional -Central Highlands, Ballarat Council - Regional - Central Highlands, Banyule Council - Urban Infill - Greater Melbourne, Bass Coast Shire Council - Regional - Gippsland, Baw Baw Shire Council – Regional – Gippsland, Bayside Council - Urban Infill - Greater Melbourne, Benalla Rural Council – Regional - Ovens Murray, Boroondara Council - Urban Infil - Greater Melbourne, Brimbank Council - Urban Infill - Greater Melbourne, Buloke Shire Council – Regional – Mallee,&#10;Campaspe Shire Council – Regional - Loddon Campaspe, Cardinia Shire Council - Urban Growth Area - Greater Melbourne, Casey Council - Urban Growth Area - Greater Melbourne, Central Goldfields Shire Council – Regional - Loddon Campaspe, Colac-Otway Shire Council – Regional – Barwon - Corangamite Shire Council – Regional, Great South Coast, Darebin Council - Urban Infill - Greater Melbourne, East Gippsland Shire Council – Regional – Gippsland, Frankston Council - Urban Infill - Greater Melbourne, Gannawarra Shire Council – Regional - Mallee, Glen Eira Council - Urban Infill - Greater Melbourne, Glenelg Shire Council – Regional - Great South Coast, Golden Plains Shire Council – Regional - Central Highlands, Greater Bendigo Council – Regional - Loddon Campaspe, Greater Dandenong Council - Urban Infill - Greater Melbourne, Greater Geelong Council – Regional – Barwon,&#10; Greater Shepparton Council - Regional – Goulburn, Hepburn Shire Council – Regional - Central Highlands, Hindmarsh Shire Council – Regional - Wimmera Southern Mallee, Hobsons Bay Council - Urban Infill - Greater Melbourne, Horsham Rural Council – Regional - Wimmera Southern Mallee, Hume Council - Urban Growth Area - Greater Melbourne, Indigo Shire Council – Regional - Ovens Murray, Kingston Council - Urban Infill - Greater Melbourne, Knox Council - Urban Infill - Greater Melbourne, Latrobe Council – Regional – Gippsland, Loddon Shire Council – Regional - Loddon Campaspe, Macedon Ranges Shire Council – Regional - Loddon Campaspe, Manningham Council - Urban Infill - Greater Melbourne, Mansfield Shire Council - Regional - Ovens Murray, Maribyrnong Council - Urban Infill - Greater Melbourne, Maroondah Council - Urban Infill - Greater Melbourne&#10;Melbourne Council - Urban Infill - Greater Melbourne, Melton Council - Urban Growth Area - Greater Melbourne, Mildura Rural Council – Regional – Mallee, Mitchell Shire Council - Urban Growth Area – Goulburn, Moira Shire Council - Regional – Goulburn, Monash Council - Urban Infill - Greater Melbourne, Moonee Valley Council - Urban Infill - Greater Melbourne, Moorabool Shire Council – Regional - Central Highlands, Moreland Council - Urban Infill - Greater Melbourne, Mornington Peninsula Shire Council - Urban Infill - Greater Melbourne, Mount Alexander Shire Council – Regional - Loddon Campaspe, Moyne Shire Council – Regional - Great South Coast, Murrindindi Shire Council – Regional – Goulburn, Nillumbik Shire Council - Urban Infill - Greater Melbourne, Northern Grampians Shire Council – Regional - Wimmera Southern Mallee, Port Phillip Council - Urban Infill - Greater Melbourne, Pyrenees Shire Council – Regional - Central Highlands, Queenscliffe (B) - Regional – Barwon, South Gippsland Shire Council - Regional – Gippsland, Southern Grampians Shire Council - Regional  - Great South Coast, Stonnington Council - Urban Infill - Greater Melbourne, Strathbogie Shire Council – Regional – Goulburn, Surf Coast Shire Council – Regional – Barwon,&#10;Swan Hill Rural Council – Regional – Mallee, Towong Shire Council - Regional - Ovens Murray, Wangaratta Rural Council - Regional - Ovens Murray, Warrnambool Council – Regional - Great South Coast, Wellington Shire Council – Regional – Gippsland, West Wimmera Shire Council – Regional - Wimmera Southern Mallee, Whitehorse Council - Urban Infill - Greater Melbourne, Whittlesea Council - Urban Growth Area - Greater Melbourne, Wodonga Rural Council – Regional - Ovens Murray, Wyndham Council - Urban Growth Area - Greater Melbourne, Yarra Council - Urban Infill - Greater Melbourne, Yarra Ranges Shire Council – Regional - Greater Melbourne, Yarriambiack Shire Council – Regional - Wimmera Southern Mallee.&#10;"/>
      </w:tblPr>
      <w:tblGrid>
        <w:gridCol w:w="746"/>
        <w:gridCol w:w="2962"/>
        <w:gridCol w:w="2304"/>
        <w:gridCol w:w="3073"/>
      </w:tblGrid>
      <w:tr w:rsidR="007700E5" w:rsidRPr="00D14CE9" w:rsidTr="003E25FF">
        <w:trPr>
          <w:trHeight w:val="20"/>
          <w:tblHeader/>
        </w:trPr>
        <w:tc>
          <w:tcPr>
            <w:tcW w:w="5000" w:type="pct"/>
            <w:gridSpan w:val="4"/>
            <w:shd w:val="clear" w:color="auto" w:fill="808080"/>
            <w:noWrap/>
            <w:tcMar>
              <w:top w:w="57" w:type="dxa"/>
              <w:left w:w="28" w:type="dxa"/>
              <w:bottom w:w="57" w:type="dxa"/>
              <w:right w:w="28" w:type="dxa"/>
            </w:tcMar>
            <w:vAlign w:val="bottom"/>
          </w:tcPr>
          <w:p w:rsidR="007700E5" w:rsidRPr="00D14CE9" w:rsidRDefault="009F7B1A" w:rsidP="003A1D14">
            <w:pPr>
              <w:pStyle w:val="EYTableHeadingWhite"/>
              <w:spacing w:before="0" w:after="0"/>
              <w:rPr>
                <w:rFonts w:eastAsia="Arial Unicode MS"/>
              </w:rPr>
            </w:pPr>
            <w:bookmarkStart w:id="663" w:name="_Toc445240954"/>
            <w:bookmarkStart w:id="664" w:name="_Toc448914647"/>
            <w:bookmarkStart w:id="665" w:name="_Toc448920464"/>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20</w:t>
            </w:r>
            <w:r w:rsidR="00A9654D" w:rsidRPr="00802792">
              <w:fldChar w:fldCharType="end"/>
            </w:r>
            <w:r w:rsidRPr="00D14CE9">
              <w:t xml:space="preserve"> – LGAs Directory</w:t>
            </w:r>
            <w:bookmarkEnd w:id="663"/>
            <w:bookmarkEnd w:id="664"/>
            <w:bookmarkEnd w:id="665"/>
          </w:p>
        </w:tc>
      </w:tr>
      <w:tr w:rsidR="009F7B1A" w:rsidRPr="00D14CE9" w:rsidTr="003637FD">
        <w:trPr>
          <w:trHeight w:val="20"/>
          <w:tblHeader/>
        </w:trPr>
        <w:tc>
          <w:tcPr>
            <w:tcW w:w="411" w:type="pct"/>
            <w:shd w:val="clear" w:color="auto" w:fill="F0F0F0"/>
            <w:tcMar>
              <w:top w:w="57" w:type="dxa"/>
              <w:left w:w="28" w:type="dxa"/>
              <w:bottom w:w="57" w:type="dxa"/>
              <w:right w:w="28" w:type="dxa"/>
            </w:tcMar>
            <w:vAlign w:val="center"/>
          </w:tcPr>
          <w:p w:rsidR="009F7B1A" w:rsidRPr="00D14CE9" w:rsidRDefault="009F7B1A" w:rsidP="003A1D14">
            <w:pPr>
              <w:pStyle w:val="EYTableHeading"/>
              <w:spacing w:before="0" w:after="0"/>
              <w:rPr>
                <w:rFonts w:eastAsia="Arial Unicode MS"/>
              </w:rPr>
            </w:pPr>
            <w:r w:rsidRPr="00D14CE9">
              <w:t>#</w:t>
            </w:r>
          </w:p>
        </w:tc>
        <w:tc>
          <w:tcPr>
            <w:tcW w:w="1630" w:type="pct"/>
            <w:shd w:val="clear" w:color="auto" w:fill="F0F0F0"/>
            <w:tcMar>
              <w:top w:w="57" w:type="dxa"/>
              <w:left w:w="28" w:type="dxa"/>
              <w:bottom w:w="57" w:type="dxa"/>
              <w:right w:w="28" w:type="dxa"/>
            </w:tcMar>
            <w:vAlign w:val="center"/>
          </w:tcPr>
          <w:p w:rsidR="009F7B1A" w:rsidRPr="00D14CE9" w:rsidRDefault="009F7B1A" w:rsidP="003A1D14">
            <w:pPr>
              <w:pStyle w:val="EYTableHeading"/>
              <w:spacing w:before="0" w:after="0"/>
              <w:rPr>
                <w:rFonts w:eastAsia="Arial Unicode MS"/>
              </w:rPr>
            </w:pPr>
            <w:r w:rsidRPr="00D14CE9">
              <w:t>LGAs</w:t>
            </w:r>
          </w:p>
        </w:tc>
        <w:tc>
          <w:tcPr>
            <w:tcW w:w="1268" w:type="pct"/>
            <w:shd w:val="clear" w:color="auto" w:fill="F0F0F0"/>
            <w:tcMar>
              <w:top w:w="57" w:type="dxa"/>
              <w:left w:w="28" w:type="dxa"/>
              <w:bottom w:w="57" w:type="dxa"/>
              <w:right w:w="28" w:type="dxa"/>
            </w:tcMar>
            <w:vAlign w:val="center"/>
          </w:tcPr>
          <w:p w:rsidR="009F7B1A" w:rsidRPr="00D14CE9" w:rsidRDefault="00B90DF9" w:rsidP="003A1D14">
            <w:pPr>
              <w:pStyle w:val="EYTableHeading"/>
              <w:spacing w:before="0" w:after="0"/>
              <w:rPr>
                <w:rFonts w:eastAsia="Arial Unicode MS"/>
              </w:rPr>
            </w:pPr>
            <w:r w:rsidRPr="00D14CE9">
              <w:t>Classification</w:t>
            </w:r>
          </w:p>
        </w:tc>
        <w:tc>
          <w:tcPr>
            <w:tcW w:w="1691" w:type="pct"/>
            <w:shd w:val="clear" w:color="auto" w:fill="F0F0F0"/>
            <w:tcMar>
              <w:top w:w="57" w:type="dxa"/>
              <w:left w:w="28" w:type="dxa"/>
              <w:bottom w:w="57" w:type="dxa"/>
              <w:right w:w="28" w:type="dxa"/>
            </w:tcMar>
            <w:vAlign w:val="center"/>
          </w:tcPr>
          <w:p w:rsidR="009F7B1A" w:rsidRPr="00D14CE9" w:rsidRDefault="00B90DF9" w:rsidP="003A1D14">
            <w:pPr>
              <w:pStyle w:val="EYTableHeading"/>
              <w:spacing w:before="0" w:after="0"/>
              <w:rPr>
                <w:rFonts w:eastAsia="Arial Unicode MS"/>
              </w:rPr>
            </w:pPr>
            <w:r w:rsidRPr="00D14CE9">
              <w:t>Regional affiliations</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Alpine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Ovens Murray</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Ararat (RC)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Central Highlands</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Ballarat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Central Highlands</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Banyule (C)</w:t>
            </w:r>
          </w:p>
        </w:tc>
        <w:tc>
          <w:tcPr>
            <w:tcW w:w="1268" w:type="pct"/>
            <w:noWrap/>
            <w:tcMar>
              <w:left w:w="28" w:type="dxa"/>
              <w:right w:w="28" w:type="dxa"/>
            </w:tcMar>
            <w:vAlign w:val="center"/>
          </w:tcPr>
          <w:p w:rsidR="00B90DF9" w:rsidRPr="00D14CE9" w:rsidRDefault="008E52E5" w:rsidP="008E52E5">
            <w:pPr>
              <w:rPr>
                <w:sz w:val="16"/>
                <w:szCs w:val="16"/>
              </w:rPr>
            </w:pPr>
            <w:r>
              <w:rPr>
                <w:sz w:val="16"/>
                <w:szCs w:val="16"/>
              </w:rPr>
              <w:t>U</w:t>
            </w:r>
            <w:r w:rsidR="00B90DF9" w:rsidRPr="00D14CE9">
              <w:rPr>
                <w:sz w:val="16"/>
                <w:szCs w:val="16"/>
              </w:rPr>
              <w:t>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Bass Coast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Gippsland</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Baw Baw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Gippsland</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Bayside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Benalla (RC)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Ovens Murray</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Boroondara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Brimbank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Buloke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Mallee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Campaspe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 xml:space="preserve">Loddon Campaspe </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Cardinia (S)</w:t>
            </w:r>
          </w:p>
        </w:tc>
        <w:tc>
          <w:tcPr>
            <w:tcW w:w="1268" w:type="pct"/>
            <w:noWrap/>
            <w:tcMar>
              <w:left w:w="28" w:type="dxa"/>
              <w:right w:w="28" w:type="dxa"/>
            </w:tcMar>
            <w:vAlign w:val="center"/>
          </w:tcPr>
          <w:p w:rsidR="00B90DF9" w:rsidRPr="00D14CE9" w:rsidRDefault="00B90DF9" w:rsidP="003A1D14">
            <w:pPr>
              <w:rPr>
                <w:rFonts w:cs="Arial"/>
                <w:color w:val="000000"/>
                <w:sz w:val="16"/>
                <w:szCs w:val="16"/>
              </w:rPr>
            </w:pPr>
            <w:r w:rsidRPr="00D14CE9">
              <w:rPr>
                <w:rFonts w:cs="Arial"/>
                <w:color w:val="000000"/>
                <w:sz w:val="16"/>
                <w:szCs w:val="16"/>
              </w:rPr>
              <w:t>Urban Growth Area</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Casey (C)</w:t>
            </w:r>
          </w:p>
        </w:tc>
        <w:tc>
          <w:tcPr>
            <w:tcW w:w="1268" w:type="pct"/>
            <w:noWrap/>
            <w:tcMar>
              <w:left w:w="28" w:type="dxa"/>
              <w:right w:w="28" w:type="dxa"/>
            </w:tcMar>
            <w:vAlign w:val="center"/>
          </w:tcPr>
          <w:p w:rsidR="00B90DF9" w:rsidRPr="00D14CE9" w:rsidRDefault="00B90DF9" w:rsidP="003A1D14">
            <w:pPr>
              <w:rPr>
                <w:rFonts w:cs="Arial"/>
                <w:color w:val="000000"/>
                <w:sz w:val="16"/>
                <w:szCs w:val="16"/>
              </w:rPr>
            </w:pPr>
            <w:r w:rsidRPr="00D14CE9">
              <w:rPr>
                <w:rFonts w:cs="Arial"/>
                <w:color w:val="000000"/>
                <w:sz w:val="16"/>
                <w:szCs w:val="16"/>
              </w:rPr>
              <w:t>Urban Growth Area</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Central Goldfields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 xml:space="preserve">Loddon Campaspe </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Colac-Otway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Barwon</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Corangamite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 South Coast</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Darebin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East Gippsland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Gippsland</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Frankston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Gannawarra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Mallee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Glen Eira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Glenelg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 South Coast</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Golden Plains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Central Highlands</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Greater Bendigo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 xml:space="preserve">Loddon Campaspe </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sz w:val="16"/>
                <w:szCs w:val="16"/>
              </w:rPr>
              <w:t>Greater Dandenong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Geelong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Barwon</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Shepparton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Goulburn</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Hepburn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Central Highlands</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Hindmarsh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Wimmera Southern Mallee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Hobsons Bay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Horsham (RC)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Wimmera Southern Mallee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Hume (C)</w:t>
            </w:r>
          </w:p>
        </w:tc>
        <w:tc>
          <w:tcPr>
            <w:tcW w:w="1268"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Urban Growth Area</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Indigo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Ovens Murray</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Kingston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Knox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Latrobe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Gippsland</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Loddon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 xml:space="preserve">Loddon Campaspe </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Macedon Ranges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 xml:space="preserve">Loddon Campaspe </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Manningham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Mansfield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Ovens Murray</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Maribyrnong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Maroondah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Melbourne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Melton (C)</w:t>
            </w:r>
          </w:p>
        </w:tc>
        <w:tc>
          <w:tcPr>
            <w:tcW w:w="1268"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Urban Growth Area</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Mildura (RC)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Mallee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Mitchell (S)</w:t>
            </w:r>
          </w:p>
        </w:tc>
        <w:tc>
          <w:tcPr>
            <w:tcW w:w="1268"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Urban Growth Area</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Goulburn</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Moira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Goulburn</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Monash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Moonee Valley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Moorabool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Central Highlands</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Moreland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Mornington Peninsula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Mount Alexander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 xml:space="preserve">Loddon Campaspe </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Moyne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 South Coast</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Murrindindi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Goulburn</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Nillumbik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Northern Grampians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Wimmera Southern Mallee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Port Phillip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Pyrenees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Central Highlands</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Queenscliffe (B)</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Barwon</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South Gippsland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Gippsland</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Southern Grampians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 South Coast</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Stonnington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Strathbogie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Goulburn</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Surf Coast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Barwon</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Swan Hill (RC)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Mallee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Towong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Ovens Murray</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Wangaratta (RC)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Ovens Murray</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Warrnambool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 South Coast</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Wellington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Gippsland</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West Wimmera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Wimmera Southern Mallee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Whitehorse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Whittlesea (C)</w:t>
            </w:r>
          </w:p>
        </w:tc>
        <w:tc>
          <w:tcPr>
            <w:tcW w:w="1268"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Urban Growth Area</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Wodonga (RC)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Ovens Murray</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Wyndham (C)</w:t>
            </w:r>
          </w:p>
        </w:tc>
        <w:tc>
          <w:tcPr>
            <w:tcW w:w="1268"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Urban Growth Area</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Yarra (C)</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Urban Infill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Yarra Ranges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Greater Melbourne</w:t>
            </w:r>
          </w:p>
        </w:tc>
      </w:tr>
      <w:tr w:rsidR="00B90DF9" w:rsidRPr="00D14CE9" w:rsidTr="003A1D14">
        <w:trPr>
          <w:trHeight w:val="20"/>
        </w:trPr>
        <w:tc>
          <w:tcPr>
            <w:tcW w:w="411" w:type="pct"/>
            <w:noWrap/>
            <w:tcMar>
              <w:left w:w="28" w:type="dxa"/>
              <w:right w:w="28" w:type="dxa"/>
            </w:tcMar>
            <w:vAlign w:val="center"/>
          </w:tcPr>
          <w:p w:rsidR="00B90DF9" w:rsidRPr="00D14CE9" w:rsidRDefault="00B90DF9" w:rsidP="003A1D14">
            <w:pPr>
              <w:pStyle w:val="EYTableNormal"/>
              <w:numPr>
                <w:ilvl w:val="0"/>
                <w:numId w:val="15"/>
              </w:numPr>
              <w:spacing w:after="0"/>
            </w:pPr>
          </w:p>
        </w:tc>
        <w:tc>
          <w:tcPr>
            <w:tcW w:w="1630"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Yarriambiack (S)</w:t>
            </w:r>
          </w:p>
        </w:tc>
        <w:tc>
          <w:tcPr>
            <w:tcW w:w="1268" w:type="pct"/>
            <w:noWrap/>
            <w:tcMar>
              <w:left w:w="28" w:type="dxa"/>
              <w:right w:w="28" w:type="dxa"/>
            </w:tcMar>
            <w:vAlign w:val="center"/>
          </w:tcPr>
          <w:p w:rsidR="00B90DF9" w:rsidRPr="00D14CE9" w:rsidRDefault="00B90DF9" w:rsidP="003A1D14">
            <w:pPr>
              <w:rPr>
                <w:sz w:val="16"/>
                <w:szCs w:val="16"/>
              </w:rPr>
            </w:pPr>
            <w:r w:rsidRPr="00D14CE9">
              <w:rPr>
                <w:sz w:val="16"/>
                <w:szCs w:val="16"/>
              </w:rPr>
              <w:t>Regional</w:t>
            </w:r>
          </w:p>
        </w:tc>
        <w:tc>
          <w:tcPr>
            <w:tcW w:w="1691" w:type="pct"/>
            <w:noWrap/>
            <w:tcMar>
              <w:left w:w="28" w:type="dxa"/>
              <w:right w:w="28" w:type="dxa"/>
            </w:tcMar>
            <w:vAlign w:val="center"/>
          </w:tcPr>
          <w:p w:rsidR="00B90DF9" w:rsidRPr="00D14CE9" w:rsidRDefault="00B90DF9" w:rsidP="003A1D14">
            <w:pPr>
              <w:rPr>
                <w:sz w:val="16"/>
                <w:szCs w:val="16"/>
              </w:rPr>
            </w:pPr>
            <w:r w:rsidRPr="00D14CE9">
              <w:rPr>
                <w:rFonts w:cs="Arial"/>
                <w:color w:val="000000"/>
                <w:sz w:val="16"/>
                <w:szCs w:val="16"/>
              </w:rPr>
              <w:t>Wimmera Southern Mallee</w:t>
            </w:r>
          </w:p>
        </w:tc>
      </w:tr>
    </w:tbl>
    <w:p w:rsidR="007700E5" w:rsidRPr="00D14CE9" w:rsidRDefault="007700E5" w:rsidP="00C200D0">
      <w:pPr>
        <w:rPr>
          <w:i/>
          <w:sz w:val="16"/>
          <w:szCs w:val="16"/>
        </w:rPr>
      </w:pPr>
      <w:r w:rsidRPr="00D14CE9">
        <w:rPr>
          <w:i/>
          <w:sz w:val="16"/>
          <w:szCs w:val="16"/>
        </w:rPr>
        <w:t>Sources:</w:t>
      </w:r>
      <w:r w:rsidR="002B448C" w:rsidRPr="00D14CE9">
        <w:rPr>
          <w:i/>
          <w:sz w:val="16"/>
          <w:szCs w:val="16"/>
        </w:rPr>
        <w:t xml:space="preserve"> </w:t>
      </w:r>
      <w:r w:rsidRPr="00D14CE9">
        <w:rPr>
          <w:i/>
          <w:sz w:val="16"/>
          <w:szCs w:val="16"/>
        </w:rPr>
        <w:t xml:space="preserve">Classification as Urban Growth Areas: </w:t>
      </w:r>
      <w:hyperlink r:id="rId61" w:history="1">
        <w:r w:rsidRPr="00D14CE9">
          <w:rPr>
            <w:rStyle w:val="Hyperlink"/>
            <w:i/>
            <w:sz w:val="16"/>
            <w:szCs w:val="16"/>
          </w:rPr>
          <w:t>http://www.mpa.vic.gov.au/</w:t>
        </w:r>
      </w:hyperlink>
    </w:p>
    <w:p w:rsidR="007700E5" w:rsidRPr="00D14CE9" w:rsidRDefault="007700E5" w:rsidP="00C200D0">
      <w:pPr>
        <w:pStyle w:val="EYNormal"/>
        <w:rPr>
          <w:lang w:val="en-AU"/>
        </w:rPr>
      </w:pPr>
      <w:r w:rsidRPr="00D14CE9">
        <w:rPr>
          <w:i/>
          <w:sz w:val="16"/>
          <w:szCs w:val="16"/>
          <w:lang w:val="en-AU"/>
        </w:rPr>
        <w:t xml:space="preserve">Regional Affiliations: </w:t>
      </w:r>
      <w:hyperlink r:id="rId62" w:history="1">
        <w:r w:rsidRPr="00D14CE9">
          <w:rPr>
            <w:rStyle w:val="Hyperlink"/>
            <w:i/>
            <w:sz w:val="16"/>
            <w:szCs w:val="16"/>
            <w:lang w:val="en-AU"/>
          </w:rPr>
          <w:t>http://www.rdv.vic.gov.au/information-portal/more-information/region-descriptions-and-geography-structure</w:t>
        </w:r>
      </w:hyperlink>
    </w:p>
    <w:p w:rsidR="007700E5" w:rsidRPr="00D14CE9" w:rsidRDefault="007700E5" w:rsidP="00C200D0">
      <w:pPr>
        <w:pStyle w:val="EYNormal"/>
        <w:rPr>
          <w:lang w:val="en-AU"/>
        </w:rPr>
      </w:pPr>
    </w:p>
    <w:p w:rsidR="007700E5" w:rsidRPr="00D14CE9" w:rsidRDefault="007700E5" w:rsidP="00C200D0">
      <w:pPr>
        <w:pStyle w:val="EYNormal"/>
        <w:rPr>
          <w:lang w:val="en-AU"/>
        </w:rPr>
      </w:pPr>
    </w:p>
    <w:p w:rsidR="00F552CC" w:rsidRPr="00D14CE9" w:rsidRDefault="00F552CC">
      <w:pPr>
        <w:widowControl/>
        <w:autoSpaceDE/>
        <w:autoSpaceDN/>
        <w:adjustRightInd/>
        <w:rPr>
          <w:kern w:val="12"/>
          <w:szCs w:val="24"/>
        </w:rPr>
      </w:pPr>
      <w:r w:rsidRPr="00D14CE9">
        <w:br w:type="page"/>
      </w:r>
    </w:p>
    <w:p w:rsidR="002B448C" w:rsidRPr="00D14CE9" w:rsidRDefault="002B448C" w:rsidP="00C200D0">
      <w:pPr>
        <w:pStyle w:val="EYAppendix"/>
        <w:pageBreakBefore/>
        <w:ind w:left="2275" w:hanging="2275"/>
        <w:rPr>
          <w:lang w:val="en-AU"/>
        </w:rPr>
      </w:pPr>
      <w:bookmarkStart w:id="666" w:name="_Toc441832271"/>
      <w:bookmarkStart w:id="667" w:name="_Toc441833477"/>
      <w:bookmarkStart w:id="668" w:name="_Toc441833602"/>
      <w:bookmarkStart w:id="669" w:name="_Toc441833748"/>
      <w:bookmarkStart w:id="670" w:name="_Toc441833803"/>
      <w:bookmarkStart w:id="671" w:name="_Toc441833858"/>
      <w:bookmarkStart w:id="672" w:name="_Toc441833934"/>
      <w:bookmarkStart w:id="673" w:name="_Toc441834046"/>
      <w:bookmarkStart w:id="674" w:name="_Toc441834405"/>
      <w:bookmarkStart w:id="675" w:name="_Toc441834459"/>
      <w:bookmarkStart w:id="676" w:name="_Toc441834846"/>
      <w:bookmarkStart w:id="677" w:name="_Toc441835876"/>
      <w:bookmarkStart w:id="678" w:name="_Toc441836025"/>
      <w:bookmarkStart w:id="679" w:name="_Toc441836193"/>
      <w:bookmarkStart w:id="680" w:name="_Toc441832273"/>
      <w:bookmarkStart w:id="681" w:name="_Toc441833479"/>
      <w:bookmarkStart w:id="682" w:name="_Toc441833604"/>
      <w:bookmarkStart w:id="683" w:name="_Toc441833750"/>
      <w:bookmarkStart w:id="684" w:name="_Toc441833805"/>
      <w:bookmarkStart w:id="685" w:name="_Toc441833860"/>
      <w:bookmarkStart w:id="686" w:name="_Toc441833936"/>
      <w:bookmarkStart w:id="687" w:name="_Toc441834048"/>
      <w:bookmarkStart w:id="688" w:name="_Toc441834407"/>
      <w:bookmarkStart w:id="689" w:name="_Toc441834461"/>
      <w:bookmarkStart w:id="690" w:name="_Toc441834848"/>
      <w:bookmarkStart w:id="691" w:name="_Toc441835878"/>
      <w:bookmarkStart w:id="692" w:name="_Toc441836027"/>
      <w:bookmarkStart w:id="693" w:name="_Toc441836195"/>
      <w:bookmarkStart w:id="694" w:name="_Ref441133802"/>
      <w:bookmarkStart w:id="695" w:name="_Toc441435330"/>
      <w:bookmarkStart w:id="696" w:name="_Toc45184709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Pr="00D14CE9">
        <w:rPr>
          <w:lang w:val="en-AU"/>
        </w:rPr>
        <w:lastRenderedPageBreak/>
        <w:t>Assumptions Book</w:t>
      </w:r>
      <w:bookmarkEnd w:id="694"/>
      <w:bookmarkEnd w:id="695"/>
      <w:bookmarkEnd w:id="696"/>
    </w:p>
    <w:p w:rsidR="002B448C" w:rsidRPr="00D14CE9" w:rsidRDefault="002B448C" w:rsidP="00C200D0">
      <w:pPr>
        <w:pStyle w:val="EYBodytextwithparaspace"/>
        <w:rPr>
          <w:rFonts w:cstheme="majorHAnsi"/>
          <w:szCs w:val="20"/>
          <w:lang w:val="en-AU"/>
        </w:rPr>
      </w:pPr>
      <w:r w:rsidRPr="00D14CE9">
        <w:rPr>
          <w:rFonts w:cstheme="majorHAnsi"/>
          <w:szCs w:val="20"/>
          <w:lang w:val="en-AU"/>
        </w:rPr>
        <w:t xml:space="preserve">This Appendix outlines the assumptions and sources of data used for the development of the demand forecast for extractive resources from 2015 to 2050 and summarizes the key inputs, where applicable, used for the development and validation of the demand profile provided to PwC on </w:t>
      </w:r>
      <w:r w:rsidR="00156D50" w:rsidRPr="00D14CE9">
        <w:rPr>
          <w:rFonts w:cstheme="majorHAnsi"/>
          <w:szCs w:val="20"/>
          <w:lang w:val="en-AU"/>
        </w:rPr>
        <w:t>15 February</w:t>
      </w:r>
      <w:r w:rsidRPr="00D14CE9">
        <w:rPr>
          <w:rFonts w:cstheme="majorHAnsi"/>
          <w:szCs w:val="20"/>
          <w:lang w:val="en-AU"/>
        </w:rPr>
        <w:t xml:space="preserve"> 2016.</w:t>
      </w:r>
    </w:p>
    <w:p w:rsidR="00AF4D01" w:rsidRPr="00D14CE9" w:rsidRDefault="002B448C" w:rsidP="00BC1353">
      <w:pPr>
        <w:pStyle w:val="EYBodytextwithparaspace"/>
        <w:rPr>
          <w:lang w:val="en-AU"/>
        </w:rPr>
      </w:pPr>
      <w:r w:rsidRPr="00D14CE9">
        <w:rPr>
          <w:rFonts w:cstheme="majorHAnsi"/>
          <w:szCs w:val="20"/>
          <w:lang w:val="en-AU"/>
        </w:rPr>
        <w:t xml:space="preserve">The Assumptions Book, in relation to the assumptions used to develop and refine the macro-economic driven model, as well as to develop the </w:t>
      </w:r>
      <w:r w:rsidR="00C9521C" w:rsidRPr="00D14CE9">
        <w:rPr>
          <w:rFonts w:cstheme="majorHAnsi"/>
          <w:szCs w:val="20"/>
          <w:lang w:val="en-AU"/>
        </w:rPr>
        <w:t>detailed industry analysis,</w:t>
      </w:r>
      <w:r w:rsidRPr="00D14CE9">
        <w:rPr>
          <w:rFonts w:cstheme="majorHAnsi"/>
          <w:szCs w:val="20"/>
          <w:lang w:val="en-AU"/>
        </w:rPr>
        <w:t xml:space="preserve"> is reliant on the information provided by AECOM and stakeholders consulted. A number of assumptions derive from </w:t>
      </w:r>
      <w:r w:rsidR="00C9521C" w:rsidRPr="00D14CE9">
        <w:rPr>
          <w:rFonts w:cstheme="majorHAnsi"/>
          <w:szCs w:val="20"/>
          <w:lang w:val="en-AU"/>
        </w:rPr>
        <w:t xml:space="preserve">industry </w:t>
      </w:r>
      <w:r w:rsidRPr="00D14CE9">
        <w:rPr>
          <w:rFonts w:cstheme="majorHAnsi"/>
          <w:szCs w:val="20"/>
          <w:lang w:val="en-AU"/>
        </w:rPr>
        <w:t>generalization and rule</w:t>
      </w:r>
      <w:r w:rsidR="00C9521C" w:rsidRPr="00D14CE9">
        <w:rPr>
          <w:rFonts w:cstheme="majorHAnsi"/>
          <w:szCs w:val="20"/>
          <w:lang w:val="en-AU"/>
        </w:rPr>
        <w:t>s-</w:t>
      </w:r>
      <w:r w:rsidRPr="00D14CE9">
        <w:rPr>
          <w:rFonts w:cstheme="majorHAnsi"/>
          <w:szCs w:val="20"/>
          <w:lang w:val="en-AU"/>
        </w:rPr>
        <w:t>of</w:t>
      </w:r>
      <w:r w:rsidR="00C9521C" w:rsidRPr="00D14CE9">
        <w:rPr>
          <w:rFonts w:cstheme="majorHAnsi"/>
          <w:szCs w:val="20"/>
          <w:lang w:val="en-AU"/>
        </w:rPr>
        <w:t>-</w:t>
      </w:r>
      <w:r w:rsidRPr="00D14CE9">
        <w:rPr>
          <w:rFonts w:cstheme="majorHAnsi"/>
          <w:szCs w:val="20"/>
          <w:lang w:val="en-AU"/>
        </w:rPr>
        <w:t xml:space="preserve">thumbs, </w:t>
      </w:r>
      <w:r w:rsidR="00B437D9" w:rsidRPr="00D14CE9">
        <w:rPr>
          <w:rFonts w:cstheme="majorHAnsi"/>
          <w:szCs w:val="20"/>
          <w:lang w:val="en-AU"/>
        </w:rPr>
        <w:t>which we</w:t>
      </w:r>
      <w:r w:rsidR="007400EF" w:rsidRPr="00D14CE9">
        <w:rPr>
          <w:rFonts w:cstheme="majorHAnsi"/>
          <w:szCs w:val="20"/>
          <w:lang w:val="en-AU"/>
        </w:rPr>
        <w:t>re</w:t>
      </w:r>
      <w:r w:rsidR="00B437D9" w:rsidRPr="00D14CE9">
        <w:rPr>
          <w:rFonts w:cstheme="majorHAnsi"/>
          <w:szCs w:val="20"/>
          <w:lang w:val="en-AU"/>
        </w:rPr>
        <w:t xml:space="preserve"> consider</w:t>
      </w:r>
      <w:r w:rsidR="007400EF" w:rsidRPr="00D14CE9">
        <w:rPr>
          <w:rFonts w:cstheme="majorHAnsi"/>
          <w:szCs w:val="20"/>
          <w:lang w:val="en-AU"/>
        </w:rPr>
        <w:t>ed</w:t>
      </w:r>
      <w:r w:rsidR="00B437D9" w:rsidRPr="00D14CE9">
        <w:rPr>
          <w:rFonts w:cstheme="majorHAnsi"/>
          <w:szCs w:val="20"/>
          <w:lang w:val="en-AU"/>
        </w:rPr>
        <w:t xml:space="preserve"> to be an acceptable approach at the industry level but </w:t>
      </w:r>
      <w:r w:rsidRPr="00D14CE9">
        <w:rPr>
          <w:rFonts w:cstheme="majorHAnsi"/>
          <w:szCs w:val="20"/>
          <w:lang w:val="en-AU"/>
        </w:rPr>
        <w:t xml:space="preserve">may not reflect the actual use of extractive resources in </w:t>
      </w:r>
      <w:r w:rsidR="00B437D9" w:rsidRPr="00D14CE9">
        <w:rPr>
          <w:rFonts w:cstheme="majorHAnsi"/>
          <w:szCs w:val="20"/>
          <w:lang w:val="en-AU"/>
        </w:rPr>
        <w:t xml:space="preserve">particular </w:t>
      </w:r>
      <w:r w:rsidRPr="00D14CE9">
        <w:rPr>
          <w:rFonts w:cstheme="majorHAnsi"/>
          <w:szCs w:val="20"/>
          <w:lang w:val="en-AU"/>
        </w:rPr>
        <w:t xml:space="preserve">locations. </w:t>
      </w:r>
    </w:p>
    <w:p w:rsidR="002B448C" w:rsidRPr="00D14CE9" w:rsidRDefault="002B448C" w:rsidP="00BC1353">
      <w:pPr>
        <w:pStyle w:val="ListParagraph"/>
        <w:numPr>
          <w:ilvl w:val="0"/>
          <w:numId w:val="21"/>
        </w:numPr>
        <w:ind w:left="805" w:hanging="805"/>
        <w:rPr>
          <w:rFonts w:ascii="EYInterstate Light" w:hAnsi="EYInterstate Light"/>
          <w:b/>
        </w:rPr>
      </w:pPr>
      <w:r w:rsidRPr="00D14CE9">
        <w:rPr>
          <w:rFonts w:ascii="EYInterstate Light" w:hAnsi="EYInterstate Light"/>
          <w:b/>
        </w:rPr>
        <w:t>Baseline Forecast – Macro-economic driven model</w:t>
      </w:r>
    </w:p>
    <w:p w:rsidR="002B448C" w:rsidRPr="00D14CE9" w:rsidRDefault="002B448C" w:rsidP="00856574">
      <w:pPr>
        <w:pStyle w:val="ListParagraph"/>
        <w:numPr>
          <w:ilvl w:val="1"/>
          <w:numId w:val="21"/>
        </w:numPr>
        <w:ind w:left="806" w:hanging="806"/>
        <w:rPr>
          <w:rFonts w:ascii="EYInterstate Light" w:hAnsi="EYInterstate Light"/>
          <w:b/>
          <w:i/>
        </w:rPr>
      </w:pPr>
      <w:r w:rsidRPr="00D14CE9">
        <w:rPr>
          <w:rFonts w:ascii="EYInterstate Light" w:hAnsi="EYInterstate Light"/>
          <w:b/>
          <w:i/>
        </w:rPr>
        <w:t>Historic data - Correlation analysis</w:t>
      </w:r>
    </w:p>
    <w:p w:rsidR="002B448C" w:rsidRPr="00D14CE9" w:rsidRDefault="002B448C" w:rsidP="00856574">
      <w:pPr>
        <w:pStyle w:val="ListParagraph"/>
        <w:numPr>
          <w:ilvl w:val="2"/>
          <w:numId w:val="21"/>
        </w:numPr>
        <w:ind w:left="810" w:hanging="810"/>
        <w:rPr>
          <w:rFonts w:ascii="EYInterstate Light" w:hAnsi="EYInterstate Light"/>
          <w:i/>
        </w:rPr>
      </w:pPr>
      <w:r w:rsidRPr="00D14CE9">
        <w:rPr>
          <w:rFonts w:ascii="EYInterstate Light" w:hAnsi="EYInterstate Light"/>
          <w:i/>
        </w:rPr>
        <w:t>Demand drivers – Historic data</w:t>
      </w:r>
    </w:p>
    <w:p w:rsidR="002B448C" w:rsidRPr="00D14CE9" w:rsidRDefault="005E25DE" w:rsidP="00C200D0">
      <w:pPr>
        <w:pStyle w:val="EYBodytextwithparaspace"/>
        <w:rPr>
          <w:rFonts w:cstheme="majorHAnsi"/>
          <w:szCs w:val="20"/>
          <w:lang w:val="en-AU"/>
        </w:rPr>
      </w:pPr>
      <w:r>
        <w:rPr>
          <w:rFonts w:cstheme="majorHAnsi"/>
          <w:szCs w:val="20"/>
          <w:lang w:val="en-AU"/>
        </w:rPr>
        <w:fldChar w:fldCharType="begin"/>
      </w:r>
      <w:r>
        <w:rPr>
          <w:rFonts w:cstheme="majorHAnsi"/>
          <w:szCs w:val="20"/>
          <w:lang w:val="en-AU"/>
        </w:rPr>
        <w:instrText xml:space="preserve"> REF _Ref441136395 \h </w:instrText>
      </w:r>
      <w:r>
        <w:rPr>
          <w:rFonts w:cstheme="majorHAnsi"/>
          <w:szCs w:val="20"/>
          <w:lang w:val="en-AU"/>
        </w:rPr>
      </w:r>
      <w:r>
        <w:rPr>
          <w:rFonts w:cstheme="majorHAnsi"/>
          <w:szCs w:val="20"/>
          <w:lang w:val="en-AU"/>
        </w:rPr>
        <w:fldChar w:fldCharType="separate"/>
      </w:r>
      <w:r w:rsidR="00525C82" w:rsidRPr="00D14CE9">
        <w:t xml:space="preserve">Table </w:t>
      </w:r>
      <w:r w:rsidR="00525C82">
        <w:rPr>
          <w:noProof/>
        </w:rPr>
        <w:t>21</w:t>
      </w:r>
      <w:r>
        <w:rPr>
          <w:rFonts w:cstheme="majorHAnsi"/>
          <w:szCs w:val="20"/>
          <w:lang w:val="en-AU"/>
        </w:rPr>
        <w:fldChar w:fldCharType="end"/>
      </w:r>
      <w:r w:rsidR="00E3712F">
        <w:rPr>
          <w:rFonts w:cstheme="majorHAnsi"/>
          <w:szCs w:val="20"/>
          <w:lang w:val="en-AU"/>
        </w:rPr>
        <w:t xml:space="preserve"> </w:t>
      </w:r>
      <w:r w:rsidR="002B448C" w:rsidRPr="00D14CE9">
        <w:rPr>
          <w:rFonts w:cstheme="majorHAnsi"/>
          <w:szCs w:val="20"/>
          <w:lang w:val="en-AU"/>
        </w:rPr>
        <w:t xml:space="preserve">below indicates the sources of demand drivers’ historic data used to undertake regression analyses required for the development of the baseline macro-economic driven demand model. </w:t>
      </w:r>
    </w:p>
    <w:tbl>
      <w:tblPr>
        <w:tblW w:w="91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21"/>
        <w:tblDescription w:val="Table 21 shows the sources of demand driven historic data.&#10;The source of Employment Growth (1993 – 2014) is ABS 6202.0 Labour Force, Australia / Table 5. Labour force status by Sex, Victoria - Trend, Seasonally adjusted and Original / Employed Total Persons (Series ID A84423685F). the source of Gross State Product (1993 – 2014) is Victorian Department of Treasury and Finance - 2015-2016 Budget (Australian Bureau of Statistics - 5220.0). the source of Interest Rate (1993 – 2014) is A2 Reserve Bank of Australia – Monetary Policy Changes. The source of Population Growth (1993 – 2014) is ABS Estimated Resident Population (ERP) by LGA 1991-2014.  The source of Population Growth  (2014-2015) is VIF 2015 – Use of 2011 and 2021 data, which allowed deriving an average annual growth rate (AAGR) in 2015.  &#10;"/>
      </w:tblPr>
      <w:tblGrid>
        <w:gridCol w:w="2430"/>
        <w:gridCol w:w="6732"/>
      </w:tblGrid>
      <w:tr w:rsidR="002C7962" w:rsidRPr="00D14CE9" w:rsidTr="003E25FF">
        <w:trPr>
          <w:trHeight w:val="315"/>
        </w:trPr>
        <w:tc>
          <w:tcPr>
            <w:tcW w:w="9162" w:type="dxa"/>
            <w:gridSpan w:val="2"/>
            <w:shd w:val="clear" w:color="auto" w:fill="808080"/>
            <w:noWrap/>
            <w:vAlign w:val="bottom"/>
          </w:tcPr>
          <w:p w:rsidR="002C7962" w:rsidRPr="00D14CE9" w:rsidRDefault="00E96DD9" w:rsidP="00802792">
            <w:pPr>
              <w:pStyle w:val="EYTableHeadingWhite"/>
              <w:rPr>
                <w:rFonts w:eastAsia="Arial Unicode MS"/>
              </w:rPr>
            </w:pPr>
            <w:bookmarkStart w:id="697" w:name="_Ref441136395"/>
            <w:bookmarkStart w:id="698" w:name="_Toc445240955"/>
            <w:bookmarkStart w:id="699" w:name="_Toc448914648"/>
            <w:bookmarkStart w:id="700" w:name="_Toc448920465"/>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21</w:t>
            </w:r>
            <w:r w:rsidR="00A9654D" w:rsidRPr="00802792">
              <w:fldChar w:fldCharType="end"/>
            </w:r>
            <w:bookmarkEnd w:id="697"/>
            <w:r w:rsidRPr="00D14CE9">
              <w:t xml:space="preserve"> – Demand Drivers Historic Data - Sources</w:t>
            </w:r>
            <w:bookmarkEnd w:id="698"/>
            <w:bookmarkEnd w:id="699"/>
            <w:bookmarkEnd w:id="700"/>
          </w:p>
        </w:tc>
      </w:tr>
      <w:tr w:rsidR="00E96DD9" w:rsidRPr="00D14CE9" w:rsidTr="003637FD">
        <w:tc>
          <w:tcPr>
            <w:tcW w:w="2430" w:type="dxa"/>
            <w:shd w:val="clear" w:color="auto" w:fill="F0F0F0"/>
            <w:vAlign w:val="center"/>
          </w:tcPr>
          <w:p w:rsidR="00E96DD9" w:rsidRPr="00D14CE9" w:rsidRDefault="00E96DD9" w:rsidP="00E65C9D">
            <w:pPr>
              <w:pStyle w:val="EYTableHeading"/>
              <w:rPr>
                <w:rFonts w:eastAsia="Arial Unicode MS"/>
              </w:rPr>
            </w:pPr>
            <w:r w:rsidRPr="00D14CE9">
              <w:t>Item</w:t>
            </w:r>
          </w:p>
        </w:tc>
        <w:tc>
          <w:tcPr>
            <w:tcW w:w="6732" w:type="dxa"/>
            <w:shd w:val="clear" w:color="auto" w:fill="F0F0F0"/>
            <w:vAlign w:val="center"/>
          </w:tcPr>
          <w:p w:rsidR="00E96DD9" w:rsidRPr="00D14CE9" w:rsidRDefault="00E96DD9">
            <w:pPr>
              <w:pStyle w:val="EYTableHeading"/>
              <w:rPr>
                <w:rFonts w:eastAsia="Arial Unicode MS"/>
              </w:rPr>
            </w:pPr>
            <w:r w:rsidRPr="00D14CE9">
              <w:t>Sources</w:t>
            </w:r>
          </w:p>
        </w:tc>
      </w:tr>
      <w:tr w:rsidR="00E96DD9" w:rsidRPr="00D14CE9" w:rsidTr="003637FD">
        <w:trPr>
          <w:trHeight w:val="315"/>
        </w:trPr>
        <w:tc>
          <w:tcPr>
            <w:tcW w:w="2430" w:type="dxa"/>
            <w:noWrap/>
          </w:tcPr>
          <w:p w:rsidR="00E96DD9" w:rsidRPr="00D14CE9" w:rsidRDefault="00E96DD9" w:rsidP="003A1975">
            <w:pPr>
              <w:rPr>
                <w:sz w:val="16"/>
                <w:szCs w:val="16"/>
              </w:rPr>
            </w:pPr>
            <w:r w:rsidRPr="00D14CE9">
              <w:rPr>
                <w:sz w:val="16"/>
                <w:szCs w:val="16"/>
              </w:rPr>
              <w:t xml:space="preserve">Employment Growth (1993 – </w:t>
            </w:r>
            <w:r w:rsidR="003A1975" w:rsidRPr="00D14CE9">
              <w:rPr>
                <w:sz w:val="16"/>
                <w:szCs w:val="16"/>
              </w:rPr>
              <w:t>2014</w:t>
            </w:r>
            <w:r w:rsidRPr="00D14CE9">
              <w:rPr>
                <w:sz w:val="16"/>
                <w:szCs w:val="16"/>
              </w:rPr>
              <w:t>)</w:t>
            </w:r>
          </w:p>
        </w:tc>
        <w:tc>
          <w:tcPr>
            <w:tcW w:w="6732" w:type="dxa"/>
            <w:noWrap/>
          </w:tcPr>
          <w:p w:rsidR="00E96DD9" w:rsidRPr="00D14CE9" w:rsidRDefault="00E96DD9" w:rsidP="001D45F4">
            <w:pPr>
              <w:rPr>
                <w:sz w:val="16"/>
                <w:szCs w:val="16"/>
              </w:rPr>
            </w:pPr>
            <w:r w:rsidRPr="00D14CE9">
              <w:rPr>
                <w:sz w:val="16"/>
                <w:szCs w:val="16"/>
              </w:rPr>
              <w:t>ABS 6202.0 Labour Force, Australia / Table 5. Labour force status by Sex, Victoria - Trend, Seasonally adjusted and Original / Employed Total Persons (Series ID A84423685F)</w:t>
            </w:r>
          </w:p>
        </w:tc>
      </w:tr>
      <w:tr w:rsidR="00E96DD9" w:rsidRPr="00D14CE9" w:rsidTr="003637FD">
        <w:trPr>
          <w:trHeight w:val="315"/>
        </w:trPr>
        <w:tc>
          <w:tcPr>
            <w:tcW w:w="2430" w:type="dxa"/>
            <w:noWrap/>
          </w:tcPr>
          <w:p w:rsidR="00E96DD9" w:rsidRPr="00D14CE9" w:rsidRDefault="00E96DD9" w:rsidP="003A1975">
            <w:pPr>
              <w:rPr>
                <w:sz w:val="16"/>
                <w:szCs w:val="16"/>
              </w:rPr>
            </w:pPr>
            <w:r w:rsidRPr="00D14CE9">
              <w:rPr>
                <w:sz w:val="16"/>
                <w:szCs w:val="16"/>
              </w:rPr>
              <w:t xml:space="preserve">Gross State Product (1993 – </w:t>
            </w:r>
            <w:r w:rsidR="003A1975" w:rsidRPr="00D14CE9">
              <w:rPr>
                <w:sz w:val="16"/>
                <w:szCs w:val="16"/>
              </w:rPr>
              <w:t>2014</w:t>
            </w:r>
            <w:r w:rsidRPr="00D14CE9">
              <w:rPr>
                <w:sz w:val="16"/>
                <w:szCs w:val="16"/>
              </w:rPr>
              <w:t>)</w:t>
            </w:r>
          </w:p>
        </w:tc>
        <w:tc>
          <w:tcPr>
            <w:tcW w:w="6732" w:type="dxa"/>
            <w:noWrap/>
          </w:tcPr>
          <w:p w:rsidR="00E96DD9" w:rsidRPr="00D14CE9" w:rsidRDefault="00E96DD9" w:rsidP="001D45F4">
            <w:pPr>
              <w:rPr>
                <w:sz w:val="16"/>
                <w:szCs w:val="16"/>
              </w:rPr>
            </w:pPr>
            <w:r w:rsidRPr="00D14CE9">
              <w:rPr>
                <w:sz w:val="16"/>
                <w:szCs w:val="16"/>
              </w:rPr>
              <w:t>Victorian Department of Treasury and Finance - 2015-2016 Budget (Australian Bureau of Statistics - 5220.0)</w:t>
            </w:r>
          </w:p>
        </w:tc>
      </w:tr>
      <w:tr w:rsidR="00E96DD9" w:rsidRPr="00D14CE9" w:rsidTr="003637FD">
        <w:trPr>
          <w:trHeight w:val="315"/>
        </w:trPr>
        <w:tc>
          <w:tcPr>
            <w:tcW w:w="2430" w:type="dxa"/>
            <w:noWrap/>
          </w:tcPr>
          <w:p w:rsidR="00E96DD9" w:rsidRPr="00D14CE9" w:rsidRDefault="00E96DD9" w:rsidP="003A1975">
            <w:pPr>
              <w:rPr>
                <w:sz w:val="16"/>
                <w:szCs w:val="16"/>
              </w:rPr>
            </w:pPr>
            <w:r w:rsidRPr="00D14CE9">
              <w:rPr>
                <w:sz w:val="16"/>
                <w:szCs w:val="16"/>
              </w:rPr>
              <w:t xml:space="preserve">Interest Rate (1993 – </w:t>
            </w:r>
            <w:r w:rsidR="003A1975" w:rsidRPr="00D14CE9">
              <w:rPr>
                <w:sz w:val="16"/>
                <w:szCs w:val="16"/>
              </w:rPr>
              <w:t>2014</w:t>
            </w:r>
            <w:r w:rsidRPr="00D14CE9">
              <w:rPr>
                <w:sz w:val="16"/>
                <w:szCs w:val="16"/>
              </w:rPr>
              <w:t>)</w:t>
            </w:r>
          </w:p>
        </w:tc>
        <w:tc>
          <w:tcPr>
            <w:tcW w:w="6732" w:type="dxa"/>
            <w:noWrap/>
          </w:tcPr>
          <w:p w:rsidR="00E96DD9" w:rsidRPr="00D14CE9" w:rsidRDefault="00E96DD9" w:rsidP="001D45F4">
            <w:pPr>
              <w:rPr>
                <w:sz w:val="16"/>
                <w:szCs w:val="16"/>
              </w:rPr>
            </w:pPr>
            <w:r w:rsidRPr="00D14CE9">
              <w:rPr>
                <w:sz w:val="16"/>
                <w:szCs w:val="16"/>
              </w:rPr>
              <w:t xml:space="preserve">A2 Reserve Bank of Australia – Monetary Policy Changes </w:t>
            </w:r>
          </w:p>
        </w:tc>
      </w:tr>
      <w:tr w:rsidR="00E96DD9" w:rsidRPr="00D14CE9" w:rsidTr="003637FD">
        <w:trPr>
          <w:trHeight w:val="315"/>
        </w:trPr>
        <w:tc>
          <w:tcPr>
            <w:tcW w:w="2430" w:type="dxa"/>
            <w:noWrap/>
          </w:tcPr>
          <w:p w:rsidR="00E96DD9" w:rsidRPr="00D14CE9" w:rsidRDefault="00E96DD9" w:rsidP="003A1975">
            <w:pPr>
              <w:rPr>
                <w:sz w:val="16"/>
                <w:szCs w:val="16"/>
              </w:rPr>
            </w:pPr>
            <w:r w:rsidRPr="00D14CE9">
              <w:rPr>
                <w:sz w:val="16"/>
                <w:szCs w:val="16"/>
              </w:rPr>
              <w:t xml:space="preserve">Population Growth (1993 – </w:t>
            </w:r>
            <w:r w:rsidR="003A1975" w:rsidRPr="00D14CE9">
              <w:rPr>
                <w:sz w:val="16"/>
                <w:szCs w:val="16"/>
              </w:rPr>
              <w:t>2014</w:t>
            </w:r>
            <w:r w:rsidRPr="00D14CE9">
              <w:rPr>
                <w:sz w:val="16"/>
                <w:szCs w:val="16"/>
              </w:rPr>
              <w:t>)</w:t>
            </w:r>
          </w:p>
        </w:tc>
        <w:tc>
          <w:tcPr>
            <w:tcW w:w="6732" w:type="dxa"/>
            <w:noWrap/>
          </w:tcPr>
          <w:p w:rsidR="00E96DD9" w:rsidRPr="00D14CE9" w:rsidRDefault="00E96DD9" w:rsidP="003A1975">
            <w:pPr>
              <w:rPr>
                <w:sz w:val="16"/>
                <w:szCs w:val="16"/>
              </w:rPr>
            </w:pPr>
            <w:r w:rsidRPr="00D14CE9">
              <w:rPr>
                <w:sz w:val="16"/>
                <w:szCs w:val="16"/>
              </w:rPr>
              <w:t>ABS Estimated Resident Population (ERP) by LGA 1991-</w:t>
            </w:r>
            <w:r w:rsidR="003A1975" w:rsidRPr="00D14CE9">
              <w:rPr>
                <w:sz w:val="16"/>
                <w:szCs w:val="16"/>
              </w:rPr>
              <w:t>2014</w:t>
            </w:r>
            <w:r w:rsidRPr="00D14CE9">
              <w:rPr>
                <w:sz w:val="16"/>
                <w:szCs w:val="16"/>
              </w:rPr>
              <w:t>.</w:t>
            </w:r>
          </w:p>
        </w:tc>
      </w:tr>
      <w:tr w:rsidR="00E96DD9" w:rsidRPr="00D14CE9" w:rsidTr="003637FD">
        <w:trPr>
          <w:trHeight w:val="315"/>
        </w:trPr>
        <w:tc>
          <w:tcPr>
            <w:tcW w:w="2430" w:type="dxa"/>
            <w:noWrap/>
          </w:tcPr>
          <w:p w:rsidR="00E96DD9" w:rsidRPr="00D14CE9" w:rsidRDefault="00E96DD9" w:rsidP="003A1975">
            <w:pPr>
              <w:rPr>
                <w:sz w:val="16"/>
                <w:szCs w:val="16"/>
              </w:rPr>
            </w:pPr>
            <w:r w:rsidRPr="00D14CE9">
              <w:rPr>
                <w:sz w:val="16"/>
                <w:szCs w:val="16"/>
              </w:rPr>
              <w:t>Population Growth  (</w:t>
            </w:r>
            <w:r w:rsidR="003A1975" w:rsidRPr="00D14CE9">
              <w:rPr>
                <w:sz w:val="16"/>
                <w:szCs w:val="16"/>
              </w:rPr>
              <w:t>2014</w:t>
            </w:r>
            <w:r w:rsidRPr="00D14CE9">
              <w:rPr>
                <w:sz w:val="16"/>
                <w:szCs w:val="16"/>
              </w:rPr>
              <w:t>-</w:t>
            </w:r>
            <w:r w:rsidR="003A1975" w:rsidRPr="00D14CE9">
              <w:rPr>
                <w:sz w:val="16"/>
                <w:szCs w:val="16"/>
              </w:rPr>
              <w:t>2015</w:t>
            </w:r>
            <w:r w:rsidRPr="00D14CE9">
              <w:rPr>
                <w:sz w:val="16"/>
                <w:szCs w:val="16"/>
              </w:rPr>
              <w:t>)</w:t>
            </w:r>
          </w:p>
        </w:tc>
        <w:tc>
          <w:tcPr>
            <w:tcW w:w="6732" w:type="dxa"/>
            <w:noWrap/>
          </w:tcPr>
          <w:p w:rsidR="00E96DD9" w:rsidRPr="00D14CE9" w:rsidRDefault="00E96DD9" w:rsidP="003A1975">
            <w:pPr>
              <w:rPr>
                <w:sz w:val="16"/>
                <w:szCs w:val="16"/>
              </w:rPr>
            </w:pPr>
            <w:r w:rsidRPr="00D14CE9">
              <w:rPr>
                <w:sz w:val="16"/>
                <w:szCs w:val="16"/>
              </w:rPr>
              <w:t xml:space="preserve">VIF 2015 – Use of 2011 and 2021 data, which allowed deriving an average annual growth rate (AAGR) in </w:t>
            </w:r>
            <w:r w:rsidR="003A1975" w:rsidRPr="00D14CE9">
              <w:rPr>
                <w:sz w:val="16"/>
                <w:szCs w:val="16"/>
              </w:rPr>
              <w:t>2015</w:t>
            </w:r>
            <w:r w:rsidRPr="00D14CE9">
              <w:rPr>
                <w:sz w:val="16"/>
                <w:szCs w:val="16"/>
              </w:rPr>
              <w:t xml:space="preserve">.  </w:t>
            </w:r>
          </w:p>
        </w:tc>
      </w:tr>
    </w:tbl>
    <w:p w:rsidR="002C7962" w:rsidRPr="003637FD" w:rsidRDefault="00486FB4" w:rsidP="00C200D0">
      <w:pPr>
        <w:pStyle w:val="EYBodytextwithparaspace"/>
        <w:rPr>
          <w:rFonts w:cstheme="majorHAnsi"/>
          <w:i/>
          <w:sz w:val="16"/>
          <w:szCs w:val="16"/>
          <w:lang w:val="en-AU"/>
        </w:rPr>
      </w:pPr>
      <w:r w:rsidRPr="003637FD">
        <w:rPr>
          <w:rFonts w:cstheme="majorHAnsi"/>
          <w:i/>
          <w:sz w:val="16"/>
          <w:szCs w:val="16"/>
          <w:lang w:val="en-AU"/>
        </w:rPr>
        <w:t>Source: EY data</w:t>
      </w:r>
    </w:p>
    <w:p w:rsidR="002B448C" w:rsidRPr="00D14CE9" w:rsidRDefault="002B448C" w:rsidP="00856574">
      <w:pPr>
        <w:pStyle w:val="ListParagraph"/>
        <w:numPr>
          <w:ilvl w:val="2"/>
          <w:numId w:val="21"/>
        </w:numPr>
        <w:ind w:left="810" w:hanging="810"/>
        <w:rPr>
          <w:rFonts w:ascii="EYInterstate Light" w:hAnsi="EYInterstate Light"/>
          <w:i/>
        </w:rPr>
      </w:pPr>
      <w:r w:rsidRPr="00D14CE9">
        <w:rPr>
          <w:rFonts w:ascii="EYInterstate Light" w:hAnsi="EYInterstate Light"/>
          <w:i/>
        </w:rPr>
        <w:t>Construction activities – Historic data</w:t>
      </w:r>
    </w:p>
    <w:p w:rsidR="002B448C" w:rsidRPr="00D14CE9" w:rsidRDefault="005E25DE" w:rsidP="00C200D0">
      <w:pPr>
        <w:pStyle w:val="EYBodytextwithparaspace"/>
        <w:rPr>
          <w:rFonts w:cstheme="majorHAnsi"/>
          <w:szCs w:val="20"/>
          <w:lang w:val="en-AU"/>
        </w:rPr>
      </w:pPr>
      <w:r>
        <w:rPr>
          <w:rFonts w:cstheme="majorHAnsi"/>
          <w:szCs w:val="20"/>
          <w:lang w:val="en-AU"/>
        </w:rPr>
        <w:fldChar w:fldCharType="begin"/>
      </w:r>
      <w:r>
        <w:rPr>
          <w:rFonts w:cstheme="majorHAnsi"/>
          <w:szCs w:val="20"/>
          <w:lang w:val="en-AU"/>
        </w:rPr>
        <w:instrText xml:space="preserve"> REF _Ref441136436 \h </w:instrText>
      </w:r>
      <w:r>
        <w:rPr>
          <w:rFonts w:cstheme="majorHAnsi"/>
          <w:szCs w:val="20"/>
          <w:lang w:val="en-AU"/>
        </w:rPr>
      </w:r>
      <w:r>
        <w:rPr>
          <w:rFonts w:cstheme="majorHAnsi"/>
          <w:szCs w:val="20"/>
          <w:lang w:val="en-AU"/>
        </w:rPr>
        <w:fldChar w:fldCharType="separate"/>
      </w:r>
      <w:r w:rsidR="00525C82" w:rsidRPr="00D14CE9">
        <w:t xml:space="preserve">Table </w:t>
      </w:r>
      <w:r w:rsidR="00525C82">
        <w:rPr>
          <w:noProof/>
        </w:rPr>
        <w:t>22</w:t>
      </w:r>
      <w:r>
        <w:rPr>
          <w:rFonts w:cstheme="majorHAnsi"/>
          <w:szCs w:val="20"/>
          <w:lang w:val="en-AU"/>
        </w:rPr>
        <w:fldChar w:fldCharType="end"/>
      </w:r>
      <w:r>
        <w:rPr>
          <w:rFonts w:cstheme="majorHAnsi"/>
          <w:szCs w:val="20"/>
          <w:lang w:val="en-AU"/>
        </w:rPr>
        <w:t xml:space="preserve"> </w:t>
      </w:r>
      <w:r w:rsidR="002B448C" w:rsidRPr="00D14CE9">
        <w:rPr>
          <w:rFonts w:cstheme="majorHAnsi"/>
          <w:szCs w:val="20"/>
          <w:lang w:val="en-AU"/>
        </w:rPr>
        <w:t xml:space="preserve">below indicates the sources of construction activities’ historic data used to undertake regression analyses required for the development of the baseline macro-economic driven demand model. </w:t>
      </w:r>
    </w:p>
    <w:p w:rsidR="002B448C" w:rsidRPr="00D14CE9" w:rsidRDefault="002B448C" w:rsidP="00C200D0">
      <w:pPr>
        <w:pStyle w:val="EYBodytextwithparaspace"/>
        <w:rPr>
          <w:rFonts w:cstheme="majorHAnsi"/>
          <w:szCs w:val="20"/>
          <w:lang w:val="en-AU"/>
        </w:rPr>
      </w:pPr>
      <w:r w:rsidRPr="00D14CE9">
        <w:rPr>
          <w:rFonts w:cstheme="majorHAnsi"/>
          <w:szCs w:val="20"/>
          <w:lang w:val="en-AU"/>
        </w:rPr>
        <w:t>Nominal values of the works done being provided per type of construction activity by the ABS, all construction activity data have been adjusted for inflation to obtain the real values and eliminate the impact of inflation in the regression analyses, using Melbourne Producer Price Index inputs.</w:t>
      </w:r>
    </w:p>
    <w:tbl>
      <w:tblPr>
        <w:tblW w:w="91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22 "/>
        <w:tblDescription w:val="Table 22 shows the sources of construction activities historic data. The source of Residential Activity (1993 – 2014) is ABS 8752.0 Building Activity, Australia / Table 42. Value of Building Work by Sector, Victoria: Original: Total Residential (Series ID A83801931L). the source of Non Residential  Activity (2002 – 2014) is ABS 8752.0 Building Activity, Australia / Table 53. Value of Value of Non-residential Building Work Done, by Sector, Victoria: Original: Total Commercial Buildings (Series ID A1011348R) Total Education Buildings (Series ID A1094082L) Total Health Buildings (Series ID A988727F). The source of Transport Activity (1993 – 2014) is ABS 8762.0 Engineering Construction Activity, Australia / Table 16. Value of Work Done, by Sector, Victoria, Original: Roads, Highway and Subdivisions (Series ID A1839245X) Bridges, Railways and Harbours (Series ID A1839293T). The source of Energy and Utility Activity (1993 – 2014) is ABS 8762.0 Engineering Construction Activity, Australia / Table 16. Value of Work Done, by Sector, Victoria, Original: Electricity generation, transmission etc. and pipelines (Series ID A1839296X) Water storage and supply, sewerage and drainage (Series ID A1839299F). The source of Producer Price Index (1993-2014) is ABS 6427.0 Producer Price Indexes, Australia / Table 18. Input to the House construction industry, six state capital cities, weighted average and city, index numbers and percentage changes: Melbourne (Series ID A2390462F)."/>
      </w:tblPr>
      <w:tblGrid>
        <w:gridCol w:w="2430"/>
        <w:gridCol w:w="6732"/>
      </w:tblGrid>
      <w:tr w:rsidR="00A6084E" w:rsidRPr="00D14CE9" w:rsidTr="003E25FF">
        <w:trPr>
          <w:trHeight w:val="315"/>
          <w:tblHeader/>
        </w:trPr>
        <w:tc>
          <w:tcPr>
            <w:tcW w:w="9162" w:type="dxa"/>
            <w:gridSpan w:val="2"/>
            <w:shd w:val="clear" w:color="auto" w:fill="808080"/>
            <w:noWrap/>
            <w:vAlign w:val="bottom"/>
          </w:tcPr>
          <w:p w:rsidR="00A6084E" w:rsidRPr="00D14CE9" w:rsidRDefault="00A6084E" w:rsidP="00802792">
            <w:pPr>
              <w:pStyle w:val="EYTableHeadingWhite"/>
              <w:rPr>
                <w:rFonts w:eastAsia="Arial Unicode MS"/>
              </w:rPr>
            </w:pPr>
            <w:bookmarkStart w:id="701" w:name="_Ref441136436"/>
            <w:bookmarkStart w:id="702" w:name="_Toc445240956"/>
            <w:bookmarkStart w:id="703" w:name="_Toc448914649"/>
            <w:bookmarkStart w:id="704" w:name="_Toc448920466"/>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22</w:t>
            </w:r>
            <w:r w:rsidR="00A9654D" w:rsidRPr="00802792">
              <w:fldChar w:fldCharType="end"/>
            </w:r>
            <w:bookmarkEnd w:id="701"/>
            <w:r w:rsidRPr="00D14CE9">
              <w:t xml:space="preserve"> – Construction Activities Historic Data ($) - Sources</w:t>
            </w:r>
            <w:bookmarkEnd w:id="702"/>
            <w:bookmarkEnd w:id="703"/>
            <w:bookmarkEnd w:id="704"/>
          </w:p>
        </w:tc>
      </w:tr>
      <w:tr w:rsidR="00A6084E" w:rsidRPr="00D14CE9" w:rsidTr="003637FD">
        <w:trPr>
          <w:tblHeader/>
        </w:trPr>
        <w:tc>
          <w:tcPr>
            <w:tcW w:w="2430" w:type="dxa"/>
            <w:shd w:val="clear" w:color="auto" w:fill="F0F0F0"/>
            <w:vAlign w:val="center"/>
          </w:tcPr>
          <w:p w:rsidR="00A6084E" w:rsidRPr="00D14CE9" w:rsidRDefault="00A6084E" w:rsidP="00E65C9D">
            <w:pPr>
              <w:pStyle w:val="EYTableHeading"/>
              <w:rPr>
                <w:rFonts w:eastAsia="Arial Unicode MS"/>
              </w:rPr>
            </w:pPr>
            <w:r w:rsidRPr="00D14CE9">
              <w:t>Item</w:t>
            </w:r>
          </w:p>
        </w:tc>
        <w:tc>
          <w:tcPr>
            <w:tcW w:w="6732" w:type="dxa"/>
            <w:shd w:val="clear" w:color="auto" w:fill="F0F0F0"/>
            <w:vAlign w:val="center"/>
          </w:tcPr>
          <w:p w:rsidR="00A6084E" w:rsidRPr="00D14CE9" w:rsidRDefault="00A6084E">
            <w:pPr>
              <w:pStyle w:val="EYTableHeading"/>
              <w:rPr>
                <w:rFonts w:eastAsia="Arial Unicode MS"/>
              </w:rPr>
            </w:pPr>
            <w:r w:rsidRPr="00D14CE9">
              <w:t>Sources</w:t>
            </w:r>
          </w:p>
        </w:tc>
      </w:tr>
      <w:tr w:rsidR="00A6084E" w:rsidRPr="00D14CE9" w:rsidTr="003637FD">
        <w:trPr>
          <w:trHeight w:val="315"/>
        </w:trPr>
        <w:tc>
          <w:tcPr>
            <w:tcW w:w="2430" w:type="dxa"/>
            <w:noWrap/>
          </w:tcPr>
          <w:p w:rsidR="00A6084E" w:rsidRPr="00D14CE9" w:rsidRDefault="00A6084E" w:rsidP="0086286E">
            <w:pPr>
              <w:rPr>
                <w:sz w:val="16"/>
                <w:szCs w:val="16"/>
              </w:rPr>
            </w:pPr>
            <w:r w:rsidRPr="00D14CE9">
              <w:rPr>
                <w:sz w:val="16"/>
                <w:szCs w:val="16"/>
              </w:rPr>
              <w:t xml:space="preserve">Residential Activity (1993 – </w:t>
            </w:r>
            <w:r w:rsidR="0086286E" w:rsidRPr="00D14CE9">
              <w:rPr>
                <w:sz w:val="16"/>
                <w:szCs w:val="16"/>
              </w:rPr>
              <w:t>2014</w:t>
            </w:r>
            <w:r w:rsidRPr="00D14CE9">
              <w:rPr>
                <w:sz w:val="16"/>
                <w:szCs w:val="16"/>
              </w:rPr>
              <w:t>)</w:t>
            </w:r>
          </w:p>
        </w:tc>
        <w:tc>
          <w:tcPr>
            <w:tcW w:w="6732" w:type="dxa"/>
            <w:noWrap/>
            <w:vAlign w:val="bottom"/>
          </w:tcPr>
          <w:p w:rsidR="00A6084E" w:rsidRPr="00D14CE9" w:rsidRDefault="00A6084E" w:rsidP="00A6084E">
            <w:pPr>
              <w:rPr>
                <w:sz w:val="16"/>
                <w:szCs w:val="16"/>
              </w:rPr>
            </w:pPr>
            <w:r w:rsidRPr="00D14CE9">
              <w:rPr>
                <w:sz w:val="16"/>
                <w:szCs w:val="16"/>
              </w:rPr>
              <w:t>ABS 8752.0 Building Activity, Australia / Table 42. Value of Building Work by Sector, Victoria: Original:</w:t>
            </w:r>
          </w:p>
          <w:p w:rsidR="00A6084E" w:rsidRPr="00D14CE9" w:rsidRDefault="00A6084E" w:rsidP="00A6084E">
            <w:pPr>
              <w:rPr>
                <w:sz w:val="16"/>
                <w:szCs w:val="16"/>
              </w:rPr>
            </w:pPr>
            <w:r w:rsidRPr="00D14CE9">
              <w:rPr>
                <w:sz w:val="16"/>
                <w:szCs w:val="16"/>
              </w:rPr>
              <w:t>Total Residential (Series ID A83801931L)</w:t>
            </w:r>
          </w:p>
        </w:tc>
      </w:tr>
      <w:tr w:rsidR="00A6084E" w:rsidRPr="00D14CE9" w:rsidTr="003637FD">
        <w:trPr>
          <w:trHeight w:val="315"/>
        </w:trPr>
        <w:tc>
          <w:tcPr>
            <w:tcW w:w="2430" w:type="dxa"/>
            <w:noWrap/>
          </w:tcPr>
          <w:p w:rsidR="00A6084E" w:rsidRPr="00D14CE9" w:rsidRDefault="00A6084E" w:rsidP="0086286E">
            <w:pPr>
              <w:rPr>
                <w:sz w:val="16"/>
                <w:szCs w:val="16"/>
              </w:rPr>
            </w:pPr>
            <w:r w:rsidRPr="00D14CE9">
              <w:rPr>
                <w:sz w:val="16"/>
                <w:szCs w:val="16"/>
              </w:rPr>
              <w:t xml:space="preserve">Non Residential  Activity (2002 – </w:t>
            </w:r>
            <w:r w:rsidR="0086286E" w:rsidRPr="00D14CE9">
              <w:rPr>
                <w:sz w:val="16"/>
                <w:szCs w:val="16"/>
              </w:rPr>
              <w:t>2014</w:t>
            </w:r>
            <w:r w:rsidRPr="00D14CE9">
              <w:rPr>
                <w:sz w:val="16"/>
                <w:szCs w:val="16"/>
              </w:rPr>
              <w:t>)</w:t>
            </w:r>
          </w:p>
        </w:tc>
        <w:tc>
          <w:tcPr>
            <w:tcW w:w="6732" w:type="dxa"/>
            <w:noWrap/>
            <w:vAlign w:val="bottom"/>
          </w:tcPr>
          <w:p w:rsidR="00A6084E" w:rsidRPr="00D14CE9" w:rsidRDefault="00A6084E" w:rsidP="00A6084E">
            <w:pPr>
              <w:rPr>
                <w:sz w:val="16"/>
                <w:szCs w:val="16"/>
              </w:rPr>
            </w:pPr>
            <w:r w:rsidRPr="00D14CE9">
              <w:rPr>
                <w:sz w:val="16"/>
                <w:szCs w:val="16"/>
              </w:rPr>
              <w:t>ABS 8752.0 Building Activity, Australia / Table 53. Value of Value of Non-residential Building Work Done, by Sector, Victoria: Original:</w:t>
            </w:r>
          </w:p>
          <w:p w:rsidR="00A6084E" w:rsidRPr="00D14CE9" w:rsidRDefault="00A6084E" w:rsidP="00A6084E">
            <w:pPr>
              <w:rPr>
                <w:sz w:val="16"/>
                <w:szCs w:val="16"/>
              </w:rPr>
            </w:pPr>
            <w:r w:rsidRPr="00D14CE9">
              <w:rPr>
                <w:sz w:val="16"/>
                <w:szCs w:val="16"/>
              </w:rPr>
              <w:t>Total Commercial Buildings (Series ID A1011348R)</w:t>
            </w:r>
          </w:p>
          <w:p w:rsidR="00A6084E" w:rsidRPr="00D14CE9" w:rsidRDefault="00A6084E" w:rsidP="00A6084E">
            <w:pPr>
              <w:rPr>
                <w:sz w:val="16"/>
                <w:szCs w:val="16"/>
              </w:rPr>
            </w:pPr>
            <w:r w:rsidRPr="00D14CE9">
              <w:rPr>
                <w:sz w:val="16"/>
                <w:szCs w:val="16"/>
              </w:rPr>
              <w:t>Total Education Buildings (Series ID A1094082L)</w:t>
            </w:r>
          </w:p>
          <w:p w:rsidR="00A6084E" w:rsidRPr="00D14CE9" w:rsidRDefault="00A6084E" w:rsidP="00A6084E">
            <w:pPr>
              <w:rPr>
                <w:sz w:val="16"/>
                <w:szCs w:val="16"/>
              </w:rPr>
            </w:pPr>
            <w:r w:rsidRPr="00D14CE9">
              <w:rPr>
                <w:sz w:val="16"/>
                <w:szCs w:val="16"/>
              </w:rPr>
              <w:t>Total Health Buildings (Series ID A988727F)</w:t>
            </w:r>
          </w:p>
        </w:tc>
      </w:tr>
      <w:tr w:rsidR="00A6084E" w:rsidRPr="00D14CE9" w:rsidTr="003637FD">
        <w:trPr>
          <w:trHeight w:val="315"/>
        </w:trPr>
        <w:tc>
          <w:tcPr>
            <w:tcW w:w="2430" w:type="dxa"/>
            <w:noWrap/>
          </w:tcPr>
          <w:p w:rsidR="00A6084E" w:rsidRPr="00D14CE9" w:rsidRDefault="00A6084E" w:rsidP="0086286E">
            <w:pPr>
              <w:rPr>
                <w:sz w:val="16"/>
                <w:szCs w:val="16"/>
              </w:rPr>
            </w:pPr>
            <w:r w:rsidRPr="00D14CE9">
              <w:rPr>
                <w:sz w:val="16"/>
                <w:szCs w:val="16"/>
              </w:rPr>
              <w:t xml:space="preserve">Transport Activity (1993 – </w:t>
            </w:r>
            <w:r w:rsidR="0086286E" w:rsidRPr="00D14CE9">
              <w:rPr>
                <w:sz w:val="16"/>
                <w:szCs w:val="16"/>
              </w:rPr>
              <w:t>2014</w:t>
            </w:r>
            <w:r w:rsidRPr="00D14CE9">
              <w:rPr>
                <w:sz w:val="16"/>
                <w:szCs w:val="16"/>
              </w:rPr>
              <w:t>)</w:t>
            </w:r>
          </w:p>
        </w:tc>
        <w:tc>
          <w:tcPr>
            <w:tcW w:w="6732" w:type="dxa"/>
            <w:noWrap/>
            <w:vAlign w:val="bottom"/>
          </w:tcPr>
          <w:p w:rsidR="00A6084E" w:rsidRPr="00D14CE9" w:rsidRDefault="00A6084E" w:rsidP="00A6084E">
            <w:pPr>
              <w:rPr>
                <w:sz w:val="16"/>
                <w:szCs w:val="16"/>
              </w:rPr>
            </w:pPr>
            <w:r w:rsidRPr="00D14CE9">
              <w:rPr>
                <w:sz w:val="16"/>
                <w:szCs w:val="16"/>
              </w:rPr>
              <w:t>ABS 8762.0 Engineering Construction Activity, Australia / Table 16. Value of Work Done, by Sector, Victoria, Original:</w:t>
            </w:r>
          </w:p>
          <w:p w:rsidR="00A6084E" w:rsidRPr="00D14CE9" w:rsidRDefault="00A6084E" w:rsidP="00A6084E">
            <w:pPr>
              <w:rPr>
                <w:sz w:val="16"/>
                <w:szCs w:val="16"/>
              </w:rPr>
            </w:pPr>
            <w:r w:rsidRPr="00D14CE9">
              <w:rPr>
                <w:sz w:val="16"/>
                <w:szCs w:val="16"/>
              </w:rPr>
              <w:t>Roads, Highway and Subdivisions (Series ID A1839245X)</w:t>
            </w:r>
          </w:p>
          <w:p w:rsidR="00A6084E" w:rsidRPr="00D14CE9" w:rsidRDefault="00A6084E" w:rsidP="00A6084E">
            <w:pPr>
              <w:rPr>
                <w:sz w:val="16"/>
                <w:szCs w:val="16"/>
              </w:rPr>
            </w:pPr>
            <w:r w:rsidRPr="00D14CE9">
              <w:rPr>
                <w:sz w:val="16"/>
                <w:szCs w:val="16"/>
              </w:rPr>
              <w:t>Bridges, Railways and Harbours (Series ID A1839293T)</w:t>
            </w:r>
          </w:p>
        </w:tc>
      </w:tr>
      <w:tr w:rsidR="00A6084E" w:rsidRPr="00D14CE9" w:rsidTr="003637FD">
        <w:trPr>
          <w:trHeight w:val="315"/>
        </w:trPr>
        <w:tc>
          <w:tcPr>
            <w:tcW w:w="2430" w:type="dxa"/>
            <w:noWrap/>
          </w:tcPr>
          <w:p w:rsidR="00A6084E" w:rsidRPr="00D14CE9" w:rsidRDefault="00A6084E" w:rsidP="0086286E">
            <w:pPr>
              <w:rPr>
                <w:sz w:val="16"/>
                <w:szCs w:val="16"/>
              </w:rPr>
            </w:pPr>
            <w:r w:rsidRPr="00D14CE9">
              <w:rPr>
                <w:sz w:val="16"/>
                <w:szCs w:val="16"/>
              </w:rPr>
              <w:t xml:space="preserve">Energy and Utility Activity (1993 – </w:t>
            </w:r>
            <w:r w:rsidR="0086286E" w:rsidRPr="00D14CE9">
              <w:rPr>
                <w:sz w:val="16"/>
                <w:szCs w:val="16"/>
              </w:rPr>
              <w:t>2014</w:t>
            </w:r>
            <w:r w:rsidRPr="00D14CE9">
              <w:rPr>
                <w:sz w:val="16"/>
                <w:szCs w:val="16"/>
              </w:rPr>
              <w:t>)</w:t>
            </w:r>
          </w:p>
        </w:tc>
        <w:tc>
          <w:tcPr>
            <w:tcW w:w="6732" w:type="dxa"/>
            <w:noWrap/>
            <w:vAlign w:val="bottom"/>
          </w:tcPr>
          <w:p w:rsidR="00A6084E" w:rsidRPr="00D14CE9" w:rsidRDefault="00A6084E" w:rsidP="00A6084E">
            <w:pPr>
              <w:rPr>
                <w:sz w:val="16"/>
                <w:szCs w:val="16"/>
              </w:rPr>
            </w:pPr>
            <w:r w:rsidRPr="00D14CE9">
              <w:rPr>
                <w:sz w:val="16"/>
                <w:szCs w:val="16"/>
              </w:rPr>
              <w:t>ABS 8762.0 Engineering Construction Activity, Australia / Table 16. Value of Work Done, by Sector, Victoria, Original:</w:t>
            </w:r>
          </w:p>
          <w:p w:rsidR="00A6084E" w:rsidRPr="00D14CE9" w:rsidRDefault="00A6084E" w:rsidP="00A6084E">
            <w:pPr>
              <w:rPr>
                <w:sz w:val="16"/>
                <w:szCs w:val="16"/>
              </w:rPr>
            </w:pPr>
            <w:r w:rsidRPr="00D14CE9">
              <w:rPr>
                <w:sz w:val="16"/>
                <w:szCs w:val="16"/>
              </w:rPr>
              <w:t>Electricity generation, transmission etc. and pipelines (Series ID A1839296X)</w:t>
            </w:r>
          </w:p>
          <w:p w:rsidR="00A6084E" w:rsidRPr="00D14CE9" w:rsidRDefault="00A6084E" w:rsidP="00A6084E">
            <w:pPr>
              <w:rPr>
                <w:sz w:val="16"/>
                <w:szCs w:val="16"/>
              </w:rPr>
            </w:pPr>
            <w:r w:rsidRPr="00D14CE9">
              <w:rPr>
                <w:sz w:val="16"/>
                <w:szCs w:val="16"/>
              </w:rPr>
              <w:t>Water storage and supply, sewerage and drainage (Series ID A1839299F)</w:t>
            </w:r>
          </w:p>
        </w:tc>
      </w:tr>
      <w:tr w:rsidR="00A6084E" w:rsidRPr="00D14CE9" w:rsidTr="003637FD">
        <w:trPr>
          <w:trHeight w:val="315"/>
        </w:trPr>
        <w:tc>
          <w:tcPr>
            <w:tcW w:w="2430" w:type="dxa"/>
            <w:noWrap/>
          </w:tcPr>
          <w:p w:rsidR="00A6084E" w:rsidRPr="00D14CE9" w:rsidRDefault="00A6084E" w:rsidP="0086286E">
            <w:pPr>
              <w:rPr>
                <w:sz w:val="16"/>
                <w:szCs w:val="16"/>
              </w:rPr>
            </w:pPr>
            <w:r w:rsidRPr="00D14CE9">
              <w:rPr>
                <w:sz w:val="16"/>
                <w:szCs w:val="16"/>
              </w:rPr>
              <w:t>Producer Price Index (1993-</w:t>
            </w:r>
            <w:r w:rsidR="0086286E" w:rsidRPr="00D14CE9">
              <w:rPr>
                <w:sz w:val="16"/>
                <w:szCs w:val="16"/>
              </w:rPr>
              <w:t>2014</w:t>
            </w:r>
            <w:r w:rsidRPr="00D14CE9">
              <w:rPr>
                <w:sz w:val="16"/>
                <w:szCs w:val="16"/>
              </w:rPr>
              <w:t>)</w:t>
            </w:r>
          </w:p>
        </w:tc>
        <w:tc>
          <w:tcPr>
            <w:tcW w:w="6732" w:type="dxa"/>
            <w:noWrap/>
            <w:vAlign w:val="bottom"/>
          </w:tcPr>
          <w:p w:rsidR="00A6084E" w:rsidRPr="00D14CE9" w:rsidRDefault="00A6084E" w:rsidP="00A6084E">
            <w:pPr>
              <w:rPr>
                <w:sz w:val="16"/>
                <w:szCs w:val="16"/>
              </w:rPr>
            </w:pPr>
            <w:r w:rsidRPr="00D14CE9">
              <w:rPr>
                <w:sz w:val="16"/>
                <w:szCs w:val="16"/>
              </w:rPr>
              <w:t>ABS 6427.0 Producer Price Indexes, Australia / Table 18. Input to the House construction industry, six state capital cities, weighted average and city, index numbers and percentage changes:</w:t>
            </w:r>
          </w:p>
          <w:p w:rsidR="00A6084E" w:rsidRPr="00D14CE9" w:rsidRDefault="00A6084E" w:rsidP="00A6084E">
            <w:pPr>
              <w:rPr>
                <w:sz w:val="16"/>
                <w:szCs w:val="16"/>
              </w:rPr>
            </w:pPr>
            <w:r w:rsidRPr="00D14CE9">
              <w:rPr>
                <w:sz w:val="16"/>
                <w:szCs w:val="16"/>
              </w:rPr>
              <w:t>Melbourne (Series ID A2390462F)</w:t>
            </w:r>
          </w:p>
        </w:tc>
      </w:tr>
    </w:tbl>
    <w:p w:rsidR="00486FB4" w:rsidRPr="006B35A2" w:rsidRDefault="00486FB4" w:rsidP="00486FB4">
      <w:pPr>
        <w:pStyle w:val="EYBodytextwithparaspace"/>
        <w:rPr>
          <w:rFonts w:cstheme="majorHAnsi"/>
          <w:i/>
          <w:sz w:val="16"/>
          <w:szCs w:val="16"/>
          <w:lang w:val="en-AU"/>
        </w:rPr>
      </w:pPr>
      <w:r w:rsidRPr="006B35A2">
        <w:rPr>
          <w:rFonts w:cstheme="majorHAnsi"/>
          <w:i/>
          <w:sz w:val="16"/>
          <w:szCs w:val="16"/>
          <w:lang w:val="en-AU"/>
        </w:rPr>
        <w:t>Source: EY data</w:t>
      </w:r>
    </w:p>
    <w:p w:rsidR="002B448C" w:rsidRPr="00D14CE9" w:rsidRDefault="002B448C" w:rsidP="00856574">
      <w:pPr>
        <w:pStyle w:val="ListParagraph"/>
        <w:numPr>
          <w:ilvl w:val="2"/>
          <w:numId w:val="21"/>
        </w:numPr>
        <w:ind w:left="810" w:hanging="810"/>
        <w:rPr>
          <w:rFonts w:ascii="EYInterstate Light" w:hAnsi="EYInterstate Light"/>
          <w:i/>
        </w:rPr>
      </w:pPr>
      <w:r w:rsidRPr="00D14CE9">
        <w:rPr>
          <w:rFonts w:ascii="EYInterstate Light" w:hAnsi="EYInterstate Light"/>
          <w:i/>
        </w:rPr>
        <w:t>Production of extractive resources – Historic data</w:t>
      </w:r>
    </w:p>
    <w:p w:rsidR="002B448C" w:rsidRPr="00D14CE9" w:rsidRDefault="002B448C" w:rsidP="00C200D0">
      <w:pPr>
        <w:pStyle w:val="EYBodytextwithparaspace"/>
        <w:rPr>
          <w:rFonts w:cstheme="majorHAnsi"/>
          <w:szCs w:val="20"/>
          <w:lang w:val="en-AU"/>
        </w:rPr>
      </w:pPr>
      <w:r w:rsidRPr="00D14CE9">
        <w:rPr>
          <w:rFonts w:cstheme="majorHAnsi"/>
          <w:szCs w:val="20"/>
          <w:lang w:val="en-AU"/>
        </w:rPr>
        <w:lastRenderedPageBreak/>
        <w:t xml:space="preserve">Historic data used in relation to the production of extractive resources in Victoria have been provided by DEDJTR, on a financial year basis, in May 2015. </w:t>
      </w:r>
      <w:r w:rsidR="008B1A30" w:rsidRPr="00D14CE9">
        <w:rPr>
          <w:rFonts w:cstheme="majorHAnsi"/>
          <w:szCs w:val="20"/>
          <w:lang w:val="en-AU"/>
        </w:rPr>
        <w:t>Th</w:t>
      </w:r>
      <w:r w:rsidR="008B1A30">
        <w:rPr>
          <w:rFonts w:cstheme="majorHAnsi"/>
          <w:szCs w:val="20"/>
          <w:lang w:val="en-AU"/>
        </w:rPr>
        <w:t>e</w:t>
      </w:r>
      <w:r w:rsidR="008B1A30" w:rsidRPr="00D14CE9">
        <w:rPr>
          <w:rFonts w:cstheme="majorHAnsi"/>
          <w:szCs w:val="20"/>
          <w:lang w:val="en-AU"/>
        </w:rPr>
        <w:t xml:space="preserve"> </w:t>
      </w:r>
      <w:r w:rsidRPr="00D14CE9">
        <w:rPr>
          <w:rFonts w:cstheme="majorHAnsi"/>
          <w:szCs w:val="20"/>
          <w:lang w:val="en-AU"/>
        </w:rPr>
        <w:t xml:space="preserve">inputs </w:t>
      </w:r>
      <w:r w:rsidR="008B1A30">
        <w:rPr>
          <w:rFonts w:cstheme="majorHAnsi"/>
          <w:szCs w:val="20"/>
          <w:lang w:val="en-AU"/>
        </w:rPr>
        <w:t xml:space="preserve">used for the analysis, from 2002 to 2014, </w:t>
      </w:r>
      <w:r w:rsidRPr="00D14CE9">
        <w:rPr>
          <w:rFonts w:cstheme="majorHAnsi"/>
          <w:szCs w:val="20"/>
          <w:lang w:val="en-AU"/>
        </w:rPr>
        <w:t xml:space="preserve">are summarized in the </w:t>
      </w:r>
      <w:r w:rsidR="001476EB">
        <w:rPr>
          <w:rFonts w:cstheme="majorHAnsi"/>
          <w:szCs w:val="20"/>
          <w:lang w:val="en-AU"/>
        </w:rPr>
        <w:fldChar w:fldCharType="begin"/>
      </w:r>
      <w:r w:rsidR="001476EB">
        <w:rPr>
          <w:rFonts w:cstheme="majorHAnsi"/>
          <w:szCs w:val="20"/>
          <w:lang w:val="en-AU"/>
        </w:rPr>
        <w:instrText xml:space="preserve"> REF _Ref441500404 \h </w:instrText>
      </w:r>
      <w:r w:rsidR="001476EB">
        <w:rPr>
          <w:rFonts w:cstheme="majorHAnsi"/>
          <w:szCs w:val="20"/>
          <w:lang w:val="en-AU"/>
        </w:rPr>
      </w:r>
      <w:r w:rsidR="001476EB">
        <w:rPr>
          <w:rFonts w:cstheme="majorHAnsi"/>
          <w:szCs w:val="20"/>
          <w:lang w:val="en-AU"/>
        </w:rPr>
        <w:fldChar w:fldCharType="separate"/>
      </w:r>
      <w:r w:rsidR="00525C82" w:rsidRPr="00D14CE9">
        <w:t xml:space="preserve">Table </w:t>
      </w:r>
      <w:r w:rsidR="00525C82">
        <w:rPr>
          <w:noProof/>
        </w:rPr>
        <w:t>23</w:t>
      </w:r>
      <w:r w:rsidR="001476EB">
        <w:rPr>
          <w:rFonts w:cstheme="majorHAnsi"/>
          <w:szCs w:val="20"/>
          <w:lang w:val="en-AU"/>
        </w:rPr>
        <w:fldChar w:fldCharType="end"/>
      </w:r>
      <w:r w:rsidR="001476EB">
        <w:rPr>
          <w:rFonts w:cstheme="majorHAnsi"/>
          <w:szCs w:val="20"/>
          <w:lang w:val="en-AU"/>
        </w:rPr>
        <w:t xml:space="preserve"> </w:t>
      </w:r>
      <w:r w:rsidRPr="00D14CE9">
        <w:rPr>
          <w:rFonts w:cstheme="majorHAnsi"/>
          <w:szCs w:val="20"/>
          <w:lang w:val="en-AU"/>
        </w:rPr>
        <w:t xml:space="preserve">below. </w:t>
      </w:r>
    </w:p>
    <w:tbl>
      <w:tblPr>
        <w:tblW w:w="96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23"/>
        <w:tblDescription w:val="Table 23 shows production of extractive resources from 2002 – 2014. The total production in 2002 was 39.5 million tonnes and total production in 2014 was 40.3 million tonnes. &#10;"/>
      </w:tblPr>
      <w:tblGrid>
        <w:gridCol w:w="1457"/>
        <w:gridCol w:w="629"/>
        <w:gridCol w:w="629"/>
        <w:gridCol w:w="630"/>
        <w:gridCol w:w="629"/>
        <w:gridCol w:w="630"/>
        <w:gridCol w:w="629"/>
        <w:gridCol w:w="629"/>
        <w:gridCol w:w="630"/>
        <w:gridCol w:w="629"/>
        <w:gridCol w:w="630"/>
        <w:gridCol w:w="629"/>
        <w:gridCol w:w="630"/>
        <w:gridCol w:w="614"/>
        <w:gridCol w:w="15"/>
      </w:tblGrid>
      <w:tr w:rsidR="005A1B12" w:rsidRPr="00D14CE9" w:rsidTr="001476EB">
        <w:trPr>
          <w:gridAfter w:val="1"/>
          <w:wAfter w:w="16" w:type="dxa"/>
          <w:trHeight w:val="295"/>
        </w:trPr>
        <w:tc>
          <w:tcPr>
            <w:tcW w:w="10241" w:type="dxa"/>
            <w:gridSpan w:val="14"/>
            <w:shd w:val="clear" w:color="auto" w:fill="808080"/>
            <w:noWrap/>
            <w:vAlign w:val="bottom"/>
          </w:tcPr>
          <w:p w:rsidR="005A1B12" w:rsidRPr="00D14CE9" w:rsidRDefault="005A1B12" w:rsidP="00802792">
            <w:pPr>
              <w:pStyle w:val="EYTableHeadingWhite"/>
            </w:pPr>
            <w:bookmarkStart w:id="705" w:name="_Ref441500404"/>
            <w:bookmarkStart w:id="706" w:name="_Toc445240957"/>
            <w:bookmarkStart w:id="707" w:name="_Toc448914650"/>
            <w:bookmarkStart w:id="708" w:name="_Toc448920467"/>
            <w:r w:rsidRPr="00D14CE9">
              <w:t xml:space="preserve">Table </w:t>
            </w:r>
            <w:r w:rsidRPr="00802792">
              <w:fldChar w:fldCharType="begin"/>
            </w:r>
            <w:r w:rsidRPr="00D14CE9">
              <w:instrText xml:space="preserve"> SEQ Table \* ARABIC </w:instrText>
            </w:r>
            <w:r w:rsidRPr="00802792">
              <w:fldChar w:fldCharType="separate"/>
            </w:r>
            <w:r w:rsidR="00525C82">
              <w:rPr>
                <w:noProof/>
              </w:rPr>
              <w:t>23</w:t>
            </w:r>
            <w:r w:rsidRPr="00802792">
              <w:fldChar w:fldCharType="end"/>
            </w:r>
            <w:bookmarkEnd w:id="705"/>
            <w:r w:rsidRPr="00D14CE9">
              <w:t xml:space="preserve"> – Production of Extractive Resources 2002 – 2014 (in million tonnes)</w:t>
            </w:r>
            <w:bookmarkEnd w:id="706"/>
            <w:bookmarkEnd w:id="707"/>
            <w:bookmarkEnd w:id="708"/>
          </w:p>
        </w:tc>
      </w:tr>
      <w:tr w:rsidR="00E65C9D" w:rsidRPr="00D14CE9" w:rsidTr="001476EB">
        <w:trPr>
          <w:trHeight w:val="293"/>
        </w:trPr>
        <w:tc>
          <w:tcPr>
            <w:tcW w:w="1580" w:type="dxa"/>
            <w:shd w:val="clear" w:color="auto" w:fill="F0F0F0"/>
            <w:vAlign w:val="center"/>
          </w:tcPr>
          <w:p w:rsidR="005A1B12" w:rsidRPr="00D14CE9" w:rsidRDefault="005A1B12" w:rsidP="00E65C9D">
            <w:pPr>
              <w:pStyle w:val="EYTableHeading"/>
              <w:rPr>
                <w:rFonts w:eastAsia="Arial Unicode MS"/>
              </w:rPr>
            </w:pPr>
            <w:r w:rsidRPr="00D14CE9">
              <w:t>Rock type</w:t>
            </w:r>
          </w:p>
        </w:tc>
        <w:tc>
          <w:tcPr>
            <w:tcW w:w="667"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2002</w:t>
            </w:r>
          </w:p>
        </w:tc>
        <w:tc>
          <w:tcPr>
            <w:tcW w:w="667"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2003</w:t>
            </w:r>
          </w:p>
        </w:tc>
        <w:tc>
          <w:tcPr>
            <w:tcW w:w="668"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2004</w:t>
            </w:r>
          </w:p>
        </w:tc>
        <w:tc>
          <w:tcPr>
            <w:tcW w:w="667"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2005</w:t>
            </w:r>
          </w:p>
        </w:tc>
        <w:tc>
          <w:tcPr>
            <w:tcW w:w="668"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2006</w:t>
            </w:r>
          </w:p>
        </w:tc>
        <w:tc>
          <w:tcPr>
            <w:tcW w:w="667"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2007</w:t>
            </w:r>
          </w:p>
        </w:tc>
        <w:tc>
          <w:tcPr>
            <w:tcW w:w="667"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2008</w:t>
            </w:r>
          </w:p>
        </w:tc>
        <w:tc>
          <w:tcPr>
            <w:tcW w:w="668"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2009</w:t>
            </w:r>
          </w:p>
        </w:tc>
        <w:tc>
          <w:tcPr>
            <w:tcW w:w="667"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2010</w:t>
            </w:r>
          </w:p>
        </w:tc>
        <w:tc>
          <w:tcPr>
            <w:tcW w:w="668"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2011</w:t>
            </w:r>
          </w:p>
        </w:tc>
        <w:tc>
          <w:tcPr>
            <w:tcW w:w="667"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2012</w:t>
            </w:r>
          </w:p>
        </w:tc>
        <w:tc>
          <w:tcPr>
            <w:tcW w:w="668" w:type="dxa"/>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2013</w:t>
            </w:r>
          </w:p>
        </w:tc>
        <w:tc>
          <w:tcPr>
            <w:tcW w:w="668" w:type="dxa"/>
            <w:gridSpan w:val="2"/>
            <w:shd w:val="clear" w:color="auto" w:fill="F0F0F0"/>
            <w:vAlign w:val="center"/>
          </w:tcPr>
          <w:p w:rsidR="005A1B12" w:rsidRPr="00D14CE9" w:rsidRDefault="005A1B12" w:rsidP="00E65C9D">
            <w:pPr>
              <w:pStyle w:val="EYTableHeading"/>
              <w:jc w:val="center"/>
              <w:rPr>
                <w:rFonts w:eastAsia="Arial Unicode MS"/>
              </w:rPr>
            </w:pPr>
            <w:r w:rsidRPr="00D14CE9">
              <w:rPr>
                <w:rFonts w:eastAsia="Arial Unicode MS"/>
              </w:rPr>
              <w:t>2014</w:t>
            </w:r>
          </w:p>
        </w:tc>
      </w:tr>
      <w:tr w:rsidR="005A1B12" w:rsidRPr="00D14CE9" w:rsidTr="001476EB">
        <w:trPr>
          <w:trHeight w:val="295"/>
        </w:trPr>
        <w:tc>
          <w:tcPr>
            <w:tcW w:w="1580" w:type="dxa"/>
            <w:noWrap/>
            <w:vAlign w:val="center"/>
          </w:tcPr>
          <w:p w:rsidR="005A1B12" w:rsidRPr="00D14CE9" w:rsidRDefault="005A1B12" w:rsidP="004A3BAF">
            <w:pPr>
              <w:rPr>
                <w:sz w:val="16"/>
                <w:szCs w:val="16"/>
              </w:rPr>
            </w:pPr>
            <w:r w:rsidRPr="00D14CE9">
              <w:rPr>
                <w:sz w:val="16"/>
                <w:szCs w:val="16"/>
              </w:rPr>
              <w:t>Hard Rock</w:t>
            </w:r>
          </w:p>
        </w:tc>
        <w:tc>
          <w:tcPr>
            <w:tcW w:w="667" w:type="dxa"/>
            <w:noWrap/>
            <w:vAlign w:val="center"/>
          </w:tcPr>
          <w:p w:rsidR="005A1B12" w:rsidRPr="00D14CE9" w:rsidRDefault="005A1B12" w:rsidP="00313780">
            <w:pPr>
              <w:jc w:val="right"/>
              <w:rPr>
                <w:sz w:val="16"/>
                <w:szCs w:val="16"/>
              </w:rPr>
            </w:pPr>
            <w:r w:rsidRPr="00D14CE9">
              <w:rPr>
                <w:sz w:val="16"/>
                <w:szCs w:val="16"/>
              </w:rPr>
              <w:t>25.0</w:t>
            </w:r>
          </w:p>
        </w:tc>
        <w:tc>
          <w:tcPr>
            <w:tcW w:w="667" w:type="dxa"/>
            <w:noWrap/>
            <w:vAlign w:val="center"/>
          </w:tcPr>
          <w:p w:rsidR="005A1B12" w:rsidRPr="00D14CE9" w:rsidRDefault="005A1B12" w:rsidP="00313780">
            <w:pPr>
              <w:jc w:val="right"/>
              <w:rPr>
                <w:sz w:val="16"/>
                <w:szCs w:val="16"/>
              </w:rPr>
            </w:pPr>
            <w:r w:rsidRPr="00D14CE9">
              <w:rPr>
                <w:sz w:val="16"/>
                <w:szCs w:val="16"/>
              </w:rPr>
              <w:t>23.8</w:t>
            </w:r>
          </w:p>
        </w:tc>
        <w:tc>
          <w:tcPr>
            <w:tcW w:w="668" w:type="dxa"/>
            <w:noWrap/>
            <w:vAlign w:val="center"/>
          </w:tcPr>
          <w:p w:rsidR="005A1B12" w:rsidRPr="00D14CE9" w:rsidRDefault="005A1B12" w:rsidP="00313780">
            <w:pPr>
              <w:jc w:val="right"/>
              <w:rPr>
                <w:sz w:val="16"/>
                <w:szCs w:val="16"/>
              </w:rPr>
            </w:pPr>
            <w:r w:rsidRPr="00D14CE9">
              <w:rPr>
                <w:sz w:val="16"/>
                <w:szCs w:val="16"/>
              </w:rPr>
              <w:t>24.9</w:t>
            </w:r>
          </w:p>
        </w:tc>
        <w:tc>
          <w:tcPr>
            <w:tcW w:w="667" w:type="dxa"/>
            <w:vAlign w:val="center"/>
          </w:tcPr>
          <w:p w:rsidR="005A1B12" w:rsidRPr="00D14CE9" w:rsidRDefault="005A1B12" w:rsidP="00313780">
            <w:pPr>
              <w:jc w:val="right"/>
              <w:rPr>
                <w:sz w:val="16"/>
                <w:szCs w:val="16"/>
              </w:rPr>
            </w:pPr>
            <w:r w:rsidRPr="00D14CE9">
              <w:rPr>
                <w:sz w:val="16"/>
                <w:szCs w:val="16"/>
              </w:rPr>
              <w:t>26.7</w:t>
            </w:r>
          </w:p>
        </w:tc>
        <w:tc>
          <w:tcPr>
            <w:tcW w:w="668" w:type="dxa"/>
            <w:vAlign w:val="center"/>
          </w:tcPr>
          <w:p w:rsidR="005A1B12" w:rsidRPr="00D14CE9" w:rsidRDefault="005A1B12" w:rsidP="00313780">
            <w:pPr>
              <w:jc w:val="right"/>
              <w:rPr>
                <w:sz w:val="16"/>
                <w:szCs w:val="16"/>
              </w:rPr>
            </w:pPr>
            <w:r w:rsidRPr="00D14CE9">
              <w:rPr>
                <w:sz w:val="16"/>
                <w:szCs w:val="16"/>
              </w:rPr>
              <w:t>29.8</w:t>
            </w:r>
          </w:p>
        </w:tc>
        <w:tc>
          <w:tcPr>
            <w:tcW w:w="667" w:type="dxa"/>
            <w:vAlign w:val="center"/>
          </w:tcPr>
          <w:p w:rsidR="005A1B12" w:rsidRPr="00D14CE9" w:rsidRDefault="005A1B12" w:rsidP="00313780">
            <w:pPr>
              <w:jc w:val="right"/>
              <w:rPr>
                <w:sz w:val="16"/>
                <w:szCs w:val="16"/>
              </w:rPr>
            </w:pPr>
            <w:r w:rsidRPr="00D14CE9">
              <w:rPr>
                <w:sz w:val="16"/>
                <w:szCs w:val="16"/>
              </w:rPr>
              <w:t>34.2</w:t>
            </w:r>
          </w:p>
        </w:tc>
        <w:tc>
          <w:tcPr>
            <w:tcW w:w="667" w:type="dxa"/>
            <w:vAlign w:val="center"/>
          </w:tcPr>
          <w:p w:rsidR="005A1B12" w:rsidRPr="00D14CE9" w:rsidRDefault="005A1B12" w:rsidP="00313780">
            <w:pPr>
              <w:jc w:val="right"/>
              <w:rPr>
                <w:sz w:val="16"/>
                <w:szCs w:val="16"/>
              </w:rPr>
            </w:pPr>
            <w:r w:rsidRPr="00D14CE9">
              <w:rPr>
                <w:sz w:val="16"/>
                <w:szCs w:val="16"/>
              </w:rPr>
              <w:t>35.4</w:t>
            </w:r>
          </w:p>
        </w:tc>
        <w:tc>
          <w:tcPr>
            <w:tcW w:w="668" w:type="dxa"/>
            <w:vAlign w:val="center"/>
          </w:tcPr>
          <w:p w:rsidR="005A1B12" w:rsidRPr="00D14CE9" w:rsidRDefault="005A1B12" w:rsidP="00313780">
            <w:pPr>
              <w:jc w:val="right"/>
              <w:rPr>
                <w:sz w:val="16"/>
                <w:szCs w:val="16"/>
              </w:rPr>
            </w:pPr>
            <w:r w:rsidRPr="00D14CE9">
              <w:rPr>
                <w:sz w:val="16"/>
                <w:szCs w:val="16"/>
              </w:rPr>
              <w:t>31.1</w:t>
            </w:r>
          </w:p>
        </w:tc>
        <w:tc>
          <w:tcPr>
            <w:tcW w:w="667" w:type="dxa"/>
            <w:vAlign w:val="center"/>
          </w:tcPr>
          <w:p w:rsidR="005A1B12" w:rsidRPr="00D14CE9" w:rsidRDefault="005A1B12" w:rsidP="00313780">
            <w:pPr>
              <w:jc w:val="right"/>
              <w:rPr>
                <w:sz w:val="16"/>
                <w:szCs w:val="16"/>
              </w:rPr>
            </w:pPr>
            <w:r w:rsidRPr="00D14CE9">
              <w:rPr>
                <w:sz w:val="16"/>
                <w:szCs w:val="16"/>
              </w:rPr>
              <w:t>30.3</w:t>
            </w:r>
          </w:p>
        </w:tc>
        <w:tc>
          <w:tcPr>
            <w:tcW w:w="668" w:type="dxa"/>
            <w:vAlign w:val="center"/>
          </w:tcPr>
          <w:p w:rsidR="005A1B12" w:rsidRPr="00D14CE9" w:rsidRDefault="005A1B12" w:rsidP="00313780">
            <w:pPr>
              <w:jc w:val="right"/>
              <w:rPr>
                <w:sz w:val="16"/>
                <w:szCs w:val="16"/>
              </w:rPr>
            </w:pPr>
            <w:r w:rsidRPr="00D14CE9">
              <w:rPr>
                <w:sz w:val="16"/>
                <w:szCs w:val="16"/>
              </w:rPr>
              <w:t>33.5</w:t>
            </w:r>
          </w:p>
        </w:tc>
        <w:tc>
          <w:tcPr>
            <w:tcW w:w="667" w:type="dxa"/>
            <w:vAlign w:val="center"/>
          </w:tcPr>
          <w:p w:rsidR="005A1B12" w:rsidRPr="00D14CE9" w:rsidRDefault="005A1B12" w:rsidP="00313780">
            <w:pPr>
              <w:jc w:val="right"/>
              <w:rPr>
                <w:sz w:val="16"/>
                <w:szCs w:val="16"/>
              </w:rPr>
            </w:pPr>
            <w:r w:rsidRPr="00D14CE9">
              <w:rPr>
                <w:sz w:val="16"/>
                <w:szCs w:val="16"/>
              </w:rPr>
              <w:t>39.3</w:t>
            </w:r>
          </w:p>
        </w:tc>
        <w:tc>
          <w:tcPr>
            <w:tcW w:w="668" w:type="dxa"/>
            <w:vAlign w:val="center"/>
          </w:tcPr>
          <w:p w:rsidR="005A1B12" w:rsidRPr="00D14CE9" w:rsidRDefault="005A1B12" w:rsidP="00313780">
            <w:pPr>
              <w:jc w:val="right"/>
              <w:rPr>
                <w:sz w:val="16"/>
                <w:szCs w:val="16"/>
              </w:rPr>
            </w:pPr>
            <w:r w:rsidRPr="00D14CE9">
              <w:rPr>
                <w:sz w:val="16"/>
                <w:szCs w:val="16"/>
              </w:rPr>
              <w:t>28.9</w:t>
            </w:r>
          </w:p>
        </w:tc>
        <w:tc>
          <w:tcPr>
            <w:tcW w:w="668" w:type="dxa"/>
            <w:gridSpan w:val="2"/>
            <w:vAlign w:val="center"/>
          </w:tcPr>
          <w:p w:rsidR="005A1B12" w:rsidRPr="00D14CE9" w:rsidRDefault="005A1B12" w:rsidP="00313780">
            <w:pPr>
              <w:jc w:val="right"/>
              <w:rPr>
                <w:sz w:val="16"/>
                <w:szCs w:val="16"/>
              </w:rPr>
            </w:pPr>
            <w:r w:rsidRPr="00D14CE9">
              <w:rPr>
                <w:rFonts w:cs="Calibri"/>
                <w:color w:val="000000"/>
                <w:sz w:val="16"/>
                <w:szCs w:val="16"/>
              </w:rPr>
              <w:t>27.4</w:t>
            </w:r>
          </w:p>
        </w:tc>
      </w:tr>
      <w:tr w:rsidR="005A1B12" w:rsidRPr="00D14CE9" w:rsidTr="001476EB">
        <w:trPr>
          <w:trHeight w:val="295"/>
        </w:trPr>
        <w:tc>
          <w:tcPr>
            <w:tcW w:w="1580" w:type="dxa"/>
            <w:noWrap/>
            <w:vAlign w:val="center"/>
          </w:tcPr>
          <w:p w:rsidR="005A1B12" w:rsidRPr="00D14CE9" w:rsidRDefault="005A1B12" w:rsidP="004A3BAF">
            <w:pPr>
              <w:rPr>
                <w:sz w:val="16"/>
                <w:szCs w:val="16"/>
              </w:rPr>
            </w:pPr>
            <w:r w:rsidRPr="00D14CE9">
              <w:rPr>
                <w:sz w:val="16"/>
                <w:szCs w:val="16"/>
              </w:rPr>
              <w:t>Clay and Clay Shale</w:t>
            </w:r>
          </w:p>
        </w:tc>
        <w:tc>
          <w:tcPr>
            <w:tcW w:w="667" w:type="dxa"/>
            <w:noWrap/>
            <w:vAlign w:val="center"/>
          </w:tcPr>
          <w:p w:rsidR="005A1B12" w:rsidRPr="00D14CE9" w:rsidRDefault="005A1B12" w:rsidP="00313780">
            <w:pPr>
              <w:jc w:val="right"/>
              <w:rPr>
                <w:sz w:val="16"/>
                <w:szCs w:val="16"/>
              </w:rPr>
            </w:pPr>
            <w:r w:rsidRPr="00D14CE9">
              <w:rPr>
                <w:sz w:val="16"/>
                <w:szCs w:val="16"/>
              </w:rPr>
              <w:t>1.3</w:t>
            </w:r>
          </w:p>
        </w:tc>
        <w:tc>
          <w:tcPr>
            <w:tcW w:w="667" w:type="dxa"/>
            <w:noWrap/>
            <w:vAlign w:val="center"/>
          </w:tcPr>
          <w:p w:rsidR="005A1B12" w:rsidRPr="00D14CE9" w:rsidRDefault="005A1B12" w:rsidP="00313780">
            <w:pPr>
              <w:jc w:val="right"/>
              <w:rPr>
                <w:sz w:val="16"/>
                <w:szCs w:val="16"/>
              </w:rPr>
            </w:pPr>
            <w:r w:rsidRPr="00D14CE9">
              <w:rPr>
                <w:sz w:val="16"/>
                <w:szCs w:val="16"/>
              </w:rPr>
              <w:t>1.1</w:t>
            </w:r>
          </w:p>
        </w:tc>
        <w:tc>
          <w:tcPr>
            <w:tcW w:w="668" w:type="dxa"/>
            <w:noWrap/>
            <w:vAlign w:val="center"/>
          </w:tcPr>
          <w:p w:rsidR="005A1B12" w:rsidRPr="00D14CE9" w:rsidRDefault="005A1B12" w:rsidP="00313780">
            <w:pPr>
              <w:jc w:val="right"/>
              <w:rPr>
                <w:sz w:val="16"/>
                <w:szCs w:val="16"/>
              </w:rPr>
            </w:pPr>
            <w:r w:rsidRPr="00D14CE9">
              <w:rPr>
                <w:sz w:val="16"/>
                <w:szCs w:val="16"/>
              </w:rPr>
              <w:t>1.5</w:t>
            </w:r>
          </w:p>
        </w:tc>
        <w:tc>
          <w:tcPr>
            <w:tcW w:w="667" w:type="dxa"/>
            <w:vAlign w:val="center"/>
          </w:tcPr>
          <w:p w:rsidR="005A1B12" w:rsidRPr="00D14CE9" w:rsidRDefault="005A1B12" w:rsidP="00313780">
            <w:pPr>
              <w:jc w:val="right"/>
              <w:rPr>
                <w:sz w:val="16"/>
                <w:szCs w:val="16"/>
              </w:rPr>
            </w:pPr>
            <w:r w:rsidRPr="00D14CE9">
              <w:rPr>
                <w:sz w:val="16"/>
                <w:szCs w:val="16"/>
              </w:rPr>
              <w:t>1.4</w:t>
            </w:r>
          </w:p>
        </w:tc>
        <w:tc>
          <w:tcPr>
            <w:tcW w:w="668" w:type="dxa"/>
            <w:vAlign w:val="center"/>
          </w:tcPr>
          <w:p w:rsidR="005A1B12" w:rsidRPr="00D14CE9" w:rsidRDefault="005A1B12" w:rsidP="00313780">
            <w:pPr>
              <w:jc w:val="right"/>
              <w:rPr>
                <w:sz w:val="16"/>
                <w:szCs w:val="16"/>
              </w:rPr>
            </w:pPr>
            <w:r w:rsidRPr="00D14CE9">
              <w:rPr>
                <w:sz w:val="16"/>
                <w:szCs w:val="16"/>
              </w:rPr>
              <w:t>1.5</w:t>
            </w:r>
          </w:p>
        </w:tc>
        <w:tc>
          <w:tcPr>
            <w:tcW w:w="667" w:type="dxa"/>
            <w:vAlign w:val="center"/>
          </w:tcPr>
          <w:p w:rsidR="005A1B12" w:rsidRPr="00D14CE9" w:rsidRDefault="005A1B12" w:rsidP="00313780">
            <w:pPr>
              <w:jc w:val="right"/>
              <w:rPr>
                <w:sz w:val="16"/>
                <w:szCs w:val="16"/>
              </w:rPr>
            </w:pPr>
            <w:r w:rsidRPr="00D14CE9">
              <w:rPr>
                <w:sz w:val="16"/>
                <w:szCs w:val="16"/>
              </w:rPr>
              <w:t>2.5</w:t>
            </w:r>
          </w:p>
        </w:tc>
        <w:tc>
          <w:tcPr>
            <w:tcW w:w="667" w:type="dxa"/>
            <w:vAlign w:val="center"/>
          </w:tcPr>
          <w:p w:rsidR="005A1B12" w:rsidRPr="00D14CE9" w:rsidRDefault="005A1B12" w:rsidP="00313780">
            <w:pPr>
              <w:jc w:val="right"/>
              <w:rPr>
                <w:sz w:val="16"/>
                <w:szCs w:val="16"/>
              </w:rPr>
            </w:pPr>
            <w:r w:rsidRPr="00D14CE9">
              <w:rPr>
                <w:sz w:val="16"/>
                <w:szCs w:val="16"/>
              </w:rPr>
              <w:t>1.7</w:t>
            </w:r>
          </w:p>
        </w:tc>
        <w:tc>
          <w:tcPr>
            <w:tcW w:w="668" w:type="dxa"/>
            <w:vAlign w:val="center"/>
          </w:tcPr>
          <w:p w:rsidR="005A1B12" w:rsidRPr="00D14CE9" w:rsidRDefault="005A1B12" w:rsidP="00313780">
            <w:pPr>
              <w:jc w:val="right"/>
              <w:rPr>
                <w:sz w:val="16"/>
                <w:szCs w:val="16"/>
              </w:rPr>
            </w:pPr>
            <w:r w:rsidRPr="00D14CE9">
              <w:rPr>
                <w:sz w:val="16"/>
                <w:szCs w:val="16"/>
              </w:rPr>
              <w:t>1.3</w:t>
            </w:r>
          </w:p>
        </w:tc>
        <w:tc>
          <w:tcPr>
            <w:tcW w:w="667" w:type="dxa"/>
            <w:vAlign w:val="center"/>
          </w:tcPr>
          <w:p w:rsidR="005A1B12" w:rsidRPr="00D14CE9" w:rsidRDefault="005A1B12" w:rsidP="00313780">
            <w:pPr>
              <w:jc w:val="right"/>
              <w:rPr>
                <w:sz w:val="16"/>
                <w:szCs w:val="16"/>
              </w:rPr>
            </w:pPr>
            <w:r w:rsidRPr="00D14CE9">
              <w:rPr>
                <w:sz w:val="16"/>
                <w:szCs w:val="16"/>
              </w:rPr>
              <w:t>1.5</w:t>
            </w:r>
          </w:p>
        </w:tc>
        <w:tc>
          <w:tcPr>
            <w:tcW w:w="668" w:type="dxa"/>
            <w:vAlign w:val="center"/>
          </w:tcPr>
          <w:p w:rsidR="005A1B12" w:rsidRPr="00D14CE9" w:rsidRDefault="005A1B12" w:rsidP="00313780">
            <w:pPr>
              <w:jc w:val="right"/>
              <w:rPr>
                <w:sz w:val="16"/>
                <w:szCs w:val="16"/>
              </w:rPr>
            </w:pPr>
            <w:r w:rsidRPr="00D14CE9">
              <w:rPr>
                <w:sz w:val="16"/>
                <w:szCs w:val="16"/>
              </w:rPr>
              <w:t>1.9</w:t>
            </w:r>
          </w:p>
        </w:tc>
        <w:tc>
          <w:tcPr>
            <w:tcW w:w="667" w:type="dxa"/>
            <w:vAlign w:val="center"/>
          </w:tcPr>
          <w:p w:rsidR="005A1B12" w:rsidRPr="00D14CE9" w:rsidRDefault="005A1B12" w:rsidP="00313780">
            <w:pPr>
              <w:jc w:val="right"/>
              <w:rPr>
                <w:sz w:val="16"/>
                <w:szCs w:val="16"/>
              </w:rPr>
            </w:pPr>
            <w:r w:rsidRPr="00D14CE9">
              <w:rPr>
                <w:sz w:val="16"/>
                <w:szCs w:val="16"/>
              </w:rPr>
              <w:t>1.8</w:t>
            </w:r>
          </w:p>
        </w:tc>
        <w:tc>
          <w:tcPr>
            <w:tcW w:w="668" w:type="dxa"/>
            <w:vAlign w:val="center"/>
          </w:tcPr>
          <w:p w:rsidR="005A1B12" w:rsidRPr="00D14CE9" w:rsidRDefault="005A1B12" w:rsidP="00313780">
            <w:pPr>
              <w:jc w:val="right"/>
              <w:rPr>
                <w:sz w:val="16"/>
                <w:szCs w:val="16"/>
              </w:rPr>
            </w:pPr>
            <w:r w:rsidRPr="00D14CE9">
              <w:rPr>
                <w:sz w:val="16"/>
                <w:szCs w:val="16"/>
              </w:rPr>
              <w:t>1.6</w:t>
            </w:r>
          </w:p>
        </w:tc>
        <w:tc>
          <w:tcPr>
            <w:tcW w:w="668" w:type="dxa"/>
            <w:gridSpan w:val="2"/>
            <w:vAlign w:val="center"/>
          </w:tcPr>
          <w:p w:rsidR="005A1B12" w:rsidRPr="00D14CE9" w:rsidRDefault="005A1B12" w:rsidP="00313780">
            <w:pPr>
              <w:jc w:val="right"/>
              <w:rPr>
                <w:sz w:val="16"/>
                <w:szCs w:val="16"/>
              </w:rPr>
            </w:pPr>
            <w:r w:rsidRPr="00D14CE9">
              <w:rPr>
                <w:rFonts w:cs="Calibri"/>
                <w:color w:val="000000"/>
                <w:sz w:val="16"/>
                <w:szCs w:val="16"/>
              </w:rPr>
              <w:t>0.6</w:t>
            </w:r>
          </w:p>
        </w:tc>
      </w:tr>
      <w:tr w:rsidR="005A1B12" w:rsidRPr="00D14CE9" w:rsidTr="001476EB">
        <w:trPr>
          <w:trHeight w:val="295"/>
        </w:trPr>
        <w:tc>
          <w:tcPr>
            <w:tcW w:w="1580" w:type="dxa"/>
            <w:noWrap/>
            <w:vAlign w:val="center"/>
          </w:tcPr>
          <w:p w:rsidR="005A1B12" w:rsidRPr="00D14CE9" w:rsidRDefault="005A1B12" w:rsidP="004A3BAF">
            <w:pPr>
              <w:rPr>
                <w:sz w:val="16"/>
                <w:szCs w:val="16"/>
              </w:rPr>
            </w:pPr>
            <w:r w:rsidRPr="00D14CE9">
              <w:rPr>
                <w:sz w:val="16"/>
                <w:szCs w:val="16"/>
              </w:rPr>
              <w:t>Limestone</w:t>
            </w:r>
          </w:p>
        </w:tc>
        <w:tc>
          <w:tcPr>
            <w:tcW w:w="667" w:type="dxa"/>
            <w:noWrap/>
            <w:vAlign w:val="center"/>
          </w:tcPr>
          <w:p w:rsidR="005A1B12" w:rsidRPr="00D14CE9" w:rsidRDefault="005A1B12" w:rsidP="00313780">
            <w:pPr>
              <w:jc w:val="right"/>
              <w:rPr>
                <w:sz w:val="16"/>
                <w:szCs w:val="16"/>
              </w:rPr>
            </w:pPr>
            <w:r w:rsidRPr="00D14CE9">
              <w:rPr>
                <w:sz w:val="16"/>
                <w:szCs w:val="16"/>
              </w:rPr>
              <w:t>1.8</w:t>
            </w:r>
          </w:p>
        </w:tc>
        <w:tc>
          <w:tcPr>
            <w:tcW w:w="667" w:type="dxa"/>
            <w:noWrap/>
            <w:vAlign w:val="center"/>
          </w:tcPr>
          <w:p w:rsidR="005A1B12" w:rsidRPr="00D14CE9" w:rsidRDefault="005A1B12" w:rsidP="00313780">
            <w:pPr>
              <w:jc w:val="right"/>
              <w:rPr>
                <w:sz w:val="16"/>
                <w:szCs w:val="16"/>
              </w:rPr>
            </w:pPr>
            <w:r w:rsidRPr="00D14CE9">
              <w:rPr>
                <w:sz w:val="16"/>
                <w:szCs w:val="16"/>
              </w:rPr>
              <w:t>1.8</w:t>
            </w:r>
          </w:p>
        </w:tc>
        <w:tc>
          <w:tcPr>
            <w:tcW w:w="668" w:type="dxa"/>
            <w:noWrap/>
            <w:vAlign w:val="center"/>
          </w:tcPr>
          <w:p w:rsidR="005A1B12" w:rsidRPr="00D14CE9" w:rsidRDefault="005A1B12" w:rsidP="00313780">
            <w:pPr>
              <w:jc w:val="right"/>
              <w:rPr>
                <w:sz w:val="16"/>
                <w:szCs w:val="16"/>
              </w:rPr>
            </w:pPr>
            <w:r w:rsidRPr="00D14CE9">
              <w:rPr>
                <w:sz w:val="16"/>
                <w:szCs w:val="16"/>
              </w:rPr>
              <w:t>1.9</w:t>
            </w:r>
          </w:p>
        </w:tc>
        <w:tc>
          <w:tcPr>
            <w:tcW w:w="667" w:type="dxa"/>
            <w:vAlign w:val="center"/>
          </w:tcPr>
          <w:p w:rsidR="005A1B12" w:rsidRPr="00D14CE9" w:rsidRDefault="005A1B12" w:rsidP="00313780">
            <w:pPr>
              <w:jc w:val="right"/>
              <w:rPr>
                <w:sz w:val="16"/>
                <w:szCs w:val="16"/>
              </w:rPr>
            </w:pPr>
            <w:r w:rsidRPr="00D14CE9">
              <w:rPr>
                <w:sz w:val="16"/>
                <w:szCs w:val="16"/>
              </w:rPr>
              <w:t>2.0</w:t>
            </w:r>
          </w:p>
        </w:tc>
        <w:tc>
          <w:tcPr>
            <w:tcW w:w="668" w:type="dxa"/>
            <w:vAlign w:val="center"/>
          </w:tcPr>
          <w:p w:rsidR="005A1B12" w:rsidRPr="00D14CE9" w:rsidRDefault="005A1B12" w:rsidP="00313780">
            <w:pPr>
              <w:jc w:val="right"/>
              <w:rPr>
                <w:sz w:val="16"/>
                <w:szCs w:val="16"/>
              </w:rPr>
            </w:pPr>
            <w:r w:rsidRPr="00D14CE9">
              <w:rPr>
                <w:sz w:val="16"/>
                <w:szCs w:val="16"/>
              </w:rPr>
              <w:t>2.0</w:t>
            </w:r>
          </w:p>
        </w:tc>
        <w:tc>
          <w:tcPr>
            <w:tcW w:w="667" w:type="dxa"/>
            <w:vAlign w:val="center"/>
          </w:tcPr>
          <w:p w:rsidR="005A1B12" w:rsidRPr="00D14CE9" w:rsidRDefault="005A1B12" w:rsidP="00313780">
            <w:pPr>
              <w:jc w:val="right"/>
              <w:rPr>
                <w:sz w:val="16"/>
                <w:szCs w:val="16"/>
              </w:rPr>
            </w:pPr>
            <w:r w:rsidRPr="00D14CE9">
              <w:rPr>
                <w:sz w:val="16"/>
                <w:szCs w:val="16"/>
              </w:rPr>
              <w:t>2.5</w:t>
            </w:r>
          </w:p>
        </w:tc>
        <w:tc>
          <w:tcPr>
            <w:tcW w:w="667" w:type="dxa"/>
            <w:vAlign w:val="center"/>
          </w:tcPr>
          <w:p w:rsidR="005A1B12" w:rsidRPr="00D14CE9" w:rsidRDefault="005A1B12" w:rsidP="00313780">
            <w:pPr>
              <w:jc w:val="right"/>
              <w:rPr>
                <w:sz w:val="16"/>
                <w:szCs w:val="16"/>
              </w:rPr>
            </w:pPr>
            <w:r w:rsidRPr="00D14CE9">
              <w:rPr>
                <w:sz w:val="16"/>
                <w:szCs w:val="16"/>
              </w:rPr>
              <w:t>3.0</w:t>
            </w:r>
          </w:p>
        </w:tc>
        <w:tc>
          <w:tcPr>
            <w:tcW w:w="668" w:type="dxa"/>
            <w:vAlign w:val="center"/>
          </w:tcPr>
          <w:p w:rsidR="005A1B12" w:rsidRPr="00D14CE9" w:rsidRDefault="005A1B12" w:rsidP="00313780">
            <w:pPr>
              <w:jc w:val="right"/>
              <w:rPr>
                <w:sz w:val="16"/>
                <w:szCs w:val="16"/>
              </w:rPr>
            </w:pPr>
            <w:r w:rsidRPr="00D14CE9">
              <w:rPr>
                <w:sz w:val="16"/>
                <w:szCs w:val="16"/>
              </w:rPr>
              <w:t>2.8</w:t>
            </w:r>
          </w:p>
        </w:tc>
        <w:tc>
          <w:tcPr>
            <w:tcW w:w="667" w:type="dxa"/>
            <w:vAlign w:val="center"/>
          </w:tcPr>
          <w:p w:rsidR="005A1B12" w:rsidRPr="00D14CE9" w:rsidRDefault="005A1B12" w:rsidP="00313780">
            <w:pPr>
              <w:jc w:val="right"/>
              <w:rPr>
                <w:sz w:val="16"/>
                <w:szCs w:val="16"/>
              </w:rPr>
            </w:pPr>
            <w:r w:rsidRPr="00D14CE9">
              <w:rPr>
                <w:sz w:val="16"/>
                <w:szCs w:val="16"/>
              </w:rPr>
              <w:t>2.4</w:t>
            </w:r>
          </w:p>
        </w:tc>
        <w:tc>
          <w:tcPr>
            <w:tcW w:w="668" w:type="dxa"/>
            <w:vAlign w:val="center"/>
          </w:tcPr>
          <w:p w:rsidR="005A1B12" w:rsidRPr="00D14CE9" w:rsidRDefault="005A1B12" w:rsidP="00313780">
            <w:pPr>
              <w:jc w:val="right"/>
              <w:rPr>
                <w:sz w:val="16"/>
                <w:szCs w:val="16"/>
              </w:rPr>
            </w:pPr>
            <w:r w:rsidRPr="00D14CE9">
              <w:rPr>
                <w:sz w:val="16"/>
                <w:szCs w:val="16"/>
              </w:rPr>
              <w:t>2.6</w:t>
            </w:r>
          </w:p>
        </w:tc>
        <w:tc>
          <w:tcPr>
            <w:tcW w:w="667" w:type="dxa"/>
            <w:vAlign w:val="center"/>
          </w:tcPr>
          <w:p w:rsidR="005A1B12" w:rsidRPr="00D14CE9" w:rsidRDefault="005A1B12" w:rsidP="00313780">
            <w:pPr>
              <w:jc w:val="right"/>
              <w:rPr>
                <w:sz w:val="16"/>
                <w:szCs w:val="16"/>
              </w:rPr>
            </w:pPr>
            <w:r w:rsidRPr="00D14CE9">
              <w:rPr>
                <w:sz w:val="16"/>
                <w:szCs w:val="16"/>
              </w:rPr>
              <w:t>2.9</w:t>
            </w:r>
          </w:p>
        </w:tc>
        <w:tc>
          <w:tcPr>
            <w:tcW w:w="668" w:type="dxa"/>
            <w:vAlign w:val="center"/>
          </w:tcPr>
          <w:p w:rsidR="005A1B12" w:rsidRPr="00D14CE9" w:rsidRDefault="005A1B12" w:rsidP="00313780">
            <w:pPr>
              <w:jc w:val="right"/>
              <w:rPr>
                <w:sz w:val="16"/>
                <w:szCs w:val="16"/>
              </w:rPr>
            </w:pPr>
            <w:r w:rsidRPr="00D14CE9">
              <w:rPr>
                <w:sz w:val="16"/>
                <w:szCs w:val="16"/>
              </w:rPr>
              <w:t>2.7</w:t>
            </w:r>
          </w:p>
        </w:tc>
        <w:tc>
          <w:tcPr>
            <w:tcW w:w="668" w:type="dxa"/>
            <w:gridSpan w:val="2"/>
            <w:vAlign w:val="center"/>
          </w:tcPr>
          <w:p w:rsidR="005A1B12" w:rsidRPr="00D14CE9" w:rsidRDefault="005A1B12" w:rsidP="00313780">
            <w:pPr>
              <w:jc w:val="right"/>
              <w:rPr>
                <w:sz w:val="16"/>
                <w:szCs w:val="16"/>
              </w:rPr>
            </w:pPr>
            <w:r w:rsidRPr="00D14CE9">
              <w:rPr>
                <w:rFonts w:cs="Calibri"/>
                <w:color w:val="000000"/>
                <w:sz w:val="16"/>
                <w:szCs w:val="16"/>
              </w:rPr>
              <w:t>1.5</w:t>
            </w:r>
          </w:p>
        </w:tc>
      </w:tr>
      <w:tr w:rsidR="005A1B12" w:rsidRPr="00D14CE9" w:rsidTr="001476EB">
        <w:trPr>
          <w:trHeight w:val="295"/>
        </w:trPr>
        <w:tc>
          <w:tcPr>
            <w:tcW w:w="1580" w:type="dxa"/>
            <w:noWrap/>
            <w:vAlign w:val="center"/>
          </w:tcPr>
          <w:p w:rsidR="005A1B12" w:rsidRPr="00D14CE9" w:rsidRDefault="005A1B12" w:rsidP="004A3BAF">
            <w:pPr>
              <w:rPr>
                <w:sz w:val="16"/>
                <w:szCs w:val="16"/>
              </w:rPr>
            </w:pPr>
            <w:r w:rsidRPr="00D14CE9">
              <w:rPr>
                <w:sz w:val="16"/>
                <w:szCs w:val="16"/>
              </w:rPr>
              <w:t>Sand and Gravel</w:t>
            </w:r>
          </w:p>
        </w:tc>
        <w:tc>
          <w:tcPr>
            <w:tcW w:w="667" w:type="dxa"/>
            <w:noWrap/>
            <w:vAlign w:val="center"/>
          </w:tcPr>
          <w:p w:rsidR="005A1B12" w:rsidRPr="00D14CE9" w:rsidRDefault="005A1B12" w:rsidP="00313780">
            <w:pPr>
              <w:jc w:val="right"/>
              <w:rPr>
                <w:sz w:val="16"/>
                <w:szCs w:val="16"/>
              </w:rPr>
            </w:pPr>
            <w:r w:rsidRPr="00D14CE9">
              <w:rPr>
                <w:sz w:val="16"/>
                <w:szCs w:val="16"/>
              </w:rPr>
              <w:t>11.4</w:t>
            </w:r>
          </w:p>
        </w:tc>
        <w:tc>
          <w:tcPr>
            <w:tcW w:w="667" w:type="dxa"/>
            <w:noWrap/>
            <w:vAlign w:val="center"/>
          </w:tcPr>
          <w:p w:rsidR="005A1B12" w:rsidRPr="00D14CE9" w:rsidRDefault="005A1B12" w:rsidP="00313780">
            <w:pPr>
              <w:jc w:val="right"/>
              <w:rPr>
                <w:sz w:val="16"/>
                <w:szCs w:val="16"/>
              </w:rPr>
            </w:pPr>
            <w:r w:rsidRPr="00D14CE9">
              <w:rPr>
                <w:sz w:val="16"/>
                <w:szCs w:val="16"/>
              </w:rPr>
              <w:t>10.9</w:t>
            </w:r>
          </w:p>
        </w:tc>
        <w:tc>
          <w:tcPr>
            <w:tcW w:w="668" w:type="dxa"/>
            <w:noWrap/>
            <w:vAlign w:val="center"/>
          </w:tcPr>
          <w:p w:rsidR="005A1B12" w:rsidRPr="00D14CE9" w:rsidRDefault="005A1B12" w:rsidP="00313780">
            <w:pPr>
              <w:jc w:val="right"/>
              <w:rPr>
                <w:sz w:val="16"/>
                <w:szCs w:val="16"/>
              </w:rPr>
            </w:pPr>
            <w:r w:rsidRPr="00D14CE9">
              <w:rPr>
                <w:sz w:val="16"/>
                <w:szCs w:val="16"/>
              </w:rPr>
              <w:t>10.5</w:t>
            </w:r>
          </w:p>
        </w:tc>
        <w:tc>
          <w:tcPr>
            <w:tcW w:w="667" w:type="dxa"/>
            <w:vAlign w:val="center"/>
          </w:tcPr>
          <w:p w:rsidR="005A1B12" w:rsidRPr="00D14CE9" w:rsidRDefault="005A1B12" w:rsidP="00313780">
            <w:pPr>
              <w:jc w:val="right"/>
              <w:rPr>
                <w:sz w:val="16"/>
                <w:szCs w:val="16"/>
              </w:rPr>
            </w:pPr>
            <w:r w:rsidRPr="00D14CE9">
              <w:rPr>
                <w:sz w:val="16"/>
                <w:szCs w:val="16"/>
              </w:rPr>
              <w:t>11.5</w:t>
            </w:r>
          </w:p>
        </w:tc>
        <w:tc>
          <w:tcPr>
            <w:tcW w:w="668" w:type="dxa"/>
            <w:vAlign w:val="center"/>
          </w:tcPr>
          <w:p w:rsidR="005A1B12" w:rsidRPr="00D14CE9" w:rsidRDefault="005A1B12" w:rsidP="00313780">
            <w:pPr>
              <w:jc w:val="right"/>
              <w:rPr>
                <w:sz w:val="16"/>
                <w:szCs w:val="16"/>
              </w:rPr>
            </w:pPr>
            <w:r w:rsidRPr="00D14CE9">
              <w:rPr>
                <w:sz w:val="16"/>
                <w:szCs w:val="16"/>
              </w:rPr>
              <w:t>13.0</w:t>
            </w:r>
          </w:p>
        </w:tc>
        <w:tc>
          <w:tcPr>
            <w:tcW w:w="667" w:type="dxa"/>
            <w:vAlign w:val="center"/>
          </w:tcPr>
          <w:p w:rsidR="005A1B12" w:rsidRPr="00D14CE9" w:rsidRDefault="005A1B12" w:rsidP="00313780">
            <w:pPr>
              <w:jc w:val="right"/>
              <w:rPr>
                <w:sz w:val="16"/>
                <w:szCs w:val="16"/>
              </w:rPr>
            </w:pPr>
            <w:r w:rsidRPr="00D14CE9">
              <w:rPr>
                <w:sz w:val="16"/>
                <w:szCs w:val="16"/>
              </w:rPr>
              <w:t>13.1</w:t>
            </w:r>
          </w:p>
        </w:tc>
        <w:tc>
          <w:tcPr>
            <w:tcW w:w="667" w:type="dxa"/>
            <w:vAlign w:val="center"/>
          </w:tcPr>
          <w:p w:rsidR="005A1B12" w:rsidRPr="00D14CE9" w:rsidRDefault="005A1B12" w:rsidP="00313780">
            <w:pPr>
              <w:jc w:val="right"/>
              <w:rPr>
                <w:sz w:val="16"/>
                <w:szCs w:val="16"/>
              </w:rPr>
            </w:pPr>
            <w:r w:rsidRPr="00D14CE9">
              <w:rPr>
                <w:sz w:val="16"/>
                <w:szCs w:val="16"/>
              </w:rPr>
              <w:t>14.2</w:t>
            </w:r>
          </w:p>
        </w:tc>
        <w:tc>
          <w:tcPr>
            <w:tcW w:w="668" w:type="dxa"/>
            <w:vAlign w:val="center"/>
          </w:tcPr>
          <w:p w:rsidR="005A1B12" w:rsidRPr="00D14CE9" w:rsidRDefault="005A1B12" w:rsidP="00313780">
            <w:pPr>
              <w:jc w:val="right"/>
              <w:rPr>
                <w:sz w:val="16"/>
                <w:szCs w:val="16"/>
              </w:rPr>
            </w:pPr>
            <w:r w:rsidRPr="00D14CE9">
              <w:rPr>
                <w:sz w:val="16"/>
                <w:szCs w:val="16"/>
              </w:rPr>
              <w:t>13.5</w:t>
            </w:r>
          </w:p>
        </w:tc>
        <w:tc>
          <w:tcPr>
            <w:tcW w:w="667" w:type="dxa"/>
            <w:vAlign w:val="center"/>
          </w:tcPr>
          <w:p w:rsidR="005A1B12" w:rsidRPr="00D14CE9" w:rsidRDefault="005A1B12" w:rsidP="00313780">
            <w:pPr>
              <w:jc w:val="right"/>
              <w:rPr>
                <w:sz w:val="16"/>
                <w:szCs w:val="16"/>
              </w:rPr>
            </w:pPr>
            <w:r w:rsidRPr="00D14CE9">
              <w:rPr>
                <w:sz w:val="16"/>
                <w:szCs w:val="16"/>
              </w:rPr>
              <w:t>11.9</w:t>
            </w:r>
          </w:p>
        </w:tc>
        <w:tc>
          <w:tcPr>
            <w:tcW w:w="668" w:type="dxa"/>
            <w:vAlign w:val="center"/>
          </w:tcPr>
          <w:p w:rsidR="005A1B12" w:rsidRPr="00D14CE9" w:rsidRDefault="005A1B12" w:rsidP="00313780">
            <w:pPr>
              <w:jc w:val="right"/>
              <w:rPr>
                <w:sz w:val="16"/>
                <w:szCs w:val="16"/>
              </w:rPr>
            </w:pPr>
            <w:r w:rsidRPr="00D14CE9">
              <w:rPr>
                <w:sz w:val="16"/>
                <w:szCs w:val="16"/>
              </w:rPr>
              <w:t>14.0</w:t>
            </w:r>
          </w:p>
        </w:tc>
        <w:tc>
          <w:tcPr>
            <w:tcW w:w="667" w:type="dxa"/>
            <w:vAlign w:val="center"/>
          </w:tcPr>
          <w:p w:rsidR="005A1B12" w:rsidRPr="00D14CE9" w:rsidRDefault="005A1B12" w:rsidP="00313780">
            <w:pPr>
              <w:jc w:val="right"/>
              <w:rPr>
                <w:sz w:val="16"/>
                <w:szCs w:val="16"/>
              </w:rPr>
            </w:pPr>
            <w:r w:rsidRPr="00D14CE9">
              <w:rPr>
                <w:sz w:val="16"/>
                <w:szCs w:val="16"/>
              </w:rPr>
              <w:t>14.1</w:t>
            </w:r>
          </w:p>
        </w:tc>
        <w:tc>
          <w:tcPr>
            <w:tcW w:w="668" w:type="dxa"/>
            <w:vAlign w:val="center"/>
          </w:tcPr>
          <w:p w:rsidR="005A1B12" w:rsidRPr="00D14CE9" w:rsidRDefault="005A1B12" w:rsidP="00313780">
            <w:pPr>
              <w:jc w:val="right"/>
              <w:rPr>
                <w:sz w:val="16"/>
                <w:szCs w:val="16"/>
              </w:rPr>
            </w:pPr>
            <w:r w:rsidRPr="00D14CE9">
              <w:rPr>
                <w:sz w:val="16"/>
                <w:szCs w:val="16"/>
              </w:rPr>
              <w:t>14.0</w:t>
            </w:r>
          </w:p>
        </w:tc>
        <w:tc>
          <w:tcPr>
            <w:tcW w:w="668" w:type="dxa"/>
            <w:gridSpan w:val="2"/>
            <w:vAlign w:val="center"/>
          </w:tcPr>
          <w:p w:rsidR="005A1B12" w:rsidRPr="00D14CE9" w:rsidRDefault="005A1B12" w:rsidP="00313780">
            <w:pPr>
              <w:jc w:val="right"/>
              <w:rPr>
                <w:sz w:val="16"/>
                <w:szCs w:val="16"/>
              </w:rPr>
            </w:pPr>
            <w:r w:rsidRPr="00D14CE9">
              <w:rPr>
                <w:rFonts w:cs="Calibri"/>
                <w:color w:val="000000"/>
                <w:sz w:val="16"/>
                <w:szCs w:val="16"/>
              </w:rPr>
              <w:t>10.8</w:t>
            </w:r>
          </w:p>
        </w:tc>
      </w:tr>
      <w:tr w:rsidR="005A1B12" w:rsidRPr="00D14CE9" w:rsidTr="001476EB">
        <w:trPr>
          <w:trHeight w:val="295"/>
        </w:trPr>
        <w:tc>
          <w:tcPr>
            <w:tcW w:w="1580" w:type="dxa"/>
            <w:noWrap/>
            <w:vAlign w:val="center"/>
          </w:tcPr>
          <w:p w:rsidR="005A1B12" w:rsidRPr="00D14CE9" w:rsidRDefault="005A1B12" w:rsidP="004A3BAF">
            <w:pPr>
              <w:rPr>
                <w:sz w:val="16"/>
                <w:szCs w:val="16"/>
              </w:rPr>
            </w:pPr>
            <w:r w:rsidRPr="00D14CE9">
              <w:rPr>
                <w:sz w:val="16"/>
                <w:szCs w:val="16"/>
              </w:rPr>
              <w:t>Total</w:t>
            </w:r>
          </w:p>
        </w:tc>
        <w:tc>
          <w:tcPr>
            <w:tcW w:w="667" w:type="dxa"/>
            <w:noWrap/>
            <w:vAlign w:val="center"/>
          </w:tcPr>
          <w:p w:rsidR="005A1B12" w:rsidRPr="00D14CE9" w:rsidRDefault="005A1B12" w:rsidP="00313780">
            <w:pPr>
              <w:jc w:val="right"/>
              <w:rPr>
                <w:sz w:val="16"/>
                <w:szCs w:val="16"/>
              </w:rPr>
            </w:pPr>
            <w:r w:rsidRPr="00D14CE9">
              <w:rPr>
                <w:sz w:val="16"/>
                <w:szCs w:val="16"/>
              </w:rPr>
              <w:t>39.5</w:t>
            </w:r>
          </w:p>
        </w:tc>
        <w:tc>
          <w:tcPr>
            <w:tcW w:w="667" w:type="dxa"/>
            <w:noWrap/>
            <w:vAlign w:val="center"/>
          </w:tcPr>
          <w:p w:rsidR="005A1B12" w:rsidRPr="00D14CE9" w:rsidRDefault="005A1B12" w:rsidP="00313780">
            <w:pPr>
              <w:jc w:val="right"/>
              <w:rPr>
                <w:sz w:val="16"/>
                <w:szCs w:val="16"/>
              </w:rPr>
            </w:pPr>
            <w:r w:rsidRPr="00D14CE9">
              <w:rPr>
                <w:sz w:val="16"/>
                <w:szCs w:val="16"/>
              </w:rPr>
              <w:t>37.6</w:t>
            </w:r>
          </w:p>
        </w:tc>
        <w:tc>
          <w:tcPr>
            <w:tcW w:w="668" w:type="dxa"/>
            <w:noWrap/>
            <w:vAlign w:val="center"/>
          </w:tcPr>
          <w:p w:rsidR="005A1B12" w:rsidRPr="00D14CE9" w:rsidRDefault="005A1B12" w:rsidP="00313780">
            <w:pPr>
              <w:jc w:val="right"/>
              <w:rPr>
                <w:sz w:val="16"/>
                <w:szCs w:val="16"/>
              </w:rPr>
            </w:pPr>
            <w:r w:rsidRPr="00D14CE9">
              <w:rPr>
                <w:sz w:val="16"/>
                <w:szCs w:val="16"/>
              </w:rPr>
              <w:t>38.8</w:t>
            </w:r>
          </w:p>
        </w:tc>
        <w:tc>
          <w:tcPr>
            <w:tcW w:w="667" w:type="dxa"/>
            <w:vAlign w:val="center"/>
          </w:tcPr>
          <w:p w:rsidR="005A1B12" w:rsidRPr="00D14CE9" w:rsidRDefault="005A1B12" w:rsidP="00313780">
            <w:pPr>
              <w:jc w:val="right"/>
              <w:rPr>
                <w:sz w:val="16"/>
                <w:szCs w:val="16"/>
              </w:rPr>
            </w:pPr>
            <w:r w:rsidRPr="00D14CE9">
              <w:rPr>
                <w:sz w:val="16"/>
                <w:szCs w:val="16"/>
              </w:rPr>
              <w:t>41.6</w:t>
            </w:r>
          </w:p>
        </w:tc>
        <w:tc>
          <w:tcPr>
            <w:tcW w:w="668" w:type="dxa"/>
            <w:vAlign w:val="center"/>
          </w:tcPr>
          <w:p w:rsidR="005A1B12" w:rsidRPr="00D14CE9" w:rsidRDefault="005A1B12" w:rsidP="00313780">
            <w:pPr>
              <w:jc w:val="right"/>
              <w:rPr>
                <w:sz w:val="16"/>
                <w:szCs w:val="16"/>
              </w:rPr>
            </w:pPr>
            <w:r w:rsidRPr="00D14CE9">
              <w:rPr>
                <w:sz w:val="16"/>
                <w:szCs w:val="16"/>
              </w:rPr>
              <w:t>46.4</w:t>
            </w:r>
          </w:p>
        </w:tc>
        <w:tc>
          <w:tcPr>
            <w:tcW w:w="667" w:type="dxa"/>
            <w:vAlign w:val="center"/>
          </w:tcPr>
          <w:p w:rsidR="005A1B12" w:rsidRPr="00D14CE9" w:rsidRDefault="005A1B12" w:rsidP="00313780">
            <w:pPr>
              <w:jc w:val="right"/>
              <w:rPr>
                <w:sz w:val="16"/>
                <w:szCs w:val="16"/>
              </w:rPr>
            </w:pPr>
            <w:r w:rsidRPr="00D14CE9">
              <w:rPr>
                <w:sz w:val="16"/>
                <w:szCs w:val="16"/>
              </w:rPr>
              <w:t>52.3</w:t>
            </w:r>
          </w:p>
        </w:tc>
        <w:tc>
          <w:tcPr>
            <w:tcW w:w="667" w:type="dxa"/>
            <w:vAlign w:val="center"/>
          </w:tcPr>
          <w:p w:rsidR="005A1B12" w:rsidRPr="00D14CE9" w:rsidRDefault="005A1B12" w:rsidP="00313780">
            <w:pPr>
              <w:jc w:val="right"/>
              <w:rPr>
                <w:sz w:val="16"/>
                <w:szCs w:val="16"/>
              </w:rPr>
            </w:pPr>
            <w:r w:rsidRPr="00D14CE9">
              <w:rPr>
                <w:sz w:val="16"/>
                <w:szCs w:val="16"/>
              </w:rPr>
              <w:t>54.2</w:t>
            </w:r>
          </w:p>
        </w:tc>
        <w:tc>
          <w:tcPr>
            <w:tcW w:w="668" w:type="dxa"/>
            <w:vAlign w:val="center"/>
          </w:tcPr>
          <w:p w:rsidR="005A1B12" w:rsidRPr="00D14CE9" w:rsidRDefault="005A1B12" w:rsidP="00313780">
            <w:pPr>
              <w:jc w:val="right"/>
              <w:rPr>
                <w:sz w:val="16"/>
                <w:szCs w:val="16"/>
              </w:rPr>
            </w:pPr>
            <w:r w:rsidRPr="00D14CE9">
              <w:rPr>
                <w:sz w:val="16"/>
                <w:szCs w:val="16"/>
              </w:rPr>
              <w:t>48.7</w:t>
            </w:r>
          </w:p>
        </w:tc>
        <w:tc>
          <w:tcPr>
            <w:tcW w:w="667" w:type="dxa"/>
            <w:vAlign w:val="center"/>
          </w:tcPr>
          <w:p w:rsidR="005A1B12" w:rsidRPr="00D14CE9" w:rsidRDefault="005A1B12" w:rsidP="00313780">
            <w:pPr>
              <w:jc w:val="right"/>
              <w:rPr>
                <w:sz w:val="16"/>
                <w:szCs w:val="16"/>
              </w:rPr>
            </w:pPr>
            <w:r w:rsidRPr="00D14CE9">
              <w:rPr>
                <w:sz w:val="16"/>
                <w:szCs w:val="16"/>
              </w:rPr>
              <w:t>46.1</w:t>
            </w:r>
          </w:p>
        </w:tc>
        <w:tc>
          <w:tcPr>
            <w:tcW w:w="668" w:type="dxa"/>
            <w:vAlign w:val="center"/>
          </w:tcPr>
          <w:p w:rsidR="005A1B12" w:rsidRPr="00D14CE9" w:rsidRDefault="005A1B12" w:rsidP="00313780">
            <w:pPr>
              <w:jc w:val="right"/>
              <w:rPr>
                <w:sz w:val="16"/>
                <w:szCs w:val="16"/>
              </w:rPr>
            </w:pPr>
            <w:r w:rsidRPr="00D14CE9">
              <w:rPr>
                <w:sz w:val="16"/>
                <w:szCs w:val="16"/>
              </w:rPr>
              <w:t>52.1</w:t>
            </w:r>
          </w:p>
        </w:tc>
        <w:tc>
          <w:tcPr>
            <w:tcW w:w="667" w:type="dxa"/>
            <w:vAlign w:val="center"/>
          </w:tcPr>
          <w:p w:rsidR="005A1B12" w:rsidRPr="00D14CE9" w:rsidRDefault="005A1B12" w:rsidP="00313780">
            <w:pPr>
              <w:jc w:val="right"/>
              <w:rPr>
                <w:sz w:val="16"/>
                <w:szCs w:val="16"/>
              </w:rPr>
            </w:pPr>
            <w:r w:rsidRPr="00D14CE9">
              <w:rPr>
                <w:sz w:val="16"/>
                <w:szCs w:val="16"/>
              </w:rPr>
              <w:t>58.1</w:t>
            </w:r>
          </w:p>
        </w:tc>
        <w:tc>
          <w:tcPr>
            <w:tcW w:w="668" w:type="dxa"/>
            <w:vAlign w:val="center"/>
          </w:tcPr>
          <w:p w:rsidR="005A1B12" w:rsidRPr="00D14CE9" w:rsidRDefault="005A1B12" w:rsidP="00313780">
            <w:pPr>
              <w:jc w:val="right"/>
              <w:rPr>
                <w:sz w:val="16"/>
                <w:szCs w:val="16"/>
              </w:rPr>
            </w:pPr>
            <w:r w:rsidRPr="00D14CE9">
              <w:rPr>
                <w:sz w:val="16"/>
                <w:szCs w:val="16"/>
              </w:rPr>
              <w:t>47.2</w:t>
            </w:r>
          </w:p>
        </w:tc>
        <w:tc>
          <w:tcPr>
            <w:tcW w:w="668" w:type="dxa"/>
            <w:gridSpan w:val="2"/>
            <w:vAlign w:val="center"/>
          </w:tcPr>
          <w:p w:rsidR="005A1B12" w:rsidRPr="00D14CE9" w:rsidRDefault="005A1B12" w:rsidP="00313780">
            <w:pPr>
              <w:jc w:val="right"/>
              <w:rPr>
                <w:sz w:val="16"/>
                <w:szCs w:val="16"/>
              </w:rPr>
            </w:pPr>
            <w:r w:rsidRPr="00D14CE9">
              <w:rPr>
                <w:rFonts w:cs="Calibri"/>
                <w:color w:val="000000"/>
                <w:sz w:val="16"/>
                <w:szCs w:val="16"/>
              </w:rPr>
              <w:t>40.3</w:t>
            </w:r>
          </w:p>
        </w:tc>
      </w:tr>
    </w:tbl>
    <w:p w:rsidR="002B448C" w:rsidRPr="00D14CE9" w:rsidRDefault="002B448C" w:rsidP="00F552CC">
      <w:pPr>
        <w:pStyle w:val="EYSource"/>
        <w:rPr>
          <w:lang w:val="en-AU"/>
        </w:rPr>
      </w:pPr>
      <w:r w:rsidRPr="00D14CE9">
        <w:rPr>
          <w:lang w:val="en-AU"/>
        </w:rPr>
        <w:t xml:space="preserve">Source: DEDJTR May 2015 </w:t>
      </w:r>
      <w:r w:rsidR="00313780" w:rsidRPr="00D14CE9">
        <w:rPr>
          <w:lang w:val="en-AU"/>
        </w:rPr>
        <w:br/>
      </w:r>
    </w:p>
    <w:p w:rsidR="002B448C" w:rsidRPr="00D14CE9" w:rsidRDefault="002B448C" w:rsidP="00856574">
      <w:pPr>
        <w:pStyle w:val="ListParagraph"/>
        <w:numPr>
          <w:ilvl w:val="1"/>
          <w:numId w:val="21"/>
        </w:numPr>
        <w:ind w:left="806" w:hanging="806"/>
        <w:rPr>
          <w:rFonts w:ascii="EYInterstate Light" w:hAnsi="EYInterstate Light"/>
          <w:b/>
          <w:i/>
        </w:rPr>
      </w:pPr>
      <w:r w:rsidRPr="00D14CE9">
        <w:rPr>
          <w:rFonts w:ascii="EYInterstate Light" w:hAnsi="EYInterstate Light"/>
          <w:b/>
          <w:i/>
        </w:rPr>
        <w:t>Forecast Analysis</w:t>
      </w:r>
    </w:p>
    <w:p w:rsidR="002B448C" w:rsidRPr="00D14CE9" w:rsidRDefault="002B448C" w:rsidP="00856574">
      <w:pPr>
        <w:pStyle w:val="ListParagraph"/>
        <w:numPr>
          <w:ilvl w:val="2"/>
          <w:numId w:val="21"/>
        </w:numPr>
        <w:ind w:left="810" w:hanging="810"/>
        <w:rPr>
          <w:rFonts w:ascii="EYInterstate Light" w:hAnsi="EYInterstate Light"/>
          <w:i/>
        </w:rPr>
      </w:pPr>
      <w:r w:rsidRPr="00D14CE9">
        <w:rPr>
          <w:rFonts w:ascii="EYInterstate Light" w:hAnsi="EYInterstate Light"/>
          <w:i/>
        </w:rPr>
        <w:t>Demand Drivers</w:t>
      </w:r>
    </w:p>
    <w:p w:rsidR="002B448C" w:rsidRPr="00D14CE9" w:rsidRDefault="002B448C" w:rsidP="00C200D0">
      <w:pPr>
        <w:pStyle w:val="EYBodytextwithparaspace"/>
        <w:rPr>
          <w:rFonts w:cstheme="majorHAnsi"/>
          <w:szCs w:val="20"/>
          <w:lang w:val="en-AU"/>
        </w:rPr>
      </w:pPr>
      <w:r w:rsidRPr="00D14CE9">
        <w:rPr>
          <w:rFonts w:cstheme="majorHAnsi"/>
          <w:szCs w:val="20"/>
          <w:lang w:val="en-AU"/>
        </w:rPr>
        <w:t xml:space="preserve">Population projections inputs relied upon to forecast the population growth from 2015 to 2050 per LGA have been sourced from VIF 2015 in relation to 2011, 2021 and 2031 milestones data and from VITM in relation to 2046 milestone data. Yearly population growth has been calculated using the average annual growth rate between those key milestones data. </w:t>
      </w:r>
    </w:p>
    <w:p w:rsidR="002B448C" w:rsidRPr="00D14CE9" w:rsidRDefault="002B448C" w:rsidP="00C200D0">
      <w:pPr>
        <w:pStyle w:val="EYBodytextwithparaspace"/>
        <w:rPr>
          <w:rFonts w:cstheme="majorHAnsi"/>
          <w:szCs w:val="20"/>
          <w:lang w:val="en-AU"/>
        </w:rPr>
      </w:pPr>
      <w:r w:rsidRPr="00D14CE9">
        <w:rPr>
          <w:rFonts w:cstheme="majorHAnsi"/>
          <w:szCs w:val="20"/>
          <w:lang w:val="en-AU"/>
        </w:rPr>
        <w:t>GSP projections used for the forecast analysis have been provided by Victorian Department of Treasury and Finance in the 2015-2016 Budget paper. Key inputs are summarized in the below table. From 2020 to 2050, a stable rate of 2.75%, corresponding to 2019 forecast, has been used.</w:t>
      </w:r>
    </w:p>
    <w:tbl>
      <w:tblPr>
        <w:tblW w:w="565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24"/>
        <w:tblDescription w:val="Table 24 shows Gross State Product projections. 2015 is 2.25%, 2016 is 2.5%, 2017 is 2.75%, 2018 is 2.75%, and 2019 is 2.75%."/>
      </w:tblPr>
      <w:tblGrid>
        <w:gridCol w:w="1602"/>
        <w:gridCol w:w="810"/>
        <w:gridCol w:w="810"/>
        <w:gridCol w:w="810"/>
        <w:gridCol w:w="810"/>
        <w:gridCol w:w="810"/>
      </w:tblGrid>
      <w:tr w:rsidR="00313780" w:rsidRPr="00D14CE9" w:rsidTr="001476EB">
        <w:trPr>
          <w:trHeight w:val="315"/>
        </w:trPr>
        <w:tc>
          <w:tcPr>
            <w:tcW w:w="5652" w:type="dxa"/>
            <w:gridSpan w:val="6"/>
            <w:shd w:val="clear" w:color="auto" w:fill="808080"/>
            <w:noWrap/>
            <w:vAlign w:val="bottom"/>
          </w:tcPr>
          <w:p w:rsidR="00313780" w:rsidRPr="00D14CE9" w:rsidRDefault="00313780" w:rsidP="00802792">
            <w:pPr>
              <w:pStyle w:val="EYTableHeadingWhite"/>
              <w:rPr>
                <w:rFonts w:eastAsia="Arial Unicode MS"/>
              </w:rPr>
            </w:pPr>
            <w:bookmarkStart w:id="709" w:name="_Toc445240958"/>
            <w:bookmarkStart w:id="710" w:name="_Toc448914651"/>
            <w:bookmarkStart w:id="711" w:name="_Toc448920468"/>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24</w:t>
            </w:r>
            <w:r w:rsidR="00A9654D" w:rsidRPr="00802792">
              <w:fldChar w:fldCharType="end"/>
            </w:r>
            <w:r w:rsidRPr="00D14CE9">
              <w:t xml:space="preserve"> – GSP Projections</w:t>
            </w:r>
            <w:bookmarkEnd w:id="709"/>
            <w:bookmarkEnd w:id="710"/>
            <w:bookmarkEnd w:id="711"/>
            <w:r w:rsidRPr="00D14CE9">
              <w:rPr>
                <w:b w:val="0"/>
                <w:sz w:val="18"/>
                <w:szCs w:val="18"/>
              </w:rPr>
              <w:t xml:space="preserve"> </w:t>
            </w:r>
          </w:p>
        </w:tc>
      </w:tr>
      <w:tr w:rsidR="00927FEC" w:rsidRPr="00D14CE9" w:rsidTr="001476EB">
        <w:tc>
          <w:tcPr>
            <w:tcW w:w="1602" w:type="dxa"/>
            <w:shd w:val="clear" w:color="auto" w:fill="F0F0F0"/>
            <w:vAlign w:val="bottom"/>
          </w:tcPr>
          <w:p w:rsidR="00927FEC" w:rsidRPr="00D14CE9" w:rsidRDefault="00927FEC" w:rsidP="00E65C9D">
            <w:pPr>
              <w:pStyle w:val="EYTableHeading"/>
              <w:rPr>
                <w:rFonts w:eastAsia="Arial Unicode MS"/>
              </w:rPr>
            </w:pPr>
            <w:r w:rsidRPr="00D14CE9">
              <w:t>Rock type</w:t>
            </w:r>
          </w:p>
        </w:tc>
        <w:tc>
          <w:tcPr>
            <w:tcW w:w="810" w:type="dxa"/>
            <w:shd w:val="clear" w:color="auto" w:fill="F0F0F0"/>
            <w:vAlign w:val="bottom"/>
          </w:tcPr>
          <w:p w:rsidR="00927FEC" w:rsidRPr="00D14CE9" w:rsidRDefault="00927FEC">
            <w:pPr>
              <w:pStyle w:val="EYTableHeading"/>
              <w:rPr>
                <w:rFonts w:eastAsia="Arial Unicode MS"/>
              </w:rPr>
            </w:pPr>
            <w:r w:rsidRPr="00D14CE9">
              <w:rPr>
                <w:rFonts w:eastAsia="Arial Unicode MS"/>
              </w:rPr>
              <w:t>2015</w:t>
            </w:r>
          </w:p>
        </w:tc>
        <w:tc>
          <w:tcPr>
            <w:tcW w:w="810" w:type="dxa"/>
            <w:shd w:val="clear" w:color="auto" w:fill="F0F0F0"/>
            <w:vAlign w:val="bottom"/>
          </w:tcPr>
          <w:p w:rsidR="00927FEC" w:rsidRPr="00D14CE9" w:rsidRDefault="00927FEC">
            <w:pPr>
              <w:pStyle w:val="EYTableHeading"/>
              <w:rPr>
                <w:rFonts w:eastAsia="Arial Unicode MS"/>
              </w:rPr>
            </w:pPr>
            <w:r w:rsidRPr="00D14CE9">
              <w:rPr>
                <w:rFonts w:eastAsia="Arial Unicode MS"/>
              </w:rPr>
              <w:t>2016</w:t>
            </w:r>
          </w:p>
        </w:tc>
        <w:tc>
          <w:tcPr>
            <w:tcW w:w="810" w:type="dxa"/>
            <w:shd w:val="clear" w:color="auto" w:fill="F0F0F0"/>
            <w:vAlign w:val="bottom"/>
          </w:tcPr>
          <w:p w:rsidR="00927FEC" w:rsidRPr="00D14CE9" w:rsidRDefault="00927FEC">
            <w:pPr>
              <w:pStyle w:val="EYTableHeading"/>
              <w:rPr>
                <w:rFonts w:eastAsia="Arial Unicode MS"/>
              </w:rPr>
            </w:pPr>
            <w:r w:rsidRPr="00D14CE9">
              <w:rPr>
                <w:rFonts w:eastAsia="Arial Unicode MS"/>
              </w:rPr>
              <w:t>2017</w:t>
            </w:r>
          </w:p>
        </w:tc>
        <w:tc>
          <w:tcPr>
            <w:tcW w:w="810" w:type="dxa"/>
            <w:shd w:val="clear" w:color="auto" w:fill="F0F0F0"/>
          </w:tcPr>
          <w:p w:rsidR="00927FEC" w:rsidRPr="00D14CE9" w:rsidRDefault="00927FEC">
            <w:pPr>
              <w:pStyle w:val="EYTableHeading"/>
              <w:rPr>
                <w:rFonts w:eastAsia="Arial Unicode MS"/>
              </w:rPr>
            </w:pPr>
            <w:r w:rsidRPr="00D14CE9">
              <w:rPr>
                <w:rFonts w:eastAsia="Arial Unicode MS"/>
              </w:rPr>
              <w:t>2018</w:t>
            </w:r>
          </w:p>
        </w:tc>
        <w:tc>
          <w:tcPr>
            <w:tcW w:w="810" w:type="dxa"/>
            <w:shd w:val="clear" w:color="auto" w:fill="F0F0F0"/>
          </w:tcPr>
          <w:p w:rsidR="00927FEC" w:rsidRPr="00D14CE9" w:rsidRDefault="00927FEC">
            <w:pPr>
              <w:pStyle w:val="EYTableHeading"/>
              <w:rPr>
                <w:rFonts w:eastAsia="Arial Unicode MS"/>
              </w:rPr>
            </w:pPr>
            <w:r w:rsidRPr="00D14CE9">
              <w:rPr>
                <w:rFonts w:eastAsia="Arial Unicode MS"/>
              </w:rPr>
              <w:t>2019</w:t>
            </w:r>
          </w:p>
        </w:tc>
      </w:tr>
      <w:tr w:rsidR="00927FEC" w:rsidRPr="00D14CE9" w:rsidTr="001476EB">
        <w:trPr>
          <w:trHeight w:val="315"/>
        </w:trPr>
        <w:tc>
          <w:tcPr>
            <w:tcW w:w="1602" w:type="dxa"/>
            <w:noWrap/>
            <w:vAlign w:val="center"/>
          </w:tcPr>
          <w:p w:rsidR="00927FEC" w:rsidRPr="00D14CE9" w:rsidRDefault="00927FEC" w:rsidP="00927FEC">
            <w:pPr>
              <w:rPr>
                <w:sz w:val="16"/>
                <w:szCs w:val="16"/>
              </w:rPr>
            </w:pPr>
            <w:r w:rsidRPr="00D14CE9">
              <w:rPr>
                <w:sz w:val="16"/>
                <w:szCs w:val="16"/>
              </w:rPr>
              <w:t>GSP</w:t>
            </w:r>
          </w:p>
        </w:tc>
        <w:tc>
          <w:tcPr>
            <w:tcW w:w="810" w:type="dxa"/>
            <w:noWrap/>
            <w:vAlign w:val="center"/>
          </w:tcPr>
          <w:p w:rsidR="00927FEC" w:rsidRPr="00D14CE9" w:rsidRDefault="00927FEC" w:rsidP="00927FEC">
            <w:pPr>
              <w:rPr>
                <w:sz w:val="16"/>
                <w:szCs w:val="16"/>
              </w:rPr>
            </w:pPr>
            <w:r w:rsidRPr="00D14CE9">
              <w:rPr>
                <w:sz w:val="16"/>
                <w:szCs w:val="16"/>
              </w:rPr>
              <w:t>2.25%</w:t>
            </w:r>
          </w:p>
        </w:tc>
        <w:tc>
          <w:tcPr>
            <w:tcW w:w="810" w:type="dxa"/>
            <w:noWrap/>
            <w:vAlign w:val="center"/>
          </w:tcPr>
          <w:p w:rsidR="00927FEC" w:rsidRPr="00D14CE9" w:rsidRDefault="00927FEC" w:rsidP="00927FEC">
            <w:pPr>
              <w:rPr>
                <w:sz w:val="16"/>
                <w:szCs w:val="16"/>
              </w:rPr>
            </w:pPr>
            <w:r w:rsidRPr="00D14CE9">
              <w:rPr>
                <w:sz w:val="16"/>
                <w:szCs w:val="16"/>
              </w:rPr>
              <w:t>2.50%</w:t>
            </w:r>
          </w:p>
        </w:tc>
        <w:tc>
          <w:tcPr>
            <w:tcW w:w="810" w:type="dxa"/>
            <w:noWrap/>
            <w:vAlign w:val="center"/>
          </w:tcPr>
          <w:p w:rsidR="00927FEC" w:rsidRPr="00D14CE9" w:rsidRDefault="00927FEC" w:rsidP="00927FEC">
            <w:pPr>
              <w:rPr>
                <w:sz w:val="16"/>
                <w:szCs w:val="16"/>
              </w:rPr>
            </w:pPr>
            <w:r w:rsidRPr="00D14CE9">
              <w:rPr>
                <w:sz w:val="16"/>
                <w:szCs w:val="16"/>
              </w:rPr>
              <w:t>2.75%</w:t>
            </w:r>
          </w:p>
        </w:tc>
        <w:tc>
          <w:tcPr>
            <w:tcW w:w="810" w:type="dxa"/>
            <w:vAlign w:val="center"/>
          </w:tcPr>
          <w:p w:rsidR="00927FEC" w:rsidRPr="00D14CE9" w:rsidRDefault="00927FEC" w:rsidP="00927FEC">
            <w:pPr>
              <w:rPr>
                <w:sz w:val="16"/>
                <w:szCs w:val="16"/>
              </w:rPr>
            </w:pPr>
            <w:r w:rsidRPr="00D14CE9">
              <w:rPr>
                <w:sz w:val="16"/>
                <w:szCs w:val="16"/>
              </w:rPr>
              <w:t>2.75%</w:t>
            </w:r>
          </w:p>
        </w:tc>
        <w:tc>
          <w:tcPr>
            <w:tcW w:w="810" w:type="dxa"/>
            <w:vAlign w:val="center"/>
          </w:tcPr>
          <w:p w:rsidR="00927FEC" w:rsidRPr="00D14CE9" w:rsidRDefault="00927FEC" w:rsidP="00927FEC">
            <w:pPr>
              <w:rPr>
                <w:sz w:val="16"/>
                <w:szCs w:val="16"/>
              </w:rPr>
            </w:pPr>
            <w:r w:rsidRPr="00D14CE9">
              <w:rPr>
                <w:sz w:val="16"/>
                <w:szCs w:val="16"/>
              </w:rPr>
              <w:t>2.75%</w:t>
            </w:r>
          </w:p>
        </w:tc>
      </w:tr>
    </w:tbl>
    <w:p w:rsidR="002B448C" w:rsidRPr="00D14CE9" w:rsidRDefault="002B448C" w:rsidP="00F552CC">
      <w:pPr>
        <w:pStyle w:val="EYSource"/>
        <w:rPr>
          <w:lang w:val="en-AU"/>
        </w:rPr>
      </w:pPr>
      <w:r w:rsidRPr="00D14CE9">
        <w:rPr>
          <w:lang w:val="en-AU"/>
        </w:rPr>
        <w:t xml:space="preserve">Source: 2015-2016 Budget Paper </w:t>
      </w:r>
    </w:p>
    <w:p w:rsidR="002B448C" w:rsidRPr="00D14CE9" w:rsidRDefault="002B448C" w:rsidP="00C200D0"/>
    <w:p w:rsidR="002B448C" w:rsidRPr="00D14CE9" w:rsidRDefault="002B448C" w:rsidP="00856574">
      <w:pPr>
        <w:pStyle w:val="ListParagraph"/>
        <w:numPr>
          <w:ilvl w:val="2"/>
          <w:numId w:val="21"/>
        </w:numPr>
        <w:ind w:left="810" w:hanging="810"/>
        <w:rPr>
          <w:rFonts w:ascii="EYInterstate Light" w:hAnsi="EYInterstate Light"/>
          <w:i/>
        </w:rPr>
      </w:pPr>
      <w:r w:rsidRPr="00D14CE9">
        <w:rPr>
          <w:rFonts w:ascii="EYInterstate Light" w:hAnsi="EYInterstate Light"/>
          <w:i/>
        </w:rPr>
        <w:t>Transport major projects</w:t>
      </w:r>
    </w:p>
    <w:p w:rsidR="004A3BAF" w:rsidRPr="00D14CE9" w:rsidRDefault="002B448C" w:rsidP="00C200D0">
      <w:pPr>
        <w:pStyle w:val="EYBodytextwithparaspace"/>
        <w:rPr>
          <w:rFonts w:cstheme="majorHAnsi"/>
          <w:szCs w:val="20"/>
          <w:lang w:val="en-AU"/>
        </w:rPr>
      </w:pPr>
      <w:r w:rsidRPr="00D14CE9">
        <w:rPr>
          <w:rFonts w:cstheme="majorHAnsi"/>
          <w:szCs w:val="20"/>
          <w:lang w:val="en-AU"/>
        </w:rPr>
        <w:t>Forecast and spatial allocation of transport major projects from 2015 to 2022 is based on BIS Shrapnel data, updated to remove known completed or abandoned projects, and EY knowledge of Victorian Government’s major transport projects to be undertaken. The list of the transport major projects considering in the macro-economic driven demand model is the following:</w:t>
      </w:r>
    </w:p>
    <w:p w:rsidR="004A3BAF" w:rsidRPr="00D14CE9" w:rsidRDefault="004A3BAF" w:rsidP="00C200D0">
      <w:pPr>
        <w:widowControl/>
        <w:autoSpaceDE/>
        <w:autoSpaceDN/>
        <w:adjustRightInd/>
        <w:rPr>
          <w:rFonts w:cstheme="majorHAnsi"/>
          <w:kern w:val="12"/>
        </w:rPr>
      </w:pPr>
      <w:r w:rsidRPr="00D14CE9">
        <w:rPr>
          <w:rFonts w:cstheme="majorHAnsi"/>
        </w:rPr>
        <w:br w:type="page"/>
      </w:r>
    </w:p>
    <w:tbl>
      <w:tblPr>
        <w:tblW w:w="91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25"/>
        <w:tblDescription w:val="Table 25 is a table showing major transport projects from 2015 – 2022. They are: 1. Melbourne Metro Rail in Melbourne Council and Port Philip Council,  2. Level Crossing Removal Program in Banyule Council, Brimbank Council, Casey Council, Darebin Council, Frankston Council, Glen Eira Council, Greater Dandenong Council, Hobsons Bay Council, Kingston Council, Knox Council, Monash Council, Moonee Valley Council, Moreland Council, Stonnington Council, Whitehorse Council, Wyndham Council and Yarra Ranges Shire. 3. Western Distributor in Melbourne Council and Maribyrnong Council. 4. CityLink – Tullamarine Freeway Widening in Melbourne Council, Moonee Valley Council and Moreland Council. 5. Mernda Rail Extension in Whittlesea Council. 6. Murray Basin Rail Project in Central Goldfields Shire, Northern Grampians Shire, Loddon Shire, Buloke Shire, Swan Hill (RC) and Mildura (RC). 7. Princes Highway duplication project in Colac Otway Shire, Surf Coast Shire, Latrobe Council, Wellington Shire and Greater Geelong Council. 8. M80 Upgrade in Brimbank Council, Moreland Council, Hume Council, Whittlesea Council and Banyule Council. 9. Dingley Bypass in Kingston Council 10. Chandler Highway Bridge Duplication in Boroondara Council. 11. Western Highway Duplication in Ballarat Council, Pyrenees Shire, Ararat (RC) and Northern Grampians Shire. 12. Kilmore Wallan Bypass in Mitchell Shire. 13. Goulburn Valley Hwy in Greater Shepparton Council. 14. Melbourne Airport in Hume Council."/>
      </w:tblPr>
      <w:tblGrid>
        <w:gridCol w:w="612"/>
        <w:gridCol w:w="2430"/>
        <w:gridCol w:w="6120"/>
      </w:tblGrid>
      <w:tr w:rsidR="00BF4201" w:rsidRPr="00D14CE9" w:rsidTr="003E25FF">
        <w:trPr>
          <w:trHeight w:val="20"/>
        </w:trPr>
        <w:tc>
          <w:tcPr>
            <w:tcW w:w="9162" w:type="dxa"/>
            <w:gridSpan w:val="3"/>
            <w:shd w:val="clear" w:color="auto" w:fill="808080"/>
            <w:noWrap/>
            <w:tcMar>
              <w:top w:w="28" w:type="dxa"/>
              <w:left w:w="28" w:type="dxa"/>
              <w:bottom w:w="28" w:type="dxa"/>
              <w:right w:w="28" w:type="dxa"/>
            </w:tcMar>
            <w:vAlign w:val="bottom"/>
          </w:tcPr>
          <w:p w:rsidR="00BF4201" w:rsidRPr="00D14CE9" w:rsidRDefault="00BF4201" w:rsidP="003E25FF">
            <w:pPr>
              <w:pStyle w:val="EYTableHeadingWhite"/>
              <w:spacing w:before="0" w:after="0"/>
              <w:rPr>
                <w:rFonts w:eastAsia="Arial Unicode MS"/>
              </w:rPr>
            </w:pPr>
            <w:bookmarkStart w:id="712" w:name="_Toc445240959"/>
            <w:bookmarkStart w:id="713" w:name="_Toc448914652"/>
            <w:bookmarkStart w:id="714" w:name="_Toc448920469"/>
            <w:r w:rsidRPr="00D14CE9">
              <w:lastRenderedPageBreak/>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25</w:t>
            </w:r>
            <w:r w:rsidR="00A9654D" w:rsidRPr="00802792">
              <w:fldChar w:fldCharType="end"/>
            </w:r>
            <w:r w:rsidRPr="00D14CE9">
              <w:t xml:space="preserve"> –</w:t>
            </w:r>
            <w:r w:rsidR="00645A96">
              <w:t xml:space="preserve"> </w:t>
            </w:r>
            <w:r w:rsidRPr="00D14CE9">
              <w:t>Transport Major Projects 2015-2022</w:t>
            </w:r>
            <w:bookmarkEnd w:id="712"/>
            <w:bookmarkEnd w:id="713"/>
            <w:bookmarkEnd w:id="714"/>
          </w:p>
        </w:tc>
      </w:tr>
      <w:tr w:rsidR="004A3BAF" w:rsidRPr="00D14CE9" w:rsidTr="003637FD">
        <w:trPr>
          <w:trHeight w:val="20"/>
        </w:trPr>
        <w:tc>
          <w:tcPr>
            <w:tcW w:w="612" w:type="dxa"/>
            <w:shd w:val="clear" w:color="auto" w:fill="F0F0F0"/>
            <w:tcMar>
              <w:top w:w="28" w:type="dxa"/>
              <w:left w:w="28" w:type="dxa"/>
              <w:bottom w:w="28" w:type="dxa"/>
              <w:right w:w="28" w:type="dxa"/>
            </w:tcMar>
            <w:vAlign w:val="center"/>
          </w:tcPr>
          <w:p w:rsidR="004A3BAF" w:rsidRPr="00D14CE9" w:rsidRDefault="004A3BAF" w:rsidP="003637FD">
            <w:pPr>
              <w:pStyle w:val="EYTableHeading"/>
              <w:spacing w:before="0" w:after="0"/>
              <w:rPr>
                <w:rFonts w:eastAsia="Arial Unicode MS"/>
              </w:rPr>
            </w:pPr>
            <w:r w:rsidRPr="00D14CE9">
              <w:t>#</w:t>
            </w:r>
          </w:p>
        </w:tc>
        <w:tc>
          <w:tcPr>
            <w:tcW w:w="2430" w:type="dxa"/>
            <w:shd w:val="clear" w:color="auto" w:fill="F0F0F0"/>
            <w:tcMar>
              <w:top w:w="28" w:type="dxa"/>
              <w:left w:w="28" w:type="dxa"/>
              <w:bottom w:w="28" w:type="dxa"/>
              <w:right w:w="28" w:type="dxa"/>
            </w:tcMar>
            <w:vAlign w:val="center"/>
          </w:tcPr>
          <w:p w:rsidR="004A3BAF" w:rsidRPr="00D14CE9" w:rsidRDefault="004A3BAF" w:rsidP="003637FD">
            <w:pPr>
              <w:pStyle w:val="EYTableHeading"/>
              <w:spacing w:before="0" w:after="0"/>
              <w:rPr>
                <w:rFonts w:eastAsia="Arial Unicode MS"/>
              </w:rPr>
            </w:pPr>
            <w:r w:rsidRPr="00D14CE9">
              <w:t>Item</w:t>
            </w:r>
          </w:p>
        </w:tc>
        <w:tc>
          <w:tcPr>
            <w:tcW w:w="6120" w:type="dxa"/>
            <w:shd w:val="clear" w:color="auto" w:fill="F0F0F0"/>
            <w:tcMar>
              <w:top w:w="28" w:type="dxa"/>
              <w:left w:w="28" w:type="dxa"/>
              <w:bottom w:w="28" w:type="dxa"/>
              <w:right w:w="28" w:type="dxa"/>
            </w:tcMar>
            <w:vAlign w:val="center"/>
          </w:tcPr>
          <w:p w:rsidR="004A3BAF" w:rsidRPr="00D14CE9" w:rsidRDefault="004A3BAF" w:rsidP="003637FD">
            <w:pPr>
              <w:pStyle w:val="EYTableHeading"/>
              <w:spacing w:before="0" w:after="0"/>
              <w:rPr>
                <w:rFonts w:eastAsia="Arial Unicode MS"/>
              </w:rPr>
            </w:pPr>
            <w:r w:rsidRPr="00D14CE9">
              <w:t>LGAs location</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Melbourne Metro Rail</w:t>
            </w:r>
          </w:p>
        </w:tc>
        <w:tc>
          <w:tcPr>
            <w:tcW w:w="6120" w:type="dxa"/>
            <w:noWrap/>
            <w:tcMar>
              <w:top w:w="28" w:type="dxa"/>
              <w:left w:w="28" w:type="dxa"/>
              <w:bottom w:w="28" w:type="dxa"/>
              <w:right w:w="28" w:type="dxa"/>
            </w:tcMar>
          </w:tcPr>
          <w:p w:rsidR="004A3BAF" w:rsidRPr="00D14CE9" w:rsidRDefault="004A3BAF" w:rsidP="003637FD">
            <w:pPr>
              <w:pStyle w:val="ListParagraph"/>
              <w:spacing w:after="0"/>
              <w:ind w:left="0"/>
              <w:rPr>
                <w:rFonts w:ascii="EYInterstate Light" w:hAnsi="EYInterstate Light" w:cs="Times New Roman"/>
                <w:sz w:val="16"/>
                <w:szCs w:val="16"/>
              </w:rPr>
            </w:pPr>
            <w:r w:rsidRPr="00D14CE9">
              <w:rPr>
                <w:rFonts w:ascii="EYInterstate Light" w:hAnsi="EYInterstate Light" w:cs="Times New Roman"/>
                <w:sz w:val="16"/>
                <w:szCs w:val="16"/>
              </w:rPr>
              <w:t>Melbourne (C), Port Philip (C)</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Level Crossing Removal Program</w:t>
            </w:r>
          </w:p>
        </w:tc>
        <w:tc>
          <w:tcPr>
            <w:tcW w:w="6120" w:type="dxa"/>
            <w:noWrap/>
            <w:tcMar>
              <w:top w:w="28" w:type="dxa"/>
              <w:left w:w="28" w:type="dxa"/>
              <w:bottom w:w="28" w:type="dxa"/>
              <w:right w:w="28" w:type="dxa"/>
            </w:tcMar>
          </w:tcPr>
          <w:p w:rsidR="004A3BAF" w:rsidRPr="00D14CE9" w:rsidRDefault="004A3BAF" w:rsidP="003637FD">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Banyule (C), Brimbank (C), Casey (C), Darebin (C), Frankston (C), Glen Eira (C), Greater Dandenong (C), Hobsons Bay (C), Kingston (C), Knox (C), Monash (C), Moonee Valley (C), Moreland (C), Stonnington (C), Whitehorse (C), Wyndham (C), Yarra Ranges (S)</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Western Distributor</w:t>
            </w:r>
          </w:p>
        </w:tc>
        <w:tc>
          <w:tcPr>
            <w:tcW w:w="6120" w:type="dxa"/>
            <w:noWrap/>
            <w:tcMar>
              <w:top w:w="28" w:type="dxa"/>
              <w:left w:w="28" w:type="dxa"/>
              <w:bottom w:w="28" w:type="dxa"/>
              <w:right w:w="28" w:type="dxa"/>
            </w:tcMar>
          </w:tcPr>
          <w:p w:rsidR="004A3BAF" w:rsidRPr="00D14CE9" w:rsidRDefault="004A3BAF">
            <w:pPr>
              <w:rPr>
                <w:sz w:val="16"/>
                <w:szCs w:val="16"/>
              </w:rPr>
            </w:pPr>
            <w:r w:rsidRPr="00D14CE9">
              <w:rPr>
                <w:sz w:val="16"/>
                <w:szCs w:val="16"/>
              </w:rPr>
              <w:t>Melbourne (C), Maribyrnong (C)</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CityLink – Tullamarine Freeway Widening</w:t>
            </w:r>
          </w:p>
        </w:tc>
        <w:tc>
          <w:tcPr>
            <w:tcW w:w="6120" w:type="dxa"/>
            <w:noWrap/>
            <w:tcMar>
              <w:top w:w="28" w:type="dxa"/>
              <w:left w:w="28" w:type="dxa"/>
              <w:bottom w:w="28" w:type="dxa"/>
              <w:right w:w="28" w:type="dxa"/>
            </w:tcMar>
          </w:tcPr>
          <w:p w:rsidR="004A3BAF" w:rsidRPr="00D14CE9" w:rsidRDefault="004A3BAF">
            <w:pPr>
              <w:rPr>
                <w:sz w:val="16"/>
                <w:szCs w:val="16"/>
              </w:rPr>
            </w:pPr>
            <w:r w:rsidRPr="00D14CE9">
              <w:rPr>
                <w:sz w:val="16"/>
                <w:szCs w:val="16"/>
              </w:rPr>
              <w:t>Melbourne (C), Moonee Valley (C), Moreland (C)</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Mernda Rail Extension</w:t>
            </w:r>
          </w:p>
        </w:tc>
        <w:tc>
          <w:tcPr>
            <w:tcW w:w="6120" w:type="dxa"/>
            <w:noWrap/>
            <w:tcMar>
              <w:top w:w="28" w:type="dxa"/>
              <w:left w:w="28" w:type="dxa"/>
              <w:bottom w:w="28" w:type="dxa"/>
              <w:right w:w="28" w:type="dxa"/>
            </w:tcMar>
          </w:tcPr>
          <w:p w:rsidR="004A3BAF" w:rsidRPr="00D14CE9" w:rsidRDefault="004A3BAF" w:rsidP="003637FD">
            <w:pPr>
              <w:pStyle w:val="ListParagraph"/>
              <w:spacing w:after="0"/>
              <w:ind w:left="0"/>
              <w:rPr>
                <w:rFonts w:ascii="EYInterstate Light" w:hAnsi="EYInterstate Light" w:cs="Times New Roman"/>
                <w:sz w:val="16"/>
                <w:szCs w:val="16"/>
              </w:rPr>
            </w:pPr>
            <w:r w:rsidRPr="00D14CE9">
              <w:rPr>
                <w:rFonts w:ascii="EYInterstate Light" w:hAnsi="EYInterstate Light" w:cs="Times New Roman"/>
                <w:sz w:val="16"/>
                <w:szCs w:val="16"/>
              </w:rPr>
              <w:t>Whittlesea (C)</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Murray Basin Rail Project</w:t>
            </w:r>
          </w:p>
        </w:tc>
        <w:tc>
          <w:tcPr>
            <w:tcW w:w="6120" w:type="dxa"/>
            <w:noWrap/>
            <w:tcMar>
              <w:top w:w="28" w:type="dxa"/>
              <w:left w:w="28" w:type="dxa"/>
              <w:bottom w:w="28" w:type="dxa"/>
              <w:right w:w="28" w:type="dxa"/>
            </w:tcMar>
          </w:tcPr>
          <w:p w:rsidR="004A3BAF" w:rsidRPr="00D14CE9" w:rsidRDefault="004A3BAF">
            <w:pPr>
              <w:rPr>
                <w:sz w:val="16"/>
                <w:szCs w:val="16"/>
              </w:rPr>
            </w:pPr>
            <w:r w:rsidRPr="00D14CE9">
              <w:rPr>
                <w:sz w:val="16"/>
                <w:szCs w:val="16"/>
              </w:rPr>
              <w:t>Central Goldfields (S), Northern Grampians (S), Loddon (S), Buloke (S), Swan Hill (RC), Mildura (RC)</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Princes Highway duplication project</w:t>
            </w:r>
          </w:p>
        </w:tc>
        <w:tc>
          <w:tcPr>
            <w:tcW w:w="6120" w:type="dxa"/>
            <w:noWrap/>
            <w:tcMar>
              <w:top w:w="28" w:type="dxa"/>
              <w:left w:w="28" w:type="dxa"/>
              <w:bottom w:w="28" w:type="dxa"/>
              <w:right w:w="28" w:type="dxa"/>
            </w:tcMar>
          </w:tcPr>
          <w:p w:rsidR="004A3BAF" w:rsidRPr="00D14CE9" w:rsidRDefault="004A3BAF">
            <w:pPr>
              <w:rPr>
                <w:sz w:val="16"/>
                <w:szCs w:val="16"/>
              </w:rPr>
            </w:pPr>
            <w:r w:rsidRPr="00D14CE9">
              <w:rPr>
                <w:sz w:val="16"/>
                <w:szCs w:val="16"/>
              </w:rPr>
              <w:t>Colac Otway (S), Surf Coast (S), Latrobe (C), Wellington (S), Greater Geelong (C)</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M80 Upgrade</w:t>
            </w:r>
          </w:p>
        </w:tc>
        <w:tc>
          <w:tcPr>
            <w:tcW w:w="6120" w:type="dxa"/>
            <w:noWrap/>
            <w:tcMar>
              <w:top w:w="28" w:type="dxa"/>
              <w:left w:w="28" w:type="dxa"/>
              <w:bottom w:w="28" w:type="dxa"/>
              <w:right w:w="28" w:type="dxa"/>
            </w:tcMar>
          </w:tcPr>
          <w:p w:rsidR="004A3BAF" w:rsidRPr="00D14CE9" w:rsidRDefault="004A3BAF">
            <w:pPr>
              <w:rPr>
                <w:sz w:val="16"/>
                <w:szCs w:val="16"/>
              </w:rPr>
            </w:pPr>
            <w:r w:rsidRPr="00D14CE9">
              <w:rPr>
                <w:sz w:val="16"/>
                <w:szCs w:val="16"/>
              </w:rPr>
              <w:t>Brimbank (C), Moreland(C), Hume (C), Whittlesea (C), Banyule (C)</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Dingley Bypass</w:t>
            </w:r>
          </w:p>
        </w:tc>
        <w:tc>
          <w:tcPr>
            <w:tcW w:w="6120" w:type="dxa"/>
            <w:noWrap/>
            <w:tcMar>
              <w:top w:w="28" w:type="dxa"/>
              <w:left w:w="28" w:type="dxa"/>
              <w:bottom w:w="28" w:type="dxa"/>
              <w:right w:w="28" w:type="dxa"/>
            </w:tcMar>
          </w:tcPr>
          <w:p w:rsidR="004A3BAF" w:rsidRPr="00D14CE9" w:rsidRDefault="004A3BAF">
            <w:pPr>
              <w:rPr>
                <w:sz w:val="16"/>
                <w:szCs w:val="16"/>
              </w:rPr>
            </w:pPr>
            <w:r w:rsidRPr="00D14CE9">
              <w:rPr>
                <w:sz w:val="16"/>
                <w:szCs w:val="16"/>
              </w:rPr>
              <w:t>Kingston (C)</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Chandler Highway Bridge Duplication</w:t>
            </w:r>
          </w:p>
        </w:tc>
        <w:tc>
          <w:tcPr>
            <w:tcW w:w="6120" w:type="dxa"/>
            <w:noWrap/>
            <w:tcMar>
              <w:top w:w="28" w:type="dxa"/>
              <w:left w:w="28" w:type="dxa"/>
              <w:bottom w:w="28" w:type="dxa"/>
              <w:right w:w="28" w:type="dxa"/>
            </w:tcMar>
          </w:tcPr>
          <w:p w:rsidR="004A3BAF" w:rsidRPr="00D14CE9" w:rsidRDefault="004A3BAF">
            <w:pPr>
              <w:rPr>
                <w:sz w:val="16"/>
                <w:szCs w:val="16"/>
              </w:rPr>
            </w:pPr>
            <w:r w:rsidRPr="00D14CE9">
              <w:rPr>
                <w:sz w:val="16"/>
                <w:szCs w:val="16"/>
              </w:rPr>
              <w:t>Boroondara (C)</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Western Highway Duplication</w:t>
            </w:r>
          </w:p>
        </w:tc>
        <w:tc>
          <w:tcPr>
            <w:tcW w:w="6120" w:type="dxa"/>
            <w:noWrap/>
            <w:tcMar>
              <w:top w:w="28" w:type="dxa"/>
              <w:left w:w="28" w:type="dxa"/>
              <w:bottom w:w="28" w:type="dxa"/>
              <w:right w:w="28" w:type="dxa"/>
            </w:tcMar>
          </w:tcPr>
          <w:p w:rsidR="004A3BAF" w:rsidRPr="00D14CE9" w:rsidRDefault="004A3BAF">
            <w:pPr>
              <w:rPr>
                <w:sz w:val="16"/>
                <w:szCs w:val="16"/>
              </w:rPr>
            </w:pPr>
            <w:r w:rsidRPr="00D14CE9">
              <w:rPr>
                <w:sz w:val="16"/>
                <w:szCs w:val="16"/>
              </w:rPr>
              <w:t>Ballarat (C), Pyrenees (S), Ararat (RC), Northern Grampians (S)</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Kilmore Wallan Bypass</w:t>
            </w:r>
          </w:p>
        </w:tc>
        <w:tc>
          <w:tcPr>
            <w:tcW w:w="6120" w:type="dxa"/>
            <w:noWrap/>
            <w:tcMar>
              <w:top w:w="28" w:type="dxa"/>
              <w:left w:w="28" w:type="dxa"/>
              <w:bottom w:w="28" w:type="dxa"/>
              <w:right w:w="28" w:type="dxa"/>
            </w:tcMar>
          </w:tcPr>
          <w:p w:rsidR="004A3BAF" w:rsidRPr="00D14CE9" w:rsidRDefault="004A3BAF">
            <w:pPr>
              <w:rPr>
                <w:sz w:val="16"/>
                <w:szCs w:val="16"/>
              </w:rPr>
            </w:pPr>
            <w:r w:rsidRPr="00D14CE9">
              <w:rPr>
                <w:sz w:val="16"/>
                <w:szCs w:val="16"/>
              </w:rPr>
              <w:t>Mitchell (S)</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Goulburn Valley Hwy</w:t>
            </w:r>
          </w:p>
        </w:tc>
        <w:tc>
          <w:tcPr>
            <w:tcW w:w="6120" w:type="dxa"/>
            <w:noWrap/>
            <w:tcMar>
              <w:top w:w="28" w:type="dxa"/>
              <w:left w:w="28" w:type="dxa"/>
              <w:bottom w:w="28" w:type="dxa"/>
              <w:right w:w="28" w:type="dxa"/>
            </w:tcMar>
          </w:tcPr>
          <w:p w:rsidR="004A3BAF" w:rsidRPr="00D14CE9" w:rsidRDefault="004A3BAF">
            <w:pPr>
              <w:rPr>
                <w:sz w:val="16"/>
                <w:szCs w:val="16"/>
              </w:rPr>
            </w:pPr>
            <w:r w:rsidRPr="00D14CE9">
              <w:rPr>
                <w:sz w:val="16"/>
                <w:szCs w:val="16"/>
              </w:rPr>
              <w:t>Greater Shepparton (C)</w:t>
            </w:r>
          </w:p>
        </w:tc>
      </w:tr>
      <w:tr w:rsidR="004A3BAF" w:rsidRPr="00D14CE9" w:rsidTr="003637FD">
        <w:trPr>
          <w:trHeight w:val="20"/>
        </w:trPr>
        <w:tc>
          <w:tcPr>
            <w:tcW w:w="612" w:type="dxa"/>
            <w:noWrap/>
            <w:tcMar>
              <w:top w:w="28" w:type="dxa"/>
              <w:left w:w="28" w:type="dxa"/>
              <w:bottom w:w="28" w:type="dxa"/>
              <w:right w:w="28" w:type="dxa"/>
            </w:tcMar>
          </w:tcPr>
          <w:p w:rsidR="004A3BAF" w:rsidRPr="00D14CE9" w:rsidRDefault="004A3BAF" w:rsidP="003637FD">
            <w:pPr>
              <w:pStyle w:val="EYTableNormal"/>
              <w:numPr>
                <w:ilvl w:val="0"/>
                <w:numId w:val="24"/>
              </w:numPr>
              <w:spacing w:after="0"/>
            </w:pPr>
          </w:p>
        </w:tc>
        <w:tc>
          <w:tcPr>
            <w:tcW w:w="2430" w:type="dxa"/>
            <w:noWrap/>
            <w:tcMar>
              <w:top w:w="28" w:type="dxa"/>
              <w:left w:w="28" w:type="dxa"/>
              <w:bottom w:w="28" w:type="dxa"/>
              <w:right w:w="28" w:type="dxa"/>
            </w:tcMar>
          </w:tcPr>
          <w:p w:rsidR="004A3BAF" w:rsidRPr="00D14CE9" w:rsidRDefault="004A3BAF">
            <w:pPr>
              <w:rPr>
                <w:sz w:val="16"/>
                <w:szCs w:val="16"/>
              </w:rPr>
            </w:pPr>
            <w:r w:rsidRPr="00D14CE9">
              <w:rPr>
                <w:sz w:val="16"/>
                <w:szCs w:val="16"/>
              </w:rPr>
              <w:t>Melbourne Airport</w:t>
            </w:r>
          </w:p>
        </w:tc>
        <w:tc>
          <w:tcPr>
            <w:tcW w:w="6120" w:type="dxa"/>
            <w:noWrap/>
            <w:tcMar>
              <w:top w:w="28" w:type="dxa"/>
              <w:left w:w="28" w:type="dxa"/>
              <w:bottom w:w="28" w:type="dxa"/>
              <w:right w:w="28" w:type="dxa"/>
            </w:tcMar>
          </w:tcPr>
          <w:p w:rsidR="004A3BAF" w:rsidRPr="00D14CE9" w:rsidRDefault="004A3BAF">
            <w:pPr>
              <w:rPr>
                <w:sz w:val="16"/>
                <w:szCs w:val="16"/>
              </w:rPr>
            </w:pPr>
            <w:r w:rsidRPr="00D14CE9">
              <w:rPr>
                <w:sz w:val="16"/>
                <w:szCs w:val="16"/>
              </w:rPr>
              <w:t>Hume (C)</w:t>
            </w:r>
          </w:p>
        </w:tc>
      </w:tr>
    </w:tbl>
    <w:p w:rsidR="00F552CC" w:rsidRPr="00D14CE9" w:rsidRDefault="002B448C" w:rsidP="00F552CC">
      <w:pPr>
        <w:pStyle w:val="EYSource"/>
        <w:rPr>
          <w:lang w:val="en-AU"/>
        </w:rPr>
      </w:pPr>
      <w:r w:rsidRPr="00D14CE9">
        <w:rPr>
          <w:lang w:val="en-AU"/>
        </w:rPr>
        <w:t xml:space="preserve">Source: EY analysis </w:t>
      </w:r>
    </w:p>
    <w:p w:rsidR="002B448C" w:rsidRPr="00D14CE9" w:rsidRDefault="002B448C" w:rsidP="00F552CC"/>
    <w:p w:rsidR="002B448C" w:rsidRPr="00D14CE9" w:rsidRDefault="002B448C" w:rsidP="00856574">
      <w:pPr>
        <w:pStyle w:val="ListParagraph"/>
        <w:numPr>
          <w:ilvl w:val="1"/>
          <w:numId w:val="21"/>
        </w:numPr>
        <w:ind w:left="806" w:hanging="806"/>
        <w:rPr>
          <w:rFonts w:ascii="EYInterstate Light" w:hAnsi="EYInterstate Light"/>
          <w:b/>
          <w:i/>
        </w:rPr>
      </w:pPr>
      <w:r w:rsidRPr="00D14CE9">
        <w:rPr>
          <w:rFonts w:ascii="EYInterstate Light" w:hAnsi="EYInterstate Light"/>
          <w:b/>
          <w:i/>
        </w:rPr>
        <w:t>Spatial Allocation – Employment Growth</w:t>
      </w:r>
    </w:p>
    <w:p w:rsidR="002B448C" w:rsidRPr="00D14CE9" w:rsidRDefault="002B448C" w:rsidP="00C200D0">
      <w:pPr>
        <w:pStyle w:val="EYBodytextwithparaspace"/>
        <w:rPr>
          <w:rFonts w:cstheme="majorHAnsi"/>
          <w:szCs w:val="20"/>
          <w:lang w:val="en-AU"/>
        </w:rPr>
      </w:pPr>
      <w:r w:rsidRPr="00D14CE9">
        <w:rPr>
          <w:rFonts w:cstheme="majorHAnsi"/>
          <w:szCs w:val="20"/>
          <w:lang w:val="en-AU"/>
        </w:rPr>
        <w:t>Employment projections inputs, relied upon to forecast the employment growth from 2015 to 2050 per LGA and spatially allocate non-residential activity, have been sourced from VITM data, provided by the DEDJTR in August 2015. Yearly employment growth has been calculated using the average annual growth rate between those key milestones data.</w:t>
      </w:r>
    </w:p>
    <w:p w:rsidR="002B448C" w:rsidRPr="00D14CE9" w:rsidRDefault="002B448C" w:rsidP="00856574">
      <w:pPr>
        <w:pStyle w:val="ListParagraph"/>
        <w:numPr>
          <w:ilvl w:val="0"/>
          <w:numId w:val="21"/>
        </w:numPr>
        <w:ind w:left="806" w:hanging="806"/>
        <w:rPr>
          <w:rFonts w:ascii="EYInterstate Light" w:hAnsi="EYInterstate Light"/>
          <w:b/>
        </w:rPr>
      </w:pPr>
      <w:r w:rsidRPr="00D14CE9">
        <w:rPr>
          <w:rFonts w:ascii="EYInterstate Light" w:hAnsi="EYInterstate Light"/>
          <w:b/>
        </w:rPr>
        <w:t xml:space="preserve">Baseline Forecast – </w:t>
      </w:r>
      <w:r w:rsidR="00B302CD" w:rsidRPr="00D14CE9">
        <w:rPr>
          <w:rFonts w:ascii="EYInterstate Light" w:hAnsi="EYInterstate Light"/>
          <w:b/>
        </w:rPr>
        <w:t>Detailed Industry Analysis</w:t>
      </w:r>
    </w:p>
    <w:p w:rsidR="002B448C" w:rsidRPr="00D14CE9" w:rsidRDefault="002B448C" w:rsidP="00C01354">
      <w:pPr>
        <w:pStyle w:val="EYBodytextwithparaspace"/>
        <w:rPr>
          <w:rFonts w:cstheme="majorHAnsi"/>
          <w:szCs w:val="20"/>
          <w:lang w:val="en-AU"/>
        </w:rPr>
      </w:pPr>
      <w:r w:rsidRPr="00D14CE9">
        <w:rPr>
          <w:rFonts w:cstheme="majorHAnsi"/>
          <w:szCs w:val="20"/>
          <w:lang w:val="en-AU"/>
        </w:rPr>
        <w:t>To test the robustness of the macro-economic driven model developed to assess the demand for extractive resources from 2015 to 2050 in Victoria, an alternative demand model has been developed, informed by technical data provided by AECOM and discussions with stakeholders collected during the stakeholder consultation process, as well as a micro-economic forecast of the construction activities’ key drivers.</w:t>
      </w:r>
    </w:p>
    <w:p w:rsidR="002B448C" w:rsidRPr="00D14CE9" w:rsidRDefault="002B448C" w:rsidP="00C200D0">
      <w:pPr>
        <w:pStyle w:val="EYBodytextwithparaspace"/>
        <w:rPr>
          <w:rFonts w:cstheme="majorHAnsi"/>
          <w:szCs w:val="20"/>
          <w:lang w:val="en-AU"/>
        </w:rPr>
      </w:pPr>
      <w:r w:rsidRPr="00D14CE9">
        <w:rPr>
          <w:rFonts w:cstheme="majorHAnsi"/>
          <w:szCs w:val="20"/>
          <w:lang w:val="en-AU"/>
        </w:rPr>
        <w:t xml:space="preserve">This sub-section of this Assumptions Book focuses on the listing of all the assumptions used for the development of the </w:t>
      </w:r>
      <w:r w:rsidR="00B302CD" w:rsidRPr="00D14CE9">
        <w:rPr>
          <w:rFonts w:cstheme="majorHAnsi"/>
          <w:szCs w:val="20"/>
          <w:lang w:val="en-AU"/>
        </w:rPr>
        <w:t>detailed industry</w:t>
      </w:r>
      <w:r w:rsidRPr="00D14CE9">
        <w:rPr>
          <w:rFonts w:cstheme="majorHAnsi"/>
          <w:szCs w:val="20"/>
          <w:lang w:val="en-AU"/>
        </w:rPr>
        <w:t xml:space="preserve"> </w:t>
      </w:r>
      <w:r w:rsidR="00B302CD" w:rsidRPr="00D14CE9">
        <w:rPr>
          <w:rFonts w:cstheme="majorHAnsi"/>
          <w:szCs w:val="20"/>
          <w:lang w:val="en-AU"/>
        </w:rPr>
        <w:t>model forecast</w:t>
      </w:r>
      <w:r w:rsidRPr="00D14CE9">
        <w:rPr>
          <w:rFonts w:cstheme="majorHAnsi"/>
          <w:szCs w:val="20"/>
          <w:lang w:val="en-AU"/>
        </w:rPr>
        <w:t xml:space="preserve"> per type of construction activities. </w:t>
      </w:r>
    </w:p>
    <w:p w:rsidR="002B448C" w:rsidRPr="00D14CE9" w:rsidRDefault="002B448C" w:rsidP="00856574">
      <w:pPr>
        <w:pStyle w:val="ListParagraph"/>
        <w:numPr>
          <w:ilvl w:val="1"/>
          <w:numId w:val="21"/>
        </w:numPr>
        <w:ind w:left="806" w:hanging="806"/>
        <w:rPr>
          <w:rFonts w:ascii="EYInterstate Light" w:hAnsi="EYInterstate Light"/>
          <w:b/>
          <w:i/>
        </w:rPr>
      </w:pPr>
      <w:r w:rsidRPr="00D14CE9">
        <w:rPr>
          <w:rFonts w:ascii="EYInterstate Light" w:hAnsi="EYInterstate Light"/>
          <w:b/>
          <w:i/>
        </w:rPr>
        <w:t>Residential Construction Activity</w:t>
      </w:r>
    </w:p>
    <w:p w:rsidR="002B448C" w:rsidRPr="00D14CE9" w:rsidRDefault="002B448C" w:rsidP="00C200D0">
      <w:pPr>
        <w:pStyle w:val="EYBodytextwithparaspace"/>
        <w:rPr>
          <w:rFonts w:cstheme="majorHAnsi"/>
          <w:szCs w:val="20"/>
          <w:lang w:val="en-AU"/>
        </w:rPr>
      </w:pPr>
      <w:r w:rsidRPr="00D14CE9">
        <w:rPr>
          <w:rFonts w:cstheme="majorHAnsi"/>
          <w:szCs w:val="20"/>
          <w:lang w:val="en-AU"/>
        </w:rPr>
        <w:t>In accordance with the Australian Construction Handbook 2015, the residential construction commonly consists of the construction of the following buildings:</w:t>
      </w:r>
    </w:p>
    <w:p w:rsidR="002B448C" w:rsidRPr="00D14CE9" w:rsidRDefault="002B448C" w:rsidP="003637FD">
      <w:pPr>
        <w:pStyle w:val="EYBulletedList1"/>
        <w:spacing w:after="40"/>
        <w:rPr>
          <w:rFonts w:cstheme="majorHAnsi"/>
          <w:szCs w:val="20"/>
          <w:lang w:val="en-AU"/>
        </w:rPr>
      </w:pPr>
      <w:r w:rsidRPr="00D14CE9">
        <w:rPr>
          <w:rFonts w:cstheme="majorHAnsi"/>
          <w:szCs w:val="20"/>
          <w:lang w:val="en-AU"/>
        </w:rPr>
        <w:t xml:space="preserve">Houses - single unit, referring to: </w:t>
      </w:r>
    </w:p>
    <w:p w:rsidR="002B448C" w:rsidRPr="00D14CE9" w:rsidRDefault="002B448C" w:rsidP="003637FD">
      <w:pPr>
        <w:pStyle w:val="EYBulletedList1"/>
        <w:tabs>
          <w:tab w:val="clear" w:pos="288"/>
          <w:tab w:val="num" w:pos="576"/>
        </w:tabs>
        <w:spacing w:after="40"/>
        <w:ind w:left="576"/>
        <w:rPr>
          <w:rFonts w:cstheme="majorHAnsi"/>
          <w:szCs w:val="20"/>
          <w:lang w:val="en-AU"/>
        </w:rPr>
      </w:pPr>
      <w:r w:rsidRPr="00D14CE9">
        <w:rPr>
          <w:rFonts w:cstheme="majorHAnsi"/>
          <w:szCs w:val="20"/>
          <w:lang w:val="en-AU"/>
        </w:rPr>
        <w:t>Individual houses</w:t>
      </w:r>
    </w:p>
    <w:p w:rsidR="002B448C" w:rsidRPr="00D14CE9" w:rsidRDefault="002B448C" w:rsidP="003637FD">
      <w:pPr>
        <w:pStyle w:val="EYBulletedList1"/>
        <w:tabs>
          <w:tab w:val="clear" w:pos="288"/>
          <w:tab w:val="num" w:pos="576"/>
        </w:tabs>
        <w:spacing w:after="40"/>
        <w:ind w:left="576"/>
        <w:rPr>
          <w:rFonts w:cstheme="majorHAnsi"/>
          <w:szCs w:val="20"/>
          <w:lang w:val="en-AU"/>
        </w:rPr>
      </w:pPr>
      <w:r w:rsidRPr="00D14CE9">
        <w:rPr>
          <w:rFonts w:cstheme="majorHAnsi"/>
          <w:szCs w:val="20"/>
          <w:lang w:val="en-AU"/>
        </w:rPr>
        <w:t>Town houses</w:t>
      </w:r>
    </w:p>
    <w:p w:rsidR="002B448C" w:rsidRPr="00D14CE9" w:rsidRDefault="002B448C" w:rsidP="003637FD">
      <w:pPr>
        <w:pStyle w:val="EYBulletedList1"/>
        <w:spacing w:after="40"/>
        <w:rPr>
          <w:rFonts w:cstheme="majorHAnsi"/>
          <w:szCs w:val="20"/>
          <w:lang w:val="en-AU"/>
        </w:rPr>
      </w:pPr>
      <w:r w:rsidRPr="00D14CE9">
        <w:rPr>
          <w:rFonts w:cstheme="majorHAnsi"/>
          <w:szCs w:val="20"/>
          <w:lang w:val="en-AU"/>
        </w:rPr>
        <w:t xml:space="preserve">Multi units – low density, referring to: </w:t>
      </w:r>
    </w:p>
    <w:p w:rsidR="002B448C" w:rsidRPr="00D14CE9" w:rsidRDefault="002B448C" w:rsidP="003637FD">
      <w:pPr>
        <w:pStyle w:val="EYBulletedList1"/>
        <w:tabs>
          <w:tab w:val="clear" w:pos="288"/>
          <w:tab w:val="num" w:pos="576"/>
        </w:tabs>
        <w:spacing w:after="40"/>
        <w:ind w:left="576"/>
        <w:rPr>
          <w:rFonts w:cstheme="majorHAnsi"/>
          <w:szCs w:val="20"/>
          <w:lang w:val="en-AU"/>
        </w:rPr>
      </w:pPr>
      <w:r w:rsidRPr="00D14CE9">
        <w:rPr>
          <w:rFonts w:cstheme="majorHAnsi"/>
          <w:szCs w:val="20"/>
          <w:lang w:val="en-AU"/>
        </w:rPr>
        <w:t xml:space="preserve">Flats – maximum three storeys </w:t>
      </w:r>
    </w:p>
    <w:p w:rsidR="002B448C" w:rsidRPr="00D14CE9" w:rsidRDefault="002B448C" w:rsidP="003637FD">
      <w:pPr>
        <w:pStyle w:val="EYBulletedList1"/>
        <w:tabs>
          <w:tab w:val="clear" w:pos="288"/>
          <w:tab w:val="num" w:pos="576"/>
        </w:tabs>
        <w:spacing w:after="40"/>
        <w:ind w:left="576"/>
        <w:rPr>
          <w:rFonts w:cstheme="majorHAnsi"/>
          <w:szCs w:val="20"/>
          <w:lang w:val="en-AU"/>
        </w:rPr>
      </w:pPr>
      <w:r w:rsidRPr="00D14CE9">
        <w:rPr>
          <w:rFonts w:cstheme="majorHAnsi"/>
          <w:szCs w:val="20"/>
          <w:lang w:val="en-AU"/>
        </w:rPr>
        <w:t>Flats – multi storeys</w:t>
      </w:r>
    </w:p>
    <w:p w:rsidR="002B448C" w:rsidRPr="00D14CE9" w:rsidRDefault="002B448C" w:rsidP="003637FD">
      <w:pPr>
        <w:pStyle w:val="EYBulletedList1"/>
        <w:spacing w:after="40"/>
        <w:rPr>
          <w:rFonts w:cstheme="majorHAnsi"/>
          <w:szCs w:val="20"/>
          <w:lang w:val="en-AU"/>
        </w:rPr>
      </w:pPr>
      <w:r w:rsidRPr="00D14CE9">
        <w:rPr>
          <w:rFonts w:cstheme="majorHAnsi"/>
          <w:szCs w:val="20"/>
          <w:lang w:val="en-AU"/>
        </w:rPr>
        <w:t>Holiday units</w:t>
      </w:r>
    </w:p>
    <w:p w:rsidR="002B448C" w:rsidRPr="00D14CE9" w:rsidRDefault="002B448C" w:rsidP="003637FD">
      <w:pPr>
        <w:pStyle w:val="EYBulletedList1"/>
        <w:spacing w:after="40"/>
        <w:rPr>
          <w:rFonts w:cstheme="majorHAnsi"/>
          <w:szCs w:val="20"/>
          <w:lang w:val="en-AU"/>
        </w:rPr>
      </w:pPr>
      <w:r w:rsidRPr="00D14CE9">
        <w:rPr>
          <w:rFonts w:cstheme="majorHAnsi"/>
          <w:szCs w:val="20"/>
          <w:lang w:val="en-AU"/>
        </w:rPr>
        <w:t>Aged persons homes</w:t>
      </w:r>
    </w:p>
    <w:p w:rsidR="002B448C" w:rsidRPr="00D14CE9" w:rsidRDefault="002B448C" w:rsidP="00C200D0">
      <w:pPr>
        <w:pStyle w:val="EYBulletedList1"/>
        <w:spacing w:after="120"/>
        <w:rPr>
          <w:rFonts w:cstheme="majorHAnsi"/>
          <w:szCs w:val="20"/>
          <w:lang w:val="en-AU"/>
        </w:rPr>
      </w:pPr>
      <w:r w:rsidRPr="00D14CE9">
        <w:rPr>
          <w:rFonts w:cstheme="majorHAnsi"/>
          <w:szCs w:val="20"/>
          <w:lang w:val="en-AU"/>
        </w:rPr>
        <w:t>Hostels</w:t>
      </w:r>
    </w:p>
    <w:p w:rsidR="002B448C" w:rsidRPr="00D14CE9" w:rsidRDefault="002B448C" w:rsidP="00C200D0">
      <w:pPr>
        <w:pStyle w:val="EYBodytextwithparaspace"/>
        <w:rPr>
          <w:rFonts w:cstheme="majorHAnsi"/>
          <w:szCs w:val="20"/>
          <w:lang w:val="en-AU"/>
        </w:rPr>
      </w:pPr>
      <w:r w:rsidRPr="00D14CE9">
        <w:rPr>
          <w:rFonts w:cstheme="majorHAnsi"/>
          <w:szCs w:val="20"/>
          <w:lang w:val="en-AU"/>
        </w:rPr>
        <w:t>For the purpose of this analysis, residential profile of construction in relation to houses and multi-units has only been developed, being considered to represent the greatest proportion of residential buildings to be constructed in the future.</w:t>
      </w:r>
    </w:p>
    <w:p w:rsidR="002B448C" w:rsidRPr="00D14CE9" w:rsidRDefault="002B448C" w:rsidP="00C200D0">
      <w:pPr>
        <w:pStyle w:val="EYBodytextwithparaspace"/>
        <w:rPr>
          <w:rFonts w:cstheme="majorHAnsi"/>
          <w:szCs w:val="20"/>
          <w:lang w:val="en-AU"/>
        </w:rPr>
      </w:pPr>
      <w:r w:rsidRPr="00D14CE9">
        <w:rPr>
          <w:rFonts w:cstheme="majorHAnsi"/>
          <w:szCs w:val="20"/>
          <w:lang w:val="en-AU"/>
        </w:rPr>
        <w:t>To develop the residential construction profile, i.e. to forecast the number of new dwellings to be built from 2015 to 2050, the following demand drivers have been taken into consideration:</w:t>
      </w:r>
    </w:p>
    <w:p w:rsidR="002B448C" w:rsidRPr="00D14CE9" w:rsidRDefault="002B448C" w:rsidP="00C200D0">
      <w:pPr>
        <w:pStyle w:val="EYBulletedList1"/>
        <w:spacing w:after="120"/>
        <w:rPr>
          <w:rFonts w:cstheme="majorHAnsi"/>
          <w:szCs w:val="20"/>
          <w:lang w:val="en-AU"/>
        </w:rPr>
      </w:pPr>
      <w:r w:rsidRPr="00D14CE9">
        <w:rPr>
          <w:rFonts w:cstheme="majorHAnsi"/>
          <w:szCs w:val="20"/>
          <w:lang w:val="en-AU"/>
        </w:rPr>
        <w:t>Population growth projections, in accordance with VIF 2015 and VITM 2046 projections.</w:t>
      </w:r>
    </w:p>
    <w:p w:rsidR="002B448C" w:rsidRPr="00D14CE9" w:rsidRDefault="002B448C" w:rsidP="00C200D0">
      <w:pPr>
        <w:pStyle w:val="EYBulletedList1"/>
        <w:spacing w:after="120"/>
        <w:rPr>
          <w:rFonts w:cstheme="majorHAnsi"/>
          <w:szCs w:val="20"/>
          <w:lang w:val="en-AU"/>
        </w:rPr>
      </w:pPr>
      <w:r w:rsidRPr="00D14CE9">
        <w:rPr>
          <w:rFonts w:cstheme="majorHAnsi"/>
          <w:szCs w:val="20"/>
          <w:lang w:val="en-AU"/>
        </w:rPr>
        <w:lastRenderedPageBreak/>
        <w:t>Existing dwellings structure provided by SA2 in the ABS Census 2011 (Table B31 Dwelling Structure). Those data have been compiled  in accordance with the following categories:</w:t>
      </w:r>
    </w:p>
    <w:p w:rsidR="002B448C" w:rsidRPr="00D14CE9" w:rsidRDefault="00C200D0" w:rsidP="00C200D0">
      <w:pPr>
        <w:pStyle w:val="EYBulletedList1"/>
        <w:tabs>
          <w:tab w:val="clear" w:pos="288"/>
          <w:tab w:val="num" w:pos="576"/>
        </w:tabs>
        <w:ind w:left="576"/>
        <w:rPr>
          <w:rFonts w:cstheme="majorHAnsi"/>
          <w:szCs w:val="20"/>
          <w:lang w:val="en-AU"/>
        </w:rPr>
      </w:pPr>
      <w:r w:rsidRPr="00D14CE9">
        <w:rPr>
          <w:rFonts w:cstheme="majorHAnsi"/>
          <w:szCs w:val="20"/>
          <w:lang w:val="en-AU"/>
        </w:rPr>
        <w:t>Individual houses</w:t>
      </w:r>
    </w:p>
    <w:p w:rsidR="002B448C" w:rsidRPr="00D14CE9" w:rsidRDefault="00C200D0" w:rsidP="00C200D0">
      <w:pPr>
        <w:pStyle w:val="EYBulletedList1"/>
        <w:tabs>
          <w:tab w:val="clear" w:pos="288"/>
          <w:tab w:val="num" w:pos="576"/>
        </w:tabs>
        <w:ind w:left="576"/>
        <w:rPr>
          <w:rFonts w:cstheme="majorHAnsi"/>
          <w:szCs w:val="20"/>
          <w:lang w:val="en-AU"/>
        </w:rPr>
      </w:pPr>
      <w:r w:rsidRPr="00D14CE9">
        <w:rPr>
          <w:rFonts w:cstheme="majorHAnsi"/>
          <w:szCs w:val="20"/>
          <w:lang w:val="en-AU"/>
        </w:rPr>
        <w:t>Townhouses</w:t>
      </w:r>
    </w:p>
    <w:p w:rsidR="002B448C" w:rsidRPr="00D14CE9" w:rsidRDefault="002B448C" w:rsidP="00C200D0">
      <w:pPr>
        <w:pStyle w:val="EYBulletedList1"/>
        <w:tabs>
          <w:tab w:val="clear" w:pos="288"/>
          <w:tab w:val="num" w:pos="576"/>
        </w:tabs>
        <w:ind w:left="576"/>
        <w:rPr>
          <w:rFonts w:cstheme="majorHAnsi"/>
          <w:szCs w:val="20"/>
          <w:lang w:val="en-AU"/>
        </w:rPr>
      </w:pPr>
      <w:r w:rsidRPr="00D14CE9">
        <w:rPr>
          <w:rFonts w:cstheme="majorHAnsi"/>
          <w:szCs w:val="20"/>
          <w:lang w:val="en-AU"/>
        </w:rPr>
        <w:t>Apartments up to three</w:t>
      </w:r>
      <w:r w:rsidR="00C200D0" w:rsidRPr="00D14CE9">
        <w:rPr>
          <w:rFonts w:cstheme="majorHAnsi"/>
          <w:szCs w:val="20"/>
          <w:lang w:val="en-AU"/>
        </w:rPr>
        <w:t xml:space="preserve"> storeys</w:t>
      </w:r>
    </w:p>
    <w:p w:rsidR="002B448C" w:rsidRPr="00D14CE9" w:rsidRDefault="002B448C" w:rsidP="00C200D0">
      <w:pPr>
        <w:pStyle w:val="EYBulletedList1"/>
        <w:tabs>
          <w:tab w:val="clear" w:pos="288"/>
          <w:tab w:val="num" w:pos="576"/>
        </w:tabs>
        <w:ind w:left="576"/>
        <w:rPr>
          <w:rFonts w:cstheme="majorHAnsi"/>
          <w:szCs w:val="20"/>
          <w:lang w:val="en-AU"/>
        </w:rPr>
      </w:pPr>
      <w:r w:rsidRPr="00D14CE9">
        <w:rPr>
          <w:rFonts w:cstheme="majorHAnsi"/>
          <w:szCs w:val="20"/>
          <w:lang w:val="en-AU"/>
        </w:rPr>
        <w:t>Apa</w:t>
      </w:r>
      <w:r w:rsidR="00C200D0" w:rsidRPr="00D14CE9">
        <w:rPr>
          <w:rFonts w:cstheme="majorHAnsi"/>
          <w:szCs w:val="20"/>
          <w:lang w:val="en-AU"/>
        </w:rPr>
        <w:t>rtments exceeding three storeys</w:t>
      </w:r>
    </w:p>
    <w:p w:rsidR="00C200D0" w:rsidRPr="00D14CE9" w:rsidRDefault="00C200D0" w:rsidP="00C200D0">
      <w:pPr>
        <w:pStyle w:val="EYBulletedList1"/>
        <w:numPr>
          <w:ilvl w:val="0"/>
          <w:numId w:val="0"/>
        </w:numPr>
        <w:ind w:left="576"/>
        <w:rPr>
          <w:rFonts w:cstheme="majorHAnsi"/>
          <w:szCs w:val="20"/>
          <w:lang w:val="en-AU"/>
        </w:rPr>
      </w:pPr>
    </w:p>
    <w:p w:rsidR="002B448C" w:rsidRPr="00D14CE9" w:rsidRDefault="002B448C" w:rsidP="00C200D0">
      <w:pPr>
        <w:pStyle w:val="EYBulletedList1"/>
        <w:spacing w:after="120"/>
        <w:rPr>
          <w:rFonts w:cstheme="majorHAnsi"/>
          <w:szCs w:val="20"/>
          <w:lang w:val="en-AU"/>
        </w:rPr>
      </w:pPr>
      <w:r w:rsidRPr="00D14CE9">
        <w:rPr>
          <w:rFonts w:cstheme="majorHAnsi"/>
          <w:szCs w:val="20"/>
          <w:lang w:val="en-AU"/>
        </w:rPr>
        <w:t>Household sizes projections by Statistical Area, in accordance with VIF 2015 projections available in 2011, 2021 and 2031. Resulting trends were then used in 2046.</w:t>
      </w:r>
    </w:p>
    <w:p w:rsidR="002B448C" w:rsidRPr="00D14CE9" w:rsidRDefault="002B448C" w:rsidP="001848D1">
      <w:pPr>
        <w:pStyle w:val="EYBodytextwithparaspace"/>
        <w:rPr>
          <w:rFonts w:cstheme="majorHAnsi"/>
          <w:szCs w:val="20"/>
          <w:lang w:val="en-AU"/>
        </w:rPr>
      </w:pPr>
      <w:r w:rsidRPr="00D14CE9">
        <w:rPr>
          <w:rFonts w:cstheme="majorHAnsi"/>
          <w:szCs w:val="20"/>
          <w:lang w:val="en-AU"/>
        </w:rPr>
        <w:t xml:space="preserve">From 2015 to 2020, 2011 Census split of existing dwellings by SA2 has been used to forecast the number of new individual houses, townhouses and apartments. </w:t>
      </w:r>
    </w:p>
    <w:p w:rsidR="002B448C" w:rsidRPr="00D14CE9" w:rsidRDefault="002B448C" w:rsidP="001848D1">
      <w:pPr>
        <w:pStyle w:val="EYBodytextwithparaspace"/>
        <w:rPr>
          <w:rFonts w:cstheme="majorHAnsi"/>
          <w:szCs w:val="20"/>
          <w:lang w:val="en-AU"/>
        </w:rPr>
      </w:pPr>
      <w:r w:rsidRPr="00D14CE9">
        <w:rPr>
          <w:rFonts w:cstheme="majorHAnsi"/>
          <w:szCs w:val="20"/>
          <w:lang w:val="en-AU"/>
        </w:rPr>
        <w:t xml:space="preserve">From 2021 to 2050, the following split has been assumed for new residential constructions, driven by household sizes and geographical location. Those assumptions correspond to trends observed from the analysis of the 2011 Census data, where averages of construction splits per household size could be derived, respectively for regional and urban areas. </w:t>
      </w:r>
    </w:p>
    <w:tbl>
      <w:tblPr>
        <w:tblW w:w="96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26"/>
        <w:tblDescription w:val="Table 26 is a dwellings split forecast from 2021 – 2050. They range from a scenario where the household size is 3.4 persons in which 93% of people live in houses, 6% live in townhouses, 1% live in apartments up to three storeys and 0% live in apartments 4 storeys and above. The most extreme alternative scenario is a household size of 1.6 persons, in which 2% live in individual houses, 11% live in townhouses, 27% live in apartments up to three storeys, 61% live in apartments 4 storeys and above, 57% live in an individual house, 14% live in regional area townhouse, 26% live in apartments up to 3 storeys, and 2 % live in apartments 4 storeys and above. "/>
      </w:tblPr>
      <w:tblGrid>
        <w:gridCol w:w="1068"/>
        <w:gridCol w:w="1068"/>
        <w:gridCol w:w="1068"/>
        <w:gridCol w:w="1068"/>
        <w:gridCol w:w="1068"/>
        <w:gridCol w:w="1068"/>
        <w:gridCol w:w="1068"/>
        <w:gridCol w:w="1068"/>
        <w:gridCol w:w="1068"/>
      </w:tblGrid>
      <w:tr w:rsidR="00AB25FC" w:rsidRPr="00D14CE9" w:rsidTr="001476EB">
        <w:trPr>
          <w:trHeight w:val="315"/>
        </w:trPr>
        <w:tc>
          <w:tcPr>
            <w:tcW w:w="9612" w:type="dxa"/>
            <w:gridSpan w:val="9"/>
            <w:shd w:val="clear" w:color="auto" w:fill="808080"/>
            <w:noWrap/>
            <w:tcMar>
              <w:top w:w="28" w:type="dxa"/>
              <w:left w:w="28" w:type="dxa"/>
              <w:bottom w:w="28" w:type="dxa"/>
              <w:right w:w="28" w:type="dxa"/>
            </w:tcMar>
            <w:vAlign w:val="bottom"/>
          </w:tcPr>
          <w:p w:rsidR="00AB25FC" w:rsidRPr="00D14CE9" w:rsidRDefault="00AB25FC" w:rsidP="00802792">
            <w:pPr>
              <w:pStyle w:val="EYTableHeadingWhite"/>
              <w:rPr>
                <w:rFonts w:eastAsia="Arial Unicode MS"/>
              </w:rPr>
            </w:pPr>
            <w:bookmarkStart w:id="715" w:name="_Toc445240960"/>
            <w:bookmarkStart w:id="716" w:name="_Toc448914653"/>
            <w:bookmarkStart w:id="717" w:name="_Toc448920470"/>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26</w:t>
            </w:r>
            <w:r w:rsidR="00A9654D" w:rsidRPr="00802792">
              <w:fldChar w:fldCharType="end"/>
            </w:r>
            <w:r w:rsidRPr="00D14CE9">
              <w:t xml:space="preserve"> – Dwellings Split Forecast 2021-2050</w:t>
            </w:r>
            <w:bookmarkEnd w:id="715"/>
            <w:bookmarkEnd w:id="716"/>
            <w:bookmarkEnd w:id="717"/>
          </w:p>
        </w:tc>
      </w:tr>
      <w:tr w:rsidR="00AB25FC" w:rsidRPr="00D14CE9" w:rsidTr="001476EB">
        <w:tc>
          <w:tcPr>
            <w:tcW w:w="1068" w:type="dxa"/>
            <w:shd w:val="clear" w:color="auto" w:fill="F0F0F0"/>
            <w:tcMar>
              <w:top w:w="28" w:type="dxa"/>
              <w:left w:w="28" w:type="dxa"/>
              <w:bottom w:w="28" w:type="dxa"/>
              <w:right w:w="28" w:type="dxa"/>
            </w:tcMar>
            <w:vAlign w:val="center"/>
          </w:tcPr>
          <w:p w:rsidR="00AB25FC" w:rsidRPr="00D14CE9" w:rsidRDefault="0004746C" w:rsidP="00E65C9D">
            <w:pPr>
              <w:pStyle w:val="EYTableHeading"/>
              <w:rPr>
                <w:rFonts w:eastAsia="Arial Unicode MS"/>
              </w:rPr>
            </w:pPr>
            <w:r w:rsidRPr="00D14CE9">
              <w:t>Household sizes</w:t>
            </w:r>
            <w:r w:rsidR="004B276B" w:rsidRPr="00D14CE9">
              <w:t xml:space="preserve"> (persons per household)</w:t>
            </w:r>
          </w:p>
        </w:tc>
        <w:tc>
          <w:tcPr>
            <w:tcW w:w="1068" w:type="dxa"/>
            <w:shd w:val="clear" w:color="auto" w:fill="F0F0F0"/>
            <w:tcMar>
              <w:top w:w="28" w:type="dxa"/>
              <w:left w:w="28" w:type="dxa"/>
              <w:bottom w:w="28" w:type="dxa"/>
              <w:right w:w="28" w:type="dxa"/>
            </w:tcMar>
            <w:vAlign w:val="center"/>
          </w:tcPr>
          <w:p w:rsidR="00AB25FC" w:rsidRPr="00D14CE9" w:rsidRDefault="0004746C">
            <w:pPr>
              <w:pStyle w:val="EYTableHeading"/>
              <w:rPr>
                <w:rFonts w:eastAsia="Arial Unicode MS"/>
              </w:rPr>
            </w:pPr>
            <w:r w:rsidRPr="00D14CE9">
              <w:rPr>
                <w:rFonts w:eastAsia="Arial Unicode MS"/>
              </w:rPr>
              <w:t>Individual</w:t>
            </w:r>
            <w:r w:rsidR="004B276B" w:rsidRPr="00D14CE9">
              <w:rPr>
                <w:rFonts w:eastAsia="Arial Unicode MS"/>
              </w:rPr>
              <w:t xml:space="preserve"> house</w:t>
            </w:r>
          </w:p>
        </w:tc>
        <w:tc>
          <w:tcPr>
            <w:tcW w:w="1068" w:type="dxa"/>
            <w:shd w:val="clear" w:color="auto" w:fill="F0F0F0"/>
            <w:tcMar>
              <w:top w:w="28" w:type="dxa"/>
              <w:left w:w="28" w:type="dxa"/>
              <w:bottom w:w="28" w:type="dxa"/>
              <w:right w:w="28" w:type="dxa"/>
            </w:tcMar>
            <w:vAlign w:val="center"/>
          </w:tcPr>
          <w:p w:rsidR="00AB25FC" w:rsidRPr="00D14CE9" w:rsidRDefault="004B276B">
            <w:pPr>
              <w:pStyle w:val="EYTableHeading"/>
              <w:rPr>
                <w:rFonts w:eastAsia="Arial Unicode MS"/>
              </w:rPr>
            </w:pPr>
            <w:r w:rsidRPr="00D14CE9">
              <w:rPr>
                <w:rFonts w:eastAsia="Arial Unicode MS"/>
              </w:rPr>
              <w:t>Urban area townhouse</w:t>
            </w:r>
          </w:p>
        </w:tc>
        <w:tc>
          <w:tcPr>
            <w:tcW w:w="1068" w:type="dxa"/>
            <w:shd w:val="clear" w:color="auto" w:fill="F0F0F0"/>
            <w:tcMar>
              <w:top w:w="28" w:type="dxa"/>
              <w:left w:w="28" w:type="dxa"/>
              <w:bottom w:w="28" w:type="dxa"/>
              <w:right w:w="28" w:type="dxa"/>
            </w:tcMar>
            <w:vAlign w:val="center"/>
          </w:tcPr>
          <w:p w:rsidR="00AB25FC" w:rsidRPr="00D14CE9" w:rsidRDefault="004B276B">
            <w:pPr>
              <w:pStyle w:val="EYTableHeading"/>
              <w:rPr>
                <w:rFonts w:eastAsia="Arial Unicode MS"/>
              </w:rPr>
            </w:pPr>
            <w:r w:rsidRPr="00D14CE9">
              <w:rPr>
                <w:rFonts w:eastAsia="Arial Unicode MS"/>
              </w:rPr>
              <w:t>Dwelling splits apartment up to 3</w:t>
            </w:r>
            <w:r w:rsidR="00F44D04">
              <w:rPr>
                <w:rFonts w:eastAsia="Arial Unicode MS"/>
              </w:rPr>
              <w:t> </w:t>
            </w:r>
            <w:r w:rsidRPr="00D14CE9">
              <w:rPr>
                <w:rFonts w:eastAsia="Arial Unicode MS"/>
              </w:rPr>
              <w:t>storeys</w:t>
            </w:r>
          </w:p>
        </w:tc>
        <w:tc>
          <w:tcPr>
            <w:tcW w:w="1068" w:type="dxa"/>
            <w:shd w:val="clear" w:color="auto" w:fill="F0F0F0"/>
            <w:tcMar>
              <w:top w:w="28" w:type="dxa"/>
              <w:left w:w="28" w:type="dxa"/>
              <w:bottom w:w="28" w:type="dxa"/>
              <w:right w:w="28" w:type="dxa"/>
            </w:tcMar>
            <w:vAlign w:val="center"/>
          </w:tcPr>
          <w:p w:rsidR="00AB25FC" w:rsidRPr="00D14CE9" w:rsidRDefault="0004746C">
            <w:pPr>
              <w:pStyle w:val="EYTableHeading"/>
              <w:rPr>
                <w:rFonts w:eastAsia="Arial Unicode MS"/>
              </w:rPr>
            </w:pPr>
            <w:r w:rsidRPr="00D14CE9">
              <w:rPr>
                <w:rFonts w:eastAsia="Arial Unicode MS"/>
              </w:rPr>
              <w:t>Apartment 4+ store</w:t>
            </w:r>
            <w:r w:rsidR="004B276B" w:rsidRPr="00D14CE9">
              <w:rPr>
                <w:rFonts w:eastAsia="Arial Unicode MS"/>
              </w:rPr>
              <w:t>ys</w:t>
            </w:r>
          </w:p>
        </w:tc>
        <w:tc>
          <w:tcPr>
            <w:tcW w:w="1068" w:type="dxa"/>
            <w:shd w:val="clear" w:color="auto" w:fill="F0F0F0"/>
            <w:tcMar>
              <w:top w:w="28" w:type="dxa"/>
              <w:left w:w="28" w:type="dxa"/>
              <w:bottom w:w="28" w:type="dxa"/>
              <w:right w:w="28" w:type="dxa"/>
            </w:tcMar>
            <w:vAlign w:val="center"/>
          </w:tcPr>
          <w:p w:rsidR="00AB25FC" w:rsidRPr="00D14CE9" w:rsidRDefault="004B276B">
            <w:pPr>
              <w:pStyle w:val="EYTableHeading"/>
              <w:rPr>
                <w:rFonts w:eastAsia="Arial Unicode MS"/>
              </w:rPr>
            </w:pPr>
            <w:r w:rsidRPr="00D14CE9">
              <w:rPr>
                <w:rFonts w:eastAsia="Arial Unicode MS"/>
              </w:rPr>
              <w:t>Individual house</w:t>
            </w:r>
          </w:p>
        </w:tc>
        <w:tc>
          <w:tcPr>
            <w:tcW w:w="1068" w:type="dxa"/>
            <w:shd w:val="clear" w:color="auto" w:fill="F0F0F0"/>
            <w:tcMar>
              <w:top w:w="28" w:type="dxa"/>
              <w:left w:w="28" w:type="dxa"/>
              <w:bottom w:w="28" w:type="dxa"/>
              <w:right w:w="28" w:type="dxa"/>
            </w:tcMar>
            <w:vAlign w:val="center"/>
          </w:tcPr>
          <w:p w:rsidR="00AB25FC" w:rsidRPr="00D14CE9" w:rsidRDefault="004B276B">
            <w:pPr>
              <w:pStyle w:val="EYTableHeading"/>
              <w:rPr>
                <w:rFonts w:eastAsia="Arial Unicode MS"/>
              </w:rPr>
            </w:pPr>
            <w:r w:rsidRPr="00D14CE9">
              <w:rPr>
                <w:rFonts w:eastAsia="Arial Unicode MS"/>
              </w:rPr>
              <w:t>Regional area townhouse</w:t>
            </w:r>
          </w:p>
        </w:tc>
        <w:tc>
          <w:tcPr>
            <w:tcW w:w="1068" w:type="dxa"/>
            <w:shd w:val="clear" w:color="auto" w:fill="F0F0F0"/>
            <w:tcMar>
              <w:top w:w="28" w:type="dxa"/>
              <w:left w:w="28" w:type="dxa"/>
              <w:bottom w:w="28" w:type="dxa"/>
              <w:right w:w="28" w:type="dxa"/>
            </w:tcMar>
            <w:vAlign w:val="center"/>
          </w:tcPr>
          <w:p w:rsidR="00AB25FC" w:rsidRPr="00D14CE9" w:rsidRDefault="004B276B">
            <w:pPr>
              <w:pStyle w:val="EYTableHeading"/>
              <w:rPr>
                <w:rFonts w:eastAsia="Arial Unicode MS"/>
              </w:rPr>
            </w:pPr>
            <w:r w:rsidRPr="00D14CE9">
              <w:rPr>
                <w:rFonts w:eastAsia="Arial Unicode MS"/>
              </w:rPr>
              <w:t>Dwelling splits apartment up to 3 storeys</w:t>
            </w:r>
          </w:p>
        </w:tc>
        <w:tc>
          <w:tcPr>
            <w:tcW w:w="1068" w:type="dxa"/>
            <w:shd w:val="clear" w:color="auto" w:fill="F0F0F0"/>
            <w:tcMar>
              <w:top w:w="28" w:type="dxa"/>
              <w:left w:w="28" w:type="dxa"/>
              <w:bottom w:w="28" w:type="dxa"/>
              <w:right w:w="28" w:type="dxa"/>
            </w:tcMar>
            <w:vAlign w:val="center"/>
          </w:tcPr>
          <w:p w:rsidR="00AB25FC" w:rsidRPr="00D14CE9" w:rsidRDefault="004B276B">
            <w:pPr>
              <w:pStyle w:val="EYTableHeading"/>
              <w:rPr>
                <w:rFonts w:eastAsia="Arial Unicode MS"/>
              </w:rPr>
            </w:pPr>
            <w:r w:rsidRPr="00D14CE9">
              <w:rPr>
                <w:rFonts w:eastAsia="Arial Unicode MS"/>
              </w:rPr>
              <w:t>Apartment 4+ storeys</w:t>
            </w:r>
          </w:p>
        </w:tc>
      </w:tr>
      <w:tr w:rsidR="00634F92" w:rsidRPr="00D14CE9" w:rsidTr="001476EB">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3.40</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93%</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6%</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r>
      <w:tr w:rsidR="00634F92" w:rsidRPr="00D14CE9" w:rsidTr="001476EB">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3.20</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93%</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6%</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r>
      <w:tr w:rsidR="00634F92" w:rsidRPr="00D14CE9" w:rsidTr="001476EB">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3.00</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93%</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6%</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n/a</w:t>
            </w:r>
          </w:p>
        </w:tc>
      </w:tr>
      <w:tr w:rsidR="00634F92" w:rsidRPr="00D14CE9" w:rsidTr="001476EB">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2.80</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89%</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5%</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6%</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99%</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r>
      <w:tr w:rsidR="00634F92" w:rsidRPr="00D14CE9" w:rsidTr="001476EB">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2.60</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86%</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7%</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6%</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96%</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3%</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r>
      <w:tr w:rsidR="00634F92" w:rsidRPr="00D14CE9" w:rsidTr="001476EB">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2.40</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75%</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13%</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11%</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93%</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3%</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4%</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r>
      <w:tr w:rsidR="00634F92" w:rsidRPr="00D14CE9" w:rsidTr="001476EB">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2.20</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57%</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14%</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26%</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92%</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3%</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5%</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r>
      <w:tr w:rsidR="00634F92" w:rsidRPr="00D14CE9" w:rsidTr="001476EB">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2.00</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32%</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30%</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16%</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22%</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92%</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4%</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4%</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0%</w:t>
            </w:r>
          </w:p>
        </w:tc>
      </w:tr>
      <w:tr w:rsidR="00634F92" w:rsidRPr="00D14CE9" w:rsidTr="001476EB">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1.80</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17%</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13%</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40%</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30%</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75%</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13%</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11%</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w:t>
            </w:r>
          </w:p>
        </w:tc>
      </w:tr>
      <w:tr w:rsidR="00634F92" w:rsidRPr="00D14CE9" w:rsidTr="001476EB">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1.60</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11%</w:t>
            </w:r>
          </w:p>
        </w:tc>
        <w:tc>
          <w:tcPr>
            <w:tcW w:w="1068" w:type="dxa"/>
            <w:noWrap/>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27%</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61%</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57%</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14%</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26%</w:t>
            </w:r>
          </w:p>
        </w:tc>
        <w:tc>
          <w:tcPr>
            <w:tcW w:w="1068" w:type="dxa"/>
            <w:tcMar>
              <w:top w:w="28" w:type="dxa"/>
              <w:left w:w="28" w:type="dxa"/>
              <w:bottom w:w="28" w:type="dxa"/>
              <w:right w:w="28" w:type="dxa"/>
            </w:tcMar>
            <w:vAlign w:val="center"/>
          </w:tcPr>
          <w:p w:rsidR="00634F92" w:rsidRPr="00D14CE9" w:rsidRDefault="00634F92" w:rsidP="00EB7FEA">
            <w:pPr>
              <w:jc w:val="center"/>
              <w:rPr>
                <w:sz w:val="16"/>
                <w:szCs w:val="16"/>
              </w:rPr>
            </w:pPr>
            <w:r w:rsidRPr="00D14CE9">
              <w:rPr>
                <w:sz w:val="16"/>
                <w:szCs w:val="16"/>
              </w:rPr>
              <w:t>2%</w:t>
            </w:r>
          </w:p>
        </w:tc>
      </w:tr>
    </w:tbl>
    <w:p w:rsidR="00EF3D03" w:rsidRPr="003637FD" w:rsidRDefault="00EF3D03" w:rsidP="00EF3D03">
      <w:pPr>
        <w:spacing w:before="40" w:after="40"/>
        <w:rPr>
          <w:rFonts w:ascii="Calibri" w:hAnsi="Calibri"/>
          <w:i/>
          <w:sz w:val="16"/>
          <w:szCs w:val="16"/>
        </w:rPr>
      </w:pPr>
      <w:r w:rsidRPr="003637FD">
        <w:rPr>
          <w:rFonts w:ascii="Segoe UI" w:hAnsi="Segoe UI" w:cs="Segoe UI"/>
          <w:i/>
          <w:color w:val="000000"/>
          <w:sz w:val="16"/>
          <w:szCs w:val="16"/>
        </w:rPr>
        <w:t xml:space="preserve">Source: </w:t>
      </w:r>
      <w:r w:rsidR="00486FB4">
        <w:rPr>
          <w:rFonts w:ascii="Segoe UI" w:hAnsi="Segoe UI" w:cs="Segoe UI"/>
          <w:i/>
          <w:color w:val="000000"/>
          <w:sz w:val="16"/>
          <w:szCs w:val="16"/>
        </w:rPr>
        <w:t>EY analysis</w:t>
      </w:r>
    </w:p>
    <w:p w:rsidR="00AB25FC" w:rsidRPr="00AB2F47" w:rsidRDefault="00AB25FC" w:rsidP="003637FD"/>
    <w:p w:rsidR="002B448C" w:rsidRPr="00D14CE9" w:rsidRDefault="002B448C" w:rsidP="001848D1">
      <w:pPr>
        <w:pStyle w:val="EYBodytextwithparaspace"/>
        <w:rPr>
          <w:rFonts w:cstheme="majorHAnsi"/>
          <w:szCs w:val="20"/>
          <w:lang w:val="en-AU"/>
        </w:rPr>
      </w:pPr>
      <w:r w:rsidRPr="00D14CE9">
        <w:rPr>
          <w:rFonts w:cstheme="majorHAnsi"/>
          <w:szCs w:val="20"/>
          <w:lang w:val="en-AU"/>
        </w:rPr>
        <w:t>Demand of new residential dwellings, driven by population projections and household sizes, has therefore been consequently forecast on a yearly basis (using an average annual growth rate) over the period of analysis. Where the population projections provided were decreasing from one key milestone date to the other, no destruction of houses has been accounted for.</w:t>
      </w:r>
    </w:p>
    <w:p w:rsidR="002B448C" w:rsidRPr="00D14CE9" w:rsidRDefault="002B448C" w:rsidP="001848D1">
      <w:pPr>
        <w:pStyle w:val="EYBodytextwithparaspace"/>
        <w:rPr>
          <w:rFonts w:cstheme="majorHAnsi"/>
          <w:szCs w:val="20"/>
          <w:lang w:val="en-AU"/>
        </w:rPr>
      </w:pPr>
      <w:r w:rsidRPr="00D14CE9">
        <w:rPr>
          <w:rFonts w:cstheme="majorHAnsi"/>
          <w:szCs w:val="20"/>
          <w:lang w:val="en-AU"/>
        </w:rPr>
        <w:t>Estimates of the residential construction demand for extractive resources have then been calculated, multiplying the housing commencements derived from population and household size forecast data by the quantity of extractive resources required for a standard individual house, a standard townhouse, a standard apartment in a three storeys building and a standard apartment in a multi-storey building. Those estimated quantities were provided by AECOM on 23 December 2015</w:t>
      </w:r>
      <w:r w:rsidR="00E67A6C" w:rsidRPr="00D14CE9">
        <w:rPr>
          <w:rFonts w:cstheme="majorHAnsi"/>
          <w:szCs w:val="20"/>
          <w:lang w:val="en-AU"/>
        </w:rPr>
        <w:t xml:space="preserve">. </w:t>
      </w:r>
      <w:r w:rsidRPr="00D14CE9">
        <w:rPr>
          <w:rFonts w:cstheme="majorHAnsi"/>
          <w:szCs w:val="20"/>
          <w:lang w:val="en-AU"/>
        </w:rPr>
        <w:t xml:space="preserve">Where asphalt is used as a commodity product for construction purposes, 15% of asphalt manufactured was considered to be made from recycled materials and therefore not accounted in the demand for extractive resources subsequent to the construction needs. Figures presented in AECOM data do not reflect this adjustment.   </w:t>
      </w:r>
    </w:p>
    <w:p w:rsidR="002B448C" w:rsidRPr="00D14CE9" w:rsidRDefault="002B448C" w:rsidP="001848D1">
      <w:pPr>
        <w:pStyle w:val="EYBodytextwithparaspace"/>
        <w:rPr>
          <w:rFonts w:cstheme="majorHAnsi"/>
          <w:szCs w:val="20"/>
          <w:lang w:val="en-AU"/>
        </w:rPr>
      </w:pPr>
      <w:r w:rsidRPr="00D14CE9">
        <w:rPr>
          <w:rFonts w:cstheme="majorHAnsi"/>
          <w:szCs w:val="20"/>
          <w:lang w:val="en-AU"/>
        </w:rPr>
        <w:t xml:space="preserve">Overall, based on AECOM data provided for key residential construction activities, the use of extractive resources in relation to the residential construction activity can be summarized as follows. This breakdown, an average across the State, has been used in the macro-economic driven model to </w:t>
      </w:r>
      <w:r w:rsidR="00861BFA" w:rsidRPr="00D14CE9">
        <w:rPr>
          <w:rFonts w:cstheme="majorHAnsi"/>
          <w:szCs w:val="20"/>
          <w:lang w:val="en-AU"/>
        </w:rPr>
        <w:t xml:space="preserve">spatially </w:t>
      </w:r>
      <w:r w:rsidRPr="00D14CE9">
        <w:rPr>
          <w:rFonts w:cstheme="majorHAnsi"/>
          <w:szCs w:val="20"/>
          <w:lang w:val="en-AU"/>
        </w:rPr>
        <w:t>alloc</w:t>
      </w:r>
      <w:r w:rsidR="00861BFA" w:rsidRPr="00D14CE9">
        <w:rPr>
          <w:rFonts w:cstheme="majorHAnsi"/>
          <w:szCs w:val="20"/>
          <w:lang w:val="en-AU"/>
        </w:rPr>
        <w:t>ate</w:t>
      </w:r>
      <w:r w:rsidRPr="00D14CE9">
        <w:rPr>
          <w:rFonts w:cstheme="majorHAnsi"/>
          <w:szCs w:val="20"/>
          <w:lang w:val="en-AU"/>
        </w:rPr>
        <w:t xml:space="preserve"> extractive resources</w:t>
      </w:r>
      <w:r w:rsidR="00861BFA" w:rsidRPr="00D14CE9">
        <w:rPr>
          <w:rFonts w:cstheme="majorHAnsi"/>
          <w:szCs w:val="20"/>
          <w:lang w:val="en-AU"/>
        </w:rPr>
        <w:t>, in each LGA, based on the forecast spatial allocation of residential construction activity ($ value).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27 "/>
        <w:tblDescription w:val="Table 27 shows estimated breakdown of extractive resources required for residential construction activity. 72% is hard rock, 6% is limestone, 1% is clay and clay shale, and 21% is sand and gravel."/>
      </w:tblPr>
      <w:tblGrid>
        <w:gridCol w:w="2582"/>
        <w:gridCol w:w="1669"/>
        <w:gridCol w:w="1670"/>
        <w:gridCol w:w="1668"/>
        <w:gridCol w:w="1670"/>
      </w:tblGrid>
      <w:tr w:rsidR="00EB7FEA" w:rsidRPr="00D14CE9" w:rsidTr="001476EB">
        <w:trPr>
          <w:trHeight w:val="315"/>
        </w:trPr>
        <w:tc>
          <w:tcPr>
            <w:tcW w:w="5000" w:type="pct"/>
            <w:gridSpan w:val="5"/>
            <w:shd w:val="clear" w:color="auto" w:fill="808080"/>
            <w:noWrap/>
            <w:vAlign w:val="bottom"/>
          </w:tcPr>
          <w:p w:rsidR="00EB7FEA" w:rsidRPr="00D14CE9" w:rsidRDefault="00D01D03" w:rsidP="00802792">
            <w:pPr>
              <w:pStyle w:val="EYTableHeadingWhite"/>
              <w:rPr>
                <w:rFonts w:eastAsia="Arial Unicode MS"/>
              </w:rPr>
            </w:pPr>
            <w:bookmarkStart w:id="718" w:name="_Toc445240961"/>
            <w:bookmarkStart w:id="719" w:name="_Toc448914654"/>
            <w:bookmarkStart w:id="720" w:name="_Toc448920471"/>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27</w:t>
            </w:r>
            <w:r w:rsidR="00A9654D" w:rsidRPr="00802792">
              <w:fldChar w:fldCharType="end"/>
            </w:r>
            <w:r w:rsidRPr="00D14CE9">
              <w:t xml:space="preserve"> – Estimated breakdown of extractive resources required for residential construction activity (%)</w:t>
            </w:r>
            <w:bookmarkEnd w:id="718"/>
            <w:bookmarkEnd w:id="719"/>
            <w:bookmarkEnd w:id="720"/>
          </w:p>
        </w:tc>
      </w:tr>
      <w:tr w:rsidR="00D01D03" w:rsidRPr="00D14CE9" w:rsidTr="001476EB">
        <w:tc>
          <w:tcPr>
            <w:tcW w:w="1394" w:type="pct"/>
            <w:shd w:val="clear" w:color="auto" w:fill="F0F0F0"/>
            <w:vAlign w:val="center"/>
          </w:tcPr>
          <w:p w:rsidR="00D01D03" w:rsidRPr="00D14CE9" w:rsidRDefault="00D01D03" w:rsidP="00E65C9D">
            <w:pPr>
              <w:pStyle w:val="EYTableHeading"/>
              <w:jc w:val="center"/>
              <w:rPr>
                <w:rFonts w:eastAsia="Arial Unicode MS"/>
              </w:rPr>
            </w:pPr>
          </w:p>
        </w:tc>
        <w:tc>
          <w:tcPr>
            <w:tcW w:w="901" w:type="pct"/>
            <w:shd w:val="clear" w:color="auto" w:fill="F0F0F0"/>
            <w:vAlign w:val="center"/>
          </w:tcPr>
          <w:p w:rsidR="00D01D03" w:rsidRPr="00D14CE9" w:rsidRDefault="00D01D03" w:rsidP="00E65C9D">
            <w:pPr>
              <w:pStyle w:val="EYTableHeading"/>
              <w:jc w:val="center"/>
              <w:rPr>
                <w:rFonts w:eastAsia="Arial Unicode MS"/>
              </w:rPr>
            </w:pPr>
            <w:r w:rsidRPr="00D14CE9">
              <w:rPr>
                <w:rFonts w:eastAsia="Arial Unicode MS"/>
              </w:rPr>
              <w:t>Hard rock (%)</w:t>
            </w:r>
          </w:p>
        </w:tc>
        <w:tc>
          <w:tcPr>
            <w:tcW w:w="902" w:type="pct"/>
            <w:shd w:val="clear" w:color="auto" w:fill="F0F0F0"/>
            <w:vAlign w:val="center"/>
          </w:tcPr>
          <w:p w:rsidR="00D01D03" w:rsidRPr="00D14CE9" w:rsidRDefault="00D01D03" w:rsidP="00E65C9D">
            <w:pPr>
              <w:pStyle w:val="EYTableHeading"/>
              <w:jc w:val="center"/>
              <w:rPr>
                <w:rFonts w:eastAsia="Arial Unicode MS"/>
              </w:rPr>
            </w:pPr>
            <w:r w:rsidRPr="00D14CE9">
              <w:rPr>
                <w:rFonts w:eastAsia="Arial Unicode MS"/>
              </w:rPr>
              <w:t>Limestone (%)</w:t>
            </w:r>
          </w:p>
        </w:tc>
        <w:tc>
          <w:tcPr>
            <w:tcW w:w="901" w:type="pct"/>
            <w:shd w:val="clear" w:color="auto" w:fill="F0F0F0"/>
            <w:vAlign w:val="center"/>
          </w:tcPr>
          <w:p w:rsidR="00D01D03" w:rsidRPr="00D14CE9" w:rsidRDefault="00D01D03" w:rsidP="00E65C9D">
            <w:pPr>
              <w:pStyle w:val="EYTableHeading"/>
              <w:jc w:val="center"/>
              <w:rPr>
                <w:rFonts w:eastAsia="Arial Unicode MS"/>
              </w:rPr>
            </w:pPr>
            <w:r w:rsidRPr="00D14CE9">
              <w:rPr>
                <w:rFonts w:eastAsia="Arial Unicode MS"/>
              </w:rPr>
              <w:t>Clay and clay shale (%)</w:t>
            </w:r>
          </w:p>
        </w:tc>
        <w:tc>
          <w:tcPr>
            <w:tcW w:w="902" w:type="pct"/>
            <w:shd w:val="clear" w:color="auto" w:fill="F0F0F0"/>
            <w:vAlign w:val="center"/>
          </w:tcPr>
          <w:p w:rsidR="00D01D03" w:rsidRPr="00D14CE9" w:rsidRDefault="00D01D03" w:rsidP="00E65C9D">
            <w:pPr>
              <w:pStyle w:val="EYTableHeading"/>
              <w:jc w:val="center"/>
              <w:rPr>
                <w:rFonts w:eastAsia="Arial Unicode MS"/>
              </w:rPr>
            </w:pPr>
            <w:r w:rsidRPr="00D14CE9">
              <w:rPr>
                <w:rFonts w:eastAsia="Arial Unicode MS"/>
              </w:rPr>
              <w:t>Sand and gravel (%)</w:t>
            </w:r>
          </w:p>
        </w:tc>
      </w:tr>
      <w:tr w:rsidR="00D01D03" w:rsidRPr="00D14CE9" w:rsidTr="001476EB">
        <w:trPr>
          <w:trHeight w:val="315"/>
        </w:trPr>
        <w:tc>
          <w:tcPr>
            <w:tcW w:w="1394" w:type="pct"/>
            <w:noWrap/>
            <w:vAlign w:val="center"/>
          </w:tcPr>
          <w:p w:rsidR="00D01D03" w:rsidRPr="00D14CE9" w:rsidRDefault="00D01D03" w:rsidP="00D01D03">
            <w:pPr>
              <w:rPr>
                <w:sz w:val="16"/>
                <w:szCs w:val="16"/>
              </w:rPr>
            </w:pPr>
            <w:r w:rsidRPr="00D14CE9">
              <w:rPr>
                <w:sz w:val="16"/>
                <w:szCs w:val="16"/>
              </w:rPr>
              <w:t>Residential Activity</w:t>
            </w:r>
          </w:p>
        </w:tc>
        <w:tc>
          <w:tcPr>
            <w:tcW w:w="901" w:type="pct"/>
            <w:noWrap/>
            <w:vAlign w:val="center"/>
          </w:tcPr>
          <w:p w:rsidR="00D01D03" w:rsidRPr="00D14CE9" w:rsidRDefault="00D01D03" w:rsidP="00E65C9D">
            <w:pPr>
              <w:jc w:val="center"/>
              <w:rPr>
                <w:sz w:val="16"/>
                <w:szCs w:val="16"/>
              </w:rPr>
            </w:pPr>
            <w:r w:rsidRPr="00D14CE9">
              <w:rPr>
                <w:sz w:val="16"/>
                <w:szCs w:val="16"/>
              </w:rPr>
              <w:t>72%</w:t>
            </w:r>
          </w:p>
        </w:tc>
        <w:tc>
          <w:tcPr>
            <w:tcW w:w="902" w:type="pct"/>
            <w:noWrap/>
            <w:vAlign w:val="center"/>
          </w:tcPr>
          <w:p w:rsidR="00D01D03" w:rsidRPr="00D14CE9" w:rsidRDefault="00D01D03" w:rsidP="00E65C9D">
            <w:pPr>
              <w:jc w:val="center"/>
              <w:rPr>
                <w:sz w:val="16"/>
                <w:szCs w:val="16"/>
              </w:rPr>
            </w:pPr>
            <w:r w:rsidRPr="00D14CE9">
              <w:rPr>
                <w:sz w:val="16"/>
                <w:szCs w:val="16"/>
              </w:rPr>
              <w:t>6%</w:t>
            </w:r>
          </w:p>
        </w:tc>
        <w:tc>
          <w:tcPr>
            <w:tcW w:w="901" w:type="pct"/>
            <w:noWrap/>
            <w:vAlign w:val="center"/>
          </w:tcPr>
          <w:p w:rsidR="00D01D03" w:rsidRPr="00D14CE9" w:rsidRDefault="00D01D03" w:rsidP="00E65C9D">
            <w:pPr>
              <w:jc w:val="center"/>
              <w:rPr>
                <w:sz w:val="16"/>
                <w:szCs w:val="16"/>
              </w:rPr>
            </w:pPr>
            <w:r w:rsidRPr="00D14CE9">
              <w:rPr>
                <w:sz w:val="16"/>
                <w:szCs w:val="16"/>
              </w:rPr>
              <w:t>1%</w:t>
            </w:r>
          </w:p>
        </w:tc>
        <w:tc>
          <w:tcPr>
            <w:tcW w:w="902" w:type="pct"/>
            <w:vAlign w:val="center"/>
          </w:tcPr>
          <w:p w:rsidR="00D01D03" w:rsidRPr="00D14CE9" w:rsidRDefault="00D01D03" w:rsidP="00E65C9D">
            <w:pPr>
              <w:jc w:val="center"/>
              <w:rPr>
                <w:sz w:val="16"/>
                <w:szCs w:val="16"/>
              </w:rPr>
            </w:pPr>
            <w:r w:rsidRPr="00D14CE9">
              <w:rPr>
                <w:sz w:val="16"/>
                <w:szCs w:val="16"/>
              </w:rPr>
              <w:t>21%</w:t>
            </w:r>
          </w:p>
        </w:tc>
      </w:tr>
    </w:tbl>
    <w:p w:rsidR="002B448C" w:rsidRPr="00D14CE9" w:rsidRDefault="002B448C" w:rsidP="00F552CC">
      <w:pPr>
        <w:pStyle w:val="EYSource"/>
        <w:rPr>
          <w:lang w:val="en-AU"/>
        </w:rPr>
      </w:pPr>
      <w:r w:rsidRPr="00D14CE9">
        <w:rPr>
          <w:lang w:val="en-AU"/>
        </w:rPr>
        <w:t>Source: EY analysis based on AECOM inputs</w:t>
      </w:r>
    </w:p>
    <w:p w:rsidR="002B448C" w:rsidRPr="00D14CE9" w:rsidRDefault="002B448C" w:rsidP="002B448C"/>
    <w:p w:rsidR="002B448C" w:rsidRPr="00D14CE9" w:rsidRDefault="002B448C" w:rsidP="00856574">
      <w:pPr>
        <w:pStyle w:val="ListParagraph"/>
        <w:numPr>
          <w:ilvl w:val="1"/>
          <w:numId w:val="21"/>
        </w:numPr>
        <w:ind w:left="806" w:hanging="806"/>
        <w:rPr>
          <w:rFonts w:ascii="EYInterstate Light" w:hAnsi="EYInterstate Light"/>
          <w:b/>
          <w:i/>
        </w:rPr>
      </w:pPr>
      <w:r w:rsidRPr="00D14CE9">
        <w:rPr>
          <w:rFonts w:ascii="EYInterstate Light" w:hAnsi="EYInterstate Light"/>
          <w:b/>
          <w:i/>
        </w:rPr>
        <w:t>Non-residential Construction Activity</w:t>
      </w:r>
    </w:p>
    <w:p w:rsidR="002B448C" w:rsidRPr="00D14CE9" w:rsidRDefault="002B448C" w:rsidP="001848D1">
      <w:pPr>
        <w:pStyle w:val="EYBodytextwithparaspace"/>
        <w:rPr>
          <w:rFonts w:cstheme="majorHAnsi"/>
          <w:szCs w:val="20"/>
          <w:lang w:val="en-AU"/>
        </w:rPr>
      </w:pPr>
      <w:r w:rsidRPr="00D14CE9">
        <w:rPr>
          <w:rFonts w:cstheme="majorHAnsi"/>
          <w:szCs w:val="20"/>
          <w:lang w:val="en-AU"/>
        </w:rPr>
        <w:lastRenderedPageBreak/>
        <w:t>In accordance with the Australian Construction Handbook 2015, the non-residential construction commonly consists of the construction of the following types of buildings:</w:t>
      </w:r>
    </w:p>
    <w:p w:rsidR="002B448C" w:rsidRPr="00D14CE9" w:rsidRDefault="002B448C" w:rsidP="00D01D03">
      <w:pPr>
        <w:pStyle w:val="EYBulletedList1"/>
        <w:spacing w:after="120"/>
        <w:rPr>
          <w:rFonts w:cstheme="majorHAnsi"/>
          <w:szCs w:val="20"/>
          <w:lang w:val="en-AU"/>
        </w:rPr>
      </w:pPr>
      <w:r w:rsidRPr="00D14CE9">
        <w:rPr>
          <w:rFonts w:cstheme="majorHAnsi"/>
          <w:szCs w:val="20"/>
          <w:lang w:val="en-AU"/>
        </w:rPr>
        <w:t>Commercial buil</w:t>
      </w:r>
      <w:r w:rsidR="00D01D03" w:rsidRPr="00D14CE9">
        <w:rPr>
          <w:rFonts w:cstheme="majorHAnsi"/>
          <w:szCs w:val="20"/>
          <w:lang w:val="en-AU"/>
        </w:rPr>
        <w:t>dings (e.g. offices buildings)</w:t>
      </w:r>
    </w:p>
    <w:p w:rsidR="002B448C" w:rsidRPr="00D14CE9" w:rsidRDefault="002B448C" w:rsidP="00D01D03">
      <w:pPr>
        <w:pStyle w:val="EYBulletedList1"/>
        <w:spacing w:after="120"/>
        <w:rPr>
          <w:rFonts w:cstheme="majorHAnsi"/>
          <w:szCs w:val="20"/>
          <w:lang w:val="en-AU"/>
        </w:rPr>
      </w:pPr>
      <w:r w:rsidRPr="00D14CE9">
        <w:rPr>
          <w:rFonts w:cstheme="majorHAnsi"/>
          <w:szCs w:val="20"/>
          <w:lang w:val="en-AU"/>
        </w:rPr>
        <w:t xml:space="preserve">Retail buildings (e.g. suburban neighbourhood shopping </w:t>
      </w:r>
      <w:r w:rsidR="00F44D04" w:rsidRPr="00D14CE9">
        <w:rPr>
          <w:rFonts w:cstheme="majorHAnsi"/>
          <w:szCs w:val="20"/>
          <w:lang w:val="en-AU"/>
        </w:rPr>
        <w:t>centres</w:t>
      </w:r>
      <w:r w:rsidRPr="00D14CE9">
        <w:rPr>
          <w:rFonts w:cstheme="majorHAnsi"/>
          <w:szCs w:val="20"/>
          <w:lang w:val="en-AU"/>
        </w:rPr>
        <w:t xml:space="preserve"> or regional department stores or shopping </w:t>
      </w:r>
      <w:r w:rsidR="00F44D04" w:rsidRPr="00D14CE9">
        <w:rPr>
          <w:rFonts w:cstheme="majorHAnsi"/>
          <w:szCs w:val="20"/>
          <w:lang w:val="en-AU"/>
        </w:rPr>
        <w:t>centres</w:t>
      </w:r>
      <w:r w:rsidRPr="00D14CE9">
        <w:rPr>
          <w:rFonts w:cstheme="majorHAnsi"/>
          <w:szCs w:val="20"/>
          <w:lang w:val="en-AU"/>
        </w:rPr>
        <w:t>)</w:t>
      </w:r>
    </w:p>
    <w:p w:rsidR="002B448C" w:rsidRPr="00D14CE9" w:rsidRDefault="002B448C" w:rsidP="00D01D03">
      <w:pPr>
        <w:pStyle w:val="EYBulletedList1"/>
        <w:spacing w:after="120"/>
        <w:rPr>
          <w:rFonts w:cstheme="majorHAnsi"/>
          <w:szCs w:val="20"/>
          <w:lang w:val="en-AU"/>
        </w:rPr>
      </w:pPr>
      <w:r w:rsidRPr="00D14CE9">
        <w:rPr>
          <w:rFonts w:cstheme="majorHAnsi"/>
          <w:szCs w:val="20"/>
          <w:lang w:val="en-AU"/>
        </w:rPr>
        <w:t>Industrial Buildings (e.g. warehouses, factories)</w:t>
      </w:r>
    </w:p>
    <w:p w:rsidR="002B448C" w:rsidRPr="00D14CE9" w:rsidRDefault="002B448C" w:rsidP="00D01D03">
      <w:pPr>
        <w:pStyle w:val="EYBulletedList1"/>
        <w:spacing w:after="120"/>
        <w:rPr>
          <w:rFonts w:cstheme="majorHAnsi"/>
          <w:szCs w:val="20"/>
          <w:lang w:val="en-AU"/>
        </w:rPr>
      </w:pPr>
      <w:r w:rsidRPr="00D14CE9">
        <w:rPr>
          <w:rFonts w:cstheme="majorHAnsi"/>
          <w:szCs w:val="20"/>
          <w:lang w:val="en-AU"/>
        </w:rPr>
        <w:t xml:space="preserve">Others (e.g. banks, schools, hospital, hotels, recreational) </w:t>
      </w:r>
    </w:p>
    <w:p w:rsidR="002B448C" w:rsidRPr="00D14CE9" w:rsidRDefault="002B448C" w:rsidP="001848D1">
      <w:pPr>
        <w:pStyle w:val="EYBodytextwithparaspace"/>
        <w:rPr>
          <w:rFonts w:cstheme="majorHAnsi"/>
          <w:szCs w:val="20"/>
          <w:lang w:val="en-AU"/>
        </w:rPr>
      </w:pPr>
      <w:r w:rsidRPr="00D14CE9">
        <w:rPr>
          <w:rFonts w:cstheme="majorHAnsi"/>
          <w:szCs w:val="20"/>
          <w:lang w:val="en-AU"/>
        </w:rPr>
        <w:t xml:space="preserve">For the purpose of this analysis, the non-residential profile of construction in relation to commercial buildings, retail buildings, industrial buildings and schools has only been developed, those being considered as the most appropriate categories of non-residential buildings to forecast accurately in terms of future construction trends. </w:t>
      </w:r>
    </w:p>
    <w:p w:rsidR="002B448C" w:rsidRPr="00D14CE9" w:rsidRDefault="002B448C" w:rsidP="001848D1">
      <w:pPr>
        <w:pStyle w:val="EYBodytextwithparaspace"/>
        <w:rPr>
          <w:rFonts w:cstheme="majorHAnsi"/>
          <w:szCs w:val="20"/>
          <w:lang w:val="en-AU"/>
        </w:rPr>
      </w:pPr>
      <w:r w:rsidRPr="00D14CE9">
        <w:rPr>
          <w:rFonts w:cstheme="majorHAnsi"/>
          <w:szCs w:val="20"/>
          <w:lang w:val="en-AU"/>
        </w:rPr>
        <w:t>To develop the non-residential construction profile, i.e. to forecast the number of new commercial, retail and industrial buildings and the number of new schools to be built from 2015 to 2050, demand drivers have been taken into consideration. They will be presented separately for schools in the following sub-section, as different.</w:t>
      </w:r>
    </w:p>
    <w:p w:rsidR="002B448C" w:rsidRPr="00D14CE9" w:rsidRDefault="002B448C" w:rsidP="00856574">
      <w:pPr>
        <w:pStyle w:val="ListParagraph"/>
        <w:numPr>
          <w:ilvl w:val="2"/>
          <w:numId w:val="21"/>
        </w:numPr>
        <w:ind w:left="810" w:hanging="810"/>
        <w:rPr>
          <w:rFonts w:ascii="EYInterstate Light" w:hAnsi="EYInterstate Light"/>
          <w:i/>
        </w:rPr>
      </w:pPr>
      <w:r w:rsidRPr="00D14CE9">
        <w:rPr>
          <w:rFonts w:ascii="EYInterstate Light" w:hAnsi="EYInterstate Light"/>
          <w:i/>
        </w:rPr>
        <w:t>New schools construction profile</w:t>
      </w:r>
    </w:p>
    <w:p w:rsidR="002B448C" w:rsidRPr="00D14CE9" w:rsidRDefault="002B448C" w:rsidP="001848D1">
      <w:pPr>
        <w:pStyle w:val="EYBodytextwithparaspace"/>
        <w:rPr>
          <w:rFonts w:cstheme="majorHAnsi"/>
          <w:szCs w:val="20"/>
          <w:lang w:val="en-AU"/>
        </w:rPr>
      </w:pPr>
      <w:r w:rsidRPr="00D14CE9">
        <w:rPr>
          <w:rFonts w:cstheme="majorHAnsi"/>
          <w:szCs w:val="20"/>
          <w:lang w:val="en-AU"/>
        </w:rPr>
        <w:t>The demand drivers taken into consideration to develop the new schools construction profile are the following:</w:t>
      </w:r>
    </w:p>
    <w:p w:rsidR="002B448C" w:rsidRPr="00D14CE9" w:rsidRDefault="002B448C" w:rsidP="000C0A86">
      <w:pPr>
        <w:pStyle w:val="EYBulletedList1"/>
        <w:spacing w:after="120"/>
        <w:rPr>
          <w:rFonts w:cstheme="majorHAnsi"/>
          <w:szCs w:val="20"/>
          <w:lang w:val="en-AU"/>
        </w:rPr>
      </w:pPr>
      <w:r w:rsidRPr="00D14CE9">
        <w:rPr>
          <w:rFonts w:cstheme="majorHAnsi"/>
          <w:szCs w:val="20"/>
          <w:lang w:val="en-AU"/>
        </w:rPr>
        <w:t>Population growth projections, in accordance with VIF 2015 and VITM 2046 projections.</w:t>
      </w:r>
    </w:p>
    <w:p w:rsidR="002B448C" w:rsidRPr="00D14CE9" w:rsidRDefault="002B448C" w:rsidP="000C0A86">
      <w:pPr>
        <w:pStyle w:val="EYBulletedList1"/>
        <w:spacing w:after="120"/>
        <w:rPr>
          <w:rFonts w:cstheme="majorHAnsi"/>
          <w:szCs w:val="20"/>
          <w:lang w:val="en-AU"/>
        </w:rPr>
      </w:pPr>
      <w:r w:rsidRPr="00D14CE9">
        <w:rPr>
          <w:rFonts w:cstheme="majorHAnsi"/>
          <w:szCs w:val="20"/>
          <w:lang w:val="en-AU"/>
        </w:rPr>
        <w:t>Household sizes projections by Statistical Area, in accordance with VIF 2015 projections available in 2011, 2021 and 2031. Resulting trends were then used in 2046.</w:t>
      </w:r>
    </w:p>
    <w:p w:rsidR="002B448C" w:rsidRPr="00D14CE9" w:rsidRDefault="002B448C" w:rsidP="000C0A86">
      <w:pPr>
        <w:pStyle w:val="EYBulletedList1"/>
        <w:spacing w:after="120"/>
        <w:rPr>
          <w:rFonts w:cstheme="majorHAnsi"/>
          <w:szCs w:val="20"/>
          <w:lang w:val="en-AU"/>
        </w:rPr>
      </w:pPr>
      <w:r w:rsidRPr="00D14CE9">
        <w:rPr>
          <w:rFonts w:cstheme="majorHAnsi"/>
          <w:szCs w:val="20"/>
          <w:lang w:val="en-AU"/>
        </w:rPr>
        <w:t>“Rockbank Precinct Structure Plan – Social Infrastructure Needs Assessment” study, released by the Metropolitan Planning Authority (MPA) in July 2014. This study indicates on p.16 that within the area of analysis:</w:t>
      </w:r>
    </w:p>
    <w:p w:rsidR="002B448C" w:rsidRPr="00D14CE9" w:rsidRDefault="002B448C" w:rsidP="000C0A86">
      <w:pPr>
        <w:pStyle w:val="EYBulletedList1"/>
        <w:tabs>
          <w:tab w:val="clear" w:pos="288"/>
          <w:tab w:val="num" w:pos="576"/>
        </w:tabs>
        <w:ind w:left="576"/>
        <w:rPr>
          <w:rFonts w:cstheme="majorHAnsi"/>
          <w:szCs w:val="20"/>
          <w:lang w:val="en-AU"/>
        </w:rPr>
      </w:pPr>
      <w:r w:rsidRPr="00D14CE9">
        <w:rPr>
          <w:rFonts w:cstheme="majorHAnsi"/>
          <w:szCs w:val="20"/>
          <w:lang w:val="en-AU"/>
        </w:rPr>
        <w:t>A primary school is required to be built</w:t>
      </w:r>
      <w:r w:rsidR="000C0A86" w:rsidRPr="00D14CE9">
        <w:rPr>
          <w:rFonts w:cstheme="majorHAnsi"/>
          <w:szCs w:val="20"/>
          <w:lang w:val="en-AU"/>
        </w:rPr>
        <w:t xml:space="preserve"> per 3,000 dwellings</w:t>
      </w:r>
    </w:p>
    <w:p w:rsidR="002B448C" w:rsidRPr="00D14CE9" w:rsidRDefault="002B448C" w:rsidP="000C0A86">
      <w:pPr>
        <w:pStyle w:val="EYBulletedList1"/>
        <w:tabs>
          <w:tab w:val="clear" w:pos="288"/>
          <w:tab w:val="num" w:pos="576"/>
        </w:tabs>
        <w:ind w:left="576"/>
        <w:rPr>
          <w:rFonts w:cstheme="majorHAnsi"/>
          <w:szCs w:val="20"/>
          <w:lang w:val="en-AU"/>
        </w:rPr>
      </w:pPr>
      <w:r w:rsidRPr="00D14CE9">
        <w:rPr>
          <w:rFonts w:cstheme="majorHAnsi"/>
          <w:szCs w:val="20"/>
          <w:lang w:val="en-AU"/>
        </w:rPr>
        <w:t xml:space="preserve">A secondary school is required </w:t>
      </w:r>
      <w:r w:rsidR="000C0A86" w:rsidRPr="00D14CE9">
        <w:rPr>
          <w:rFonts w:cstheme="majorHAnsi"/>
          <w:szCs w:val="20"/>
          <w:lang w:val="en-AU"/>
        </w:rPr>
        <w:t>to be built per 9,000 dwellings</w:t>
      </w:r>
    </w:p>
    <w:p w:rsidR="000C0A86" w:rsidRPr="00D14CE9" w:rsidRDefault="000C0A86" w:rsidP="000C0A86">
      <w:pPr>
        <w:pStyle w:val="EYBulletedList1"/>
        <w:numPr>
          <w:ilvl w:val="0"/>
          <w:numId w:val="0"/>
        </w:numPr>
        <w:ind w:left="576"/>
        <w:rPr>
          <w:rFonts w:cstheme="majorHAnsi"/>
          <w:szCs w:val="20"/>
          <w:lang w:val="en-AU"/>
        </w:rPr>
      </w:pPr>
    </w:p>
    <w:p w:rsidR="002B448C" w:rsidRPr="00D14CE9" w:rsidRDefault="002B448C" w:rsidP="008C0D54">
      <w:pPr>
        <w:pStyle w:val="EYBodytextwithparaspace"/>
        <w:rPr>
          <w:rFonts w:cstheme="majorHAnsi"/>
          <w:szCs w:val="20"/>
          <w:lang w:val="en-AU"/>
        </w:rPr>
      </w:pPr>
      <w:r w:rsidRPr="00D14CE9">
        <w:rPr>
          <w:rFonts w:cstheme="majorHAnsi"/>
          <w:szCs w:val="20"/>
          <w:lang w:val="en-AU"/>
        </w:rPr>
        <w:t xml:space="preserve">As a result, based on household projections and consequent new dwellings to be built, the number of new primary and secondary schools required to be built has been forecast on a yearly basis (using an average annual growth rate) over the period of analysis. </w:t>
      </w:r>
    </w:p>
    <w:p w:rsidR="002B448C" w:rsidRPr="00D14CE9" w:rsidRDefault="002B448C" w:rsidP="009623A0">
      <w:pPr>
        <w:pStyle w:val="EYBodytextwithparaspace"/>
        <w:rPr>
          <w:b/>
          <w:sz w:val="18"/>
          <w:szCs w:val="18"/>
          <w:lang w:val="en-AU"/>
        </w:rPr>
      </w:pPr>
      <w:r w:rsidRPr="00D14CE9">
        <w:rPr>
          <w:rFonts w:cstheme="majorHAnsi"/>
          <w:szCs w:val="20"/>
          <w:lang w:val="en-AU"/>
        </w:rPr>
        <w:t xml:space="preserve">Estimates of the construction demand for extractive resources in relation to new schools have then been calculated, multiplying the number of schools derived from population and household size forecast data by the quantity of extractive resources required for a standard primary and secondary school. Those estimated quantities were provided by AECOM on 23 December 2015. Where asphalt is used as a commodity product for construction purposes, 15% of asphalt manufactured was considered to be made from recycled materials and therefore not accounted in the demand for extractive resources subsequent to the construction needs. Figures presented in AECOM data do not reflect this adjustment.   </w:t>
      </w:r>
    </w:p>
    <w:p w:rsidR="002B448C" w:rsidRPr="00D14CE9" w:rsidRDefault="002B448C" w:rsidP="00856574">
      <w:pPr>
        <w:pStyle w:val="ListParagraph"/>
        <w:numPr>
          <w:ilvl w:val="2"/>
          <w:numId w:val="21"/>
        </w:numPr>
        <w:ind w:left="810" w:hanging="810"/>
        <w:rPr>
          <w:rFonts w:ascii="EYInterstate Light" w:hAnsi="EYInterstate Light"/>
          <w:i/>
        </w:rPr>
      </w:pPr>
      <w:r w:rsidRPr="00D14CE9">
        <w:rPr>
          <w:rFonts w:ascii="EYInterstate Light" w:hAnsi="EYInterstate Light"/>
          <w:i/>
        </w:rPr>
        <w:t>Commercial / Retail / Industrial buildings construction profile</w:t>
      </w:r>
    </w:p>
    <w:p w:rsidR="002B448C" w:rsidRPr="00D14CE9" w:rsidRDefault="002B448C" w:rsidP="008C0D54">
      <w:pPr>
        <w:pStyle w:val="EYBodytextwithparaspace"/>
        <w:rPr>
          <w:rFonts w:cstheme="majorHAnsi"/>
          <w:szCs w:val="20"/>
          <w:lang w:val="en-AU"/>
        </w:rPr>
      </w:pPr>
      <w:r w:rsidRPr="00D14CE9">
        <w:rPr>
          <w:rFonts w:cstheme="majorHAnsi"/>
          <w:szCs w:val="20"/>
          <w:lang w:val="en-AU"/>
        </w:rPr>
        <w:t>The demand drivers taken into consideration to develop the commercial / retail / industrial buildings’ construction profile are the following:</w:t>
      </w:r>
    </w:p>
    <w:p w:rsidR="002B448C" w:rsidRPr="00D14CE9" w:rsidRDefault="002B448C" w:rsidP="000C0A86">
      <w:pPr>
        <w:pStyle w:val="EYBulletedList1"/>
        <w:spacing w:after="120"/>
        <w:rPr>
          <w:rFonts w:cstheme="majorHAnsi"/>
          <w:szCs w:val="20"/>
          <w:lang w:val="en-AU"/>
        </w:rPr>
      </w:pPr>
      <w:r w:rsidRPr="00D14CE9">
        <w:rPr>
          <w:rFonts w:cstheme="majorHAnsi"/>
          <w:szCs w:val="20"/>
          <w:lang w:val="en-AU"/>
        </w:rPr>
        <w:t xml:space="preserve">Employment growth historic data provided by LGA by ABS </w:t>
      </w:r>
    </w:p>
    <w:p w:rsidR="002B448C" w:rsidRPr="00D14CE9" w:rsidRDefault="002B448C" w:rsidP="000C0A86">
      <w:pPr>
        <w:pStyle w:val="EYBulletedList1"/>
        <w:spacing w:after="120"/>
        <w:rPr>
          <w:rFonts w:cstheme="majorHAnsi"/>
          <w:szCs w:val="20"/>
          <w:lang w:val="en-AU"/>
        </w:rPr>
      </w:pPr>
      <w:r w:rsidRPr="00D14CE9">
        <w:rPr>
          <w:rFonts w:cstheme="majorHAnsi"/>
          <w:szCs w:val="20"/>
          <w:lang w:val="en-AU"/>
        </w:rPr>
        <w:t xml:space="preserve">Employment growth projections by LGA, in accordance with VITM </w:t>
      </w:r>
      <w:r w:rsidR="000C0A86" w:rsidRPr="00D14CE9">
        <w:rPr>
          <w:rFonts w:cstheme="majorHAnsi"/>
          <w:szCs w:val="20"/>
          <w:lang w:val="en-AU"/>
        </w:rPr>
        <w:t>2021, 2031 and 2046 projections</w:t>
      </w:r>
    </w:p>
    <w:p w:rsidR="002B448C" w:rsidRPr="00D14CE9" w:rsidRDefault="002B448C" w:rsidP="000C0A86">
      <w:pPr>
        <w:pStyle w:val="EYBulletedList1"/>
        <w:spacing w:after="120"/>
        <w:rPr>
          <w:rFonts w:cstheme="majorHAnsi"/>
          <w:szCs w:val="20"/>
          <w:lang w:val="en-AU"/>
        </w:rPr>
      </w:pPr>
      <w:r w:rsidRPr="00D14CE9">
        <w:rPr>
          <w:rFonts w:cstheme="majorHAnsi"/>
          <w:szCs w:val="20"/>
          <w:lang w:val="en-AU"/>
        </w:rPr>
        <w:t xml:space="preserve">Existing employment split by category of jobs by LGA, provided for 2011 by ABS Industry of Employment (ANZSIC06) </w:t>
      </w:r>
    </w:p>
    <w:p w:rsidR="002B448C" w:rsidRPr="00D14CE9" w:rsidRDefault="002B448C" w:rsidP="000C0A86">
      <w:pPr>
        <w:pStyle w:val="EYBulletedList1"/>
        <w:spacing w:after="120"/>
        <w:rPr>
          <w:rFonts w:cstheme="majorHAnsi"/>
          <w:szCs w:val="20"/>
          <w:lang w:val="en-AU"/>
        </w:rPr>
      </w:pPr>
      <w:r w:rsidRPr="00D14CE9">
        <w:rPr>
          <w:rFonts w:cstheme="majorHAnsi"/>
          <w:szCs w:val="20"/>
          <w:lang w:val="en-AU"/>
        </w:rPr>
        <w:t>Total building approvals historic data provided for Victoria by ABS (8731.0 Building Approvals, Australia, Table 61. Number of Non-residential Building Jobs Approved, by Value Range, Origina</w:t>
      </w:r>
      <w:r w:rsidR="000C0A86" w:rsidRPr="00D14CE9">
        <w:rPr>
          <w:rFonts w:cstheme="majorHAnsi"/>
          <w:szCs w:val="20"/>
          <w:lang w:val="en-AU"/>
        </w:rPr>
        <w:t>l – Victoria) from 2001 to 2015</w:t>
      </w:r>
    </w:p>
    <w:p w:rsidR="002B448C" w:rsidRPr="00D14CE9" w:rsidRDefault="002B448C" w:rsidP="000C0A86">
      <w:pPr>
        <w:pStyle w:val="EYBulletedList1"/>
        <w:spacing w:after="120"/>
        <w:rPr>
          <w:rFonts w:cstheme="majorHAnsi"/>
          <w:szCs w:val="20"/>
          <w:lang w:val="en-AU"/>
        </w:rPr>
      </w:pPr>
      <w:r w:rsidRPr="00D14CE9">
        <w:rPr>
          <w:rFonts w:cstheme="majorHAnsi"/>
          <w:szCs w:val="20"/>
          <w:lang w:val="en-AU"/>
        </w:rPr>
        <w:t>National Construction Code (NCC) 2015 Buildi</w:t>
      </w:r>
      <w:r w:rsidR="000C0A86" w:rsidRPr="00D14CE9">
        <w:rPr>
          <w:rFonts w:cstheme="majorHAnsi"/>
          <w:szCs w:val="20"/>
          <w:lang w:val="en-AU"/>
        </w:rPr>
        <w:t>ng Code of Australia – Volume 1</w:t>
      </w:r>
    </w:p>
    <w:p w:rsidR="002B448C" w:rsidRPr="00D14CE9" w:rsidRDefault="002B448C" w:rsidP="008C0D54">
      <w:pPr>
        <w:pStyle w:val="EYBodytextwithparaspace"/>
        <w:rPr>
          <w:rFonts w:cstheme="majorHAnsi"/>
          <w:szCs w:val="20"/>
          <w:lang w:val="en-AU"/>
        </w:rPr>
      </w:pPr>
      <w:r w:rsidRPr="00D14CE9">
        <w:rPr>
          <w:rFonts w:cstheme="majorHAnsi"/>
          <w:szCs w:val="20"/>
          <w:lang w:val="en-AU"/>
        </w:rPr>
        <w:t>A statistical regression analysis has been conducted, leading to identify a strong correlation between the total building approvals issued and new jobs created. The result of this analysis indicated that a building approval is issued for around every 100 extra jobs created.</w:t>
      </w:r>
    </w:p>
    <w:p w:rsidR="002B448C" w:rsidRPr="00D14CE9" w:rsidRDefault="002B448C" w:rsidP="008C0D54">
      <w:pPr>
        <w:pStyle w:val="EYBodytextwithparaspace"/>
        <w:rPr>
          <w:rFonts w:cstheme="majorHAnsi"/>
          <w:szCs w:val="20"/>
          <w:lang w:val="en-AU"/>
        </w:rPr>
      </w:pPr>
      <w:r w:rsidRPr="00D14CE9">
        <w:rPr>
          <w:rFonts w:cstheme="majorHAnsi"/>
          <w:szCs w:val="20"/>
          <w:lang w:val="en-AU"/>
        </w:rPr>
        <w:t xml:space="preserve">Using 2011 available split of jobs by LGA and compiling those data in accordance with three main categories that are commercial, retail and industrial jobs, the creation of new commercial, retail and industrial jobs has been extrapolated from </w:t>
      </w:r>
      <w:r w:rsidRPr="00D14CE9">
        <w:rPr>
          <w:rFonts w:cstheme="majorHAnsi"/>
          <w:szCs w:val="20"/>
          <w:lang w:val="en-AU"/>
        </w:rPr>
        <w:lastRenderedPageBreak/>
        <w:t xml:space="preserve">2015 to 2050 on the basis of the available employment growth projections by LGA. Then, using the conversion metric identified (i.e. every 100 extra jobs 1 building is constructed), the number of new commercial, retail and commercial buildings to be built has been accordingly forecast on a yearly basis (using an average annual growth rate) over the period of analysis. </w:t>
      </w:r>
    </w:p>
    <w:p w:rsidR="002B448C" w:rsidRPr="00D14CE9" w:rsidRDefault="002B448C" w:rsidP="008C0D54">
      <w:pPr>
        <w:pStyle w:val="EYBodytextwithparaspace"/>
        <w:rPr>
          <w:rFonts w:cstheme="majorHAnsi"/>
          <w:szCs w:val="20"/>
          <w:lang w:val="en-AU"/>
        </w:rPr>
      </w:pPr>
      <w:r w:rsidRPr="00D14CE9">
        <w:rPr>
          <w:rFonts w:cstheme="majorHAnsi"/>
          <w:szCs w:val="20"/>
          <w:lang w:val="en-AU"/>
        </w:rPr>
        <w:t>Section D1.13 “Number of persons accommodated” of the NCC provides information with respect to the standard area (m2) per person to be considered per type of use. As a result, the following assumptions have been considered to estimate the standard surface areas of new non-residential buildings to be constructed, per type of use. Note that the square meters estimates provided exclude spaces set aside for lifts, stairways, ramps, escalators, corridors, hallways and lobbies. As a result, an increase by 20% of the average surface area to be considered by person with respect to commercial and retail uses has been factored in.</w:t>
      </w:r>
    </w:p>
    <w:p w:rsidR="002B448C" w:rsidRPr="00D14CE9" w:rsidRDefault="002B448C" w:rsidP="000C0A86">
      <w:pPr>
        <w:pStyle w:val="EYBulletedList1"/>
        <w:spacing w:after="120"/>
        <w:rPr>
          <w:rFonts w:cstheme="majorHAnsi"/>
          <w:szCs w:val="20"/>
          <w:lang w:val="en-AU"/>
        </w:rPr>
      </w:pPr>
      <w:r w:rsidRPr="00D14CE9">
        <w:rPr>
          <w:rFonts w:cstheme="majorHAnsi"/>
          <w:szCs w:val="20"/>
          <w:lang w:val="en-AU"/>
        </w:rPr>
        <w:t>Commercial buildings: average 10m</w:t>
      </w:r>
      <w:r w:rsidRPr="00D14CE9">
        <w:rPr>
          <w:rFonts w:cstheme="majorHAnsi"/>
          <w:szCs w:val="20"/>
          <w:vertAlign w:val="superscript"/>
          <w:lang w:val="en-AU"/>
        </w:rPr>
        <w:t>2</w:t>
      </w:r>
      <w:r w:rsidRPr="00D14CE9">
        <w:rPr>
          <w:rFonts w:cstheme="majorHAnsi"/>
          <w:szCs w:val="20"/>
          <w:lang w:val="en-AU"/>
        </w:rPr>
        <w:t xml:space="preserve"> per person required (12m</w:t>
      </w:r>
      <w:r w:rsidRPr="00D14CE9">
        <w:rPr>
          <w:rFonts w:cstheme="majorHAnsi"/>
          <w:szCs w:val="20"/>
          <w:vertAlign w:val="superscript"/>
          <w:lang w:val="en-AU"/>
        </w:rPr>
        <w:t>2</w:t>
      </w:r>
      <w:r w:rsidRPr="00D14CE9">
        <w:rPr>
          <w:rFonts w:cstheme="majorHAnsi"/>
          <w:szCs w:val="20"/>
          <w:lang w:val="en-AU"/>
        </w:rPr>
        <w:t xml:space="preserve"> considering a 20% increase). A building being assumed to be constructed every 100 new jobs, the standard surface area of a commercial building has been estimated to amount to 1,200m</w:t>
      </w:r>
      <w:r w:rsidRPr="00D14CE9">
        <w:rPr>
          <w:rFonts w:cstheme="majorHAnsi"/>
          <w:szCs w:val="20"/>
          <w:vertAlign w:val="superscript"/>
          <w:lang w:val="en-AU"/>
        </w:rPr>
        <w:t>2</w:t>
      </w:r>
    </w:p>
    <w:p w:rsidR="002B448C" w:rsidRPr="00D14CE9" w:rsidRDefault="002B448C" w:rsidP="000C0A86">
      <w:pPr>
        <w:pStyle w:val="EYBulletedList1"/>
        <w:spacing w:after="120"/>
        <w:rPr>
          <w:rFonts w:cstheme="majorHAnsi"/>
          <w:szCs w:val="20"/>
          <w:lang w:val="en-AU"/>
        </w:rPr>
      </w:pPr>
      <w:r w:rsidRPr="00D14CE9">
        <w:rPr>
          <w:rFonts w:cstheme="majorHAnsi"/>
          <w:szCs w:val="20"/>
          <w:lang w:val="en-AU"/>
        </w:rPr>
        <w:t>Retail buildings: average 5m</w:t>
      </w:r>
      <w:r w:rsidRPr="00D14CE9">
        <w:rPr>
          <w:rFonts w:cstheme="majorHAnsi"/>
          <w:szCs w:val="20"/>
          <w:vertAlign w:val="superscript"/>
          <w:lang w:val="en-AU"/>
        </w:rPr>
        <w:t>2</w:t>
      </w:r>
      <w:r w:rsidRPr="00D14CE9">
        <w:rPr>
          <w:rFonts w:cstheme="majorHAnsi"/>
          <w:szCs w:val="20"/>
          <w:lang w:val="en-AU"/>
        </w:rPr>
        <w:t xml:space="preserve"> per person required (6m</w:t>
      </w:r>
      <w:r w:rsidRPr="00D14CE9">
        <w:rPr>
          <w:rFonts w:cstheme="majorHAnsi"/>
          <w:szCs w:val="20"/>
          <w:vertAlign w:val="superscript"/>
          <w:lang w:val="en-AU"/>
        </w:rPr>
        <w:t>2</w:t>
      </w:r>
      <w:r w:rsidRPr="00D14CE9">
        <w:rPr>
          <w:rFonts w:cstheme="majorHAnsi"/>
          <w:szCs w:val="20"/>
          <w:lang w:val="en-AU"/>
        </w:rPr>
        <w:t xml:space="preserve"> considering a 20% increase). A building being assumed to be constructed every 100 new jobs, the standard surface area of a retail building has been estimated to amount to 600m</w:t>
      </w:r>
      <w:r w:rsidRPr="00D14CE9">
        <w:rPr>
          <w:rFonts w:cstheme="majorHAnsi"/>
          <w:szCs w:val="20"/>
          <w:vertAlign w:val="superscript"/>
          <w:lang w:val="en-AU"/>
        </w:rPr>
        <w:t>2</w:t>
      </w:r>
    </w:p>
    <w:p w:rsidR="002B448C" w:rsidRPr="00D14CE9" w:rsidRDefault="002B448C" w:rsidP="000C0A86">
      <w:pPr>
        <w:pStyle w:val="EYBulletedList1"/>
        <w:spacing w:after="120"/>
        <w:rPr>
          <w:rFonts w:cstheme="majorHAnsi"/>
          <w:szCs w:val="20"/>
          <w:lang w:val="en-AU"/>
        </w:rPr>
      </w:pPr>
      <w:r w:rsidRPr="00D14CE9">
        <w:rPr>
          <w:rFonts w:cstheme="majorHAnsi"/>
          <w:szCs w:val="20"/>
          <w:lang w:val="en-AU"/>
        </w:rPr>
        <w:t>Industrial buildings: average 27.5m</w:t>
      </w:r>
      <w:r w:rsidRPr="00D14CE9">
        <w:rPr>
          <w:rFonts w:cstheme="majorHAnsi"/>
          <w:szCs w:val="20"/>
          <w:vertAlign w:val="superscript"/>
          <w:lang w:val="en-AU"/>
        </w:rPr>
        <w:t>2</w:t>
      </w:r>
      <w:r w:rsidRPr="00D14CE9">
        <w:rPr>
          <w:rFonts w:cstheme="majorHAnsi"/>
          <w:szCs w:val="20"/>
          <w:lang w:val="en-AU"/>
        </w:rPr>
        <w:t xml:space="preserve"> per person required. A building being assumed to be constructed every 100 new jobs, the standard surface area of an industrial building has been estimated to amount to 2,750m</w:t>
      </w:r>
      <w:r w:rsidRPr="00D14CE9">
        <w:rPr>
          <w:rFonts w:cstheme="majorHAnsi"/>
          <w:szCs w:val="20"/>
          <w:vertAlign w:val="superscript"/>
          <w:lang w:val="en-AU"/>
        </w:rPr>
        <w:t>2</w:t>
      </w:r>
    </w:p>
    <w:p w:rsidR="002B448C" w:rsidRPr="00D14CE9" w:rsidRDefault="002B448C" w:rsidP="008C0D54">
      <w:pPr>
        <w:pStyle w:val="EYBodytextwithparaspace"/>
        <w:rPr>
          <w:rFonts w:cstheme="majorHAnsi"/>
          <w:szCs w:val="20"/>
          <w:lang w:val="en-AU"/>
        </w:rPr>
      </w:pPr>
      <w:r w:rsidRPr="00D14CE9">
        <w:rPr>
          <w:rFonts w:cstheme="majorHAnsi"/>
          <w:szCs w:val="20"/>
          <w:lang w:val="en-AU"/>
        </w:rPr>
        <w:t xml:space="preserve">Estimates of the construction demand for extractive resources in relation to new commercial, retail and industrial buildings have then been calculated, multiplying the number of buildings identified, by each building type standard surface area and ultimately by the quantity of extractive resources required for the construction of 1m2 of standard commercial, retail and industrial building. Those estimated quantities were provided by AECOM on 23 December 2015, whose inputs </w:t>
      </w:r>
      <w:r w:rsidR="00E67A6C" w:rsidRPr="00D14CE9">
        <w:rPr>
          <w:rFonts w:cstheme="majorHAnsi"/>
          <w:szCs w:val="20"/>
          <w:lang w:val="en-AU"/>
        </w:rPr>
        <w:t xml:space="preserve">were </w:t>
      </w:r>
      <w:r w:rsidRPr="00D14CE9">
        <w:rPr>
          <w:rFonts w:cstheme="majorHAnsi"/>
          <w:szCs w:val="20"/>
          <w:lang w:val="en-AU"/>
        </w:rPr>
        <w:t>categorized as follows:</w:t>
      </w:r>
    </w:p>
    <w:p w:rsidR="002B448C" w:rsidRPr="00D14CE9" w:rsidRDefault="002B448C" w:rsidP="009623A0">
      <w:pPr>
        <w:pStyle w:val="EYBulletedList1"/>
        <w:spacing w:after="120"/>
        <w:rPr>
          <w:rFonts w:cstheme="majorHAnsi"/>
          <w:szCs w:val="20"/>
          <w:lang w:val="en-AU"/>
        </w:rPr>
      </w:pPr>
      <w:r w:rsidRPr="00D14CE9">
        <w:rPr>
          <w:rFonts w:cstheme="majorHAnsi"/>
          <w:szCs w:val="20"/>
          <w:lang w:val="en-AU"/>
        </w:rPr>
        <w:t>High rise commercial office CBD – Tower building: this category has been assumed to correspond to a com</w:t>
      </w:r>
      <w:r w:rsidR="009623A0" w:rsidRPr="00D14CE9">
        <w:rPr>
          <w:rFonts w:cstheme="majorHAnsi"/>
          <w:szCs w:val="20"/>
          <w:lang w:val="en-AU"/>
        </w:rPr>
        <w:t>mercial building in urban areas</w:t>
      </w:r>
    </w:p>
    <w:p w:rsidR="002B448C" w:rsidRPr="00D14CE9" w:rsidRDefault="002B448C" w:rsidP="009623A0">
      <w:pPr>
        <w:pStyle w:val="EYBulletedList1"/>
        <w:spacing w:after="120"/>
        <w:rPr>
          <w:rFonts w:cstheme="majorHAnsi"/>
          <w:szCs w:val="20"/>
          <w:lang w:val="en-AU"/>
        </w:rPr>
      </w:pPr>
      <w:r w:rsidRPr="00D14CE9">
        <w:rPr>
          <w:rFonts w:cstheme="majorHAnsi"/>
          <w:szCs w:val="20"/>
          <w:lang w:val="en-AU"/>
        </w:rPr>
        <w:t>Neighbourhood centre supermarket anchor: this category has been assumed to correspond to a retail build</w:t>
      </w:r>
      <w:r w:rsidR="009623A0" w:rsidRPr="00D14CE9">
        <w:rPr>
          <w:rFonts w:cstheme="majorHAnsi"/>
          <w:szCs w:val="20"/>
          <w:lang w:val="en-AU"/>
        </w:rPr>
        <w:t>ing in urban and regional areas</w:t>
      </w:r>
    </w:p>
    <w:p w:rsidR="002B448C" w:rsidRPr="00D14CE9" w:rsidRDefault="002B448C" w:rsidP="009623A0">
      <w:pPr>
        <w:pStyle w:val="EYBulletedList1"/>
        <w:spacing w:after="120"/>
        <w:rPr>
          <w:rFonts w:cstheme="majorHAnsi"/>
          <w:szCs w:val="20"/>
          <w:lang w:val="en-AU"/>
        </w:rPr>
      </w:pPr>
      <w:r w:rsidRPr="00D14CE9">
        <w:rPr>
          <w:rFonts w:cstheme="majorHAnsi"/>
          <w:szCs w:val="20"/>
          <w:lang w:val="en-AU"/>
        </w:rPr>
        <w:t>Warehouse units 5m springing height: this category has been assumed to correspond to a commercial building in regional areas and to an industrial buildi</w:t>
      </w:r>
      <w:r w:rsidR="009623A0" w:rsidRPr="00D14CE9">
        <w:rPr>
          <w:rFonts w:cstheme="majorHAnsi"/>
          <w:szCs w:val="20"/>
          <w:lang w:val="en-AU"/>
        </w:rPr>
        <w:t>ng in urban and regional areas.</w:t>
      </w:r>
    </w:p>
    <w:p w:rsidR="002B448C" w:rsidRPr="00D14CE9" w:rsidRDefault="002B448C" w:rsidP="008C0D54">
      <w:pPr>
        <w:pStyle w:val="EYBodytextwithparaspace"/>
        <w:rPr>
          <w:rFonts w:cstheme="majorHAnsi"/>
          <w:szCs w:val="20"/>
          <w:lang w:val="en-AU"/>
        </w:rPr>
      </w:pPr>
      <w:r w:rsidRPr="00D14CE9">
        <w:rPr>
          <w:rFonts w:cstheme="majorHAnsi"/>
          <w:szCs w:val="20"/>
          <w:lang w:val="en-AU"/>
        </w:rPr>
        <w:t>Where asphalt is used as a commodity product for construction purposes, 15% of asphalt manufactured was considered to be made from recycled materials and therefore not accounted in the demand for extractive resources subsequent to the construction needs. Figures presented in AECOM data do not reflect this adjustment</w:t>
      </w:r>
      <w:r w:rsidR="00E3712F">
        <w:rPr>
          <w:rFonts w:cstheme="majorHAnsi"/>
          <w:szCs w:val="20"/>
          <w:lang w:val="en-AU"/>
        </w:rPr>
        <w:t>.</w:t>
      </w:r>
      <w:r w:rsidRPr="00D14CE9">
        <w:rPr>
          <w:rFonts w:cstheme="majorHAnsi"/>
          <w:szCs w:val="20"/>
          <w:lang w:val="en-AU"/>
        </w:rPr>
        <w:t xml:space="preserve"> </w:t>
      </w:r>
    </w:p>
    <w:p w:rsidR="002B448C" w:rsidRPr="00D14CE9" w:rsidRDefault="002B448C" w:rsidP="008C0D54">
      <w:pPr>
        <w:pStyle w:val="EYBodytextwithparaspace"/>
        <w:rPr>
          <w:rFonts w:cstheme="majorHAnsi"/>
          <w:szCs w:val="20"/>
          <w:lang w:val="en-AU"/>
        </w:rPr>
      </w:pPr>
      <w:r w:rsidRPr="00D14CE9">
        <w:rPr>
          <w:rFonts w:cstheme="majorHAnsi"/>
          <w:szCs w:val="20"/>
          <w:lang w:val="en-AU"/>
        </w:rPr>
        <w:t xml:space="preserve">Overall, based on AECOM data provided for the non-residential construction, the use of extractive resources in relation to the non-residential construction activity can be summarized as follows. </w:t>
      </w:r>
      <w:r w:rsidR="00861BFA" w:rsidRPr="00D14CE9">
        <w:rPr>
          <w:rFonts w:cstheme="majorHAnsi"/>
          <w:szCs w:val="20"/>
          <w:lang w:val="en-AU"/>
        </w:rPr>
        <w:t>This breakdown, an average across the State, has been used in the macro-economic driven model to spatially allocate extractive resources, in each LGA, based on the forecast spatial allocation of non-residential construction activity ($ value).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28"/>
        <w:tblDescription w:val="Table 28 shows estimated breakdown of extractive resources required for non-residential construction activity. 78% is hard rock, 5% is limestone, 1% is clay and clay shale, and 15% is sand and gravel."/>
      </w:tblPr>
      <w:tblGrid>
        <w:gridCol w:w="2582"/>
        <w:gridCol w:w="1669"/>
        <w:gridCol w:w="1670"/>
        <w:gridCol w:w="1668"/>
        <w:gridCol w:w="1670"/>
      </w:tblGrid>
      <w:tr w:rsidR="009623A0" w:rsidRPr="00D14CE9" w:rsidTr="001476EB">
        <w:trPr>
          <w:trHeight w:val="315"/>
        </w:trPr>
        <w:tc>
          <w:tcPr>
            <w:tcW w:w="5000" w:type="pct"/>
            <w:gridSpan w:val="5"/>
            <w:shd w:val="clear" w:color="auto" w:fill="808080"/>
            <w:noWrap/>
            <w:vAlign w:val="bottom"/>
          </w:tcPr>
          <w:p w:rsidR="009623A0" w:rsidRPr="00D14CE9" w:rsidRDefault="009623A0" w:rsidP="00802792">
            <w:pPr>
              <w:pStyle w:val="EYTableHeadingWhite"/>
              <w:rPr>
                <w:rFonts w:eastAsia="Arial Unicode MS"/>
              </w:rPr>
            </w:pPr>
            <w:bookmarkStart w:id="721" w:name="_Toc445240962"/>
            <w:bookmarkStart w:id="722" w:name="_Toc448914655"/>
            <w:bookmarkStart w:id="723" w:name="_Toc448920472"/>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28</w:t>
            </w:r>
            <w:r w:rsidR="00A9654D" w:rsidRPr="00802792">
              <w:fldChar w:fldCharType="end"/>
            </w:r>
            <w:r w:rsidR="00360EC7" w:rsidRPr="00D14CE9">
              <w:t xml:space="preserve"> – </w:t>
            </w:r>
            <w:r w:rsidRPr="00D14CE9">
              <w:t xml:space="preserve">Estimated breakdown of extractive resources required for </w:t>
            </w:r>
            <w:r w:rsidR="00D02DFB" w:rsidRPr="00D14CE9">
              <w:t>non-</w:t>
            </w:r>
            <w:r w:rsidRPr="00D14CE9">
              <w:t>residential construction activity (%)</w:t>
            </w:r>
            <w:bookmarkEnd w:id="721"/>
            <w:bookmarkEnd w:id="722"/>
            <w:bookmarkEnd w:id="723"/>
          </w:p>
        </w:tc>
      </w:tr>
      <w:tr w:rsidR="009623A0" w:rsidRPr="00D14CE9" w:rsidTr="001476EB">
        <w:tc>
          <w:tcPr>
            <w:tcW w:w="1394" w:type="pct"/>
            <w:shd w:val="clear" w:color="auto" w:fill="F0F0F0"/>
            <w:vAlign w:val="center"/>
          </w:tcPr>
          <w:p w:rsidR="009623A0" w:rsidRPr="00D14CE9" w:rsidRDefault="009623A0" w:rsidP="00E65C9D">
            <w:pPr>
              <w:pStyle w:val="EYTableHeading"/>
              <w:jc w:val="center"/>
              <w:rPr>
                <w:rFonts w:eastAsia="Arial Unicode MS"/>
              </w:rPr>
            </w:pPr>
          </w:p>
        </w:tc>
        <w:tc>
          <w:tcPr>
            <w:tcW w:w="901" w:type="pct"/>
            <w:shd w:val="clear" w:color="auto" w:fill="F0F0F0"/>
            <w:vAlign w:val="center"/>
          </w:tcPr>
          <w:p w:rsidR="009623A0" w:rsidRPr="00D14CE9" w:rsidRDefault="009623A0" w:rsidP="00E65C9D">
            <w:pPr>
              <w:pStyle w:val="EYTableHeading"/>
              <w:jc w:val="center"/>
              <w:rPr>
                <w:rFonts w:eastAsia="Arial Unicode MS"/>
              </w:rPr>
            </w:pPr>
            <w:r w:rsidRPr="00D14CE9">
              <w:rPr>
                <w:rFonts w:eastAsia="Arial Unicode MS"/>
              </w:rPr>
              <w:t>Hard rock (%)</w:t>
            </w:r>
          </w:p>
        </w:tc>
        <w:tc>
          <w:tcPr>
            <w:tcW w:w="902" w:type="pct"/>
            <w:shd w:val="clear" w:color="auto" w:fill="F0F0F0"/>
            <w:vAlign w:val="center"/>
          </w:tcPr>
          <w:p w:rsidR="009623A0" w:rsidRPr="00D14CE9" w:rsidRDefault="009623A0" w:rsidP="00E65C9D">
            <w:pPr>
              <w:pStyle w:val="EYTableHeading"/>
              <w:jc w:val="center"/>
              <w:rPr>
                <w:rFonts w:eastAsia="Arial Unicode MS"/>
              </w:rPr>
            </w:pPr>
            <w:r w:rsidRPr="00D14CE9">
              <w:rPr>
                <w:rFonts w:eastAsia="Arial Unicode MS"/>
              </w:rPr>
              <w:t>Limestone (%)</w:t>
            </w:r>
          </w:p>
        </w:tc>
        <w:tc>
          <w:tcPr>
            <w:tcW w:w="901" w:type="pct"/>
            <w:shd w:val="clear" w:color="auto" w:fill="F0F0F0"/>
            <w:vAlign w:val="center"/>
          </w:tcPr>
          <w:p w:rsidR="009623A0" w:rsidRPr="00D14CE9" w:rsidRDefault="009623A0" w:rsidP="00E65C9D">
            <w:pPr>
              <w:pStyle w:val="EYTableHeading"/>
              <w:jc w:val="center"/>
              <w:rPr>
                <w:rFonts w:eastAsia="Arial Unicode MS"/>
              </w:rPr>
            </w:pPr>
            <w:r w:rsidRPr="00D14CE9">
              <w:rPr>
                <w:rFonts w:eastAsia="Arial Unicode MS"/>
              </w:rPr>
              <w:t>Clay and clay shale (%)</w:t>
            </w:r>
          </w:p>
        </w:tc>
        <w:tc>
          <w:tcPr>
            <w:tcW w:w="902" w:type="pct"/>
            <w:shd w:val="clear" w:color="auto" w:fill="F0F0F0"/>
            <w:vAlign w:val="center"/>
          </w:tcPr>
          <w:p w:rsidR="009623A0" w:rsidRPr="00D14CE9" w:rsidRDefault="009623A0" w:rsidP="00E65C9D">
            <w:pPr>
              <w:pStyle w:val="EYTableHeading"/>
              <w:jc w:val="center"/>
              <w:rPr>
                <w:rFonts w:eastAsia="Arial Unicode MS"/>
              </w:rPr>
            </w:pPr>
            <w:r w:rsidRPr="00D14CE9">
              <w:rPr>
                <w:rFonts w:eastAsia="Arial Unicode MS"/>
              </w:rPr>
              <w:t>Sand and gravel (%)</w:t>
            </w:r>
          </w:p>
        </w:tc>
      </w:tr>
      <w:tr w:rsidR="00F11894" w:rsidRPr="00D14CE9" w:rsidTr="001476EB">
        <w:trPr>
          <w:trHeight w:val="315"/>
        </w:trPr>
        <w:tc>
          <w:tcPr>
            <w:tcW w:w="1394" w:type="pct"/>
            <w:noWrap/>
            <w:vAlign w:val="center"/>
          </w:tcPr>
          <w:p w:rsidR="00F11894" w:rsidRPr="00D14CE9" w:rsidRDefault="00F11894" w:rsidP="00F11894">
            <w:pPr>
              <w:rPr>
                <w:sz w:val="16"/>
                <w:szCs w:val="16"/>
              </w:rPr>
            </w:pPr>
            <w:r w:rsidRPr="00D14CE9">
              <w:rPr>
                <w:sz w:val="16"/>
                <w:szCs w:val="16"/>
              </w:rPr>
              <w:t>Non-residential activity</w:t>
            </w:r>
          </w:p>
        </w:tc>
        <w:tc>
          <w:tcPr>
            <w:tcW w:w="901" w:type="pct"/>
            <w:noWrap/>
            <w:vAlign w:val="center"/>
          </w:tcPr>
          <w:p w:rsidR="00F11894" w:rsidRPr="00D14CE9" w:rsidRDefault="00F11894" w:rsidP="000E65EF">
            <w:pPr>
              <w:jc w:val="center"/>
              <w:rPr>
                <w:sz w:val="16"/>
                <w:szCs w:val="16"/>
              </w:rPr>
            </w:pPr>
            <w:r w:rsidRPr="00D14CE9">
              <w:rPr>
                <w:sz w:val="16"/>
                <w:szCs w:val="16"/>
              </w:rPr>
              <w:t>78%</w:t>
            </w:r>
          </w:p>
        </w:tc>
        <w:tc>
          <w:tcPr>
            <w:tcW w:w="902" w:type="pct"/>
            <w:noWrap/>
            <w:vAlign w:val="center"/>
          </w:tcPr>
          <w:p w:rsidR="00F11894" w:rsidRPr="00D14CE9" w:rsidRDefault="00F11894" w:rsidP="000E65EF">
            <w:pPr>
              <w:jc w:val="center"/>
              <w:rPr>
                <w:sz w:val="16"/>
                <w:szCs w:val="16"/>
              </w:rPr>
            </w:pPr>
            <w:r w:rsidRPr="00D14CE9">
              <w:rPr>
                <w:sz w:val="16"/>
                <w:szCs w:val="16"/>
              </w:rPr>
              <w:t>5%</w:t>
            </w:r>
          </w:p>
        </w:tc>
        <w:tc>
          <w:tcPr>
            <w:tcW w:w="901" w:type="pct"/>
            <w:noWrap/>
            <w:vAlign w:val="center"/>
          </w:tcPr>
          <w:p w:rsidR="00F11894" w:rsidRPr="00D14CE9" w:rsidRDefault="00F11894" w:rsidP="000E65EF">
            <w:pPr>
              <w:jc w:val="center"/>
              <w:rPr>
                <w:sz w:val="16"/>
                <w:szCs w:val="16"/>
              </w:rPr>
            </w:pPr>
            <w:r w:rsidRPr="00D14CE9">
              <w:rPr>
                <w:sz w:val="16"/>
                <w:szCs w:val="16"/>
              </w:rPr>
              <w:t>1%</w:t>
            </w:r>
          </w:p>
        </w:tc>
        <w:tc>
          <w:tcPr>
            <w:tcW w:w="902" w:type="pct"/>
            <w:vAlign w:val="center"/>
          </w:tcPr>
          <w:p w:rsidR="00F11894" w:rsidRPr="00D14CE9" w:rsidRDefault="00F11894" w:rsidP="000E65EF">
            <w:pPr>
              <w:jc w:val="center"/>
              <w:rPr>
                <w:sz w:val="16"/>
                <w:szCs w:val="16"/>
              </w:rPr>
            </w:pPr>
            <w:r w:rsidRPr="00D14CE9">
              <w:rPr>
                <w:sz w:val="16"/>
                <w:szCs w:val="16"/>
              </w:rPr>
              <w:t>15%</w:t>
            </w:r>
          </w:p>
        </w:tc>
      </w:tr>
    </w:tbl>
    <w:p w:rsidR="00F552CC" w:rsidRPr="00D14CE9" w:rsidRDefault="002B448C" w:rsidP="00F552CC">
      <w:pPr>
        <w:pStyle w:val="EYSource"/>
        <w:rPr>
          <w:lang w:val="en-AU"/>
        </w:rPr>
      </w:pPr>
      <w:r w:rsidRPr="00D14CE9">
        <w:rPr>
          <w:lang w:val="en-AU"/>
        </w:rPr>
        <w:t>Source: EY analysis based on AECOM inputs</w:t>
      </w:r>
    </w:p>
    <w:p w:rsidR="002B448C" w:rsidRPr="00D14CE9" w:rsidRDefault="002B448C" w:rsidP="00F552CC"/>
    <w:p w:rsidR="002B448C" w:rsidRPr="00D14CE9" w:rsidRDefault="002B448C" w:rsidP="00856574">
      <w:pPr>
        <w:pStyle w:val="ListParagraph"/>
        <w:numPr>
          <w:ilvl w:val="1"/>
          <w:numId w:val="21"/>
        </w:numPr>
        <w:ind w:left="806" w:hanging="806"/>
        <w:rPr>
          <w:rFonts w:ascii="EYInterstate Light" w:hAnsi="EYInterstate Light"/>
          <w:b/>
          <w:i/>
        </w:rPr>
      </w:pPr>
      <w:r w:rsidRPr="00D14CE9">
        <w:rPr>
          <w:rFonts w:ascii="EYInterstate Light" w:hAnsi="EYInterstate Light"/>
          <w:b/>
          <w:i/>
        </w:rPr>
        <w:t>Transport Construction Activity</w:t>
      </w:r>
    </w:p>
    <w:p w:rsidR="002B448C" w:rsidRPr="00D14CE9" w:rsidRDefault="002B448C" w:rsidP="00856574">
      <w:pPr>
        <w:pStyle w:val="ListParagraph"/>
        <w:numPr>
          <w:ilvl w:val="2"/>
          <w:numId w:val="21"/>
        </w:numPr>
        <w:ind w:left="810" w:hanging="810"/>
        <w:rPr>
          <w:rFonts w:ascii="EYInterstate Light" w:hAnsi="EYInterstate Light"/>
          <w:i/>
        </w:rPr>
      </w:pPr>
      <w:r w:rsidRPr="00D14CE9">
        <w:rPr>
          <w:rFonts w:ascii="EYInterstate Light" w:hAnsi="EYInterstate Light"/>
          <w:i/>
        </w:rPr>
        <w:t>Transport Network in Victoria</w:t>
      </w:r>
    </w:p>
    <w:p w:rsidR="002B448C" w:rsidRPr="00D14CE9" w:rsidRDefault="002B448C" w:rsidP="008C0D54">
      <w:pPr>
        <w:pStyle w:val="EYBodytextwithparaspace"/>
        <w:rPr>
          <w:rFonts w:cstheme="majorHAnsi"/>
          <w:szCs w:val="20"/>
          <w:lang w:val="en-AU"/>
        </w:rPr>
      </w:pPr>
      <w:r w:rsidRPr="00D14CE9">
        <w:rPr>
          <w:rFonts w:cstheme="majorHAnsi"/>
          <w:szCs w:val="20"/>
          <w:lang w:val="en-AU"/>
        </w:rPr>
        <w:t>Construction activities in relation to the transport network in Victoria are related to the construction of new roads and the maintenance and rehabilitation of the transport network, including existing and new network extended on a yearly basis, although subject to the availability of public funding. In Victoria, the arterial roads network and freeways are planned and managed by VicRoads. This includes maintaining 55,000 lane kilometres of roads, as indicated in VicRoads annual report 2014-2015. The remainder of the network is planned and managed by the local councils of Victoria.</w:t>
      </w:r>
    </w:p>
    <w:p w:rsidR="002B448C" w:rsidRPr="00D14CE9" w:rsidRDefault="002B448C" w:rsidP="008C0D54">
      <w:pPr>
        <w:pStyle w:val="EYBodytextwithparaspace"/>
        <w:rPr>
          <w:rFonts w:cstheme="majorHAnsi"/>
          <w:szCs w:val="20"/>
          <w:lang w:val="en-AU"/>
        </w:rPr>
      </w:pPr>
      <w:r w:rsidRPr="00D14CE9">
        <w:rPr>
          <w:rFonts w:cstheme="majorHAnsi"/>
          <w:szCs w:val="20"/>
          <w:lang w:val="en-AU"/>
        </w:rPr>
        <w:t>The transport network profile to forecast the needs for extractive resources in relation to the construction of new roads and the roads maintenance and rehabilitation works has been developed considering the following demand drivers:</w:t>
      </w:r>
    </w:p>
    <w:p w:rsidR="002B448C" w:rsidRPr="00D14CE9" w:rsidRDefault="002B448C" w:rsidP="00F11894">
      <w:pPr>
        <w:pStyle w:val="EYBulletedList1"/>
        <w:spacing w:after="120"/>
        <w:rPr>
          <w:rFonts w:cstheme="majorHAnsi"/>
          <w:szCs w:val="20"/>
          <w:lang w:val="en-AU"/>
        </w:rPr>
      </w:pPr>
      <w:r w:rsidRPr="00D14CE9">
        <w:rPr>
          <w:rFonts w:cstheme="majorHAnsi"/>
          <w:szCs w:val="20"/>
          <w:lang w:val="en-AU"/>
        </w:rPr>
        <w:lastRenderedPageBreak/>
        <w:t xml:space="preserve">Existing VicRoads network (55,000 lane kms) and potential roads development in Metropolitan Melbourne. The potential roads development forecast from 2015 to 2046 has been provided by VicRoads representatives. Where a ‘various item’ was specified in VicRoads dataset, it has been evenly broken down within each metropolitan LGA. From 2046 to 2050, a constant increase has been considered. </w:t>
      </w:r>
    </w:p>
    <w:p w:rsidR="002B448C" w:rsidRPr="00D14CE9" w:rsidRDefault="002B448C" w:rsidP="00F11894">
      <w:pPr>
        <w:pStyle w:val="EYBulletedList1"/>
        <w:tabs>
          <w:tab w:val="clear" w:pos="288"/>
          <w:tab w:val="num" w:pos="576"/>
        </w:tabs>
        <w:spacing w:after="120"/>
        <w:rPr>
          <w:rFonts w:cstheme="majorHAnsi"/>
          <w:szCs w:val="20"/>
          <w:lang w:val="en-AU"/>
        </w:rPr>
      </w:pPr>
      <w:r w:rsidRPr="00D14CE9">
        <w:rPr>
          <w:rFonts w:cstheme="majorHAnsi"/>
          <w:szCs w:val="20"/>
          <w:lang w:val="en-AU"/>
        </w:rPr>
        <w:t>Existing local councils</w:t>
      </w:r>
      <w:r w:rsidR="00802BCC" w:rsidRPr="00D14CE9">
        <w:rPr>
          <w:rFonts w:cstheme="majorHAnsi"/>
          <w:szCs w:val="20"/>
          <w:lang w:val="en-AU"/>
        </w:rPr>
        <w:t>’</w:t>
      </w:r>
      <w:r w:rsidRPr="00D14CE9">
        <w:rPr>
          <w:rFonts w:cstheme="majorHAnsi"/>
          <w:szCs w:val="20"/>
          <w:lang w:val="en-AU"/>
        </w:rPr>
        <w:t xml:space="preserve"> roads network and potential roads development in Victoria. The Australian Grant Commission Annual Reports, available in the public domain, helped inform and understand the length of the existing network in urban and regional LGAs and the yearly historic evolution from 2009 to 2014, which provided robust grounds to estimate an appropriate forecast of the yearly network expansion by LGA over the period of analysis. A key assumption has been to only forecast, based on existing data available in 2014, an increase of the network in Urban Growth Areas (defined by LGA in </w:t>
      </w:r>
      <w:r w:rsidR="00D45341" w:rsidRPr="00474B05">
        <w:rPr>
          <w:rFonts w:cstheme="majorHAnsi"/>
          <w:szCs w:val="20"/>
          <w:lang w:val="en-AU"/>
        </w:rPr>
        <w:fldChar w:fldCharType="begin" w:fldLock="1"/>
      </w:r>
      <w:r w:rsidR="00D45341" w:rsidRPr="00D14CE9">
        <w:rPr>
          <w:rFonts w:cstheme="majorHAnsi"/>
          <w:szCs w:val="20"/>
          <w:lang w:val="en-AU"/>
        </w:rPr>
        <w:instrText xml:space="preserve"> REF _Ref441835942 \r \h </w:instrText>
      </w:r>
      <w:r w:rsidR="00D45341" w:rsidRPr="00474B05">
        <w:rPr>
          <w:rFonts w:cstheme="majorHAnsi"/>
          <w:szCs w:val="20"/>
          <w:lang w:val="en-AU"/>
        </w:rPr>
      </w:r>
      <w:r w:rsidR="00D45341" w:rsidRPr="00474B05">
        <w:rPr>
          <w:rFonts w:cstheme="majorHAnsi"/>
          <w:szCs w:val="20"/>
          <w:lang w:val="en-AU"/>
        </w:rPr>
        <w:fldChar w:fldCharType="separate"/>
      </w:r>
      <w:r w:rsidR="00895089">
        <w:rPr>
          <w:rFonts w:cstheme="majorHAnsi"/>
          <w:szCs w:val="20"/>
          <w:lang w:val="en-AU"/>
        </w:rPr>
        <w:t>Appendix B</w:t>
      </w:r>
      <w:r w:rsidR="00D45341" w:rsidRPr="00474B05">
        <w:rPr>
          <w:rFonts w:cstheme="majorHAnsi"/>
          <w:szCs w:val="20"/>
          <w:lang w:val="en-AU"/>
        </w:rPr>
        <w:fldChar w:fldCharType="end"/>
      </w:r>
      <w:r w:rsidRPr="00D14CE9">
        <w:rPr>
          <w:rFonts w:cstheme="majorHAnsi"/>
          <w:szCs w:val="20"/>
          <w:lang w:val="en-AU"/>
        </w:rPr>
        <w:t xml:space="preserve"> of the Report) and a few specific regional LGAs that are Ballarat, Greater Bendigo and Greater Geelong, considered as regional hubs of potential growth. The development of transport network varying depending upon economic growth, business requirements, population growth, housing demand and government planning, it has been considered in those LGAs to factor in an increase of the existing road network by 70% of the projected population growth in those locations, in order to mitigate the multiplicity of parameters the roads development is subject to. Note that the local councils</w:t>
      </w:r>
      <w:r w:rsidR="00802BCC" w:rsidRPr="00D14CE9">
        <w:rPr>
          <w:rFonts w:cstheme="majorHAnsi"/>
          <w:szCs w:val="20"/>
          <w:lang w:val="en-AU"/>
        </w:rPr>
        <w:t xml:space="preserve">’ </w:t>
      </w:r>
      <w:r w:rsidRPr="00D14CE9">
        <w:rPr>
          <w:rFonts w:cstheme="majorHAnsi"/>
          <w:szCs w:val="20"/>
          <w:lang w:val="en-AU"/>
        </w:rPr>
        <w:t>roads are made up in each LGA of local urban and local rural roads, which was taken into consideration in the calculation of extractive resources requirements, due to the inherent maintenance and rehabilitation impacts in terms of extractive resources requirements, specific to those categories of roads.</w:t>
      </w:r>
    </w:p>
    <w:p w:rsidR="002B448C" w:rsidRPr="00D14CE9" w:rsidRDefault="002B448C" w:rsidP="008C0D54">
      <w:pPr>
        <w:pStyle w:val="EYBodytextwithparaspace"/>
        <w:rPr>
          <w:rFonts w:cstheme="majorHAnsi"/>
          <w:szCs w:val="20"/>
          <w:lang w:val="en-AU"/>
        </w:rPr>
      </w:pPr>
      <w:r w:rsidRPr="00D14CE9">
        <w:rPr>
          <w:rFonts w:cstheme="majorHAnsi"/>
          <w:szCs w:val="20"/>
          <w:lang w:val="en-AU"/>
        </w:rPr>
        <w:t xml:space="preserve">Estimates of the transport development demand for extractive resources have then been calculated, multiplying either the transport network length or the net increase in the transport network by the quantity of extractive resources required for each of the roads works considered. Those estimated quantities were provided by AECOM on 23 December 2015, on a km or lane km basis. Where asphalt is used as a commodity product for construction purposes, 15% of asphalt manufactured was considered to be made from recycled materials and therefore not accounted in the demand for extractive resources subsequent to the construction needs. Figures presented in AECOM data do not reflect this adjustment. </w:t>
      </w:r>
    </w:p>
    <w:p w:rsidR="002B448C" w:rsidRPr="00D14CE9" w:rsidRDefault="002B448C" w:rsidP="008C0D54">
      <w:pPr>
        <w:pStyle w:val="EYBodytextwithparaspace"/>
        <w:rPr>
          <w:rFonts w:cstheme="majorHAnsi"/>
          <w:szCs w:val="20"/>
          <w:lang w:val="en-AU"/>
        </w:rPr>
      </w:pPr>
      <w:r w:rsidRPr="00D14CE9">
        <w:rPr>
          <w:rFonts w:cstheme="majorHAnsi"/>
          <w:szCs w:val="20"/>
          <w:lang w:val="en-AU"/>
        </w:rPr>
        <w:t>Those calculations have been categorized as follows:</w:t>
      </w:r>
    </w:p>
    <w:p w:rsidR="002B448C" w:rsidRPr="00D14CE9" w:rsidRDefault="002B448C" w:rsidP="00F11894">
      <w:pPr>
        <w:pStyle w:val="EYBulletedList1"/>
        <w:spacing w:after="120"/>
        <w:rPr>
          <w:rFonts w:cstheme="majorHAnsi"/>
          <w:szCs w:val="20"/>
          <w:lang w:val="en-AU"/>
        </w:rPr>
      </w:pPr>
      <w:r w:rsidRPr="00D14CE9">
        <w:rPr>
          <w:rFonts w:cstheme="majorHAnsi"/>
          <w:szCs w:val="20"/>
          <w:lang w:val="en-AU"/>
        </w:rPr>
        <w:t>Requirements for new roads construction:</w:t>
      </w:r>
    </w:p>
    <w:p w:rsidR="002B448C" w:rsidRPr="00D14CE9" w:rsidRDefault="002B448C" w:rsidP="00F11894">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VicRoads network: extractive resources requirements have been calculated by multiplying the yearly net increase of the network, in lane kms, by the quantity of extractive resources required for the construction of 1 lane km of urban highway (4 lanes).</w:t>
      </w:r>
    </w:p>
    <w:p w:rsidR="002B448C" w:rsidRPr="00D14CE9" w:rsidRDefault="002B448C" w:rsidP="00F11894">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Local councils</w:t>
      </w:r>
      <w:r w:rsidR="00802BCC" w:rsidRPr="00D14CE9">
        <w:rPr>
          <w:rFonts w:cstheme="majorHAnsi"/>
          <w:szCs w:val="20"/>
          <w:lang w:val="en-AU"/>
        </w:rPr>
        <w:t>’</w:t>
      </w:r>
      <w:r w:rsidRPr="00D14CE9">
        <w:rPr>
          <w:rFonts w:cstheme="majorHAnsi"/>
          <w:szCs w:val="20"/>
          <w:lang w:val="en-AU"/>
        </w:rPr>
        <w:t xml:space="preserve"> road network – Local urban roads: extractive resources requirements have been calculated by multiplying the yearly net increase of the network, in kms, by the quantity of extractive resources required for the construction of 1 lane km of urban highway (2 lanes) and by 2 to account for the lane numbers.</w:t>
      </w:r>
    </w:p>
    <w:p w:rsidR="002B448C" w:rsidRPr="00D14CE9" w:rsidRDefault="002B448C" w:rsidP="00F11894">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Local councils road network – Local rural roads:</w:t>
      </w:r>
    </w:p>
    <w:p w:rsidR="002B448C" w:rsidRPr="00D14CE9" w:rsidRDefault="002B448C" w:rsidP="00F11894">
      <w:pPr>
        <w:pStyle w:val="EYBulletedList1"/>
        <w:tabs>
          <w:tab w:val="clear" w:pos="288"/>
          <w:tab w:val="num" w:pos="864"/>
        </w:tabs>
        <w:spacing w:after="120"/>
        <w:ind w:left="864"/>
        <w:rPr>
          <w:rFonts w:cstheme="majorHAnsi"/>
          <w:szCs w:val="20"/>
          <w:lang w:val="en-AU"/>
        </w:rPr>
      </w:pPr>
      <w:r w:rsidRPr="00D14CE9">
        <w:rPr>
          <w:rFonts w:cstheme="majorHAnsi"/>
          <w:szCs w:val="20"/>
          <w:lang w:val="en-AU"/>
        </w:rPr>
        <w:t xml:space="preserve">In Ararat, </w:t>
      </w:r>
      <w:r w:rsidR="000F14BE" w:rsidRPr="00D14CE9">
        <w:rPr>
          <w:rFonts w:cstheme="majorHAnsi"/>
          <w:szCs w:val="20"/>
          <w:lang w:val="en-AU"/>
        </w:rPr>
        <w:t>Gannawarra</w:t>
      </w:r>
      <w:r w:rsidRPr="00D14CE9">
        <w:rPr>
          <w:rFonts w:cstheme="majorHAnsi"/>
          <w:szCs w:val="20"/>
          <w:lang w:val="en-AU"/>
        </w:rPr>
        <w:t xml:space="preserve">, Moira, Moyne, South Gippsland LGAs (considered as remote rural councils), extractive resources requirements have been calculated by multiplying the yearly net increase of the rural network, in kms, by 80% of the quantity of extractive resources required for the construction of 1 km of sealed road and by 20% of the quantity of extractive resources required for the construction of 1 km of unsealed road. </w:t>
      </w:r>
    </w:p>
    <w:p w:rsidR="002B448C" w:rsidRPr="00D14CE9" w:rsidRDefault="002B448C" w:rsidP="00F11894">
      <w:pPr>
        <w:pStyle w:val="EYBulletedList1"/>
        <w:tabs>
          <w:tab w:val="clear" w:pos="288"/>
          <w:tab w:val="num" w:pos="864"/>
        </w:tabs>
        <w:spacing w:after="120"/>
        <w:ind w:left="864"/>
        <w:rPr>
          <w:rFonts w:cstheme="majorHAnsi"/>
          <w:szCs w:val="20"/>
          <w:lang w:val="en-AU"/>
        </w:rPr>
      </w:pPr>
      <w:r w:rsidRPr="00D14CE9">
        <w:rPr>
          <w:rFonts w:cstheme="majorHAnsi"/>
          <w:szCs w:val="20"/>
          <w:lang w:val="en-AU"/>
        </w:rPr>
        <w:t>In Buloke, East Gippsland, Glenelg, Hindmarsh, Horsham, Mildura, Swan Hill, Towong,  Wellington, West Wimmera and Yarrambiak LGAs (considered as very remote rural councils), extractive resources requirements have been calculated by multiplying the yearly net increase of the rural network, in kms, by 60% of the quantity of extractive resources required for the construction of 1 km of sealed road and by 40% of the quantity of extractive resources required for the construction of 1 km of unsealed road.</w:t>
      </w:r>
    </w:p>
    <w:p w:rsidR="002B448C" w:rsidRPr="00D14CE9" w:rsidRDefault="002B448C" w:rsidP="00F11894">
      <w:pPr>
        <w:pStyle w:val="EYBulletedList1"/>
        <w:tabs>
          <w:tab w:val="clear" w:pos="288"/>
          <w:tab w:val="num" w:pos="864"/>
        </w:tabs>
        <w:spacing w:after="120"/>
        <w:ind w:left="864"/>
        <w:rPr>
          <w:rFonts w:cstheme="majorHAnsi"/>
          <w:szCs w:val="20"/>
          <w:lang w:val="en-AU"/>
        </w:rPr>
      </w:pPr>
      <w:r w:rsidRPr="00D14CE9">
        <w:rPr>
          <w:rFonts w:cstheme="majorHAnsi"/>
          <w:szCs w:val="20"/>
          <w:lang w:val="en-AU"/>
        </w:rPr>
        <w:t>In other LGAs, extractive resources requirements have been calculated by multiplying the yearly net increase of the rural network, in kms, by the quantity of extractive resources required for the construction of 1 km of sealed road.</w:t>
      </w:r>
    </w:p>
    <w:p w:rsidR="002B448C" w:rsidRPr="00D14CE9" w:rsidRDefault="002B448C" w:rsidP="00145D68">
      <w:pPr>
        <w:pStyle w:val="EYBulletedList1"/>
        <w:spacing w:after="120"/>
        <w:rPr>
          <w:rFonts w:cstheme="majorHAnsi"/>
          <w:szCs w:val="20"/>
          <w:lang w:val="en-AU"/>
        </w:rPr>
      </w:pPr>
      <w:r w:rsidRPr="00D14CE9">
        <w:rPr>
          <w:rFonts w:cstheme="majorHAnsi"/>
          <w:szCs w:val="20"/>
          <w:lang w:val="en-AU"/>
        </w:rPr>
        <w:t xml:space="preserve">Requirements for roads maintenance and rehabilitation works: </w:t>
      </w:r>
    </w:p>
    <w:p w:rsidR="002B448C" w:rsidRPr="00D14CE9" w:rsidRDefault="002B448C" w:rsidP="00145D68">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 xml:space="preserve">VicRoads network: an initial assumption has been considered to split the network in urban and rural areas according to a respective 60% / 40% split, therefore impacting on the type of treatments expected to be implemented. </w:t>
      </w:r>
    </w:p>
    <w:p w:rsidR="002B448C" w:rsidRPr="00D14CE9" w:rsidRDefault="002B448C" w:rsidP="00145D68">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 xml:space="preserve">In urban areas, in terms of maintenance works, 50% of the periodic maintenance area is asphalt patching, where 5% of this area is covered. 30% of the periodic maintenance is spray seal, where 5.5% of this area is covered. 20% of the periodic maintenance is reseal with asphalt patch, where 5.5% of this area is covered. In terms of rehabilitation works, 80% of the periodic rehabilitation area is asphalt, where 0.06% of this area is covered by </w:t>
      </w:r>
      <w:r w:rsidRPr="00D14CE9">
        <w:rPr>
          <w:rFonts w:cstheme="majorHAnsi"/>
          <w:szCs w:val="20"/>
          <w:lang w:val="en-AU"/>
        </w:rPr>
        <w:lastRenderedPageBreak/>
        <w:t>asphalt overlay, 0.03% is covered by major deep patch asphalt and 2% is covered by asphalt resurfacing. 20% of the periodic rehabilitation area is road rehabilitation.</w:t>
      </w:r>
    </w:p>
    <w:p w:rsidR="002B448C" w:rsidRPr="00D14CE9" w:rsidRDefault="002B448C" w:rsidP="00145D68">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In rural areas, in terms of maintenance works, 90% of the periodic maintenance area is treated by reseal, with 30% of this area having gravel patch where 5.5% of this area is covered. 10% of the period maintenance area is treated by asphalt patch, where 5.5% of this area is covered. In terms of rehabilitation works, 20% of the periodic rehabilitation area is asphalt, where 0.06% of this area is covered by asphalt overlay, 0.03% is covered by major deep patch asphalt and 2% is covered by asphalt resurfacing. 80% of the periodic rehabilitation area is road rehabilitation.</w:t>
      </w:r>
    </w:p>
    <w:p w:rsidR="002B448C" w:rsidRPr="00D14CE9" w:rsidRDefault="002B448C" w:rsidP="00145D68">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Local councils</w:t>
      </w:r>
      <w:r w:rsidR="00802BCC" w:rsidRPr="00D14CE9">
        <w:rPr>
          <w:rFonts w:cstheme="majorHAnsi"/>
          <w:szCs w:val="20"/>
          <w:lang w:val="en-AU"/>
        </w:rPr>
        <w:t>’</w:t>
      </w:r>
      <w:r w:rsidRPr="00D14CE9">
        <w:rPr>
          <w:rFonts w:cstheme="majorHAnsi"/>
          <w:szCs w:val="20"/>
          <w:lang w:val="en-AU"/>
        </w:rPr>
        <w:t xml:space="preserve"> road network – Local urban roads: similar treatment to VicRoads network in urban areas, using a 1.5% coverage for asphalt resurfacing though instead of 2% for rehabilitation works.</w:t>
      </w:r>
    </w:p>
    <w:p w:rsidR="002B448C" w:rsidRPr="00D14CE9" w:rsidRDefault="002B448C" w:rsidP="00145D68">
      <w:pPr>
        <w:pStyle w:val="EYBulletedList1"/>
        <w:tabs>
          <w:tab w:val="clear" w:pos="288"/>
          <w:tab w:val="num" w:pos="576"/>
        </w:tabs>
        <w:spacing w:after="120"/>
        <w:ind w:left="576"/>
        <w:rPr>
          <w:rFonts w:cstheme="majorHAnsi"/>
          <w:szCs w:val="20"/>
          <w:lang w:val="en-AU"/>
        </w:rPr>
      </w:pPr>
      <w:r w:rsidRPr="00D14CE9">
        <w:rPr>
          <w:rFonts w:cstheme="majorHAnsi"/>
          <w:szCs w:val="20"/>
          <w:lang w:val="en-AU"/>
        </w:rPr>
        <w:t>Local councils</w:t>
      </w:r>
      <w:r w:rsidR="00802BCC" w:rsidRPr="00D14CE9">
        <w:rPr>
          <w:rFonts w:cstheme="majorHAnsi"/>
          <w:szCs w:val="20"/>
          <w:lang w:val="en-AU"/>
        </w:rPr>
        <w:t>’</w:t>
      </w:r>
      <w:r w:rsidRPr="00D14CE9">
        <w:rPr>
          <w:rFonts w:cstheme="majorHAnsi"/>
          <w:szCs w:val="20"/>
          <w:lang w:val="en-AU"/>
        </w:rPr>
        <w:t xml:space="preserve"> road network – Local rural roads:</w:t>
      </w:r>
    </w:p>
    <w:p w:rsidR="002B448C" w:rsidRPr="00D14CE9" w:rsidRDefault="002B448C" w:rsidP="00145D68">
      <w:pPr>
        <w:pStyle w:val="EYBulletedList1"/>
        <w:tabs>
          <w:tab w:val="clear" w:pos="288"/>
          <w:tab w:val="num" w:pos="864"/>
        </w:tabs>
        <w:spacing w:after="120"/>
        <w:ind w:left="864"/>
        <w:rPr>
          <w:rFonts w:cstheme="majorHAnsi"/>
          <w:szCs w:val="20"/>
          <w:lang w:val="en-AU"/>
        </w:rPr>
      </w:pPr>
      <w:r w:rsidRPr="00D14CE9">
        <w:rPr>
          <w:rFonts w:cstheme="majorHAnsi"/>
          <w:szCs w:val="20"/>
          <w:lang w:val="en-AU"/>
        </w:rPr>
        <w:t xml:space="preserve">In Ararat, </w:t>
      </w:r>
      <w:r w:rsidR="000F14BE" w:rsidRPr="00D14CE9">
        <w:rPr>
          <w:rFonts w:cstheme="majorHAnsi"/>
          <w:szCs w:val="20"/>
          <w:lang w:val="en-AU"/>
        </w:rPr>
        <w:t>Gannawarra</w:t>
      </w:r>
      <w:r w:rsidRPr="00D14CE9">
        <w:rPr>
          <w:rFonts w:cstheme="majorHAnsi"/>
          <w:szCs w:val="20"/>
          <w:lang w:val="en-AU"/>
        </w:rPr>
        <w:t>, Moira, Moyne, South Gippsland LGAs (considered as rural councils), in terms of maintenance works, 2%  of the road-km is maintained by a periodic reseal and 2% is maintained by gravel wearing course  top up. Within this area covered by wearing course to up, 30% of that area also incorporates gravel patching. In terms of rehabilitation works, 80% of the periodic rehabilitation area is sealed road rehabilitation and 20% is unsealed road rehabilitation, with a 1% coverage for asphalt resurfacing.</w:t>
      </w:r>
    </w:p>
    <w:p w:rsidR="002B448C" w:rsidRPr="00D14CE9" w:rsidRDefault="002B448C" w:rsidP="00145D68">
      <w:pPr>
        <w:pStyle w:val="EYBulletedList1"/>
        <w:tabs>
          <w:tab w:val="clear" w:pos="288"/>
          <w:tab w:val="num" w:pos="864"/>
        </w:tabs>
        <w:spacing w:after="120"/>
        <w:ind w:left="864"/>
        <w:rPr>
          <w:rFonts w:cstheme="majorHAnsi"/>
          <w:szCs w:val="20"/>
          <w:lang w:val="en-AU"/>
        </w:rPr>
      </w:pPr>
      <w:r w:rsidRPr="00D14CE9">
        <w:rPr>
          <w:rFonts w:cstheme="majorHAnsi"/>
          <w:szCs w:val="20"/>
          <w:lang w:val="en-AU"/>
        </w:rPr>
        <w:t>In Buloke, East Gippsland, Glenelg, Hindmarsh, Horsham, Mildura, Swan Hill, Towong,  Wellington, West Wimmera and Yarrambiak LGAs (considered as remote rural councils), in terms of maintenance works, 2%  of the road-km is maintained by a periodic reseal and 1% is maintained by gravel wearing course  top up. Within this area covered by wearing course to up, 30% of that area also incorporates gravel patching. In terms of rehabilitation works, 60% of the periodic rehabilitation area is sealed road rehabilitation and 40% is unsealed road rehabilitation, with a 0.5% coverage for asphalt resurfacing.</w:t>
      </w:r>
    </w:p>
    <w:p w:rsidR="006C5CD3" w:rsidRDefault="002B448C">
      <w:pPr>
        <w:pStyle w:val="EYBulletedList1"/>
        <w:tabs>
          <w:tab w:val="clear" w:pos="288"/>
          <w:tab w:val="num" w:pos="864"/>
        </w:tabs>
        <w:spacing w:after="120"/>
        <w:ind w:left="864"/>
        <w:rPr>
          <w:rFonts w:cstheme="majorHAnsi"/>
          <w:szCs w:val="20"/>
          <w:lang w:val="en-AU"/>
        </w:rPr>
      </w:pPr>
      <w:r w:rsidRPr="004356F9">
        <w:rPr>
          <w:rFonts w:cstheme="majorHAnsi"/>
          <w:szCs w:val="20"/>
          <w:lang w:val="en-AU"/>
        </w:rPr>
        <w:t xml:space="preserve">In other LGAs, in terms of maintenance works, 2% of the road-km is maintained by a periodic reseal. In terms of rehabilitation works, 100% of the period rehabilitation area is sealed road rehabilitation. </w:t>
      </w:r>
    </w:p>
    <w:p w:rsidR="002B448C" w:rsidRPr="00D14CE9" w:rsidRDefault="002B448C" w:rsidP="008C0D54">
      <w:pPr>
        <w:pStyle w:val="EYBodytextwithparaspace"/>
        <w:rPr>
          <w:rFonts w:cstheme="majorHAnsi"/>
          <w:szCs w:val="20"/>
          <w:lang w:val="en-AU"/>
        </w:rPr>
      </w:pPr>
      <w:r w:rsidRPr="00D14CE9">
        <w:rPr>
          <w:rFonts w:cstheme="majorHAnsi"/>
          <w:szCs w:val="20"/>
          <w:lang w:val="en-AU"/>
        </w:rPr>
        <w:t>Overall, based on AECOM data provided for transport network activity, the use of extractive resources in relation to the whole activity can be summarized as follows. This breakdown has been used in the macro-economic driven model to refine the spatial allocation of extractive resources.</w:t>
      </w:r>
      <w:r w:rsidR="00861BFA" w:rsidRPr="00D14CE9">
        <w:rPr>
          <w:rFonts w:cstheme="majorHAnsi"/>
          <w:szCs w:val="20"/>
          <w:lang w:val="en-AU"/>
        </w:rPr>
        <w:t xml:space="preserve"> This breakdown has been used in the macro-economic driven model to spatially allocate extractive resources, in each LGA, based on the forecast spatial allocation of transport construction activity ($ value).</w:t>
      </w:r>
      <w:r w:rsidRPr="00D14CE9">
        <w:rPr>
          <w:rFonts w:cstheme="majorHAnsi"/>
          <w:szCs w:val="20"/>
          <w:lang w:val="en-AU"/>
        </w:rPr>
        <w:t xml:space="preserve"> This is an average across the State and does not reflect that some areas use more locally sourced material like sand and gravel or limestone for the majority of their transport needs.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29"/>
        <w:tblDescription w:val="Table 29 shows estimated breakdown of extractive resources required for transport construction activity. 96% is hard rock, 6% is limestone, 1% is clay and clay shale, and 2% is sand and gravel."/>
      </w:tblPr>
      <w:tblGrid>
        <w:gridCol w:w="2768"/>
        <w:gridCol w:w="1621"/>
        <w:gridCol w:w="1624"/>
        <w:gridCol w:w="1622"/>
        <w:gridCol w:w="1624"/>
      </w:tblGrid>
      <w:tr w:rsidR="00077280" w:rsidRPr="00D14CE9" w:rsidTr="003A1D14">
        <w:trPr>
          <w:trHeight w:val="315"/>
        </w:trPr>
        <w:tc>
          <w:tcPr>
            <w:tcW w:w="5000" w:type="pct"/>
            <w:gridSpan w:val="5"/>
            <w:shd w:val="clear" w:color="auto" w:fill="808080"/>
            <w:noWrap/>
            <w:vAlign w:val="bottom"/>
          </w:tcPr>
          <w:p w:rsidR="00077280" w:rsidRPr="00D14CE9" w:rsidRDefault="00077280" w:rsidP="00802792">
            <w:pPr>
              <w:pStyle w:val="EYTableHeadingWhite"/>
              <w:rPr>
                <w:rFonts w:eastAsia="Arial Unicode MS"/>
              </w:rPr>
            </w:pPr>
            <w:bookmarkStart w:id="724" w:name="_Toc445240963"/>
            <w:bookmarkStart w:id="725" w:name="_Toc448914656"/>
            <w:bookmarkStart w:id="726" w:name="_Toc448920473"/>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29</w:t>
            </w:r>
            <w:r w:rsidR="00A9654D" w:rsidRPr="00802792">
              <w:fldChar w:fldCharType="end"/>
            </w:r>
            <w:r w:rsidRPr="00D14CE9">
              <w:t xml:space="preserve"> –</w:t>
            </w:r>
            <w:r w:rsidR="00645A96">
              <w:t xml:space="preserve"> </w:t>
            </w:r>
            <w:r w:rsidRPr="00D14CE9">
              <w:t>Estimated breakdown of extractive resources required for transport construction activity (%), excluding major projects</w:t>
            </w:r>
            <w:bookmarkEnd w:id="724"/>
            <w:bookmarkEnd w:id="725"/>
            <w:bookmarkEnd w:id="726"/>
          </w:p>
        </w:tc>
      </w:tr>
      <w:tr w:rsidR="00077280" w:rsidRPr="00D14CE9" w:rsidTr="003A1D14">
        <w:tc>
          <w:tcPr>
            <w:tcW w:w="1394" w:type="pct"/>
            <w:shd w:val="clear" w:color="auto" w:fill="F0F0F0"/>
            <w:vAlign w:val="center"/>
          </w:tcPr>
          <w:p w:rsidR="00077280" w:rsidRPr="00D14CE9" w:rsidRDefault="00077280" w:rsidP="00E65C9D">
            <w:pPr>
              <w:pStyle w:val="EYTableHeading"/>
              <w:jc w:val="center"/>
              <w:rPr>
                <w:rFonts w:eastAsia="Arial Unicode MS"/>
              </w:rPr>
            </w:pPr>
          </w:p>
        </w:tc>
        <w:tc>
          <w:tcPr>
            <w:tcW w:w="901" w:type="pct"/>
            <w:shd w:val="clear" w:color="auto" w:fill="F0F0F0"/>
            <w:vAlign w:val="center"/>
          </w:tcPr>
          <w:p w:rsidR="00077280" w:rsidRPr="00D14CE9" w:rsidRDefault="00077280" w:rsidP="00E65C9D">
            <w:pPr>
              <w:pStyle w:val="EYTableHeading"/>
              <w:jc w:val="center"/>
              <w:rPr>
                <w:rFonts w:eastAsia="Arial Unicode MS"/>
              </w:rPr>
            </w:pPr>
            <w:r w:rsidRPr="00D14CE9">
              <w:rPr>
                <w:rFonts w:eastAsia="Arial Unicode MS"/>
              </w:rPr>
              <w:t>Hard rock (%)</w:t>
            </w:r>
          </w:p>
        </w:tc>
        <w:tc>
          <w:tcPr>
            <w:tcW w:w="902" w:type="pct"/>
            <w:shd w:val="clear" w:color="auto" w:fill="F0F0F0"/>
            <w:vAlign w:val="center"/>
          </w:tcPr>
          <w:p w:rsidR="00077280" w:rsidRPr="00D14CE9" w:rsidRDefault="00077280" w:rsidP="00E65C9D">
            <w:pPr>
              <w:pStyle w:val="EYTableHeading"/>
              <w:jc w:val="center"/>
              <w:rPr>
                <w:rFonts w:eastAsia="Arial Unicode MS"/>
              </w:rPr>
            </w:pPr>
            <w:r w:rsidRPr="00D14CE9">
              <w:rPr>
                <w:rFonts w:eastAsia="Arial Unicode MS"/>
              </w:rPr>
              <w:t>Limestone (%)</w:t>
            </w:r>
          </w:p>
        </w:tc>
        <w:tc>
          <w:tcPr>
            <w:tcW w:w="901" w:type="pct"/>
            <w:shd w:val="clear" w:color="auto" w:fill="F0F0F0"/>
            <w:vAlign w:val="center"/>
          </w:tcPr>
          <w:p w:rsidR="00077280" w:rsidRPr="00D14CE9" w:rsidRDefault="00077280" w:rsidP="00E65C9D">
            <w:pPr>
              <w:pStyle w:val="EYTableHeading"/>
              <w:jc w:val="center"/>
              <w:rPr>
                <w:rFonts w:eastAsia="Arial Unicode MS"/>
              </w:rPr>
            </w:pPr>
            <w:r w:rsidRPr="00D14CE9">
              <w:rPr>
                <w:rFonts w:eastAsia="Arial Unicode MS"/>
              </w:rPr>
              <w:t>Clay and clay shale (%)</w:t>
            </w:r>
          </w:p>
        </w:tc>
        <w:tc>
          <w:tcPr>
            <w:tcW w:w="902" w:type="pct"/>
            <w:shd w:val="clear" w:color="auto" w:fill="F0F0F0"/>
            <w:vAlign w:val="center"/>
          </w:tcPr>
          <w:p w:rsidR="00077280" w:rsidRPr="00D14CE9" w:rsidRDefault="00077280" w:rsidP="00E65C9D">
            <w:pPr>
              <w:pStyle w:val="EYTableHeading"/>
              <w:jc w:val="center"/>
              <w:rPr>
                <w:rFonts w:eastAsia="Arial Unicode MS"/>
              </w:rPr>
            </w:pPr>
            <w:r w:rsidRPr="00D14CE9">
              <w:rPr>
                <w:rFonts w:eastAsia="Arial Unicode MS"/>
              </w:rPr>
              <w:t>Sand and gravel (%)</w:t>
            </w:r>
          </w:p>
        </w:tc>
      </w:tr>
      <w:tr w:rsidR="00077280" w:rsidRPr="00D14CE9" w:rsidTr="003A1D14">
        <w:trPr>
          <w:trHeight w:val="315"/>
        </w:trPr>
        <w:tc>
          <w:tcPr>
            <w:tcW w:w="1394" w:type="pct"/>
            <w:noWrap/>
            <w:vAlign w:val="center"/>
          </w:tcPr>
          <w:p w:rsidR="00077280" w:rsidRPr="00D14CE9" w:rsidRDefault="00077280" w:rsidP="000E65EF">
            <w:pPr>
              <w:rPr>
                <w:sz w:val="16"/>
                <w:szCs w:val="16"/>
              </w:rPr>
            </w:pPr>
            <w:r w:rsidRPr="00D14CE9">
              <w:rPr>
                <w:sz w:val="16"/>
                <w:szCs w:val="16"/>
              </w:rPr>
              <w:t>Transport Activity (excluding major projects)</w:t>
            </w:r>
          </w:p>
        </w:tc>
        <w:tc>
          <w:tcPr>
            <w:tcW w:w="901" w:type="pct"/>
            <w:noWrap/>
            <w:vAlign w:val="center"/>
          </w:tcPr>
          <w:p w:rsidR="00077280" w:rsidRPr="00D14CE9" w:rsidRDefault="00077280" w:rsidP="000E65EF">
            <w:pPr>
              <w:jc w:val="center"/>
              <w:rPr>
                <w:sz w:val="16"/>
                <w:szCs w:val="16"/>
              </w:rPr>
            </w:pPr>
            <w:r w:rsidRPr="00D14CE9">
              <w:rPr>
                <w:sz w:val="16"/>
                <w:szCs w:val="16"/>
              </w:rPr>
              <w:t>96%</w:t>
            </w:r>
          </w:p>
        </w:tc>
        <w:tc>
          <w:tcPr>
            <w:tcW w:w="902" w:type="pct"/>
            <w:noWrap/>
            <w:vAlign w:val="center"/>
          </w:tcPr>
          <w:p w:rsidR="00077280" w:rsidRPr="00D14CE9" w:rsidRDefault="00077280" w:rsidP="000E65EF">
            <w:pPr>
              <w:jc w:val="center"/>
              <w:rPr>
                <w:sz w:val="16"/>
                <w:szCs w:val="16"/>
              </w:rPr>
            </w:pPr>
            <w:r w:rsidRPr="00D14CE9">
              <w:rPr>
                <w:sz w:val="16"/>
                <w:szCs w:val="16"/>
              </w:rPr>
              <w:t>1%</w:t>
            </w:r>
          </w:p>
        </w:tc>
        <w:tc>
          <w:tcPr>
            <w:tcW w:w="901" w:type="pct"/>
            <w:noWrap/>
            <w:vAlign w:val="center"/>
          </w:tcPr>
          <w:p w:rsidR="00077280" w:rsidRPr="00D14CE9" w:rsidRDefault="00077280" w:rsidP="000E65EF">
            <w:pPr>
              <w:jc w:val="center"/>
              <w:rPr>
                <w:sz w:val="16"/>
                <w:szCs w:val="16"/>
              </w:rPr>
            </w:pPr>
            <w:r w:rsidRPr="00D14CE9">
              <w:rPr>
                <w:sz w:val="16"/>
                <w:szCs w:val="16"/>
              </w:rPr>
              <w:t>0%</w:t>
            </w:r>
          </w:p>
        </w:tc>
        <w:tc>
          <w:tcPr>
            <w:tcW w:w="902" w:type="pct"/>
            <w:vAlign w:val="center"/>
          </w:tcPr>
          <w:p w:rsidR="00077280" w:rsidRPr="00D14CE9" w:rsidRDefault="00077280" w:rsidP="000E65EF">
            <w:pPr>
              <w:jc w:val="center"/>
              <w:rPr>
                <w:sz w:val="16"/>
                <w:szCs w:val="16"/>
              </w:rPr>
            </w:pPr>
            <w:r w:rsidRPr="00D14CE9">
              <w:rPr>
                <w:sz w:val="16"/>
                <w:szCs w:val="16"/>
              </w:rPr>
              <w:t>2%</w:t>
            </w:r>
          </w:p>
        </w:tc>
      </w:tr>
    </w:tbl>
    <w:p w:rsidR="002B448C" w:rsidRPr="00D14CE9" w:rsidRDefault="002B448C" w:rsidP="00F552CC">
      <w:pPr>
        <w:pStyle w:val="EYSource"/>
        <w:rPr>
          <w:lang w:val="en-AU"/>
        </w:rPr>
      </w:pPr>
      <w:r w:rsidRPr="00D14CE9">
        <w:rPr>
          <w:lang w:val="en-AU"/>
        </w:rPr>
        <w:t>Source: EY analysis based on AECOM inputs</w:t>
      </w:r>
    </w:p>
    <w:p w:rsidR="002B448C" w:rsidRPr="00D14CE9" w:rsidRDefault="002B448C" w:rsidP="002B448C">
      <w:pPr>
        <w:pStyle w:val="ListParagraph"/>
        <w:ind w:left="1224"/>
        <w:rPr>
          <w:rFonts w:ascii="EYInterstate Light" w:hAnsi="EYInterstate Light"/>
        </w:rPr>
      </w:pPr>
    </w:p>
    <w:p w:rsidR="002B448C" w:rsidRPr="00D14CE9" w:rsidRDefault="002B448C" w:rsidP="00856574">
      <w:pPr>
        <w:pStyle w:val="ListParagraph"/>
        <w:numPr>
          <w:ilvl w:val="2"/>
          <w:numId w:val="21"/>
        </w:numPr>
        <w:ind w:left="810" w:hanging="810"/>
        <w:rPr>
          <w:rFonts w:ascii="EYInterstate Light" w:hAnsi="EYInterstate Light"/>
          <w:i/>
        </w:rPr>
      </w:pPr>
      <w:r w:rsidRPr="00D14CE9">
        <w:rPr>
          <w:rFonts w:ascii="EYInterstate Light" w:hAnsi="EYInterstate Light"/>
          <w:i/>
        </w:rPr>
        <w:t>Transport Major Projects</w:t>
      </w:r>
    </w:p>
    <w:p w:rsidR="002B448C" w:rsidRPr="00D14CE9" w:rsidRDefault="002B448C" w:rsidP="008C0D54">
      <w:pPr>
        <w:pStyle w:val="EYBodytextwithparaspace"/>
        <w:rPr>
          <w:rFonts w:cstheme="majorHAnsi"/>
          <w:szCs w:val="20"/>
          <w:lang w:val="en-AU"/>
        </w:rPr>
      </w:pPr>
      <w:r w:rsidRPr="00D14CE9">
        <w:rPr>
          <w:rFonts w:cstheme="majorHAnsi"/>
          <w:szCs w:val="20"/>
          <w:lang w:val="en-AU"/>
        </w:rPr>
        <w:t xml:space="preserve">The transport major projects requirements, in terms of extractive resources, have been assessed in accordance with the list of transport major projects, based on BIS Shrapnel data and EY analysis, that has been used, in terms of $ value, to inform the development of the macro-economic driven model from 2015 to 2026. Technical assumptions have been considered for each of those projects however in order to accurately assess the materials requirements. </w:t>
      </w:r>
    </w:p>
    <w:p w:rsidR="002B448C" w:rsidRPr="00D14CE9" w:rsidRDefault="002B448C" w:rsidP="008C0D54">
      <w:pPr>
        <w:pStyle w:val="EYBodytextwithparaspace"/>
        <w:rPr>
          <w:rFonts w:cstheme="majorHAnsi"/>
          <w:szCs w:val="20"/>
          <w:lang w:val="en-AU"/>
        </w:rPr>
      </w:pPr>
      <w:r w:rsidRPr="00D14CE9">
        <w:rPr>
          <w:rFonts w:cstheme="majorHAnsi"/>
          <w:szCs w:val="20"/>
          <w:lang w:val="en-AU"/>
        </w:rPr>
        <w:t>From 2027 onwards, based on the requirements of extractive resources calculated from 2015 to 2026, a trend line has been used to forecast the assumed demand for extractive resources from major transport projects from 2027 onwards. This forecast trend is consistent with guidelines provided by the State Budget Papers, according to which, out of 30% of the State GSP committed to infrastructure projects, 80% should be dedicated to transport projects.</w:t>
      </w:r>
    </w:p>
    <w:p w:rsidR="002B448C" w:rsidRPr="00D14CE9" w:rsidRDefault="002B448C" w:rsidP="008C0D54">
      <w:pPr>
        <w:pStyle w:val="EYBodytextwithparaspace"/>
        <w:rPr>
          <w:rFonts w:cstheme="majorHAnsi"/>
          <w:szCs w:val="20"/>
          <w:lang w:val="en-AU"/>
        </w:rPr>
      </w:pPr>
      <w:r w:rsidRPr="00D14CE9">
        <w:rPr>
          <w:rFonts w:cstheme="majorHAnsi"/>
          <w:szCs w:val="20"/>
          <w:lang w:val="en-AU"/>
        </w:rPr>
        <w:t>The below table summarizes those technical assumptions.</w:t>
      </w:r>
    </w:p>
    <w:tbl>
      <w:tblPr>
        <w:tblW w:w="9162" w:type="dxa"/>
        <w:tblInd w:w="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30 "/>
        <w:tblDescription w:val="Table 30 shows major construction types, the LGA locations and the infrastructure it includes. They are:  1. Melbourne Metro Rail - Melbourne Council, Port Philip Council - Twin nine-kilometre underground rail tunnels to be built.  2. Level Crossing Removal Program - Banyule Council, Brimbank Council, Casey Council, Darebin Council, Frankston Council, Glen Eira Council, Greater Dandenong Council, Hobsons Bay Council, Kingston Council, Knox Council, Monash Council, Moonee Valley Council, Moreland Council, Stonnington Council, Whitehorse Council, Wyndham Council, Yarra Ranges Shire - 50 level crossings, 500m rail track to be built per level crossing, 1 bridge (2200m length) per level crossing, made up out of in situ and precast concrete.  3. Western Distributor - Melbourne Council, Maribyrnong Council  - 20 lane kms along the West Gate Freeway, 2 bridges (36000m2 each), 3 lane road tunnel (3.5km length).  4. CityLink – Tullamarine Freeway Widening - Melbourne Council, Moonee Valley Council, Moreland Council - 23.8 kms. 5. Mernda Rail Extension - Whittlesea Council - Eight kilometres of dual rail tracks, i.e. 16kms total.  6. Murray Basin Rail Project - Central Goldfields Shire, Northern Grampians Shire, Loddon Shire, Buloke Shire, Swan Hill (RC), Mildura (RC) - Gheringhap to Maryborough (dual gauge conversion).  New ballast required for 140km @ 50% ratio for ballast, Maryborough to Ararat (re-open and upgrade unused rail line).  New sleepers and ballast required for 85km @ 100% for each, Maryborough to Yelta (broad to standard gauge conversion).  New sleepers and ballast required for 420km at 60% for sleepers and 100% for ballast, Ouyen to Murrayville (broad to standard gauge conversion).  New sleepers and ballast required for 100km at respectively 50%, Dunolly to Manangatang (broad to standard gauge conversion).  New sleepers and ballast required for 270km at respectively 50%, Charlton to Sea Lake (broad to standard gauge conversion).  New sleepers and ballast required for 100km at respectively 50%. 7. Princes Highway duplication project  - Colac Otway Shire, Surf Coast Shire, Latrobe Council, Wellington Shire, Greater Geelong Council - 12.9kms. 8. M80 Upgrade - Brimbank Council, Moreland Council, Hume Council, Whittlesea Council, Banyule Council - 10 kms.  9. Dingley Bypass - Kingston Council - 19 kms. 10. Chandler Highway Bridge Duplication - Boroondara Council - One 4 lanes bridge (2200m2).  11. Western Highway Duplication - Ballarat Council, Pyrenees Shire, Ararat (RC), Northern Grampians Shire - 29 kms, 12. Kilmore Wallan Bypass - Mitchell Shire - 13 kms.  13. Goulburn Valley Hwy - Greater Shepparton Council - 36 kms.  14. Melbourne Airport Hume Council - 3rd runway (3200m length) in 2020-2021, 4th runway (3200m length) in 2033-2034."/>
      </w:tblPr>
      <w:tblGrid>
        <w:gridCol w:w="505"/>
        <w:gridCol w:w="1637"/>
        <w:gridCol w:w="2899"/>
        <w:gridCol w:w="4121"/>
      </w:tblGrid>
      <w:tr w:rsidR="000E65EF" w:rsidRPr="00D14CE9" w:rsidTr="008E7274">
        <w:trPr>
          <w:trHeight w:val="20"/>
          <w:tblHeader/>
        </w:trPr>
        <w:tc>
          <w:tcPr>
            <w:tcW w:w="9162" w:type="dxa"/>
            <w:gridSpan w:val="4"/>
            <w:shd w:val="clear" w:color="auto" w:fill="808080"/>
            <w:noWrap/>
            <w:tcMar>
              <w:left w:w="28" w:type="dxa"/>
              <w:right w:w="28" w:type="dxa"/>
            </w:tcMar>
          </w:tcPr>
          <w:p w:rsidR="000E65EF" w:rsidRPr="00D14CE9" w:rsidRDefault="000E65EF" w:rsidP="003E25FF">
            <w:pPr>
              <w:pStyle w:val="EYTableHeadingWhite"/>
              <w:rPr>
                <w:rFonts w:eastAsia="Arial Unicode MS"/>
              </w:rPr>
            </w:pPr>
            <w:bookmarkStart w:id="727" w:name="_Toc445240964"/>
            <w:bookmarkStart w:id="728" w:name="_Toc448914657"/>
            <w:bookmarkStart w:id="729" w:name="_Toc448920474"/>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30</w:t>
            </w:r>
            <w:r w:rsidR="00A9654D" w:rsidRPr="00802792">
              <w:fldChar w:fldCharType="end"/>
            </w:r>
            <w:r w:rsidRPr="00D14CE9">
              <w:t xml:space="preserve"> –</w:t>
            </w:r>
            <w:r w:rsidR="00FD57BC">
              <w:t xml:space="preserve"> </w:t>
            </w:r>
            <w:r w:rsidRPr="00D14CE9">
              <w:t>Transport Major Projects</w:t>
            </w:r>
            <w:bookmarkEnd w:id="727"/>
            <w:bookmarkEnd w:id="728"/>
            <w:bookmarkEnd w:id="729"/>
            <w:r w:rsidRPr="00D14CE9">
              <w:t xml:space="preserve"> </w:t>
            </w:r>
          </w:p>
        </w:tc>
      </w:tr>
      <w:tr w:rsidR="00F04762" w:rsidRPr="00D14CE9" w:rsidTr="008E7274">
        <w:trPr>
          <w:trHeight w:val="20"/>
          <w:tblHeader/>
        </w:trPr>
        <w:tc>
          <w:tcPr>
            <w:tcW w:w="505" w:type="dxa"/>
            <w:shd w:val="clear" w:color="auto" w:fill="F0F0F0"/>
            <w:tcMar>
              <w:left w:w="28" w:type="dxa"/>
              <w:right w:w="28" w:type="dxa"/>
            </w:tcMar>
          </w:tcPr>
          <w:p w:rsidR="00F04762" w:rsidRPr="00D14CE9" w:rsidRDefault="00F04762" w:rsidP="008E7274">
            <w:pPr>
              <w:pStyle w:val="EYTableHeading"/>
              <w:spacing w:after="0"/>
              <w:rPr>
                <w:rFonts w:eastAsia="Arial Unicode MS"/>
              </w:rPr>
            </w:pPr>
            <w:r w:rsidRPr="00D14CE9">
              <w:t>#</w:t>
            </w:r>
          </w:p>
        </w:tc>
        <w:tc>
          <w:tcPr>
            <w:tcW w:w="1637" w:type="dxa"/>
            <w:shd w:val="clear" w:color="auto" w:fill="F0F0F0"/>
            <w:tcMar>
              <w:left w:w="28" w:type="dxa"/>
              <w:right w:w="28" w:type="dxa"/>
            </w:tcMar>
          </w:tcPr>
          <w:p w:rsidR="00F04762" w:rsidRPr="00D14CE9" w:rsidRDefault="00F04762" w:rsidP="008E7274">
            <w:pPr>
              <w:pStyle w:val="EYTableHeading"/>
              <w:spacing w:after="0"/>
              <w:rPr>
                <w:rFonts w:eastAsia="Arial Unicode MS"/>
              </w:rPr>
            </w:pPr>
            <w:r w:rsidRPr="00D14CE9">
              <w:t>Item</w:t>
            </w:r>
          </w:p>
        </w:tc>
        <w:tc>
          <w:tcPr>
            <w:tcW w:w="2899" w:type="dxa"/>
            <w:shd w:val="clear" w:color="auto" w:fill="F0F0F0"/>
            <w:tcMar>
              <w:left w:w="28" w:type="dxa"/>
              <w:right w:w="28" w:type="dxa"/>
            </w:tcMar>
          </w:tcPr>
          <w:p w:rsidR="00F04762" w:rsidRPr="00D14CE9" w:rsidRDefault="00F04762" w:rsidP="008E7274">
            <w:pPr>
              <w:pStyle w:val="EYTableHeading"/>
              <w:spacing w:after="0"/>
              <w:rPr>
                <w:rFonts w:eastAsia="Arial Unicode MS"/>
              </w:rPr>
            </w:pPr>
            <w:r w:rsidRPr="00D14CE9">
              <w:t>LGAs location</w:t>
            </w:r>
          </w:p>
        </w:tc>
        <w:tc>
          <w:tcPr>
            <w:tcW w:w="4121" w:type="dxa"/>
            <w:shd w:val="clear" w:color="auto" w:fill="F0F0F0"/>
            <w:tcMar>
              <w:left w:w="28" w:type="dxa"/>
              <w:right w:w="28" w:type="dxa"/>
            </w:tcMar>
          </w:tcPr>
          <w:p w:rsidR="00F04762" w:rsidRPr="00D14CE9" w:rsidRDefault="00F04762" w:rsidP="008E7274">
            <w:pPr>
              <w:pStyle w:val="EYTableHeading"/>
              <w:spacing w:after="0"/>
            </w:pP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rPr>
                <w:sz w:val="16"/>
                <w:szCs w:val="16"/>
              </w:rPr>
            </w:pPr>
            <w:r w:rsidRPr="00D14CE9">
              <w:rPr>
                <w:sz w:val="16"/>
                <w:szCs w:val="16"/>
              </w:rPr>
              <w:t>Melbourne Metro Rail</w:t>
            </w:r>
          </w:p>
        </w:tc>
        <w:tc>
          <w:tcPr>
            <w:tcW w:w="2899" w:type="dxa"/>
            <w:noWrap/>
            <w:tcMar>
              <w:left w:w="28" w:type="dxa"/>
              <w:right w:w="28" w:type="dxa"/>
            </w:tcMar>
          </w:tcPr>
          <w:p w:rsidR="00C67E9C" w:rsidRPr="00D14CE9" w:rsidRDefault="00C67E9C" w:rsidP="008E7274">
            <w:pPr>
              <w:pStyle w:val="ListParagraph"/>
              <w:spacing w:after="0"/>
              <w:ind w:left="0"/>
              <w:rPr>
                <w:rFonts w:ascii="EYInterstate Light" w:hAnsi="EYInterstate Light" w:cs="Times New Roman"/>
                <w:sz w:val="16"/>
                <w:szCs w:val="16"/>
              </w:rPr>
            </w:pPr>
            <w:r w:rsidRPr="00D14CE9">
              <w:rPr>
                <w:rFonts w:ascii="EYInterstate Light" w:hAnsi="EYInterstate Light" w:cs="Times New Roman"/>
                <w:sz w:val="16"/>
                <w:szCs w:val="16"/>
              </w:rPr>
              <w:t>Melbourne (C), Port Philip (C)</w:t>
            </w:r>
          </w:p>
        </w:tc>
        <w:tc>
          <w:tcPr>
            <w:tcW w:w="4121" w:type="dxa"/>
            <w:tcMar>
              <w:left w:w="28" w:type="dxa"/>
              <w:right w:w="28" w:type="dxa"/>
            </w:tcMar>
          </w:tcPr>
          <w:p w:rsidR="00C67E9C" w:rsidRPr="00D14CE9" w:rsidRDefault="00C67E9C" w:rsidP="008E7274">
            <w:pPr>
              <w:pStyle w:val="EYTablebullet1"/>
              <w:spacing w:after="0"/>
            </w:pPr>
            <w:r w:rsidRPr="00D14CE9">
              <w:t>Twin nine-</w:t>
            </w:r>
            <w:r w:rsidR="000F14BE" w:rsidRPr="00D14CE9">
              <w:t>kilometre</w:t>
            </w:r>
            <w:r w:rsidRPr="00D14CE9">
              <w:t xml:space="preserve"> underground rail tunnels to be built</w:t>
            </w: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rPr>
                <w:sz w:val="16"/>
                <w:szCs w:val="16"/>
              </w:rPr>
            </w:pPr>
            <w:r w:rsidRPr="00D14CE9">
              <w:rPr>
                <w:sz w:val="16"/>
                <w:szCs w:val="16"/>
              </w:rPr>
              <w:t>Level Crossing Removal Program</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 xml:space="preserve">Banyule (C), Brimbank (C), Casey (C), Darebin (C), Frankston (C), Glen Eira (C), Greater </w:t>
            </w:r>
            <w:r w:rsidRPr="00D14CE9">
              <w:rPr>
                <w:rFonts w:ascii="EYInterstate Light" w:hAnsi="EYInterstate Light" w:cs="Times New Roman"/>
                <w:sz w:val="16"/>
                <w:szCs w:val="16"/>
              </w:rPr>
              <w:lastRenderedPageBreak/>
              <w:t>Dandenong (C), Hobsons Bay (C), Kingston (C), Knox (C), Monash (C), Moonee Valley (C), Moreland (C), Stonnington (C), Whitehorse (C), Wyndham (C), Yarra Ranges (S)</w:t>
            </w:r>
          </w:p>
        </w:tc>
        <w:tc>
          <w:tcPr>
            <w:tcW w:w="4121" w:type="dxa"/>
            <w:tcMar>
              <w:left w:w="28" w:type="dxa"/>
              <w:right w:w="28" w:type="dxa"/>
            </w:tcMar>
          </w:tcPr>
          <w:p w:rsidR="00C67E9C" w:rsidRPr="00D14CE9" w:rsidRDefault="00C67E9C" w:rsidP="008E7274">
            <w:pPr>
              <w:pStyle w:val="EYTablebullet1"/>
              <w:spacing w:after="0"/>
            </w:pPr>
            <w:r w:rsidRPr="00D14CE9">
              <w:lastRenderedPageBreak/>
              <w:t xml:space="preserve">50 level crossings </w:t>
            </w:r>
          </w:p>
          <w:p w:rsidR="00C67E9C" w:rsidRPr="00D14CE9" w:rsidRDefault="00C67E9C" w:rsidP="008E7274">
            <w:pPr>
              <w:pStyle w:val="EYTablebullet1"/>
              <w:spacing w:after="0"/>
            </w:pPr>
            <w:r w:rsidRPr="00D14CE9">
              <w:t>500m rail track to be built per level crossing</w:t>
            </w:r>
          </w:p>
          <w:p w:rsidR="00C67E9C" w:rsidRPr="00D14CE9" w:rsidRDefault="00C67E9C" w:rsidP="008E7274">
            <w:pPr>
              <w:pStyle w:val="EYTablebullet1"/>
              <w:spacing w:after="0"/>
            </w:pPr>
            <w:r w:rsidRPr="00D14CE9">
              <w:lastRenderedPageBreak/>
              <w:t>1 bridge (2200m length) per level crossing, made up out of in</w:t>
            </w:r>
            <w:r w:rsidR="000F14BE">
              <w:t xml:space="preserve"> </w:t>
            </w:r>
            <w:r w:rsidRPr="00D14CE9">
              <w:t>situ and precast concrete</w:t>
            </w: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Western Distributor</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Melbourne (C), Maribyrnong (C)</w:t>
            </w:r>
          </w:p>
        </w:tc>
        <w:tc>
          <w:tcPr>
            <w:tcW w:w="4121" w:type="dxa"/>
            <w:tcMar>
              <w:left w:w="28" w:type="dxa"/>
              <w:right w:w="28" w:type="dxa"/>
            </w:tcMar>
          </w:tcPr>
          <w:p w:rsidR="00C67E9C" w:rsidRPr="00D14CE9" w:rsidRDefault="00C67E9C" w:rsidP="008E7274">
            <w:pPr>
              <w:pStyle w:val="EYTablebullet1"/>
              <w:spacing w:after="0"/>
            </w:pPr>
            <w:r w:rsidRPr="00D14CE9">
              <w:t>20 lane kms along the West Gate Freeway</w:t>
            </w:r>
          </w:p>
          <w:p w:rsidR="00C67E9C" w:rsidRPr="00D14CE9" w:rsidRDefault="00C67E9C" w:rsidP="008E7274">
            <w:pPr>
              <w:pStyle w:val="EYTablebullet1"/>
              <w:spacing w:after="0"/>
            </w:pPr>
            <w:r w:rsidRPr="00D14CE9">
              <w:t>2 bridges (36000m2 each)</w:t>
            </w:r>
          </w:p>
          <w:p w:rsidR="00C67E9C" w:rsidRPr="00D14CE9" w:rsidRDefault="00C67E9C" w:rsidP="001476EB">
            <w:pPr>
              <w:pStyle w:val="EYTablebullet1"/>
              <w:spacing w:after="0"/>
            </w:pPr>
            <w:r w:rsidRPr="00D14CE9">
              <w:t>3 lane road tunnel (3.5km length)</w:t>
            </w: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CityLink – Tullamarine Freeway Widening</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Melbourne (C), Moonee Valley (C), Moreland (C)</w:t>
            </w:r>
          </w:p>
        </w:tc>
        <w:tc>
          <w:tcPr>
            <w:tcW w:w="4121" w:type="dxa"/>
            <w:tcMar>
              <w:left w:w="28" w:type="dxa"/>
              <w:right w:w="28" w:type="dxa"/>
            </w:tcMar>
          </w:tcPr>
          <w:p w:rsidR="00C67E9C" w:rsidRPr="00D14CE9" w:rsidRDefault="00C67E9C" w:rsidP="008E7274">
            <w:pPr>
              <w:pStyle w:val="EYTablebullet1"/>
              <w:spacing w:after="0"/>
            </w:pPr>
            <w:r w:rsidRPr="00D14CE9">
              <w:t>23.8 kms</w:t>
            </w:r>
          </w:p>
          <w:p w:rsidR="00C67E9C" w:rsidRPr="00D14CE9" w:rsidRDefault="00C67E9C" w:rsidP="008E7274">
            <w:pPr>
              <w:pStyle w:val="EYTablebullet1"/>
              <w:numPr>
                <w:ilvl w:val="0"/>
                <w:numId w:val="0"/>
              </w:numPr>
              <w:spacing w:after="0"/>
            </w:pP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Mernda Rail Extension</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Whittlesea (C)</w:t>
            </w:r>
          </w:p>
        </w:tc>
        <w:tc>
          <w:tcPr>
            <w:tcW w:w="4121" w:type="dxa"/>
            <w:tcMar>
              <w:left w:w="28" w:type="dxa"/>
              <w:right w:w="28" w:type="dxa"/>
            </w:tcMar>
          </w:tcPr>
          <w:p w:rsidR="00C67E9C" w:rsidRPr="00D14CE9" w:rsidRDefault="00C67E9C" w:rsidP="008E7274">
            <w:pPr>
              <w:pStyle w:val="EYTablebullet1"/>
              <w:spacing w:after="0"/>
            </w:pPr>
            <w:r w:rsidRPr="00D14CE9">
              <w:t>Eight kilometres of dual rail tracks, i.e. 16kms total</w:t>
            </w: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Murray Basin Rail Project</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Central Goldfields (S), Northern Grampians (S), Loddon (S), Buloke (S), Swan Hill (RC), Mildura (RC)</w:t>
            </w:r>
          </w:p>
        </w:tc>
        <w:tc>
          <w:tcPr>
            <w:tcW w:w="4121" w:type="dxa"/>
            <w:tcMar>
              <w:left w:w="28" w:type="dxa"/>
              <w:right w:w="28" w:type="dxa"/>
            </w:tcMar>
          </w:tcPr>
          <w:p w:rsidR="00C67E9C" w:rsidRPr="00D14CE9" w:rsidRDefault="00C67E9C" w:rsidP="008E7274">
            <w:pPr>
              <w:pStyle w:val="EYTablebullet1"/>
              <w:spacing w:after="0"/>
            </w:pPr>
            <w:r w:rsidRPr="00D14CE9">
              <w:t>Gheringhap to Maryborough (dual gauge conversion).  New ballast required for 140km @ 50% ratio for ballast.</w:t>
            </w:r>
          </w:p>
          <w:p w:rsidR="00C67E9C" w:rsidRPr="00D14CE9" w:rsidRDefault="00C67E9C" w:rsidP="008E7274">
            <w:pPr>
              <w:pStyle w:val="EYTablebullet1"/>
              <w:spacing w:after="0"/>
            </w:pPr>
            <w:r w:rsidRPr="00D14CE9">
              <w:t>Maryborough to Ararat (re-open and upgrade unused rail line).  New sleepers and ballast required for 85km @ 100% for each.</w:t>
            </w:r>
          </w:p>
          <w:p w:rsidR="00C67E9C" w:rsidRPr="00D14CE9" w:rsidRDefault="00C67E9C" w:rsidP="008E7274">
            <w:pPr>
              <w:pStyle w:val="EYTablebullet1"/>
              <w:spacing w:after="0"/>
            </w:pPr>
            <w:r w:rsidRPr="00D14CE9">
              <w:t>Maryborough to Yelta (broad to standard gauge conversion).  New sleepers and ballast required for 420km at 60% for sleepers and 100% for ballast.</w:t>
            </w:r>
          </w:p>
          <w:p w:rsidR="00C67E9C" w:rsidRPr="00D14CE9" w:rsidRDefault="00C67E9C" w:rsidP="008E7274">
            <w:pPr>
              <w:pStyle w:val="EYTablebullet1"/>
              <w:spacing w:after="0"/>
            </w:pPr>
            <w:r w:rsidRPr="00D14CE9">
              <w:t>Ouyen to Murrayville (broad to standard gauge conversion).  New sleepers and ballast required for 100km at respectively 50%.</w:t>
            </w:r>
          </w:p>
          <w:p w:rsidR="00C67E9C" w:rsidRPr="00D14CE9" w:rsidRDefault="00C67E9C" w:rsidP="008E7274">
            <w:pPr>
              <w:pStyle w:val="EYTablebullet1"/>
              <w:spacing w:after="0"/>
            </w:pPr>
            <w:r w:rsidRPr="00D14CE9">
              <w:t>Dunolly to Manangatang (broad to standard gauge conversion).  New sleepers and ballast required for 270km at respectively 50%.</w:t>
            </w:r>
          </w:p>
          <w:p w:rsidR="00C67E9C" w:rsidRPr="00D14CE9" w:rsidRDefault="00C67E9C" w:rsidP="008E7274">
            <w:pPr>
              <w:pStyle w:val="EYTablebullet1"/>
              <w:spacing w:after="0"/>
            </w:pPr>
            <w:r w:rsidRPr="00D14CE9">
              <w:t>Charlton to Sea Lake (broad to standard gauge conversion).  New sleepers and ballast required for 100km at respectively 50%.</w:t>
            </w: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Princes Highway duplication project</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Colac Otway (S), Surf Coast (S), Latrobe (C), Wellington (S), Greater Geelong (C)</w:t>
            </w:r>
          </w:p>
        </w:tc>
        <w:tc>
          <w:tcPr>
            <w:tcW w:w="4121" w:type="dxa"/>
            <w:tcMar>
              <w:left w:w="28" w:type="dxa"/>
              <w:right w:w="28" w:type="dxa"/>
            </w:tcMar>
          </w:tcPr>
          <w:p w:rsidR="00C67E9C" w:rsidRPr="00D14CE9" w:rsidRDefault="00C67E9C" w:rsidP="008E7274">
            <w:pPr>
              <w:pStyle w:val="EYTablebullet1"/>
              <w:spacing w:after="0"/>
            </w:pPr>
            <w:r w:rsidRPr="00D14CE9">
              <w:t xml:space="preserve">12.9kms </w:t>
            </w: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M80 Upgrade</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Brimbank (C), Moreland(C), Hume (C), Whittlesea (C), Banyule (C)</w:t>
            </w:r>
          </w:p>
        </w:tc>
        <w:tc>
          <w:tcPr>
            <w:tcW w:w="4121" w:type="dxa"/>
            <w:tcMar>
              <w:left w:w="28" w:type="dxa"/>
              <w:right w:w="28" w:type="dxa"/>
            </w:tcMar>
          </w:tcPr>
          <w:p w:rsidR="00C67E9C" w:rsidRPr="00D14CE9" w:rsidRDefault="00C67E9C" w:rsidP="008E7274">
            <w:pPr>
              <w:pStyle w:val="EYTablebullet1"/>
              <w:spacing w:after="0"/>
            </w:pPr>
            <w:r w:rsidRPr="00D14CE9">
              <w:t>10 kms</w:t>
            </w: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Dingley Bypass</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Kingston (C)</w:t>
            </w:r>
          </w:p>
        </w:tc>
        <w:tc>
          <w:tcPr>
            <w:tcW w:w="4121" w:type="dxa"/>
            <w:tcMar>
              <w:left w:w="28" w:type="dxa"/>
              <w:right w:w="28" w:type="dxa"/>
            </w:tcMar>
          </w:tcPr>
          <w:p w:rsidR="00C67E9C" w:rsidRPr="00D14CE9" w:rsidRDefault="00C67E9C" w:rsidP="008E7274">
            <w:pPr>
              <w:pStyle w:val="EYTablebullet1"/>
              <w:spacing w:after="0"/>
            </w:pPr>
            <w:r w:rsidRPr="00D14CE9">
              <w:t>19 kms</w:t>
            </w: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Chandler Highway Bridge Duplication</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Boroondara (C)</w:t>
            </w:r>
          </w:p>
        </w:tc>
        <w:tc>
          <w:tcPr>
            <w:tcW w:w="4121" w:type="dxa"/>
            <w:tcMar>
              <w:left w:w="28" w:type="dxa"/>
              <w:right w:w="28" w:type="dxa"/>
            </w:tcMar>
          </w:tcPr>
          <w:p w:rsidR="00C67E9C" w:rsidRPr="00D14CE9" w:rsidRDefault="00046ADE" w:rsidP="008E7274">
            <w:pPr>
              <w:pStyle w:val="EYTablebullet1"/>
              <w:spacing w:after="0"/>
            </w:pPr>
            <w:r w:rsidRPr="00D14CE9">
              <w:t>One</w:t>
            </w:r>
            <w:r w:rsidR="00C67E9C" w:rsidRPr="00D14CE9">
              <w:t xml:space="preserve"> 4 lanes bridge (2200m2) </w:t>
            </w:r>
          </w:p>
          <w:p w:rsidR="00C67E9C" w:rsidRPr="00D14CE9" w:rsidRDefault="00C67E9C" w:rsidP="008E7274">
            <w:pPr>
              <w:pStyle w:val="EYTablebullet1"/>
              <w:spacing w:after="0"/>
            </w:pP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Western Highway Duplication</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Ballarat (C), Pyrenees (S), Ararat (RC), Northern Grampians (S)</w:t>
            </w:r>
          </w:p>
        </w:tc>
        <w:tc>
          <w:tcPr>
            <w:tcW w:w="4121" w:type="dxa"/>
            <w:tcMar>
              <w:left w:w="28" w:type="dxa"/>
              <w:right w:w="28" w:type="dxa"/>
            </w:tcMar>
          </w:tcPr>
          <w:p w:rsidR="00C67E9C" w:rsidRPr="00D14CE9" w:rsidRDefault="00C67E9C" w:rsidP="008E7274">
            <w:pPr>
              <w:pStyle w:val="EYTablebullet1"/>
              <w:spacing w:after="0"/>
            </w:pPr>
            <w:r w:rsidRPr="00D14CE9">
              <w:t>29 kms</w:t>
            </w: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Kilmore Wallan Bypass</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Mitchell (S)</w:t>
            </w:r>
          </w:p>
        </w:tc>
        <w:tc>
          <w:tcPr>
            <w:tcW w:w="4121" w:type="dxa"/>
            <w:tcMar>
              <w:left w:w="28" w:type="dxa"/>
              <w:right w:w="28" w:type="dxa"/>
            </w:tcMar>
          </w:tcPr>
          <w:p w:rsidR="00C67E9C" w:rsidRPr="00D14CE9" w:rsidRDefault="00C67E9C" w:rsidP="008E7274">
            <w:pPr>
              <w:pStyle w:val="EYTablebullet1"/>
              <w:spacing w:after="0"/>
            </w:pPr>
            <w:r w:rsidRPr="00D14CE9">
              <w:t>13 kms</w:t>
            </w: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Goulburn Valley Hwy</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Greater Shepparton (C)</w:t>
            </w:r>
          </w:p>
        </w:tc>
        <w:tc>
          <w:tcPr>
            <w:tcW w:w="4121" w:type="dxa"/>
            <w:tcMar>
              <w:left w:w="28" w:type="dxa"/>
              <w:right w:w="28" w:type="dxa"/>
            </w:tcMar>
          </w:tcPr>
          <w:p w:rsidR="00C67E9C" w:rsidRPr="00D14CE9" w:rsidRDefault="00C67E9C" w:rsidP="008E7274">
            <w:pPr>
              <w:pStyle w:val="EYTablebullet1"/>
              <w:spacing w:after="0"/>
            </w:pPr>
            <w:r w:rsidRPr="00D14CE9">
              <w:t>36 kms</w:t>
            </w:r>
          </w:p>
        </w:tc>
      </w:tr>
      <w:tr w:rsidR="00C67E9C" w:rsidRPr="00D14CE9" w:rsidTr="008E7274">
        <w:trPr>
          <w:trHeight w:val="20"/>
        </w:trPr>
        <w:tc>
          <w:tcPr>
            <w:tcW w:w="505" w:type="dxa"/>
            <w:noWrap/>
            <w:tcMar>
              <w:left w:w="28" w:type="dxa"/>
              <w:right w:w="28" w:type="dxa"/>
            </w:tcMar>
          </w:tcPr>
          <w:p w:rsidR="00C67E9C" w:rsidRPr="00D14CE9" w:rsidRDefault="00C67E9C" w:rsidP="008E7274">
            <w:pPr>
              <w:pStyle w:val="EYTableNormal"/>
              <w:numPr>
                <w:ilvl w:val="0"/>
                <w:numId w:val="25"/>
              </w:numPr>
              <w:spacing w:after="0"/>
            </w:pPr>
          </w:p>
        </w:tc>
        <w:tc>
          <w:tcPr>
            <w:tcW w:w="1637"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Melbourne Airport</w:t>
            </w:r>
          </w:p>
        </w:tc>
        <w:tc>
          <w:tcPr>
            <w:tcW w:w="2899" w:type="dxa"/>
            <w:noWrap/>
            <w:tcMar>
              <w:left w:w="28" w:type="dxa"/>
              <w:right w:w="28" w:type="dxa"/>
            </w:tcMar>
          </w:tcPr>
          <w:p w:rsidR="00C67E9C" w:rsidRPr="00D14CE9" w:rsidRDefault="00C67E9C" w:rsidP="008E7274">
            <w:pPr>
              <w:pStyle w:val="Bullets1stindent"/>
              <w:spacing w:after="0"/>
              <w:rPr>
                <w:rFonts w:ascii="EYInterstate Light" w:hAnsi="EYInterstate Light" w:cs="Times New Roman"/>
                <w:sz w:val="16"/>
                <w:szCs w:val="16"/>
              </w:rPr>
            </w:pPr>
            <w:r w:rsidRPr="00D14CE9">
              <w:rPr>
                <w:rFonts w:ascii="EYInterstate Light" w:hAnsi="EYInterstate Light" w:cs="Times New Roman"/>
                <w:sz w:val="16"/>
                <w:szCs w:val="16"/>
              </w:rPr>
              <w:t>Hume (C)</w:t>
            </w:r>
          </w:p>
        </w:tc>
        <w:tc>
          <w:tcPr>
            <w:tcW w:w="4121" w:type="dxa"/>
            <w:tcMar>
              <w:left w:w="28" w:type="dxa"/>
              <w:right w:w="28" w:type="dxa"/>
            </w:tcMar>
          </w:tcPr>
          <w:p w:rsidR="00C67E9C" w:rsidRPr="00D14CE9" w:rsidRDefault="00C67E9C" w:rsidP="008E7274">
            <w:pPr>
              <w:pStyle w:val="EYTablebullet1"/>
              <w:spacing w:after="0"/>
            </w:pPr>
            <w:r w:rsidRPr="00D14CE9">
              <w:t>3rd runway (3200m length) in 2020-2021</w:t>
            </w:r>
          </w:p>
          <w:p w:rsidR="00C67E9C" w:rsidRPr="00D14CE9" w:rsidRDefault="00C67E9C" w:rsidP="008E7274">
            <w:pPr>
              <w:pStyle w:val="EYTablebullet1"/>
              <w:spacing w:after="0"/>
            </w:pPr>
            <w:r w:rsidRPr="00D14CE9">
              <w:t>4th runway (3200m length) in 2033-2034</w:t>
            </w:r>
          </w:p>
        </w:tc>
      </w:tr>
    </w:tbl>
    <w:p w:rsidR="002B448C" w:rsidRPr="00D14CE9" w:rsidRDefault="002B448C" w:rsidP="00F552CC">
      <w:pPr>
        <w:pStyle w:val="EYSource"/>
        <w:rPr>
          <w:lang w:val="en-AU"/>
        </w:rPr>
      </w:pPr>
      <w:r w:rsidRPr="00D14CE9">
        <w:rPr>
          <w:lang w:val="en-AU"/>
        </w:rPr>
        <w:t xml:space="preserve">Source: EY analysis </w:t>
      </w:r>
    </w:p>
    <w:p w:rsidR="002B448C" w:rsidRPr="00D14CE9" w:rsidRDefault="002B448C" w:rsidP="002B448C"/>
    <w:p w:rsidR="002B448C" w:rsidRPr="00D14CE9" w:rsidRDefault="002B448C" w:rsidP="008C0D54">
      <w:pPr>
        <w:pStyle w:val="EYBodytextwithparaspace"/>
        <w:rPr>
          <w:rFonts w:cstheme="majorHAnsi"/>
          <w:szCs w:val="20"/>
          <w:lang w:val="en-AU"/>
        </w:rPr>
      </w:pPr>
      <w:r w:rsidRPr="00D14CE9">
        <w:rPr>
          <w:rFonts w:cstheme="majorHAnsi"/>
          <w:szCs w:val="20"/>
          <w:lang w:val="en-AU"/>
        </w:rPr>
        <w:t>Estimates of the transport major projects demand for extractive resources have been calculated, multiplying technical features of each project by available unit quantity of extractive resources required per type of projects. Those estimated quantities were provided by AECOM on 23 December 2015. Note that the calculation of the quantity of extractive resources required for major roads projects relied upon AECOM data provided per lane Km for rural highway 2 lanes. As the km data available were not provided in lane kms, each project road length has been multiplied by 2 as well. This is applicable to all roads projects except Western Distributor where conversion metrics available per lane km for urban highway 4 lanes have been considered.</w:t>
      </w:r>
    </w:p>
    <w:p w:rsidR="002B448C" w:rsidRPr="00D14CE9" w:rsidRDefault="002B448C" w:rsidP="008C0D54">
      <w:pPr>
        <w:pStyle w:val="EYBodytextwithparaspace"/>
        <w:rPr>
          <w:rFonts w:cstheme="majorHAnsi"/>
          <w:szCs w:val="20"/>
          <w:lang w:val="en-AU"/>
        </w:rPr>
      </w:pPr>
      <w:r w:rsidRPr="00D14CE9">
        <w:rPr>
          <w:rFonts w:cstheme="majorHAnsi"/>
          <w:szCs w:val="20"/>
          <w:lang w:val="en-AU"/>
        </w:rPr>
        <w:t xml:space="preserve">Where asphalt is used as a commodity product for construction purposes, 15% of asphalt manufactured was considered to be made from recycled materials and therefore not accounted in the demand for extractive resources subsequent to the construction needs. Figures presented in AECOM data do not reflect this adjustment. </w:t>
      </w:r>
    </w:p>
    <w:p w:rsidR="00D72C9A" w:rsidRPr="00D14CE9" w:rsidRDefault="002B448C" w:rsidP="008C0D54">
      <w:pPr>
        <w:pStyle w:val="EYBodytextwithparaspace"/>
        <w:rPr>
          <w:rFonts w:cstheme="majorHAnsi"/>
          <w:szCs w:val="20"/>
          <w:lang w:val="en-AU"/>
        </w:rPr>
      </w:pPr>
      <w:r w:rsidRPr="00D14CE9">
        <w:rPr>
          <w:rFonts w:cstheme="majorHAnsi"/>
        </w:rPr>
        <w:t>Overall, based on AECOM data provided for transport major projects, the use of extractive resources in relation to the transport major projects activity can be summarized as follows. This breakdown, an average across the State, has been used in the macro-economic driven model to refine the spatial allocation of extractive resources.</w:t>
      </w:r>
      <w:r w:rsidR="00861BFA" w:rsidRPr="00D14CE9">
        <w:rPr>
          <w:rFonts w:cstheme="majorHAnsi"/>
        </w:rPr>
        <w:t xml:space="preserve"> This breakdown, an average across the State, has been used in the macro-economic driven model to spatially allocate extractive resources, in each LGA, based on the forecast spatial allocation of transport major projects construction activity ($ value).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31 "/>
        <w:tblDescription w:val="Table 31 shows estimated breakdown of extractive resources required for transport major projects activity. 77% is hard rock, 2% is limestone, 2% is clay and clay shale, and 18% is sand and gravel."/>
      </w:tblPr>
      <w:tblGrid>
        <w:gridCol w:w="2582"/>
        <w:gridCol w:w="1669"/>
        <w:gridCol w:w="1670"/>
        <w:gridCol w:w="1668"/>
        <w:gridCol w:w="1670"/>
      </w:tblGrid>
      <w:tr w:rsidR="006F2496" w:rsidRPr="00D14CE9" w:rsidTr="00F10554">
        <w:trPr>
          <w:trHeight w:val="315"/>
        </w:trPr>
        <w:tc>
          <w:tcPr>
            <w:tcW w:w="5000" w:type="pct"/>
            <w:gridSpan w:val="5"/>
            <w:shd w:val="clear" w:color="auto" w:fill="808080"/>
            <w:noWrap/>
            <w:vAlign w:val="bottom"/>
          </w:tcPr>
          <w:p w:rsidR="006F2496" w:rsidRPr="00D14CE9" w:rsidRDefault="006F2496" w:rsidP="00802792">
            <w:pPr>
              <w:pStyle w:val="EYTableHeadingWhite"/>
              <w:rPr>
                <w:rFonts w:eastAsia="Arial Unicode MS"/>
              </w:rPr>
            </w:pPr>
            <w:bookmarkStart w:id="730" w:name="_Toc445240965"/>
            <w:bookmarkStart w:id="731" w:name="_Toc448914658"/>
            <w:bookmarkStart w:id="732" w:name="_Toc448920475"/>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31</w:t>
            </w:r>
            <w:r w:rsidR="00A9654D" w:rsidRPr="00802792">
              <w:fldChar w:fldCharType="end"/>
            </w:r>
            <w:r w:rsidRPr="00D14CE9">
              <w:t xml:space="preserve"> – Estimated breakdown of extractive resources required for transport major projects activity (%)</w:t>
            </w:r>
            <w:bookmarkEnd w:id="730"/>
            <w:bookmarkEnd w:id="731"/>
            <w:bookmarkEnd w:id="732"/>
          </w:p>
        </w:tc>
      </w:tr>
      <w:tr w:rsidR="006F2496" w:rsidRPr="00D14CE9" w:rsidTr="00F10554">
        <w:tc>
          <w:tcPr>
            <w:tcW w:w="1394" w:type="pct"/>
            <w:shd w:val="clear" w:color="auto" w:fill="F0F0F0"/>
            <w:vAlign w:val="center"/>
          </w:tcPr>
          <w:p w:rsidR="006F2496" w:rsidRPr="00D14CE9" w:rsidRDefault="006F2496" w:rsidP="00E65C9D">
            <w:pPr>
              <w:pStyle w:val="EYTableHeading"/>
              <w:jc w:val="center"/>
              <w:rPr>
                <w:rFonts w:eastAsia="Arial Unicode MS"/>
              </w:rPr>
            </w:pPr>
          </w:p>
        </w:tc>
        <w:tc>
          <w:tcPr>
            <w:tcW w:w="901" w:type="pct"/>
            <w:shd w:val="clear" w:color="auto" w:fill="F0F0F0"/>
            <w:vAlign w:val="center"/>
          </w:tcPr>
          <w:p w:rsidR="006F2496" w:rsidRPr="00D14CE9" w:rsidRDefault="006F2496" w:rsidP="00E65C9D">
            <w:pPr>
              <w:pStyle w:val="EYTableHeading"/>
              <w:jc w:val="center"/>
              <w:rPr>
                <w:rFonts w:eastAsia="Arial Unicode MS"/>
              </w:rPr>
            </w:pPr>
            <w:r w:rsidRPr="00D14CE9">
              <w:rPr>
                <w:rFonts w:eastAsia="Arial Unicode MS"/>
              </w:rPr>
              <w:t>Hard rock (%)</w:t>
            </w:r>
          </w:p>
        </w:tc>
        <w:tc>
          <w:tcPr>
            <w:tcW w:w="902" w:type="pct"/>
            <w:shd w:val="clear" w:color="auto" w:fill="F0F0F0"/>
            <w:vAlign w:val="center"/>
          </w:tcPr>
          <w:p w:rsidR="006F2496" w:rsidRPr="00D14CE9" w:rsidRDefault="006F2496" w:rsidP="00E65C9D">
            <w:pPr>
              <w:pStyle w:val="EYTableHeading"/>
              <w:jc w:val="center"/>
              <w:rPr>
                <w:rFonts w:eastAsia="Arial Unicode MS"/>
              </w:rPr>
            </w:pPr>
            <w:r w:rsidRPr="00D14CE9">
              <w:rPr>
                <w:rFonts w:eastAsia="Arial Unicode MS"/>
              </w:rPr>
              <w:t>Limestone (%)</w:t>
            </w:r>
          </w:p>
        </w:tc>
        <w:tc>
          <w:tcPr>
            <w:tcW w:w="901" w:type="pct"/>
            <w:shd w:val="clear" w:color="auto" w:fill="F0F0F0"/>
            <w:vAlign w:val="center"/>
          </w:tcPr>
          <w:p w:rsidR="006F2496" w:rsidRPr="00D14CE9" w:rsidRDefault="006F2496" w:rsidP="00E65C9D">
            <w:pPr>
              <w:pStyle w:val="EYTableHeading"/>
              <w:jc w:val="center"/>
              <w:rPr>
                <w:rFonts w:eastAsia="Arial Unicode MS"/>
              </w:rPr>
            </w:pPr>
            <w:r w:rsidRPr="00D14CE9">
              <w:rPr>
                <w:rFonts w:eastAsia="Arial Unicode MS"/>
              </w:rPr>
              <w:t>Clay and clay shale (%)</w:t>
            </w:r>
          </w:p>
        </w:tc>
        <w:tc>
          <w:tcPr>
            <w:tcW w:w="902" w:type="pct"/>
            <w:shd w:val="clear" w:color="auto" w:fill="F0F0F0"/>
            <w:vAlign w:val="center"/>
          </w:tcPr>
          <w:p w:rsidR="006F2496" w:rsidRPr="00D14CE9" w:rsidRDefault="006F2496" w:rsidP="00E65C9D">
            <w:pPr>
              <w:pStyle w:val="EYTableHeading"/>
              <w:jc w:val="center"/>
              <w:rPr>
                <w:rFonts w:eastAsia="Arial Unicode MS"/>
              </w:rPr>
            </w:pPr>
            <w:r w:rsidRPr="00D14CE9">
              <w:rPr>
                <w:rFonts w:eastAsia="Arial Unicode MS"/>
              </w:rPr>
              <w:t>Sand and gravel (%)</w:t>
            </w:r>
          </w:p>
        </w:tc>
      </w:tr>
      <w:tr w:rsidR="00A84EEF" w:rsidRPr="00D14CE9" w:rsidTr="00F10554">
        <w:trPr>
          <w:trHeight w:val="315"/>
        </w:trPr>
        <w:tc>
          <w:tcPr>
            <w:tcW w:w="1394" w:type="pct"/>
            <w:noWrap/>
            <w:vAlign w:val="center"/>
          </w:tcPr>
          <w:p w:rsidR="00A84EEF" w:rsidRPr="00D14CE9" w:rsidRDefault="00A84EEF" w:rsidP="00D05D95">
            <w:pPr>
              <w:rPr>
                <w:sz w:val="16"/>
                <w:szCs w:val="16"/>
              </w:rPr>
            </w:pPr>
            <w:r w:rsidRPr="00D14CE9">
              <w:rPr>
                <w:sz w:val="16"/>
                <w:szCs w:val="16"/>
              </w:rPr>
              <w:t>Transport Major Projects Activity</w:t>
            </w:r>
          </w:p>
        </w:tc>
        <w:tc>
          <w:tcPr>
            <w:tcW w:w="901" w:type="pct"/>
            <w:noWrap/>
            <w:vAlign w:val="center"/>
          </w:tcPr>
          <w:p w:rsidR="00A84EEF" w:rsidRPr="00D14CE9" w:rsidRDefault="00A84EEF" w:rsidP="00D05D95">
            <w:pPr>
              <w:jc w:val="center"/>
              <w:rPr>
                <w:sz w:val="16"/>
                <w:szCs w:val="16"/>
              </w:rPr>
            </w:pPr>
            <w:r w:rsidRPr="00D14CE9">
              <w:rPr>
                <w:sz w:val="16"/>
                <w:szCs w:val="16"/>
              </w:rPr>
              <w:t>77%</w:t>
            </w:r>
          </w:p>
        </w:tc>
        <w:tc>
          <w:tcPr>
            <w:tcW w:w="902" w:type="pct"/>
            <w:noWrap/>
            <w:vAlign w:val="center"/>
          </w:tcPr>
          <w:p w:rsidR="00A84EEF" w:rsidRPr="00D14CE9" w:rsidRDefault="00A84EEF" w:rsidP="00D05D95">
            <w:pPr>
              <w:jc w:val="center"/>
              <w:rPr>
                <w:sz w:val="16"/>
                <w:szCs w:val="16"/>
              </w:rPr>
            </w:pPr>
            <w:r w:rsidRPr="00D14CE9">
              <w:rPr>
                <w:sz w:val="16"/>
                <w:szCs w:val="16"/>
              </w:rPr>
              <w:t>2%</w:t>
            </w:r>
          </w:p>
        </w:tc>
        <w:tc>
          <w:tcPr>
            <w:tcW w:w="901" w:type="pct"/>
            <w:noWrap/>
            <w:vAlign w:val="center"/>
          </w:tcPr>
          <w:p w:rsidR="00A84EEF" w:rsidRPr="00D14CE9" w:rsidRDefault="00A84EEF" w:rsidP="00D05D95">
            <w:pPr>
              <w:jc w:val="center"/>
              <w:rPr>
                <w:sz w:val="16"/>
                <w:szCs w:val="16"/>
              </w:rPr>
            </w:pPr>
            <w:r w:rsidRPr="00D14CE9">
              <w:rPr>
                <w:sz w:val="16"/>
                <w:szCs w:val="16"/>
              </w:rPr>
              <w:t>2%</w:t>
            </w:r>
          </w:p>
        </w:tc>
        <w:tc>
          <w:tcPr>
            <w:tcW w:w="902" w:type="pct"/>
            <w:vAlign w:val="center"/>
          </w:tcPr>
          <w:p w:rsidR="00A84EEF" w:rsidRPr="00D14CE9" w:rsidRDefault="00A84EEF" w:rsidP="00D05D95">
            <w:pPr>
              <w:jc w:val="center"/>
              <w:rPr>
                <w:sz w:val="16"/>
                <w:szCs w:val="16"/>
              </w:rPr>
            </w:pPr>
            <w:r w:rsidRPr="00D14CE9">
              <w:rPr>
                <w:sz w:val="16"/>
                <w:szCs w:val="16"/>
              </w:rPr>
              <w:t>18%</w:t>
            </w:r>
          </w:p>
        </w:tc>
      </w:tr>
    </w:tbl>
    <w:p w:rsidR="002B448C" w:rsidRPr="00D14CE9" w:rsidRDefault="002B448C" w:rsidP="00F552CC">
      <w:pPr>
        <w:pStyle w:val="EYSource"/>
        <w:rPr>
          <w:lang w:val="en-AU"/>
        </w:rPr>
      </w:pPr>
      <w:r w:rsidRPr="00D14CE9">
        <w:rPr>
          <w:lang w:val="en-AU"/>
        </w:rPr>
        <w:t>Source: EY analysis based on AECOM inputs</w:t>
      </w:r>
    </w:p>
    <w:p w:rsidR="002B448C" w:rsidRPr="00D14CE9" w:rsidRDefault="002B448C" w:rsidP="002B448C"/>
    <w:p w:rsidR="002B448C" w:rsidRPr="00D14CE9" w:rsidRDefault="002B448C" w:rsidP="00856574">
      <w:pPr>
        <w:pStyle w:val="ListParagraph"/>
        <w:numPr>
          <w:ilvl w:val="1"/>
          <w:numId w:val="21"/>
        </w:numPr>
        <w:ind w:left="806" w:hanging="806"/>
        <w:rPr>
          <w:rFonts w:ascii="EYInterstate Light" w:hAnsi="EYInterstate Light"/>
          <w:b/>
          <w:i/>
        </w:rPr>
      </w:pPr>
      <w:r w:rsidRPr="00D14CE9">
        <w:rPr>
          <w:rFonts w:ascii="EYInterstate Light" w:hAnsi="EYInterstate Light"/>
          <w:b/>
          <w:i/>
        </w:rPr>
        <w:lastRenderedPageBreak/>
        <w:t>Wind Farm Construction Activity</w:t>
      </w:r>
    </w:p>
    <w:p w:rsidR="002B448C" w:rsidRPr="00D14CE9" w:rsidRDefault="002B448C" w:rsidP="008C0D54">
      <w:pPr>
        <w:pStyle w:val="EYBodytextwithparaspace"/>
        <w:rPr>
          <w:rFonts w:cstheme="majorHAnsi"/>
          <w:szCs w:val="20"/>
          <w:lang w:val="en-AU"/>
        </w:rPr>
      </w:pPr>
      <w:r w:rsidRPr="00D14CE9">
        <w:rPr>
          <w:rFonts w:cstheme="majorHAnsi"/>
          <w:szCs w:val="20"/>
          <w:lang w:val="en-AU"/>
        </w:rPr>
        <w:t xml:space="preserve">Energy and utilities construction commonly consists of the construction of water treatment plants, power transmissions lines and footings, pipes, pits and backfill/thrust blocks, dams,  solar farms, power stations and substations and wind farms. </w:t>
      </w:r>
    </w:p>
    <w:p w:rsidR="002B448C" w:rsidRPr="00D14CE9" w:rsidRDefault="002B448C" w:rsidP="008C0D54">
      <w:pPr>
        <w:pStyle w:val="EYBodytextwithparaspace"/>
        <w:rPr>
          <w:rFonts w:cstheme="majorHAnsi"/>
          <w:szCs w:val="20"/>
          <w:lang w:val="en-AU"/>
        </w:rPr>
      </w:pPr>
      <w:r w:rsidRPr="00D14CE9">
        <w:rPr>
          <w:rFonts w:cstheme="majorHAnsi"/>
          <w:szCs w:val="20"/>
          <w:lang w:val="en-AU"/>
        </w:rPr>
        <w:t>For the purpose of this analysis, energy and utilities construction profile in relation to wind farms projects has only been developed, due to the lack of data availability in relation to other types of energy and utilities projects, therefore undermining a forecasting process.</w:t>
      </w:r>
    </w:p>
    <w:p w:rsidR="002B448C" w:rsidRPr="00D14CE9" w:rsidRDefault="002B448C" w:rsidP="008C0D54">
      <w:pPr>
        <w:pStyle w:val="EYBodytextwithparaspace"/>
        <w:rPr>
          <w:rFonts w:cstheme="majorHAnsi"/>
          <w:szCs w:val="20"/>
          <w:lang w:val="en-AU"/>
        </w:rPr>
      </w:pPr>
      <w:r w:rsidRPr="00D14CE9">
        <w:rPr>
          <w:rFonts w:cstheme="majorHAnsi"/>
          <w:szCs w:val="20"/>
          <w:lang w:val="en-AU"/>
        </w:rPr>
        <w:t>To develop the wind farms projects construction profile, i.e. to forecast the number of new wind farms turbines expected to be built in the coming years, the following assumptions have been taken into consideration:</w:t>
      </w:r>
    </w:p>
    <w:p w:rsidR="002B448C" w:rsidRPr="00D14CE9" w:rsidRDefault="002B448C" w:rsidP="00A84EEF">
      <w:pPr>
        <w:pStyle w:val="EYBulletedList1"/>
        <w:tabs>
          <w:tab w:val="clear" w:pos="288"/>
          <w:tab w:val="num" w:pos="576"/>
        </w:tabs>
        <w:spacing w:after="120"/>
        <w:rPr>
          <w:rFonts w:cstheme="majorHAnsi"/>
          <w:szCs w:val="20"/>
          <w:lang w:val="en-AU"/>
        </w:rPr>
      </w:pPr>
      <w:r w:rsidRPr="00D14CE9">
        <w:rPr>
          <w:rFonts w:cstheme="majorHAnsi"/>
          <w:szCs w:val="20"/>
          <w:lang w:val="en-AU"/>
        </w:rPr>
        <w:t>List of approved projects and planned projects with a permit process underway or lodged with the Minister of Planning, based on latest information available on DEDJTR website (i.e. as of 21 August 2015 at the date of the development of the demand profile). The table below summarizes the available data:</w:t>
      </w:r>
    </w:p>
    <w:tbl>
      <w:tblPr>
        <w:tblStyle w:val="TableGrid"/>
        <w:tblW w:w="512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Table 32"/>
        <w:tblDescription w:val="Table 32 shows approved and planned wind farms as at August 2015, their proponent, the number of generators or turbines, maximum power (MW) high range, and their LGA. They are, in alphabetical order of project name: Ararat RES Australia 75 240 Ararat (RC).&#10;Berrimal Acciona Energy 24 72 Northern Grampians Shire.&#10;Berrybank Union Fenosa 89 178 Ballarat Council.&#10;Bulgana Enerfin 63 189 Ararat Rural Council.&#10;Cherry Tree Infigen Energy 16 48 Greater Shepparton Council.&#10;Coonooer Bridge Windlab Systems 6 19.4 Northern Grampians Shire.&#10;Crowlands Pacific Hydro 41 82 Ararat Rural Council.&#10;Hawkesdale Union Fenosa 31 62 Moyne Shire.&#10;Lal (Elaine and Yendon) West Wind Energy 64 150 Ballarat Council.&#10;Moorabool West Wind Energy 107 321 Ballarat Council.&#10;Mortlake South Acciona Energy 51 76 Moyne Shire.&#10;Mount Gellibrand Acciona Energy 63 189 Colac-Otway Shire.&#10;Ryan Corner Union Fenosa 67 134 Moyne Shire.&#10;Salt Creek TrustPower 15 30 Moyne Shire.&#10;Stockyard Hill Origin Energy 157 471 Ballarat Council.&#10;Woolsthorpe Wind Farm Developments 20 46 Warrnambool Council.&#10;Yaloak South Pacific Hydro 14 29 Moorabool Shire.&#10;Dundonnell TrustPower 104 312 Moyne Shire.&#10;Winchelsea GDF Suez 14 28 Greater Geelong Council.&#10;"/>
      </w:tblPr>
      <w:tblGrid>
        <w:gridCol w:w="1670"/>
        <w:gridCol w:w="1894"/>
        <w:gridCol w:w="1894"/>
        <w:gridCol w:w="1894"/>
        <w:gridCol w:w="2117"/>
      </w:tblGrid>
      <w:tr w:rsidR="008525FA" w:rsidRPr="00D14CE9" w:rsidTr="008525FA">
        <w:trPr>
          <w:cantSplit/>
          <w:trHeight w:val="20"/>
        </w:trPr>
        <w:tc>
          <w:tcPr>
            <w:tcW w:w="5000" w:type="pct"/>
            <w:gridSpan w:val="5"/>
            <w:shd w:val="clear" w:color="auto" w:fill="808080" w:themeFill="background1" w:themeFillShade="80"/>
          </w:tcPr>
          <w:p w:rsidR="008525FA" w:rsidRPr="003637FD" w:rsidRDefault="008525FA" w:rsidP="003637FD">
            <w:pPr>
              <w:pStyle w:val="EYTableHeading"/>
              <w:rPr>
                <w:color w:val="FFFFFF" w:themeColor="background1"/>
              </w:rPr>
            </w:pPr>
            <w:bookmarkStart w:id="733" w:name="_Toc448920476"/>
            <w:r w:rsidRPr="003637FD">
              <w:rPr>
                <w:color w:val="FFFFFF" w:themeColor="background1"/>
              </w:rPr>
              <w:t xml:space="preserve">Table </w:t>
            </w:r>
            <w:r w:rsidRPr="003637FD">
              <w:rPr>
                <w:color w:val="FFFFFF" w:themeColor="background1"/>
              </w:rPr>
              <w:fldChar w:fldCharType="begin"/>
            </w:r>
            <w:r w:rsidRPr="003637FD">
              <w:rPr>
                <w:color w:val="FFFFFF" w:themeColor="background1"/>
              </w:rPr>
              <w:instrText xml:space="preserve"> SEQ Table \* ARABIC </w:instrText>
            </w:r>
            <w:r w:rsidRPr="003637FD">
              <w:rPr>
                <w:color w:val="FFFFFF" w:themeColor="background1"/>
              </w:rPr>
              <w:fldChar w:fldCharType="separate"/>
            </w:r>
            <w:r w:rsidR="00525C82">
              <w:rPr>
                <w:noProof/>
                <w:color w:val="FFFFFF" w:themeColor="background1"/>
              </w:rPr>
              <w:t>32</w:t>
            </w:r>
            <w:r w:rsidRPr="003637FD">
              <w:rPr>
                <w:color w:val="FFFFFF" w:themeColor="background1"/>
              </w:rPr>
              <w:fldChar w:fldCharType="end"/>
            </w:r>
            <w:r w:rsidRPr="003637FD">
              <w:rPr>
                <w:color w:val="FFFFFF" w:themeColor="background1"/>
              </w:rPr>
              <w:t xml:space="preserve"> </w:t>
            </w:r>
            <w:r>
              <w:rPr>
                <w:color w:val="FFFFFF" w:themeColor="background1"/>
              </w:rPr>
              <w:t xml:space="preserve">- </w:t>
            </w:r>
            <w:r w:rsidRPr="003637FD">
              <w:rPr>
                <w:color w:val="FFFFFF" w:themeColor="background1"/>
              </w:rPr>
              <w:t>Wind Farms - Approved and planned projects - August 2015</w:t>
            </w:r>
            <w:bookmarkEnd w:id="733"/>
          </w:p>
        </w:tc>
      </w:tr>
      <w:tr w:rsidR="002B448C" w:rsidRPr="008525FA" w:rsidTr="003637FD">
        <w:trPr>
          <w:cantSplit/>
          <w:trHeight w:val="20"/>
        </w:trPr>
        <w:tc>
          <w:tcPr>
            <w:tcW w:w="882" w:type="pct"/>
            <w:shd w:val="clear" w:color="auto" w:fill="F2F2F2" w:themeFill="background1" w:themeFillShade="F2"/>
          </w:tcPr>
          <w:p w:rsidR="002B448C" w:rsidRPr="003637FD" w:rsidRDefault="002B448C" w:rsidP="003637FD">
            <w:pPr>
              <w:pStyle w:val="EYTableHeading"/>
              <w:spacing w:before="0" w:after="0"/>
              <w:jc w:val="center"/>
              <w:rPr>
                <w:rFonts w:eastAsia="Arial Unicode MS"/>
              </w:rPr>
            </w:pPr>
            <w:r w:rsidRPr="003637FD">
              <w:rPr>
                <w:rFonts w:eastAsia="Arial Unicode MS"/>
              </w:rPr>
              <w:t>Projects</w:t>
            </w:r>
          </w:p>
        </w:tc>
        <w:tc>
          <w:tcPr>
            <w:tcW w:w="1000" w:type="pct"/>
            <w:shd w:val="clear" w:color="auto" w:fill="F2F2F2" w:themeFill="background1" w:themeFillShade="F2"/>
          </w:tcPr>
          <w:p w:rsidR="002B448C" w:rsidRPr="003637FD" w:rsidRDefault="002B448C" w:rsidP="003637FD">
            <w:pPr>
              <w:pStyle w:val="EYTableHeading"/>
              <w:spacing w:before="0" w:after="0"/>
              <w:jc w:val="center"/>
              <w:rPr>
                <w:rFonts w:eastAsia="Arial Unicode MS"/>
              </w:rPr>
            </w:pPr>
            <w:r w:rsidRPr="003637FD">
              <w:rPr>
                <w:rFonts w:eastAsia="Arial Unicode MS"/>
              </w:rPr>
              <w:t>Proponent</w:t>
            </w:r>
          </w:p>
        </w:tc>
        <w:tc>
          <w:tcPr>
            <w:tcW w:w="1000" w:type="pct"/>
            <w:shd w:val="clear" w:color="auto" w:fill="F2F2F2" w:themeFill="background1" w:themeFillShade="F2"/>
          </w:tcPr>
          <w:p w:rsidR="002B448C" w:rsidRPr="003637FD" w:rsidRDefault="002B448C" w:rsidP="003637FD">
            <w:pPr>
              <w:pStyle w:val="EYTableHeading"/>
              <w:spacing w:before="0" w:after="0"/>
              <w:jc w:val="center"/>
              <w:rPr>
                <w:rFonts w:eastAsia="Arial Unicode MS"/>
              </w:rPr>
            </w:pPr>
            <w:r w:rsidRPr="003637FD">
              <w:rPr>
                <w:rFonts w:eastAsia="Arial Unicode MS"/>
              </w:rPr>
              <w:t>Number of Generators/Turbines</w:t>
            </w:r>
          </w:p>
        </w:tc>
        <w:tc>
          <w:tcPr>
            <w:tcW w:w="1000" w:type="pct"/>
            <w:shd w:val="clear" w:color="auto" w:fill="F2F2F2" w:themeFill="background1" w:themeFillShade="F2"/>
          </w:tcPr>
          <w:p w:rsidR="002B448C" w:rsidRPr="003637FD" w:rsidRDefault="002B448C" w:rsidP="003637FD">
            <w:pPr>
              <w:pStyle w:val="EYTableHeading"/>
              <w:spacing w:before="0" w:after="0"/>
              <w:jc w:val="center"/>
              <w:rPr>
                <w:rFonts w:eastAsia="Arial Unicode MS"/>
              </w:rPr>
            </w:pPr>
            <w:r w:rsidRPr="003637FD">
              <w:rPr>
                <w:rFonts w:eastAsia="Arial Unicode MS"/>
              </w:rPr>
              <w:t>Maximum Power</w:t>
            </w:r>
            <w:r w:rsidR="008525FA">
              <w:rPr>
                <w:rFonts w:eastAsia="Arial Unicode MS"/>
              </w:rPr>
              <w:br/>
            </w:r>
            <w:r w:rsidRPr="003637FD">
              <w:rPr>
                <w:rFonts w:eastAsia="Arial Unicode MS"/>
              </w:rPr>
              <w:t>(MW) High Range</w:t>
            </w:r>
          </w:p>
        </w:tc>
        <w:tc>
          <w:tcPr>
            <w:tcW w:w="1118" w:type="pct"/>
            <w:shd w:val="clear" w:color="auto" w:fill="F2F2F2" w:themeFill="background1" w:themeFillShade="F2"/>
          </w:tcPr>
          <w:p w:rsidR="002B448C" w:rsidRPr="003637FD" w:rsidRDefault="002B448C" w:rsidP="003637FD">
            <w:pPr>
              <w:pStyle w:val="EYTableHeading"/>
              <w:spacing w:before="0" w:after="0"/>
              <w:jc w:val="center"/>
              <w:rPr>
                <w:rFonts w:eastAsia="Arial Unicode MS"/>
              </w:rPr>
            </w:pPr>
            <w:r w:rsidRPr="003637FD">
              <w:rPr>
                <w:rFonts w:eastAsia="Arial Unicode MS"/>
              </w:rPr>
              <w:t>LGAs</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Ararat</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RES Australia</w:t>
            </w:r>
          </w:p>
        </w:tc>
        <w:tc>
          <w:tcPr>
            <w:tcW w:w="1000" w:type="pct"/>
            <w:tcMar>
              <w:top w:w="28" w:type="dxa"/>
              <w:left w:w="28" w:type="dxa"/>
              <w:bottom w:w="28" w:type="dxa"/>
              <w:right w:w="28" w:type="dxa"/>
            </w:tcMar>
          </w:tcPr>
          <w:p w:rsidR="002B448C" w:rsidRPr="00D14CE9" w:rsidRDefault="002B448C" w:rsidP="0003466D">
            <w:pPr>
              <w:jc w:val="center"/>
              <w:rPr>
                <w:rFonts w:cs="Arial"/>
                <w:color w:val="000000"/>
                <w:sz w:val="16"/>
                <w:szCs w:val="16"/>
              </w:rPr>
            </w:pPr>
            <w:r w:rsidRPr="00D14CE9">
              <w:rPr>
                <w:rFonts w:cs="Arial"/>
                <w:color w:val="000000"/>
                <w:sz w:val="16"/>
                <w:szCs w:val="16"/>
              </w:rPr>
              <w:t>75</w:t>
            </w:r>
          </w:p>
        </w:tc>
        <w:tc>
          <w:tcPr>
            <w:tcW w:w="1000" w:type="pct"/>
            <w:tcMar>
              <w:top w:w="28" w:type="dxa"/>
              <w:left w:w="28" w:type="dxa"/>
              <w:bottom w:w="28" w:type="dxa"/>
              <w:right w:w="28" w:type="dxa"/>
            </w:tcMar>
          </w:tcPr>
          <w:p w:rsidR="002B448C" w:rsidRPr="00D14CE9" w:rsidRDefault="002B448C" w:rsidP="0003466D">
            <w:pPr>
              <w:jc w:val="center"/>
              <w:rPr>
                <w:rFonts w:cs="Arial"/>
                <w:color w:val="000000"/>
                <w:sz w:val="16"/>
                <w:szCs w:val="16"/>
              </w:rPr>
            </w:pPr>
            <w:r w:rsidRPr="00D14CE9">
              <w:rPr>
                <w:rFonts w:cs="Arial"/>
                <w:color w:val="000000"/>
                <w:sz w:val="16"/>
                <w:szCs w:val="16"/>
              </w:rPr>
              <w:t>240</w:t>
            </w:r>
          </w:p>
        </w:tc>
        <w:tc>
          <w:tcPr>
            <w:tcW w:w="1118"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Ararat (RC)</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Berrimal</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Acciona Energy</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24</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72</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Northern Grampians (S)</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Berrybank</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Union Fenosa</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89</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178</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Ballarat (C)</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Bulgana</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Enerfin</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63</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189</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Ararat (RC)</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Cherry Tree</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Infigen Energy</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16</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48</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Greater Shepparton (C)</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Coonooer Bridge</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Windlab Systems</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6</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19.4</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Northern Grampians (S)</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Crowlands</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Pacific Hydro</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41</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82</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Ararat (RC)</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Hawkesdale</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Union Fenosa</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31</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62</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Moyne (S)</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 xml:space="preserve">Lal </w:t>
            </w:r>
            <w:r w:rsidR="00C06B8D">
              <w:rPr>
                <w:rFonts w:cs="Arial"/>
                <w:color w:val="000000"/>
                <w:sz w:val="16"/>
                <w:szCs w:val="16"/>
              </w:rPr>
              <w:br/>
            </w:r>
            <w:r w:rsidRPr="00D14CE9">
              <w:rPr>
                <w:rFonts w:cs="Arial"/>
                <w:color w:val="000000"/>
                <w:sz w:val="16"/>
                <w:szCs w:val="16"/>
              </w:rPr>
              <w:t>(Elaine and Yendon)</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West Wind Energy</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64</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150</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Ballarat (C)</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Moorabool</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West Wind Energy</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107</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321</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Ballarat (C)</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Mortlake South</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Acciona Energy</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51</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76</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Moyne (S)</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Mount Gellibrand</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Acciona Energy</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63</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189</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Colac-Otway (S)</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Ryan Corner</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Union Fenosa</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67</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134</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Moyne (S)</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Salt Creek</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TrustPower</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15</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30</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Moyne (S)</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Stockyard Hill</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Origin Energy</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157</w:t>
            </w:r>
          </w:p>
        </w:tc>
        <w:tc>
          <w:tcPr>
            <w:tcW w:w="1000" w:type="pct"/>
            <w:tcMar>
              <w:top w:w="28" w:type="dxa"/>
              <w:left w:w="28" w:type="dxa"/>
              <w:bottom w:w="28" w:type="dxa"/>
              <w:right w:w="28" w:type="dxa"/>
            </w:tcMar>
          </w:tcPr>
          <w:p w:rsidR="002B448C" w:rsidRPr="00D14CE9" w:rsidRDefault="002B448C" w:rsidP="00104A30">
            <w:pPr>
              <w:jc w:val="center"/>
              <w:rPr>
                <w:rFonts w:cs="Arial"/>
                <w:sz w:val="16"/>
                <w:szCs w:val="16"/>
              </w:rPr>
            </w:pPr>
            <w:r w:rsidRPr="00D14CE9">
              <w:rPr>
                <w:rFonts w:cs="Arial"/>
                <w:sz w:val="16"/>
                <w:szCs w:val="16"/>
              </w:rPr>
              <w:t>471</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Ballarat (C)</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Woolsthorpe</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Wind Farm Developments</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20</w:t>
            </w:r>
          </w:p>
        </w:tc>
        <w:tc>
          <w:tcPr>
            <w:tcW w:w="1000" w:type="pct"/>
            <w:tcMar>
              <w:top w:w="28" w:type="dxa"/>
              <w:left w:w="28" w:type="dxa"/>
              <w:bottom w:w="28" w:type="dxa"/>
              <w:right w:w="28" w:type="dxa"/>
            </w:tcMar>
          </w:tcPr>
          <w:p w:rsidR="002B448C" w:rsidRPr="00D14CE9" w:rsidRDefault="002B448C" w:rsidP="00104A30">
            <w:pPr>
              <w:jc w:val="center"/>
              <w:rPr>
                <w:rFonts w:cs="Arial"/>
                <w:sz w:val="16"/>
                <w:szCs w:val="16"/>
              </w:rPr>
            </w:pPr>
            <w:r w:rsidRPr="00D14CE9">
              <w:rPr>
                <w:rFonts w:cs="Arial"/>
                <w:sz w:val="16"/>
                <w:szCs w:val="16"/>
              </w:rPr>
              <w:t>46</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Warrnambool (C)</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sz w:val="16"/>
                <w:szCs w:val="16"/>
              </w:rPr>
            </w:pPr>
            <w:r w:rsidRPr="00D14CE9">
              <w:rPr>
                <w:sz w:val="16"/>
                <w:szCs w:val="16"/>
              </w:rPr>
              <w:t>Yaloak South</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Pacific Hydro</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14</w:t>
            </w:r>
          </w:p>
        </w:tc>
        <w:tc>
          <w:tcPr>
            <w:tcW w:w="1000" w:type="pct"/>
            <w:tcMar>
              <w:top w:w="28" w:type="dxa"/>
              <w:left w:w="28" w:type="dxa"/>
              <w:bottom w:w="28" w:type="dxa"/>
              <w:right w:w="28" w:type="dxa"/>
            </w:tcMar>
          </w:tcPr>
          <w:p w:rsidR="002B448C" w:rsidRPr="00D14CE9" w:rsidRDefault="002B448C" w:rsidP="00104A30">
            <w:pPr>
              <w:jc w:val="center"/>
              <w:rPr>
                <w:rFonts w:cs="Arial"/>
                <w:sz w:val="16"/>
                <w:szCs w:val="16"/>
              </w:rPr>
            </w:pPr>
            <w:r w:rsidRPr="00D14CE9">
              <w:rPr>
                <w:rFonts w:cs="Arial"/>
                <w:sz w:val="16"/>
                <w:szCs w:val="16"/>
              </w:rPr>
              <w:t>29</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Moorabool (S)</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sz w:val="16"/>
                <w:szCs w:val="16"/>
              </w:rPr>
            </w:pPr>
            <w:r w:rsidRPr="00D14CE9">
              <w:rPr>
                <w:sz w:val="16"/>
                <w:szCs w:val="16"/>
              </w:rPr>
              <w:t>Dundonnell</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TrustPower</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104</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312</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Moyne (S)</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sz w:val="16"/>
                <w:szCs w:val="16"/>
              </w:rPr>
            </w:pPr>
            <w:r w:rsidRPr="00D14CE9">
              <w:rPr>
                <w:sz w:val="16"/>
                <w:szCs w:val="16"/>
              </w:rPr>
              <w:t>Winchelsea</w:t>
            </w:r>
          </w:p>
        </w:tc>
        <w:tc>
          <w:tcPr>
            <w:tcW w:w="1000" w:type="pct"/>
            <w:tcMar>
              <w:top w:w="28" w:type="dxa"/>
              <w:left w:w="28" w:type="dxa"/>
              <w:bottom w:w="28" w:type="dxa"/>
              <w:right w:w="28" w:type="dxa"/>
            </w:tcMar>
          </w:tcPr>
          <w:p w:rsidR="002B448C" w:rsidRPr="00D14CE9" w:rsidRDefault="002B448C" w:rsidP="008E7274">
            <w:pPr>
              <w:rPr>
                <w:rFonts w:cs="Arial"/>
                <w:color w:val="000000"/>
                <w:sz w:val="16"/>
                <w:szCs w:val="16"/>
              </w:rPr>
            </w:pPr>
            <w:r w:rsidRPr="00D14CE9">
              <w:rPr>
                <w:rFonts w:cs="Arial"/>
                <w:color w:val="000000"/>
                <w:sz w:val="16"/>
                <w:szCs w:val="16"/>
              </w:rPr>
              <w:t>GDF Suez</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14</w:t>
            </w:r>
          </w:p>
        </w:tc>
        <w:tc>
          <w:tcPr>
            <w:tcW w:w="1000" w:type="pct"/>
            <w:tcMar>
              <w:top w:w="28" w:type="dxa"/>
              <w:left w:w="28" w:type="dxa"/>
              <w:bottom w:w="28" w:type="dxa"/>
              <w:right w:w="28" w:type="dxa"/>
            </w:tcMar>
          </w:tcPr>
          <w:p w:rsidR="002B448C" w:rsidRPr="00D14CE9" w:rsidRDefault="002B448C" w:rsidP="00104A30">
            <w:pPr>
              <w:jc w:val="center"/>
              <w:rPr>
                <w:rFonts w:cs="Arial"/>
                <w:color w:val="000000"/>
                <w:sz w:val="16"/>
                <w:szCs w:val="16"/>
              </w:rPr>
            </w:pPr>
            <w:r w:rsidRPr="00D14CE9">
              <w:rPr>
                <w:rFonts w:cs="Arial"/>
                <w:color w:val="000000"/>
                <w:sz w:val="16"/>
                <w:szCs w:val="16"/>
              </w:rPr>
              <w:t>28</w:t>
            </w:r>
          </w:p>
        </w:tc>
        <w:tc>
          <w:tcPr>
            <w:tcW w:w="1118" w:type="pct"/>
            <w:tcMar>
              <w:top w:w="28" w:type="dxa"/>
              <w:left w:w="28" w:type="dxa"/>
              <w:bottom w:w="28" w:type="dxa"/>
              <w:right w:w="28" w:type="dxa"/>
            </w:tcMar>
          </w:tcPr>
          <w:p w:rsidR="002B448C" w:rsidRPr="00D14CE9" w:rsidRDefault="002B448C" w:rsidP="008E7274">
            <w:pPr>
              <w:rPr>
                <w:rFonts w:cs="Arial"/>
                <w:sz w:val="16"/>
                <w:szCs w:val="16"/>
              </w:rPr>
            </w:pPr>
            <w:r w:rsidRPr="00D14CE9">
              <w:rPr>
                <w:rFonts w:cs="Arial"/>
                <w:sz w:val="16"/>
                <w:szCs w:val="16"/>
              </w:rPr>
              <w:t>Greater Geelong (C)</w:t>
            </w:r>
          </w:p>
        </w:tc>
      </w:tr>
      <w:tr w:rsidR="002B448C" w:rsidRPr="00D14CE9" w:rsidTr="003637FD">
        <w:trPr>
          <w:cantSplit/>
          <w:trHeight w:val="20"/>
        </w:trPr>
        <w:tc>
          <w:tcPr>
            <w:tcW w:w="882" w:type="pct"/>
            <w:shd w:val="clear" w:color="auto" w:fill="D9D9D9" w:themeFill="background1" w:themeFillShade="D9"/>
            <w:tcMar>
              <w:top w:w="28" w:type="dxa"/>
              <w:left w:w="28" w:type="dxa"/>
              <w:bottom w:w="28" w:type="dxa"/>
              <w:right w:w="28" w:type="dxa"/>
            </w:tcMar>
          </w:tcPr>
          <w:p w:rsidR="002B448C" w:rsidRPr="00D14CE9" w:rsidRDefault="002B448C" w:rsidP="008E7274">
            <w:pPr>
              <w:rPr>
                <w:b/>
                <w:sz w:val="16"/>
                <w:szCs w:val="16"/>
              </w:rPr>
            </w:pPr>
            <w:r w:rsidRPr="00D14CE9">
              <w:rPr>
                <w:b/>
                <w:sz w:val="16"/>
                <w:szCs w:val="16"/>
              </w:rPr>
              <w:t>TOTAL</w:t>
            </w:r>
          </w:p>
        </w:tc>
        <w:tc>
          <w:tcPr>
            <w:tcW w:w="1000" w:type="pct"/>
            <w:tcMar>
              <w:top w:w="28" w:type="dxa"/>
              <w:left w:w="28" w:type="dxa"/>
              <w:bottom w:w="28" w:type="dxa"/>
              <w:right w:w="28" w:type="dxa"/>
            </w:tcMar>
          </w:tcPr>
          <w:p w:rsidR="002B448C" w:rsidRPr="00D14CE9" w:rsidRDefault="002B448C" w:rsidP="008E7274">
            <w:pPr>
              <w:rPr>
                <w:b/>
                <w:sz w:val="16"/>
                <w:szCs w:val="16"/>
              </w:rPr>
            </w:pPr>
          </w:p>
        </w:tc>
        <w:tc>
          <w:tcPr>
            <w:tcW w:w="1000" w:type="pct"/>
            <w:tcMar>
              <w:top w:w="28" w:type="dxa"/>
              <w:left w:w="28" w:type="dxa"/>
              <w:bottom w:w="28" w:type="dxa"/>
              <w:right w:w="28" w:type="dxa"/>
            </w:tcMar>
          </w:tcPr>
          <w:p w:rsidR="002B448C" w:rsidRPr="00D14CE9" w:rsidRDefault="002B448C" w:rsidP="00104A30">
            <w:pPr>
              <w:jc w:val="center"/>
              <w:rPr>
                <w:b/>
                <w:sz w:val="16"/>
                <w:szCs w:val="16"/>
              </w:rPr>
            </w:pPr>
            <w:r w:rsidRPr="00D14CE9">
              <w:rPr>
                <w:b/>
                <w:sz w:val="16"/>
                <w:szCs w:val="16"/>
              </w:rPr>
              <w:t>1021</w:t>
            </w:r>
          </w:p>
        </w:tc>
        <w:tc>
          <w:tcPr>
            <w:tcW w:w="1000" w:type="pct"/>
            <w:tcMar>
              <w:top w:w="28" w:type="dxa"/>
              <w:left w:w="28" w:type="dxa"/>
              <w:bottom w:w="28" w:type="dxa"/>
              <w:right w:w="28" w:type="dxa"/>
            </w:tcMar>
          </w:tcPr>
          <w:p w:rsidR="002B448C" w:rsidRPr="00D14CE9" w:rsidRDefault="002B448C" w:rsidP="00104A30">
            <w:pPr>
              <w:jc w:val="center"/>
              <w:rPr>
                <w:b/>
                <w:sz w:val="16"/>
                <w:szCs w:val="16"/>
              </w:rPr>
            </w:pPr>
            <w:r w:rsidRPr="00D14CE9">
              <w:rPr>
                <w:b/>
                <w:sz w:val="16"/>
                <w:szCs w:val="16"/>
              </w:rPr>
              <w:t>2676</w:t>
            </w:r>
          </w:p>
        </w:tc>
        <w:tc>
          <w:tcPr>
            <w:tcW w:w="1118" w:type="pct"/>
            <w:tcMar>
              <w:top w:w="28" w:type="dxa"/>
              <w:left w:w="28" w:type="dxa"/>
              <w:bottom w:w="28" w:type="dxa"/>
              <w:right w:w="28" w:type="dxa"/>
            </w:tcMar>
          </w:tcPr>
          <w:p w:rsidR="002B448C" w:rsidRPr="00D14CE9" w:rsidRDefault="002B448C" w:rsidP="008E7274">
            <w:pPr>
              <w:rPr>
                <w:b/>
                <w:sz w:val="16"/>
                <w:szCs w:val="16"/>
              </w:rPr>
            </w:pPr>
            <w:r w:rsidRPr="00D14CE9">
              <w:rPr>
                <w:b/>
                <w:sz w:val="16"/>
                <w:szCs w:val="16"/>
              </w:rPr>
              <w:t>n/a</w:t>
            </w:r>
          </w:p>
        </w:tc>
      </w:tr>
    </w:tbl>
    <w:p w:rsidR="002B448C" w:rsidRPr="00D14CE9" w:rsidRDefault="002B448C" w:rsidP="00F552CC">
      <w:pPr>
        <w:pStyle w:val="EYSource"/>
        <w:rPr>
          <w:lang w:val="en-AU"/>
        </w:rPr>
      </w:pPr>
      <w:r w:rsidRPr="00D14CE9">
        <w:rPr>
          <w:lang w:val="en-AU"/>
        </w:rPr>
        <w:t xml:space="preserve">Source: </w:t>
      </w:r>
      <w:hyperlink r:id="rId63" w:history="1">
        <w:r w:rsidRPr="00D14CE9">
          <w:rPr>
            <w:rStyle w:val="Hyperlink"/>
            <w:i w:val="0"/>
            <w:szCs w:val="16"/>
            <w:lang w:val="en-AU"/>
          </w:rPr>
          <w:t>http://www.energyandresources.vic.gov.au/energy/sustainable-energy/wind-energy/wind-projects</w:t>
        </w:r>
      </w:hyperlink>
      <w:r w:rsidRPr="00D14CE9">
        <w:rPr>
          <w:lang w:val="en-AU"/>
        </w:rPr>
        <w:t xml:space="preserve"> (August 2015)</w:t>
      </w:r>
    </w:p>
    <w:p w:rsidR="00F552CC" w:rsidRPr="00D14CE9" w:rsidRDefault="00F552CC" w:rsidP="00F552CC"/>
    <w:p w:rsidR="002B448C" w:rsidRPr="00D14CE9" w:rsidRDefault="002B448C" w:rsidP="00523809">
      <w:pPr>
        <w:pStyle w:val="EYBodytextwithparaspace"/>
        <w:rPr>
          <w:rFonts w:cstheme="majorHAnsi"/>
          <w:szCs w:val="20"/>
          <w:lang w:val="en-AU"/>
        </w:rPr>
      </w:pPr>
      <w:r w:rsidRPr="00D14CE9">
        <w:rPr>
          <w:rFonts w:cstheme="majorHAnsi"/>
          <w:szCs w:val="20"/>
          <w:lang w:val="en-AU"/>
        </w:rPr>
        <w:t>Windfarm construction profile (low range scenario) provided in Acil Allen Study in relation to Victorian New Wind Capacity expected to be constructed and provided by the DEDJTR. The below table outlines the construction profile assumed for the purpose of the analysis.</w:t>
      </w:r>
    </w:p>
    <w:tbl>
      <w:tblPr>
        <w:tblW w:w="91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33"/>
        <w:tblDescription w:val="Table 33 is a construction profile and capacity profile of windfarm projects. They are: 2016 – 0% construction and capacity profile, 2017 – 3.2% construction and 87 capacity profile, 2018 – 45.9% construction and 1228 capacity profile, 2019 – 38.6% construction and 1034 capacity profile, 2020 – 12.2% construction and 328 capacity profile. Total across all years is 100% construction and 2676 capacity profile."/>
      </w:tblPr>
      <w:tblGrid>
        <w:gridCol w:w="1872"/>
        <w:gridCol w:w="1215"/>
        <w:gridCol w:w="1215"/>
        <w:gridCol w:w="1215"/>
        <w:gridCol w:w="1215"/>
        <w:gridCol w:w="1215"/>
        <w:gridCol w:w="1215"/>
      </w:tblGrid>
      <w:tr w:rsidR="00410A66" w:rsidRPr="00D14CE9" w:rsidTr="003E25FF">
        <w:trPr>
          <w:trHeight w:val="20"/>
        </w:trPr>
        <w:tc>
          <w:tcPr>
            <w:tcW w:w="9162" w:type="dxa"/>
            <w:gridSpan w:val="7"/>
            <w:shd w:val="clear" w:color="auto" w:fill="808080"/>
            <w:noWrap/>
            <w:vAlign w:val="bottom"/>
          </w:tcPr>
          <w:p w:rsidR="00410A66" w:rsidRPr="00D14CE9" w:rsidRDefault="00410A66" w:rsidP="00802792">
            <w:pPr>
              <w:pStyle w:val="EYTableHeadingWhite"/>
              <w:rPr>
                <w:rFonts w:eastAsia="Arial Unicode MS"/>
              </w:rPr>
            </w:pPr>
            <w:bookmarkStart w:id="734" w:name="_Toc445240966"/>
            <w:bookmarkStart w:id="735" w:name="_Toc448914659"/>
            <w:bookmarkStart w:id="736" w:name="_Toc448920477"/>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33</w:t>
            </w:r>
            <w:r w:rsidR="00A9654D" w:rsidRPr="00802792">
              <w:fldChar w:fldCharType="end"/>
            </w:r>
            <w:r w:rsidRPr="00D14CE9">
              <w:t xml:space="preserve"> – </w:t>
            </w:r>
            <w:r w:rsidR="00F63AE4" w:rsidRPr="00D14CE9">
              <w:t>Windfarms Projects – Construction Profile</w:t>
            </w:r>
            <w:bookmarkEnd w:id="734"/>
            <w:bookmarkEnd w:id="735"/>
            <w:bookmarkEnd w:id="736"/>
          </w:p>
        </w:tc>
      </w:tr>
      <w:tr w:rsidR="00765938" w:rsidRPr="00D14CE9" w:rsidTr="003637FD">
        <w:trPr>
          <w:trHeight w:val="20"/>
        </w:trPr>
        <w:tc>
          <w:tcPr>
            <w:tcW w:w="1872" w:type="dxa"/>
            <w:shd w:val="clear" w:color="auto" w:fill="F0F0F0"/>
            <w:vAlign w:val="center"/>
          </w:tcPr>
          <w:p w:rsidR="00765938" w:rsidRPr="00D14CE9" w:rsidRDefault="00765938" w:rsidP="00E65C9D">
            <w:pPr>
              <w:pStyle w:val="EYTableHeading"/>
              <w:jc w:val="center"/>
              <w:rPr>
                <w:rFonts w:eastAsia="Arial Unicode MS"/>
              </w:rPr>
            </w:pPr>
          </w:p>
        </w:tc>
        <w:tc>
          <w:tcPr>
            <w:tcW w:w="1215" w:type="dxa"/>
            <w:shd w:val="clear" w:color="auto" w:fill="F0F0F0"/>
            <w:vAlign w:val="center"/>
          </w:tcPr>
          <w:p w:rsidR="00765938" w:rsidRPr="00D14CE9" w:rsidRDefault="00765938" w:rsidP="00E65C9D">
            <w:pPr>
              <w:pStyle w:val="EYTableHeading"/>
              <w:jc w:val="center"/>
              <w:rPr>
                <w:rFonts w:eastAsia="Arial Unicode MS"/>
              </w:rPr>
            </w:pPr>
            <w:r w:rsidRPr="00D14CE9">
              <w:rPr>
                <w:rFonts w:eastAsia="Arial Unicode MS"/>
              </w:rPr>
              <w:t>2016</w:t>
            </w:r>
          </w:p>
        </w:tc>
        <w:tc>
          <w:tcPr>
            <w:tcW w:w="1215" w:type="dxa"/>
            <w:shd w:val="clear" w:color="auto" w:fill="F0F0F0"/>
            <w:vAlign w:val="center"/>
          </w:tcPr>
          <w:p w:rsidR="00765938" w:rsidRPr="00D14CE9" w:rsidRDefault="00765938" w:rsidP="00E65C9D">
            <w:pPr>
              <w:pStyle w:val="EYTableHeading"/>
              <w:jc w:val="center"/>
              <w:rPr>
                <w:rFonts w:eastAsia="Arial Unicode MS"/>
              </w:rPr>
            </w:pPr>
            <w:r w:rsidRPr="00D14CE9">
              <w:rPr>
                <w:rFonts w:eastAsia="Arial Unicode MS"/>
              </w:rPr>
              <w:t>2017</w:t>
            </w:r>
          </w:p>
        </w:tc>
        <w:tc>
          <w:tcPr>
            <w:tcW w:w="1215" w:type="dxa"/>
            <w:shd w:val="clear" w:color="auto" w:fill="F0F0F0"/>
            <w:vAlign w:val="center"/>
          </w:tcPr>
          <w:p w:rsidR="00765938" w:rsidRPr="00D14CE9" w:rsidRDefault="00765938" w:rsidP="00E65C9D">
            <w:pPr>
              <w:pStyle w:val="EYTableHeading"/>
              <w:jc w:val="center"/>
              <w:rPr>
                <w:rFonts w:eastAsia="Arial Unicode MS"/>
              </w:rPr>
            </w:pPr>
            <w:r w:rsidRPr="00D14CE9">
              <w:rPr>
                <w:rFonts w:eastAsia="Arial Unicode MS"/>
              </w:rPr>
              <w:t>2018</w:t>
            </w:r>
          </w:p>
        </w:tc>
        <w:tc>
          <w:tcPr>
            <w:tcW w:w="1215" w:type="dxa"/>
            <w:shd w:val="clear" w:color="auto" w:fill="F0F0F0"/>
            <w:vAlign w:val="center"/>
          </w:tcPr>
          <w:p w:rsidR="00765938" w:rsidRPr="00D14CE9" w:rsidRDefault="00765938" w:rsidP="00E65C9D">
            <w:pPr>
              <w:pStyle w:val="EYTableHeading"/>
              <w:jc w:val="center"/>
              <w:rPr>
                <w:rFonts w:eastAsia="Arial Unicode MS"/>
              </w:rPr>
            </w:pPr>
            <w:r w:rsidRPr="00D14CE9">
              <w:rPr>
                <w:rFonts w:eastAsia="Arial Unicode MS"/>
              </w:rPr>
              <w:t>2019</w:t>
            </w:r>
          </w:p>
        </w:tc>
        <w:tc>
          <w:tcPr>
            <w:tcW w:w="1215" w:type="dxa"/>
            <w:shd w:val="clear" w:color="auto" w:fill="F0F0F0"/>
            <w:vAlign w:val="center"/>
          </w:tcPr>
          <w:p w:rsidR="00765938" w:rsidRPr="00D14CE9" w:rsidRDefault="00765938" w:rsidP="00E65C9D">
            <w:pPr>
              <w:pStyle w:val="EYTableHeading"/>
              <w:jc w:val="center"/>
              <w:rPr>
                <w:rFonts w:eastAsia="Arial Unicode MS"/>
              </w:rPr>
            </w:pPr>
            <w:r w:rsidRPr="00D14CE9">
              <w:rPr>
                <w:rFonts w:eastAsia="Arial Unicode MS"/>
              </w:rPr>
              <w:t>2020</w:t>
            </w:r>
          </w:p>
        </w:tc>
        <w:tc>
          <w:tcPr>
            <w:tcW w:w="1215" w:type="dxa"/>
            <w:shd w:val="clear" w:color="auto" w:fill="F0F0F0"/>
            <w:vAlign w:val="center"/>
          </w:tcPr>
          <w:p w:rsidR="00765938" w:rsidRPr="00D14CE9" w:rsidRDefault="00765938" w:rsidP="00E65C9D">
            <w:pPr>
              <w:pStyle w:val="EYTableHeading"/>
              <w:jc w:val="center"/>
              <w:rPr>
                <w:rFonts w:eastAsia="Arial Unicode MS"/>
              </w:rPr>
            </w:pPr>
            <w:r w:rsidRPr="00D14CE9">
              <w:rPr>
                <w:rFonts w:eastAsia="Arial Unicode MS"/>
              </w:rPr>
              <w:t>Total</w:t>
            </w:r>
          </w:p>
        </w:tc>
      </w:tr>
      <w:tr w:rsidR="00765938" w:rsidRPr="00D14CE9" w:rsidTr="003637FD">
        <w:trPr>
          <w:trHeight w:val="20"/>
        </w:trPr>
        <w:tc>
          <w:tcPr>
            <w:tcW w:w="1872" w:type="dxa"/>
            <w:noWrap/>
            <w:tcMar>
              <w:top w:w="28" w:type="dxa"/>
              <w:left w:w="28" w:type="dxa"/>
              <w:bottom w:w="28" w:type="dxa"/>
              <w:right w:w="28" w:type="dxa"/>
            </w:tcMar>
            <w:vAlign w:val="center"/>
          </w:tcPr>
          <w:p w:rsidR="00765938" w:rsidRPr="00D14CE9" w:rsidRDefault="00765938" w:rsidP="00981B6B">
            <w:pPr>
              <w:rPr>
                <w:sz w:val="16"/>
                <w:szCs w:val="16"/>
              </w:rPr>
            </w:pPr>
            <w:r w:rsidRPr="00D14CE9">
              <w:rPr>
                <w:sz w:val="16"/>
                <w:szCs w:val="16"/>
              </w:rPr>
              <w:t>Construction Profile</w:t>
            </w:r>
          </w:p>
        </w:tc>
        <w:tc>
          <w:tcPr>
            <w:tcW w:w="1215" w:type="dxa"/>
            <w:noWrap/>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0.0%</w:t>
            </w:r>
          </w:p>
        </w:tc>
        <w:tc>
          <w:tcPr>
            <w:tcW w:w="1215" w:type="dxa"/>
            <w:noWrap/>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3.2%</w:t>
            </w:r>
          </w:p>
        </w:tc>
        <w:tc>
          <w:tcPr>
            <w:tcW w:w="1215" w:type="dxa"/>
            <w:noWrap/>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45.9%</w:t>
            </w:r>
          </w:p>
        </w:tc>
        <w:tc>
          <w:tcPr>
            <w:tcW w:w="1215" w:type="dxa"/>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38.6%</w:t>
            </w:r>
          </w:p>
        </w:tc>
        <w:tc>
          <w:tcPr>
            <w:tcW w:w="1215" w:type="dxa"/>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12.2%</w:t>
            </w:r>
          </w:p>
        </w:tc>
        <w:tc>
          <w:tcPr>
            <w:tcW w:w="1215" w:type="dxa"/>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100.0%</w:t>
            </w:r>
          </w:p>
        </w:tc>
      </w:tr>
      <w:tr w:rsidR="00765938" w:rsidRPr="00D14CE9" w:rsidTr="003637FD">
        <w:trPr>
          <w:trHeight w:val="20"/>
        </w:trPr>
        <w:tc>
          <w:tcPr>
            <w:tcW w:w="1872" w:type="dxa"/>
            <w:noWrap/>
            <w:tcMar>
              <w:top w:w="28" w:type="dxa"/>
              <w:left w:w="28" w:type="dxa"/>
              <w:bottom w:w="28" w:type="dxa"/>
              <w:right w:w="28" w:type="dxa"/>
            </w:tcMar>
            <w:vAlign w:val="center"/>
          </w:tcPr>
          <w:p w:rsidR="00765938" w:rsidRPr="00D14CE9" w:rsidRDefault="00765938" w:rsidP="00981B6B">
            <w:pPr>
              <w:rPr>
                <w:sz w:val="16"/>
                <w:szCs w:val="16"/>
              </w:rPr>
            </w:pPr>
            <w:r w:rsidRPr="00D14CE9">
              <w:rPr>
                <w:sz w:val="16"/>
                <w:szCs w:val="16"/>
              </w:rPr>
              <w:t>Capacity Profile</w:t>
            </w:r>
          </w:p>
        </w:tc>
        <w:tc>
          <w:tcPr>
            <w:tcW w:w="1215" w:type="dxa"/>
            <w:noWrap/>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0</w:t>
            </w:r>
          </w:p>
        </w:tc>
        <w:tc>
          <w:tcPr>
            <w:tcW w:w="1215" w:type="dxa"/>
            <w:noWrap/>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87</w:t>
            </w:r>
          </w:p>
        </w:tc>
        <w:tc>
          <w:tcPr>
            <w:tcW w:w="1215" w:type="dxa"/>
            <w:noWrap/>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1228</w:t>
            </w:r>
          </w:p>
        </w:tc>
        <w:tc>
          <w:tcPr>
            <w:tcW w:w="1215" w:type="dxa"/>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1034</w:t>
            </w:r>
          </w:p>
        </w:tc>
        <w:tc>
          <w:tcPr>
            <w:tcW w:w="1215" w:type="dxa"/>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328</w:t>
            </w:r>
          </w:p>
        </w:tc>
        <w:tc>
          <w:tcPr>
            <w:tcW w:w="1215" w:type="dxa"/>
            <w:tcMar>
              <w:top w:w="28" w:type="dxa"/>
              <w:left w:w="28" w:type="dxa"/>
              <w:bottom w:w="28" w:type="dxa"/>
              <w:right w:w="28" w:type="dxa"/>
            </w:tcMar>
            <w:vAlign w:val="center"/>
          </w:tcPr>
          <w:p w:rsidR="00765938" w:rsidRPr="00D14CE9" w:rsidRDefault="00765938" w:rsidP="00A62870">
            <w:pPr>
              <w:jc w:val="center"/>
              <w:rPr>
                <w:sz w:val="16"/>
                <w:szCs w:val="16"/>
              </w:rPr>
            </w:pPr>
            <w:r w:rsidRPr="00D14CE9">
              <w:rPr>
                <w:sz w:val="16"/>
                <w:szCs w:val="16"/>
              </w:rPr>
              <w:t>2,676</w:t>
            </w:r>
          </w:p>
        </w:tc>
      </w:tr>
    </w:tbl>
    <w:p w:rsidR="002B448C" w:rsidRPr="00D14CE9" w:rsidRDefault="00A62870" w:rsidP="00F552CC">
      <w:pPr>
        <w:pStyle w:val="EYSource"/>
        <w:rPr>
          <w:lang w:val="en-AU"/>
        </w:rPr>
      </w:pPr>
      <w:r w:rsidRPr="00D14CE9">
        <w:rPr>
          <w:lang w:val="en-AU"/>
        </w:rPr>
        <w:t>S</w:t>
      </w:r>
      <w:r w:rsidR="002B448C" w:rsidRPr="00D14CE9">
        <w:rPr>
          <w:lang w:val="en-AU"/>
        </w:rPr>
        <w:t>ource: EY analysis based on Acil Allen Study</w:t>
      </w:r>
    </w:p>
    <w:p w:rsidR="002B448C" w:rsidRPr="00AB2F47" w:rsidRDefault="002B448C" w:rsidP="003637FD"/>
    <w:p w:rsidR="002B448C" w:rsidRPr="00D14CE9" w:rsidRDefault="002B448C" w:rsidP="008C0D54">
      <w:pPr>
        <w:pStyle w:val="EYBodytextwithparaspace"/>
        <w:rPr>
          <w:rFonts w:cstheme="majorHAnsi"/>
          <w:szCs w:val="20"/>
          <w:lang w:val="en-AU"/>
        </w:rPr>
      </w:pPr>
      <w:r w:rsidRPr="00D14CE9">
        <w:rPr>
          <w:rFonts w:cstheme="majorHAnsi"/>
          <w:szCs w:val="20"/>
          <w:lang w:val="en-AU"/>
        </w:rPr>
        <w:t xml:space="preserve">As a result, a construction profile of wind farms turbines to be built has been extrapolated, that prioritized the construction of windfarms with the highest proposed capacities. </w:t>
      </w:r>
    </w:p>
    <w:p w:rsidR="002B448C" w:rsidRPr="00D14CE9" w:rsidRDefault="002B448C" w:rsidP="00523809">
      <w:pPr>
        <w:pStyle w:val="EYBodytextwithparaspace"/>
        <w:rPr>
          <w:rFonts w:cstheme="majorHAnsi"/>
          <w:szCs w:val="20"/>
          <w:lang w:val="en-AU"/>
        </w:rPr>
      </w:pPr>
      <w:r w:rsidRPr="00D14CE9">
        <w:rPr>
          <w:rFonts w:cstheme="majorHAnsi"/>
          <w:szCs w:val="20"/>
          <w:lang w:val="en-AU"/>
        </w:rPr>
        <w:t xml:space="preserve">Estimates of the wind farms construction demand for extractive resources have then been calculated, multiplying the number of wind turbines by the quantity of extractive resources required for a wind turbine. Those estimated quantities were provided by AECOM on 23 December 2015. Where asphalt is used as a commodity product for construction purposes, 15% of asphalt </w:t>
      </w:r>
      <w:r w:rsidRPr="00D14CE9">
        <w:rPr>
          <w:rFonts w:cstheme="majorHAnsi"/>
          <w:szCs w:val="20"/>
          <w:lang w:val="en-AU"/>
        </w:rPr>
        <w:lastRenderedPageBreak/>
        <w:t>manufactured was considered to be made from recycled materials and therefore not accounted in the demand for extractive resources subsequent to the construction needs. Figures presented in AECOM data do not reflect this adjustment. Overall, based on AECOM data provided for wind turbines, the use of extractive resources in relation to the wind farms construction can be summarized as follows.</w:t>
      </w:r>
      <w:r w:rsidR="00A34847" w:rsidRPr="00D14CE9">
        <w:rPr>
          <w:rFonts w:cstheme="majorHAnsi"/>
          <w:szCs w:val="20"/>
          <w:lang w:val="en-AU"/>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34"/>
        <w:tblDescription w:val="Table 34 shows estimated breakdown of extractive resources required for wind farm construction activity. 97% is hard rock, 2% is limestone, 0.3% is clay and clay shale, and 5% is sand and gravel."/>
      </w:tblPr>
      <w:tblGrid>
        <w:gridCol w:w="2582"/>
        <w:gridCol w:w="1669"/>
        <w:gridCol w:w="1670"/>
        <w:gridCol w:w="1668"/>
        <w:gridCol w:w="1670"/>
      </w:tblGrid>
      <w:tr w:rsidR="00981B6B" w:rsidRPr="00D14CE9" w:rsidTr="00F10554">
        <w:trPr>
          <w:trHeight w:val="315"/>
        </w:trPr>
        <w:tc>
          <w:tcPr>
            <w:tcW w:w="5000" w:type="pct"/>
            <w:gridSpan w:val="5"/>
            <w:shd w:val="clear" w:color="auto" w:fill="808080"/>
            <w:noWrap/>
            <w:vAlign w:val="bottom"/>
          </w:tcPr>
          <w:p w:rsidR="00981B6B" w:rsidRPr="00D14CE9" w:rsidRDefault="00981B6B" w:rsidP="00802792">
            <w:pPr>
              <w:pStyle w:val="EYTableHeadingWhite"/>
              <w:rPr>
                <w:rFonts w:eastAsia="Arial Unicode MS"/>
              </w:rPr>
            </w:pPr>
            <w:bookmarkStart w:id="737" w:name="_Toc445240967"/>
            <w:bookmarkStart w:id="738" w:name="_Toc448914660"/>
            <w:bookmarkStart w:id="739" w:name="_Toc448920478"/>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34</w:t>
            </w:r>
            <w:r w:rsidR="00A9654D" w:rsidRPr="00802792">
              <w:fldChar w:fldCharType="end"/>
            </w:r>
            <w:r w:rsidRPr="00D14CE9">
              <w:t xml:space="preserve"> – Estimated breakdown of extractive resources required for wind farm construction activity (%)</w:t>
            </w:r>
            <w:bookmarkEnd w:id="737"/>
            <w:bookmarkEnd w:id="738"/>
            <w:bookmarkEnd w:id="739"/>
          </w:p>
        </w:tc>
      </w:tr>
      <w:tr w:rsidR="00981B6B" w:rsidRPr="00D14CE9" w:rsidTr="00F10554">
        <w:tc>
          <w:tcPr>
            <w:tcW w:w="1394" w:type="pct"/>
            <w:shd w:val="clear" w:color="auto" w:fill="F0F0F0"/>
            <w:vAlign w:val="center"/>
          </w:tcPr>
          <w:p w:rsidR="00981B6B" w:rsidRPr="00D14CE9" w:rsidRDefault="00981B6B" w:rsidP="00E65C9D">
            <w:pPr>
              <w:pStyle w:val="EYTableHeading"/>
              <w:jc w:val="center"/>
              <w:rPr>
                <w:rFonts w:eastAsia="Arial Unicode MS"/>
              </w:rPr>
            </w:pPr>
          </w:p>
        </w:tc>
        <w:tc>
          <w:tcPr>
            <w:tcW w:w="901" w:type="pct"/>
            <w:shd w:val="clear" w:color="auto" w:fill="F0F0F0"/>
            <w:vAlign w:val="center"/>
          </w:tcPr>
          <w:p w:rsidR="00981B6B" w:rsidRPr="00D14CE9" w:rsidRDefault="00981B6B" w:rsidP="00E65C9D">
            <w:pPr>
              <w:pStyle w:val="EYTableHeading"/>
              <w:jc w:val="center"/>
              <w:rPr>
                <w:rFonts w:eastAsia="Arial Unicode MS"/>
              </w:rPr>
            </w:pPr>
            <w:r w:rsidRPr="00D14CE9">
              <w:rPr>
                <w:rFonts w:eastAsia="Arial Unicode MS"/>
              </w:rPr>
              <w:t>Hard rock (%)</w:t>
            </w:r>
          </w:p>
        </w:tc>
        <w:tc>
          <w:tcPr>
            <w:tcW w:w="902" w:type="pct"/>
            <w:shd w:val="clear" w:color="auto" w:fill="F0F0F0"/>
            <w:vAlign w:val="center"/>
          </w:tcPr>
          <w:p w:rsidR="00981B6B" w:rsidRPr="00D14CE9" w:rsidRDefault="00981B6B" w:rsidP="00E65C9D">
            <w:pPr>
              <w:pStyle w:val="EYTableHeading"/>
              <w:jc w:val="center"/>
              <w:rPr>
                <w:rFonts w:eastAsia="Arial Unicode MS"/>
              </w:rPr>
            </w:pPr>
            <w:r w:rsidRPr="00D14CE9">
              <w:rPr>
                <w:rFonts w:eastAsia="Arial Unicode MS"/>
              </w:rPr>
              <w:t>Limestone (%)</w:t>
            </w:r>
          </w:p>
        </w:tc>
        <w:tc>
          <w:tcPr>
            <w:tcW w:w="901" w:type="pct"/>
            <w:shd w:val="clear" w:color="auto" w:fill="F0F0F0"/>
            <w:vAlign w:val="center"/>
          </w:tcPr>
          <w:p w:rsidR="00981B6B" w:rsidRPr="00D14CE9" w:rsidRDefault="00981B6B" w:rsidP="00E65C9D">
            <w:pPr>
              <w:pStyle w:val="EYTableHeading"/>
              <w:jc w:val="center"/>
              <w:rPr>
                <w:rFonts w:eastAsia="Arial Unicode MS"/>
              </w:rPr>
            </w:pPr>
            <w:r w:rsidRPr="00D14CE9">
              <w:rPr>
                <w:rFonts w:eastAsia="Arial Unicode MS"/>
              </w:rPr>
              <w:t>Clay and clay shale (%)</w:t>
            </w:r>
          </w:p>
        </w:tc>
        <w:tc>
          <w:tcPr>
            <w:tcW w:w="902" w:type="pct"/>
            <w:shd w:val="clear" w:color="auto" w:fill="F0F0F0"/>
            <w:vAlign w:val="center"/>
          </w:tcPr>
          <w:p w:rsidR="00981B6B" w:rsidRPr="00D14CE9" w:rsidRDefault="00981B6B" w:rsidP="00E65C9D">
            <w:pPr>
              <w:pStyle w:val="EYTableHeading"/>
              <w:jc w:val="center"/>
              <w:rPr>
                <w:rFonts w:eastAsia="Arial Unicode MS"/>
              </w:rPr>
            </w:pPr>
            <w:r w:rsidRPr="00D14CE9">
              <w:rPr>
                <w:rFonts w:eastAsia="Arial Unicode MS"/>
              </w:rPr>
              <w:t>Sand and gravel (%)</w:t>
            </w:r>
          </w:p>
        </w:tc>
      </w:tr>
      <w:tr w:rsidR="00981B6B" w:rsidRPr="00D14CE9" w:rsidTr="00F10554">
        <w:trPr>
          <w:trHeight w:val="315"/>
        </w:trPr>
        <w:tc>
          <w:tcPr>
            <w:tcW w:w="1394" w:type="pct"/>
            <w:noWrap/>
            <w:vAlign w:val="center"/>
          </w:tcPr>
          <w:p w:rsidR="00981B6B" w:rsidRPr="00D14CE9" w:rsidRDefault="00981B6B" w:rsidP="00D05D95">
            <w:pPr>
              <w:rPr>
                <w:sz w:val="16"/>
                <w:szCs w:val="16"/>
              </w:rPr>
            </w:pPr>
            <w:r w:rsidRPr="00D14CE9">
              <w:rPr>
                <w:sz w:val="16"/>
                <w:szCs w:val="16"/>
              </w:rPr>
              <w:t>Wind Farm projects</w:t>
            </w:r>
          </w:p>
        </w:tc>
        <w:tc>
          <w:tcPr>
            <w:tcW w:w="901" w:type="pct"/>
            <w:noWrap/>
            <w:vAlign w:val="center"/>
          </w:tcPr>
          <w:p w:rsidR="00981B6B" w:rsidRPr="00D14CE9" w:rsidRDefault="00981B6B" w:rsidP="00D05D95">
            <w:pPr>
              <w:jc w:val="center"/>
              <w:rPr>
                <w:sz w:val="16"/>
                <w:szCs w:val="16"/>
              </w:rPr>
            </w:pPr>
            <w:r w:rsidRPr="00D14CE9">
              <w:rPr>
                <w:sz w:val="16"/>
                <w:szCs w:val="16"/>
              </w:rPr>
              <w:t>93%</w:t>
            </w:r>
          </w:p>
        </w:tc>
        <w:tc>
          <w:tcPr>
            <w:tcW w:w="902" w:type="pct"/>
            <w:noWrap/>
            <w:vAlign w:val="center"/>
          </w:tcPr>
          <w:p w:rsidR="00981B6B" w:rsidRPr="00D14CE9" w:rsidRDefault="00981B6B" w:rsidP="00D05D95">
            <w:pPr>
              <w:jc w:val="center"/>
              <w:rPr>
                <w:sz w:val="16"/>
                <w:szCs w:val="16"/>
              </w:rPr>
            </w:pPr>
            <w:r w:rsidRPr="00D14CE9">
              <w:rPr>
                <w:sz w:val="16"/>
                <w:szCs w:val="16"/>
              </w:rPr>
              <w:t>2%</w:t>
            </w:r>
          </w:p>
        </w:tc>
        <w:tc>
          <w:tcPr>
            <w:tcW w:w="901" w:type="pct"/>
            <w:noWrap/>
            <w:vAlign w:val="center"/>
          </w:tcPr>
          <w:p w:rsidR="00981B6B" w:rsidRPr="00D14CE9" w:rsidRDefault="00981B6B" w:rsidP="00D05D95">
            <w:pPr>
              <w:jc w:val="center"/>
              <w:rPr>
                <w:sz w:val="16"/>
                <w:szCs w:val="16"/>
              </w:rPr>
            </w:pPr>
            <w:r w:rsidRPr="00D14CE9">
              <w:rPr>
                <w:sz w:val="16"/>
                <w:szCs w:val="16"/>
              </w:rPr>
              <w:t>0.3 %</w:t>
            </w:r>
          </w:p>
        </w:tc>
        <w:tc>
          <w:tcPr>
            <w:tcW w:w="902" w:type="pct"/>
            <w:vAlign w:val="center"/>
          </w:tcPr>
          <w:p w:rsidR="00981B6B" w:rsidRPr="00D14CE9" w:rsidRDefault="00981B6B" w:rsidP="00D05D95">
            <w:pPr>
              <w:jc w:val="center"/>
              <w:rPr>
                <w:sz w:val="16"/>
                <w:szCs w:val="16"/>
              </w:rPr>
            </w:pPr>
            <w:r w:rsidRPr="00D14CE9">
              <w:rPr>
                <w:sz w:val="16"/>
                <w:szCs w:val="16"/>
              </w:rPr>
              <w:t>5%</w:t>
            </w:r>
          </w:p>
        </w:tc>
      </w:tr>
    </w:tbl>
    <w:p w:rsidR="002B448C" w:rsidRPr="00D14CE9" w:rsidRDefault="002B448C" w:rsidP="00F552CC">
      <w:pPr>
        <w:pStyle w:val="EYSource"/>
        <w:rPr>
          <w:lang w:val="en-AU"/>
        </w:rPr>
      </w:pPr>
      <w:r w:rsidRPr="00D14CE9">
        <w:rPr>
          <w:lang w:val="en-AU"/>
        </w:rPr>
        <w:t>Source: EY analysis based on AECOM inputs</w:t>
      </w:r>
    </w:p>
    <w:p w:rsidR="002B448C" w:rsidRPr="00D14CE9" w:rsidRDefault="002867BF" w:rsidP="00523809">
      <w:pPr>
        <w:pStyle w:val="EYBodytextwithparaspace"/>
        <w:rPr>
          <w:rFonts w:cstheme="majorHAnsi"/>
          <w:szCs w:val="20"/>
          <w:lang w:val="en-AU"/>
        </w:rPr>
      </w:pPr>
      <w:r>
        <w:rPr>
          <w:rFonts w:cstheme="majorHAnsi"/>
          <w:szCs w:val="20"/>
          <w:lang w:val="en-AU"/>
        </w:rPr>
        <w:br/>
      </w:r>
      <w:r w:rsidR="002B448C" w:rsidRPr="00D14CE9">
        <w:rPr>
          <w:rFonts w:cstheme="majorHAnsi"/>
          <w:szCs w:val="20"/>
          <w:lang w:val="en-AU"/>
        </w:rPr>
        <w:t xml:space="preserve">However, further discussion with AECOM indicated that from an Energy and Utilities sector </w:t>
      </w:r>
      <w:r w:rsidR="002542FD" w:rsidRPr="00D14CE9">
        <w:rPr>
          <w:rFonts w:cstheme="majorHAnsi"/>
          <w:szCs w:val="20"/>
          <w:lang w:val="en-AU"/>
        </w:rPr>
        <w:t>perspective</w:t>
      </w:r>
      <w:r w:rsidR="002B448C" w:rsidRPr="00D14CE9">
        <w:rPr>
          <w:rFonts w:cstheme="majorHAnsi"/>
          <w:szCs w:val="20"/>
          <w:lang w:val="en-AU"/>
        </w:rPr>
        <w:t xml:space="preserve">, most of the materials required for new builds would be hard rock and soil. As a result, the assumption has been made to consider, for the Energy and Utilities construction activity as a whole, that hard rock may represent 100% of the extractive resources required. </w:t>
      </w:r>
      <w:r w:rsidR="00861BFA" w:rsidRPr="00D14CE9">
        <w:rPr>
          <w:rFonts w:cstheme="majorHAnsi"/>
          <w:szCs w:val="20"/>
          <w:lang w:val="en-AU"/>
        </w:rPr>
        <w:t xml:space="preserve">This breakdown has been used in the macro-economic driven model to spatially allocate extractive resources, in each LGA, based on the forecast spatial allocation of </w:t>
      </w:r>
      <w:r w:rsidR="0001368F" w:rsidRPr="00D14CE9">
        <w:rPr>
          <w:rFonts w:cstheme="majorHAnsi"/>
          <w:szCs w:val="20"/>
          <w:lang w:val="en-AU"/>
        </w:rPr>
        <w:t>E</w:t>
      </w:r>
      <w:r w:rsidR="00861BFA" w:rsidRPr="00D14CE9">
        <w:rPr>
          <w:rFonts w:cstheme="majorHAnsi"/>
          <w:szCs w:val="20"/>
          <w:lang w:val="en-AU"/>
        </w:rPr>
        <w:t>nergy and Utilities construction activity ($ value).</w:t>
      </w:r>
    </w:p>
    <w:p w:rsidR="002B448C" w:rsidRPr="00D14CE9" w:rsidRDefault="002B448C" w:rsidP="00B264BF">
      <w:pPr>
        <w:pStyle w:val="EYNormal"/>
        <w:rPr>
          <w:lang w:val="en-AU"/>
        </w:rPr>
      </w:pPr>
    </w:p>
    <w:p w:rsidR="006B034E" w:rsidRPr="00D14CE9" w:rsidRDefault="006B034E" w:rsidP="006B034E">
      <w:pPr>
        <w:pStyle w:val="EYAppendix"/>
        <w:pageBreakBefore/>
        <w:ind w:left="2275" w:hanging="2275"/>
        <w:rPr>
          <w:lang w:val="en-AU"/>
        </w:rPr>
      </w:pPr>
      <w:bookmarkStart w:id="740" w:name="_Ref441151477"/>
      <w:bookmarkStart w:id="741" w:name="_Ref441165392"/>
      <w:bookmarkStart w:id="742" w:name="_Ref441165462"/>
      <w:bookmarkStart w:id="743" w:name="_Ref441399492"/>
      <w:bookmarkStart w:id="744" w:name="_Toc441435331"/>
      <w:bookmarkStart w:id="745" w:name="_Toc451847096"/>
      <w:r w:rsidRPr="00D14CE9">
        <w:rPr>
          <w:lang w:val="en-AU"/>
        </w:rPr>
        <w:lastRenderedPageBreak/>
        <w:t>List of organizations consulted</w:t>
      </w:r>
      <w:bookmarkEnd w:id="740"/>
      <w:bookmarkEnd w:id="741"/>
      <w:bookmarkEnd w:id="742"/>
      <w:bookmarkEnd w:id="743"/>
      <w:bookmarkEnd w:id="744"/>
      <w:bookmarkEnd w:id="745"/>
    </w:p>
    <w:p w:rsidR="006B034E" w:rsidRPr="00D14CE9" w:rsidRDefault="006B034E" w:rsidP="00D05D95">
      <w:pPr>
        <w:pStyle w:val="EYBodytextwithparaspace"/>
        <w:rPr>
          <w:rFonts w:cstheme="majorHAnsi"/>
          <w:szCs w:val="20"/>
          <w:lang w:val="en-AU"/>
        </w:rPr>
      </w:pPr>
      <w:r w:rsidRPr="00D14CE9">
        <w:rPr>
          <w:rFonts w:cstheme="majorHAnsi"/>
          <w:szCs w:val="20"/>
          <w:lang w:val="en-AU"/>
        </w:rPr>
        <w:t>The following organizations were consulted in the course of the demand profile development.</w:t>
      </w:r>
    </w:p>
    <w:tbl>
      <w:tblPr>
        <w:tblW w:w="91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35 "/>
        <w:tblDescription w:val="Table 35 shows a list of industry stakeholders consulted, their representatives and the consultation dates. They are: 1. Brookfield Multiplex - Frank McMahon, Business Development Director and Andrew James, Regional Director - Face to face meeting on 4 November 2015.  2. PROBUILD - Seamus Eagan, Construction Director - Communication via email November 2015 3. Aquenta - Nick Monaghan , Associate Director and James Lambert,  Consultant - Face to face meeting on 11 November 2015. 4. VicRoads - John Murphy, Strategic Planning Coordinator – Regional Strategy and Planning, Graeme Newman, Quarry Materials Specialist - Face to face meeting on 23 November 2015. 5. Boral - Mario Tabone, Technical Specialist Concrete - Phone call 23 November 2015.  6. Boral - Cameron McInnes, Technical Manager - Quarries (Southern Region) - Phone call 30 November 2015."/>
      </w:tblPr>
      <w:tblGrid>
        <w:gridCol w:w="612"/>
        <w:gridCol w:w="2250"/>
        <w:gridCol w:w="3330"/>
        <w:gridCol w:w="2970"/>
      </w:tblGrid>
      <w:tr w:rsidR="00D05D95" w:rsidRPr="00D14CE9" w:rsidTr="003637FD">
        <w:trPr>
          <w:trHeight w:val="315"/>
        </w:trPr>
        <w:tc>
          <w:tcPr>
            <w:tcW w:w="9162" w:type="dxa"/>
            <w:gridSpan w:val="4"/>
            <w:shd w:val="clear" w:color="auto" w:fill="808080"/>
            <w:noWrap/>
            <w:tcMar>
              <w:top w:w="28" w:type="dxa"/>
              <w:left w:w="28" w:type="dxa"/>
              <w:bottom w:w="28" w:type="dxa"/>
              <w:right w:w="28" w:type="dxa"/>
            </w:tcMar>
            <w:vAlign w:val="center"/>
          </w:tcPr>
          <w:p w:rsidR="00D05D95" w:rsidRPr="00D14CE9" w:rsidRDefault="00D05D95" w:rsidP="00F10554">
            <w:pPr>
              <w:pStyle w:val="EYTableHeadingWhite"/>
              <w:spacing w:before="0" w:after="0"/>
              <w:rPr>
                <w:rFonts w:eastAsia="Arial Unicode MS"/>
              </w:rPr>
            </w:pPr>
            <w:bookmarkStart w:id="746" w:name="_Toc445240968"/>
            <w:bookmarkStart w:id="747" w:name="_Toc448914661"/>
            <w:bookmarkStart w:id="748" w:name="_Toc448920479"/>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35</w:t>
            </w:r>
            <w:r w:rsidR="00A9654D" w:rsidRPr="00802792">
              <w:fldChar w:fldCharType="end"/>
            </w:r>
            <w:r w:rsidRPr="00D14CE9">
              <w:t xml:space="preserve"> – List of industry stakeholders consulted</w:t>
            </w:r>
            <w:bookmarkEnd w:id="746"/>
            <w:bookmarkEnd w:id="747"/>
            <w:bookmarkEnd w:id="748"/>
          </w:p>
        </w:tc>
      </w:tr>
      <w:tr w:rsidR="00D05D95" w:rsidRPr="00D14CE9" w:rsidTr="00F10554">
        <w:tc>
          <w:tcPr>
            <w:tcW w:w="612" w:type="dxa"/>
            <w:shd w:val="clear" w:color="auto" w:fill="F0F0F0"/>
            <w:tcMar>
              <w:top w:w="28" w:type="dxa"/>
              <w:left w:w="28" w:type="dxa"/>
              <w:bottom w:w="28" w:type="dxa"/>
              <w:right w:w="28" w:type="dxa"/>
            </w:tcMar>
          </w:tcPr>
          <w:p w:rsidR="00D05D95" w:rsidRPr="00D14CE9" w:rsidRDefault="00D05D95" w:rsidP="00F10554">
            <w:pPr>
              <w:pStyle w:val="EYTableHeading"/>
              <w:spacing w:before="0" w:after="0"/>
              <w:rPr>
                <w:rFonts w:eastAsia="Arial Unicode MS"/>
              </w:rPr>
            </w:pPr>
            <w:r w:rsidRPr="00D14CE9">
              <w:t>#</w:t>
            </w:r>
          </w:p>
        </w:tc>
        <w:tc>
          <w:tcPr>
            <w:tcW w:w="2250" w:type="dxa"/>
            <w:shd w:val="clear" w:color="auto" w:fill="F0F0F0"/>
            <w:tcMar>
              <w:top w:w="28" w:type="dxa"/>
              <w:left w:w="28" w:type="dxa"/>
              <w:bottom w:w="28" w:type="dxa"/>
              <w:right w:w="28" w:type="dxa"/>
            </w:tcMar>
          </w:tcPr>
          <w:p w:rsidR="00D05D95" w:rsidRPr="00D14CE9" w:rsidRDefault="00D05D95" w:rsidP="00F10554">
            <w:pPr>
              <w:pStyle w:val="EYTableHeading"/>
              <w:spacing w:before="0" w:after="0"/>
              <w:rPr>
                <w:rFonts w:eastAsia="Arial Unicode MS"/>
              </w:rPr>
            </w:pPr>
            <w:r w:rsidRPr="00D14CE9">
              <w:t>Industry stakeholders</w:t>
            </w:r>
          </w:p>
        </w:tc>
        <w:tc>
          <w:tcPr>
            <w:tcW w:w="3330" w:type="dxa"/>
            <w:shd w:val="clear" w:color="auto" w:fill="F0F0F0"/>
            <w:tcMar>
              <w:top w:w="28" w:type="dxa"/>
              <w:left w:w="28" w:type="dxa"/>
              <w:bottom w:w="28" w:type="dxa"/>
              <w:right w:w="28" w:type="dxa"/>
            </w:tcMar>
          </w:tcPr>
          <w:p w:rsidR="00D05D95" w:rsidRPr="00D14CE9" w:rsidRDefault="00D05D95" w:rsidP="00F10554">
            <w:pPr>
              <w:pStyle w:val="EYTableHeading"/>
              <w:spacing w:before="0" w:after="0"/>
              <w:rPr>
                <w:rFonts w:eastAsia="Arial Unicode MS"/>
              </w:rPr>
            </w:pPr>
            <w:r w:rsidRPr="00D14CE9">
              <w:t>Representatives</w:t>
            </w:r>
          </w:p>
        </w:tc>
        <w:tc>
          <w:tcPr>
            <w:tcW w:w="2970" w:type="dxa"/>
            <w:shd w:val="clear" w:color="auto" w:fill="F0F0F0"/>
            <w:tcMar>
              <w:top w:w="28" w:type="dxa"/>
              <w:left w:w="28" w:type="dxa"/>
              <w:bottom w:w="28" w:type="dxa"/>
              <w:right w:w="28" w:type="dxa"/>
            </w:tcMar>
          </w:tcPr>
          <w:p w:rsidR="00D05D95" w:rsidRPr="00D14CE9" w:rsidRDefault="00D05D95" w:rsidP="00F10554">
            <w:pPr>
              <w:pStyle w:val="EYTableHeading"/>
              <w:spacing w:before="0" w:after="0"/>
            </w:pPr>
            <w:r w:rsidRPr="00D14CE9">
              <w:t>Consultation dates</w:t>
            </w:r>
          </w:p>
        </w:tc>
      </w:tr>
      <w:tr w:rsidR="00CC123B" w:rsidRPr="00D14CE9" w:rsidTr="00F10554">
        <w:trPr>
          <w:trHeight w:val="315"/>
        </w:trPr>
        <w:tc>
          <w:tcPr>
            <w:tcW w:w="612" w:type="dxa"/>
            <w:noWrap/>
            <w:tcMar>
              <w:top w:w="28" w:type="dxa"/>
              <w:left w:w="28" w:type="dxa"/>
              <w:bottom w:w="28" w:type="dxa"/>
              <w:right w:w="28" w:type="dxa"/>
            </w:tcMar>
          </w:tcPr>
          <w:p w:rsidR="00CC123B" w:rsidRPr="00D14CE9" w:rsidRDefault="00CC123B" w:rsidP="00F10554">
            <w:pPr>
              <w:pStyle w:val="EYTableNormal"/>
              <w:numPr>
                <w:ilvl w:val="0"/>
                <w:numId w:val="27"/>
              </w:numPr>
              <w:spacing w:after="0"/>
            </w:pPr>
          </w:p>
        </w:tc>
        <w:tc>
          <w:tcPr>
            <w:tcW w:w="225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Brookfield Multiplex</w:t>
            </w:r>
          </w:p>
        </w:tc>
        <w:tc>
          <w:tcPr>
            <w:tcW w:w="333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Frank McMahon, Business Development Director</w:t>
            </w:r>
          </w:p>
          <w:p w:rsidR="00CC123B" w:rsidRPr="00D14CE9" w:rsidRDefault="00CC123B" w:rsidP="00F10554">
            <w:pPr>
              <w:rPr>
                <w:sz w:val="16"/>
                <w:szCs w:val="16"/>
              </w:rPr>
            </w:pPr>
            <w:r w:rsidRPr="00D14CE9">
              <w:rPr>
                <w:sz w:val="16"/>
                <w:szCs w:val="16"/>
              </w:rPr>
              <w:t>Andrew James, Regional Director</w:t>
            </w:r>
          </w:p>
        </w:tc>
        <w:tc>
          <w:tcPr>
            <w:tcW w:w="2970" w:type="dxa"/>
            <w:tcMar>
              <w:top w:w="28" w:type="dxa"/>
              <w:left w:w="28" w:type="dxa"/>
              <w:bottom w:w="28" w:type="dxa"/>
              <w:right w:w="28" w:type="dxa"/>
            </w:tcMar>
          </w:tcPr>
          <w:p w:rsidR="00CC123B" w:rsidRPr="00D14CE9" w:rsidRDefault="00CC123B" w:rsidP="00F10554">
            <w:pPr>
              <w:rPr>
                <w:sz w:val="16"/>
                <w:szCs w:val="16"/>
              </w:rPr>
            </w:pPr>
            <w:r w:rsidRPr="00D14CE9">
              <w:rPr>
                <w:sz w:val="16"/>
                <w:szCs w:val="16"/>
              </w:rPr>
              <w:t>Face to face meeting on 4 November 2015</w:t>
            </w:r>
          </w:p>
        </w:tc>
      </w:tr>
      <w:tr w:rsidR="00CC123B" w:rsidRPr="00D14CE9" w:rsidTr="00F10554">
        <w:trPr>
          <w:trHeight w:val="315"/>
        </w:trPr>
        <w:tc>
          <w:tcPr>
            <w:tcW w:w="612" w:type="dxa"/>
            <w:noWrap/>
            <w:tcMar>
              <w:top w:w="28" w:type="dxa"/>
              <w:left w:w="28" w:type="dxa"/>
              <w:bottom w:w="28" w:type="dxa"/>
              <w:right w:w="28" w:type="dxa"/>
            </w:tcMar>
          </w:tcPr>
          <w:p w:rsidR="00CC123B" w:rsidRPr="00D14CE9" w:rsidRDefault="00CC123B" w:rsidP="00F10554">
            <w:pPr>
              <w:pStyle w:val="EYTableNormal"/>
              <w:numPr>
                <w:ilvl w:val="0"/>
                <w:numId w:val="27"/>
              </w:numPr>
              <w:spacing w:after="0"/>
            </w:pPr>
          </w:p>
        </w:tc>
        <w:tc>
          <w:tcPr>
            <w:tcW w:w="225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PROBUILD</w:t>
            </w:r>
          </w:p>
        </w:tc>
        <w:tc>
          <w:tcPr>
            <w:tcW w:w="333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Seamus Eagan, Construction Director</w:t>
            </w:r>
          </w:p>
        </w:tc>
        <w:tc>
          <w:tcPr>
            <w:tcW w:w="2970" w:type="dxa"/>
            <w:tcMar>
              <w:top w:w="28" w:type="dxa"/>
              <w:left w:w="28" w:type="dxa"/>
              <w:bottom w:w="28" w:type="dxa"/>
              <w:right w:w="28" w:type="dxa"/>
            </w:tcMar>
          </w:tcPr>
          <w:p w:rsidR="00CC123B" w:rsidRPr="00D14CE9" w:rsidRDefault="00CC123B" w:rsidP="00F10554">
            <w:pPr>
              <w:rPr>
                <w:sz w:val="16"/>
                <w:szCs w:val="16"/>
              </w:rPr>
            </w:pPr>
            <w:r w:rsidRPr="00D14CE9">
              <w:rPr>
                <w:sz w:val="16"/>
                <w:szCs w:val="16"/>
              </w:rPr>
              <w:t>Communication via email November 2015</w:t>
            </w:r>
          </w:p>
        </w:tc>
      </w:tr>
      <w:tr w:rsidR="00CC123B" w:rsidRPr="00D14CE9" w:rsidTr="00F10554">
        <w:trPr>
          <w:trHeight w:val="315"/>
        </w:trPr>
        <w:tc>
          <w:tcPr>
            <w:tcW w:w="612" w:type="dxa"/>
            <w:noWrap/>
            <w:tcMar>
              <w:top w:w="28" w:type="dxa"/>
              <w:left w:w="28" w:type="dxa"/>
              <w:bottom w:w="28" w:type="dxa"/>
              <w:right w:w="28" w:type="dxa"/>
            </w:tcMar>
          </w:tcPr>
          <w:p w:rsidR="00CC123B" w:rsidRPr="00D14CE9" w:rsidRDefault="00CC123B" w:rsidP="00F10554">
            <w:pPr>
              <w:pStyle w:val="EYTableNormal"/>
              <w:numPr>
                <w:ilvl w:val="0"/>
                <w:numId w:val="27"/>
              </w:numPr>
              <w:spacing w:after="0"/>
            </w:pPr>
          </w:p>
        </w:tc>
        <w:tc>
          <w:tcPr>
            <w:tcW w:w="225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Aquenta</w:t>
            </w:r>
          </w:p>
        </w:tc>
        <w:tc>
          <w:tcPr>
            <w:tcW w:w="333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Nick Monaghan , Associate Director</w:t>
            </w:r>
          </w:p>
          <w:p w:rsidR="00CC123B" w:rsidRPr="00D14CE9" w:rsidRDefault="00CC123B" w:rsidP="00F10554">
            <w:pPr>
              <w:rPr>
                <w:sz w:val="16"/>
                <w:szCs w:val="16"/>
              </w:rPr>
            </w:pPr>
            <w:r w:rsidRPr="00D14CE9">
              <w:rPr>
                <w:sz w:val="16"/>
                <w:szCs w:val="16"/>
              </w:rPr>
              <w:t>James Lambert,  Consultant</w:t>
            </w:r>
          </w:p>
        </w:tc>
        <w:tc>
          <w:tcPr>
            <w:tcW w:w="2970" w:type="dxa"/>
            <w:tcMar>
              <w:top w:w="28" w:type="dxa"/>
              <w:left w:w="28" w:type="dxa"/>
              <w:bottom w:w="28" w:type="dxa"/>
              <w:right w:w="28" w:type="dxa"/>
            </w:tcMar>
          </w:tcPr>
          <w:p w:rsidR="00CC123B" w:rsidRPr="00D14CE9" w:rsidRDefault="00CC123B" w:rsidP="00F10554">
            <w:pPr>
              <w:rPr>
                <w:sz w:val="16"/>
                <w:szCs w:val="16"/>
              </w:rPr>
            </w:pPr>
            <w:r w:rsidRPr="00D14CE9">
              <w:rPr>
                <w:sz w:val="16"/>
                <w:szCs w:val="16"/>
              </w:rPr>
              <w:t>Face to face meeting on 11 November 2015</w:t>
            </w:r>
          </w:p>
        </w:tc>
      </w:tr>
      <w:tr w:rsidR="00CC123B" w:rsidRPr="00D14CE9" w:rsidTr="00F10554">
        <w:trPr>
          <w:trHeight w:val="315"/>
        </w:trPr>
        <w:tc>
          <w:tcPr>
            <w:tcW w:w="612" w:type="dxa"/>
            <w:noWrap/>
            <w:tcMar>
              <w:top w:w="28" w:type="dxa"/>
              <w:left w:w="28" w:type="dxa"/>
              <w:bottom w:w="28" w:type="dxa"/>
              <w:right w:w="28" w:type="dxa"/>
            </w:tcMar>
          </w:tcPr>
          <w:p w:rsidR="00CC123B" w:rsidRPr="00D14CE9" w:rsidRDefault="00CC123B" w:rsidP="00F10554">
            <w:pPr>
              <w:pStyle w:val="EYTableNormal"/>
              <w:numPr>
                <w:ilvl w:val="0"/>
                <w:numId w:val="27"/>
              </w:numPr>
              <w:spacing w:after="0"/>
            </w:pPr>
          </w:p>
        </w:tc>
        <w:tc>
          <w:tcPr>
            <w:tcW w:w="225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VicRoads</w:t>
            </w:r>
          </w:p>
        </w:tc>
        <w:tc>
          <w:tcPr>
            <w:tcW w:w="333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John Murphy, Strategic Planning Coordinator – Regional Strategy and Planning</w:t>
            </w:r>
          </w:p>
          <w:p w:rsidR="00CC123B" w:rsidRPr="00D14CE9" w:rsidRDefault="00CC123B" w:rsidP="00F10554">
            <w:pPr>
              <w:rPr>
                <w:sz w:val="16"/>
                <w:szCs w:val="16"/>
              </w:rPr>
            </w:pPr>
            <w:r w:rsidRPr="00D14CE9">
              <w:rPr>
                <w:sz w:val="16"/>
                <w:szCs w:val="16"/>
              </w:rPr>
              <w:t>Graeme Newman, Quarry Materials Specialist</w:t>
            </w:r>
          </w:p>
        </w:tc>
        <w:tc>
          <w:tcPr>
            <w:tcW w:w="2970" w:type="dxa"/>
            <w:tcMar>
              <w:top w:w="28" w:type="dxa"/>
              <w:left w:w="28" w:type="dxa"/>
              <w:bottom w:w="28" w:type="dxa"/>
              <w:right w:w="28" w:type="dxa"/>
            </w:tcMar>
          </w:tcPr>
          <w:p w:rsidR="00CC123B" w:rsidRPr="00D14CE9" w:rsidRDefault="00CC123B" w:rsidP="00F10554">
            <w:pPr>
              <w:rPr>
                <w:sz w:val="16"/>
                <w:szCs w:val="16"/>
              </w:rPr>
            </w:pPr>
            <w:r w:rsidRPr="00D14CE9">
              <w:rPr>
                <w:sz w:val="16"/>
                <w:szCs w:val="16"/>
              </w:rPr>
              <w:t>Face to face meeting on 23 November 2015</w:t>
            </w:r>
          </w:p>
        </w:tc>
      </w:tr>
      <w:tr w:rsidR="00CC123B" w:rsidRPr="00D14CE9" w:rsidTr="00F10554">
        <w:trPr>
          <w:trHeight w:val="315"/>
        </w:trPr>
        <w:tc>
          <w:tcPr>
            <w:tcW w:w="612" w:type="dxa"/>
            <w:noWrap/>
            <w:tcMar>
              <w:top w:w="28" w:type="dxa"/>
              <w:left w:w="28" w:type="dxa"/>
              <w:bottom w:w="28" w:type="dxa"/>
              <w:right w:w="28" w:type="dxa"/>
            </w:tcMar>
          </w:tcPr>
          <w:p w:rsidR="00CC123B" w:rsidRPr="00D14CE9" w:rsidRDefault="00CC123B" w:rsidP="00F10554">
            <w:pPr>
              <w:pStyle w:val="EYTableNormal"/>
              <w:numPr>
                <w:ilvl w:val="0"/>
                <w:numId w:val="27"/>
              </w:numPr>
              <w:spacing w:after="0"/>
            </w:pPr>
          </w:p>
        </w:tc>
        <w:tc>
          <w:tcPr>
            <w:tcW w:w="225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Boral</w:t>
            </w:r>
          </w:p>
        </w:tc>
        <w:tc>
          <w:tcPr>
            <w:tcW w:w="333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Mario Tabone, Technical Specialist Concrete</w:t>
            </w:r>
          </w:p>
        </w:tc>
        <w:tc>
          <w:tcPr>
            <w:tcW w:w="2970" w:type="dxa"/>
            <w:tcMar>
              <w:top w:w="28" w:type="dxa"/>
              <w:left w:w="28" w:type="dxa"/>
              <w:bottom w:w="28" w:type="dxa"/>
              <w:right w:w="28" w:type="dxa"/>
            </w:tcMar>
          </w:tcPr>
          <w:p w:rsidR="00CC123B" w:rsidRPr="00D14CE9" w:rsidRDefault="00CC123B" w:rsidP="00F10554">
            <w:pPr>
              <w:rPr>
                <w:sz w:val="16"/>
                <w:szCs w:val="16"/>
              </w:rPr>
            </w:pPr>
            <w:r w:rsidRPr="00D14CE9">
              <w:rPr>
                <w:sz w:val="16"/>
                <w:szCs w:val="16"/>
              </w:rPr>
              <w:t>Phone call 23 November 2015</w:t>
            </w:r>
          </w:p>
        </w:tc>
      </w:tr>
      <w:tr w:rsidR="00CC123B" w:rsidRPr="00D14CE9" w:rsidTr="00F10554">
        <w:trPr>
          <w:trHeight w:val="315"/>
        </w:trPr>
        <w:tc>
          <w:tcPr>
            <w:tcW w:w="612" w:type="dxa"/>
            <w:noWrap/>
            <w:tcMar>
              <w:top w:w="28" w:type="dxa"/>
              <w:left w:w="28" w:type="dxa"/>
              <w:bottom w:w="28" w:type="dxa"/>
              <w:right w:w="28" w:type="dxa"/>
            </w:tcMar>
          </w:tcPr>
          <w:p w:rsidR="00CC123B" w:rsidRPr="00D14CE9" w:rsidRDefault="00CC123B" w:rsidP="00F10554">
            <w:pPr>
              <w:pStyle w:val="EYTableNormal"/>
              <w:numPr>
                <w:ilvl w:val="0"/>
                <w:numId w:val="27"/>
              </w:numPr>
              <w:spacing w:after="0"/>
            </w:pPr>
          </w:p>
        </w:tc>
        <w:tc>
          <w:tcPr>
            <w:tcW w:w="225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Boral</w:t>
            </w:r>
          </w:p>
        </w:tc>
        <w:tc>
          <w:tcPr>
            <w:tcW w:w="3330" w:type="dxa"/>
            <w:noWrap/>
            <w:tcMar>
              <w:top w:w="28" w:type="dxa"/>
              <w:left w:w="28" w:type="dxa"/>
              <w:bottom w:w="28" w:type="dxa"/>
              <w:right w:w="28" w:type="dxa"/>
            </w:tcMar>
          </w:tcPr>
          <w:p w:rsidR="00CC123B" w:rsidRPr="00D14CE9" w:rsidRDefault="00CC123B" w:rsidP="00F10554">
            <w:pPr>
              <w:rPr>
                <w:sz w:val="16"/>
                <w:szCs w:val="16"/>
              </w:rPr>
            </w:pPr>
            <w:r w:rsidRPr="00D14CE9">
              <w:rPr>
                <w:sz w:val="16"/>
                <w:szCs w:val="16"/>
              </w:rPr>
              <w:t>Cameron McInnes, Technical Manager - Quarries (Southern Region)</w:t>
            </w:r>
          </w:p>
        </w:tc>
        <w:tc>
          <w:tcPr>
            <w:tcW w:w="2970" w:type="dxa"/>
            <w:tcMar>
              <w:top w:w="28" w:type="dxa"/>
              <w:left w:w="28" w:type="dxa"/>
              <w:bottom w:w="28" w:type="dxa"/>
              <w:right w:w="28" w:type="dxa"/>
            </w:tcMar>
          </w:tcPr>
          <w:p w:rsidR="00CC123B" w:rsidRPr="00D14CE9" w:rsidRDefault="00CC123B" w:rsidP="00F10554">
            <w:pPr>
              <w:rPr>
                <w:sz w:val="16"/>
                <w:szCs w:val="16"/>
              </w:rPr>
            </w:pPr>
            <w:r w:rsidRPr="00D14CE9">
              <w:rPr>
                <w:sz w:val="16"/>
                <w:szCs w:val="16"/>
              </w:rPr>
              <w:t>Phone call 30 November 2015</w:t>
            </w:r>
          </w:p>
        </w:tc>
      </w:tr>
    </w:tbl>
    <w:p w:rsidR="00486FB4" w:rsidRPr="003637FD" w:rsidRDefault="00486FB4" w:rsidP="00486FB4">
      <w:pPr>
        <w:pStyle w:val="EYBodytextwithparaspace"/>
        <w:rPr>
          <w:rFonts w:cstheme="majorHAnsi"/>
          <w:i/>
          <w:sz w:val="16"/>
          <w:szCs w:val="16"/>
        </w:rPr>
      </w:pPr>
      <w:r w:rsidRPr="003637FD">
        <w:rPr>
          <w:rFonts w:cstheme="majorHAnsi"/>
          <w:i/>
          <w:sz w:val="16"/>
          <w:szCs w:val="16"/>
        </w:rPr>
        <w:t>Source: EY data</w:t>
      </w:r>
    </w:p>
    <w:p w:rsidR="00D05D95" w:rsidRPr="00D14CE9" w:rsidRDefault="00D05D95" w:rsidP="00D05D95">
      <w:pPr>
        <w:pStyle w:val="EYBodytextwithparaspace"/>
        <w:rPr>
          <w:rFonts w:cstheme="majorHAnsi"/>
          <w:szCs w:val="20"/>
          <w:lang w:val="en-AU"/>
        </w:rPr>
      </w:pPr>
    </w:p>
    <w:p w:rsidR="00D05D95" w:rsidRPr="00D14CE9" w:rsidRDefault="00D05D95" w:rsidP="00D05D95">
      <w:pPr>
        <w:pStyle w:val="EYBodytextwithparaspace"/>
        <w:rPr>
          <w:rFonts w:cstheme="majorHAnsi"/>
          <w:szCs w:val="20"/>
          <w:lang w:val="en-AU"/>
        </w:rPr>
      </w:pPr>
    </w:p>
    <w:p w:rsidR="00CC123B" w:rsidRPr="00D14CE9" w:rsidRDefault="00CC123B" w:rsidP="00CC123B">
      <w:pPr>
        <w:pStyle w:val="EYAppendix"/>
        <w:pageBreakBefore/>
        <w:ind w:left="2275" w:hanging="2275"/>
        <w:rPr>
          <w:lang w:val="en-AU"/>
        </w:rPr>
      </w:pPr>
      <w:bookmarkStart w:id="749" w:name="_Ref441151496"/>
      <w:bookmarkStart w:id="750" w:name="_Toc441435345"/>
      <w:bookmarkStart w:id="751" w:name="_Toc451847097"/>
      <w:r w:rsidRPr="00D14CE9">
        <w:rPr>
          <w:lang w:val="en-AU"/>
        </w:rPr>
        <w:lastRenderedPageBreak/>
        <w:t>Stakeholder</w:t>
      </w:r>
      <w:r w:rsidR="008B519C" w:rsidRPr="00D14CE9">
        <w:rPr>
          <w:lang w:val="en-AU"/>
        </w:rPr>
        <w:t>s</w:t>
      </w:r>
      <w:r w:rsidRPr="00D14CE9">
        <w:rPr>
          <w:lang w:val="en-AU"/>
        </w:rPr>
        <w:t xml:space="preserve"> Consultation – Key findings</w:t>
      </w:r>
      <w:bookmarkEnd w:id="749"/>
      <w:bookmarkEnd w:id="750"/>
      <w:bookmarkEnd w:id="751"/>
    </w:p>
    <w:p w:rsidR="00CC123B" w:rsidRPr="00D14CE9" w:rsidRDefault="00CC123B" w:rsidP="00CC123B">
      <w:pPr>
        <w:pStyle w:val="EYBodytextwithparaspace"/>
        <w:rPr>
          <w:rFonts w:cstheme="majorHAnsi"/>
          <w:szCs w:val="20"/>
          <w:lang w:val="en-AU"/>
        </w:rPr>
      </w:pPr>
      <w:r w:rsidRPr="00D14CE9">
        <w:rPr>
          <w:rFonts w:cstheme="majorHAnsi"/>
          <w:szCs w:val="20"/>
          <w:lang w:val="en-AU"/>
        </w:rPr>
        <w:t xml:space="preserve">A stakeholder consultation process was officially launched by the DEDJTR on 22 October 2015. Last feedback from stakeholders was provided on 23 December 2015. </w:t>
      </w:r>
    </w:p>
    <w:p w:rsidR="00CC123B" w:rsidRPr="00D14CE9" w:rsidRDefault="00CC123B" w:rsidP="00CC123B">
      <w:pPr>
        <w:pStyle w:val="EYBodytextwithparaspace"/>
        <w:rPr>
          <w:rFonts w:cstheme="majorHAnsi"/>
          <w:szCs w:val="20"/>
          <w:lang w:val="en-AU"/>
        </w:rPr>
      </w:pPr>
      <w:r w:rsidRPr="00D14CE9">
        <w:rPr>
          <w:rFonts w:cstheme="majorHAnsi"/>
          <w:szCs w:val="20"/>
          <w:lang w:val="en-AU"/>
        </w:rPr>
        <w:t>The purpose of the stakeholder consultation was to gather information allowing filling previous data gaps, which prevented the demand analysis to be appropriately completed, and which were mainly related to the absence of conversion metrics allowing calculating the quantity of extractive resources required per type of construction.</w:t>
      </w:r>
    </w:p>
    <w:p w:rsidR="00CC123B" w:rsidRPr="00D14CE9" w:rsidRDefault="00CC123B" w:rsidP="00CC123B">
      <w:pPr>
        <w:pStyle w:val="EYBodytextwithparaspace"/>
        <w:rPr>
          <w:rFonts w:cstheme="majorHAnsi"/>
          <w:szCs w:val="20"/>
          <w:lang w:val="en-AU"/>
        </w:rPr>
      </w:pPr>
      <w:r w:rsidRPr="00D14CE9">
        <w:rPr>
          <w:rFonts w:cstheme="majorHAnsi"/>
          <w:szCs w:val="20"/>
          <w:lang w:val="en-AU"/>
        </w:rPr>
        <w:t xml:space="preserve">The selection of industry stakeholders had therefore been accordingly guided. While Lend Lease declined any involvement in the process, the other industry stakeholders listed in </w:t>
      </w:r>
      <w:r w:rsidRPr="00474B05">
        <w:rPr>
          <w:rFonts w:cstheme="majorHAnsi"/>
          <w:szCs w:val="20"/>
          <w:lang w:val="en-AU"/>
        </w:rPr>
        <w:fldChar w:fldCharType="begin" w:fldLock="1"/>
      </w:r>
      <w:r w:rsidRPr="00D14CE9">
        <w:rPr>
          <w:rFonts w:cstheme="majorHAnsi"/>
          <w:szCs w:val="20"/>
          <w:lang w:val="en-AU"/>
        </w:rPr>
        <w:instrText xml:space="preserve"> REF _Ref441165462 \r \h  \* MERGEFORMAT </w:instrText>
      </w:r>
      <w:r w:rsidRPr="00474B05">
        <w:rPr>
          <w:rFonts w:cstheme="majorHAnsi"/>
          <w:szCs w:val="20"/>
          <w:lang w:val="en-AU"/>
        </w:rPr>
      </w:r>
      <w:r w:rsidRPr="00474B05">
        <w:rPr>
          <w:rFonts w:cstheme="majorHAnsi"/>
          <w:szCs w:val="20"/>
          <w:lang w:val="en-AU"/>
        </w:rPr>
        <w:fldChar w:fldCharType="separate"/>
      </w:r>
      <w:r w:rsidR="00895089">
        <w:rPr>
          <w:rFonts w:cstheme="majorHAnsi"/>
          <w:szCs w:val="20"/>
          <w:lang w:val="en-AU"/>
        </w:rPr>
        <w:t>Appendix D</w:t>
      </w:r>
      <w:r w:rsidRPr="00474B05">
        <w:rPr>
          <w:rFonts w:cstheme="majorHAnsi"/>
          <w:szCs w:val="20"/>
          <w:lang w:val="en-AU"/>
        </w:rPr>
        <w:fldChar w:fldCharType="end"/>
      </w:r>
      <w:r w:rsidRPr="00D14CE9">
        <w:rPr>
          <w:rFonts w:cstheme="majorHAnsi"/>
          <w:szCs w:val="20"/>
          <w:lang w:val="en-AU"/>
        </w:rPr>
        <w:t xml:space="preserve"> confirmed their involvement. </w:t>
      </w:r>
    </w:p>
    <w:p w:rsidR="00CC123B" w:rsidRPr="00D14CE9" w:rsidRDefault="00CC123B" w:rsidP="00CC123B">
      <w:pPr>
        <w:pStyle w:val="EYBodytextwithparaspace"/>
        <w:rPr>
          <w:rFonts w:cstheme="majorHAnsi"/>
          <w:szCs w:val="20"/>
          <w:lang w:val="en-AU"/>
        </w:rPr>
      </w:pPr>
      <w:r w:rsidRPr="00D14CE9">
        <w:rPr>
          <w:rFonts w:cstheme="majorHAnsi"/>
          <w:szCs w:val="20"/>
          <w:lang w:val="en-AU"/>
        </w:rPr>
        <w:t xml:space="preserve">Overall, the process has been successful in relation to the quality of the insights. However, the process did not enable to collect accurate data in relation to the conversion metrics allowing calculating the quantity of extractive resources required per type of construction. This led the DEDJTR to engage AECOM on 9 December 2015 to identify and quantify extractive resources used in Victoria’s key </w:t>
      </w:r>
      <w:r w:rsidR="0004746C" w:rsidRPr="00D14CE9">
        <w:rPr>
          <w:rFonts w:cstheme="majorHAnsi"/>
          <w:szCs w:val="20"/>
          <w:lang w:val="en-AU"/>
        </w:rPr>
        <w:t>construction</w:t>
      </w:r>
      <w:r w:rsidRPr="00D14CE9">
        <w:rPr>
          <w:rFonts w:cstheme="majorHAnsi"/>
          <w:szCs w:val="20"/>
          <w:lang w:val="en-AU"/>
        </w:rPr>
        <w:t xml:space="preserve"> activities.  </w:t>
      </w:r>
    </w:p>
    <w:p w:rsidR="00CC123B" w:rsidRPr="00D14CE9" w:rsidRDefault="00CC123B" w:rsidP="00856574">
      <w:pPr>
        <w:pStyle w:val="ListParagraph"/>
        <w:numPr>
          <w:ilvl w:val="1"/>
          <w:numId w:val="28"/>
        </w:numPr>
        <w:ind w:left="720" w:hanging="720"/>
        <w:rPr>
          <w:rFonts w:ascii="EYInterstate Light" w:hAnsi="EYInterstate Light"/>
          <w:b/>
        </w:rPr>
      </w:pPr>
      <w:r w:rsidRPr="00D14CE9">
        <w:rPr>
          <w:rFonts w:ascii="EYInterstate Light" w:hAnsi="EYInterstate Light"/>
          <w:b/>
        </w:rPr>
        <w:t>Construction companies and Quantity Surveyors</w:t>
      </w:r>
    </w:p>
    <w:p w:rsidR="00CC123B" w:rsidRPr="00D14CE9" w:rsidRDefault="00CC123B" w:rsidP="00856574">
      <w:pPr>
        <w:pStyle w:val="ListParagraph"/>
        <w:numPr>
          <w:ilvl w:val="2"/>
          <w:numId w:val="28"/>
        </w:numPr>
        <w:ind w:left="720" w:hanging="720"/>
        <w:rPr>
          <w:rFonts w:ascii="EYInterstate Light" w:hAnsi="EYInterstate Light"/>
          <w:b/>
          <w:i/>
        </w:rPr>
      </w:pPr>
      <w:r w:rsidRPr="00D14CE9">
        <w:rPr>
          <w:rFonts w:ascii="EYInterstate Light" w:hAnsi="EYInterstate Light"/>
          <w:b/>
          <w:i/>
        </w:rPr>
        <w:t xml:space="preserve">Key </w:t>
      </w:r>
      <w:r w:rsidR="000C499E" w:rsidRPr="00D14CE9">
        <w:rPr>
          <w:rFonts w:ascii="EYInterstate Light" w:hAnsi="EYInterstate Light"/>
          <w:b/>
          <w:i/>
        </w:rPr>
        <w:t xml:space="preserve">findings </w:t>
      </w:r>
      <w:r w:rsidRPr="00D14CE9">
        <w:rPr>
          <w:rFonts w:ascii="EYInterstate Light" w:hAnsi="EYInterstate Light"/>
          <w:b/>
          <w:i/>
        </w:rPr>
        <w:t>– Qualitative Data</w:t>
      </w:r>
    </w:p>
    <w:p w:rsidR="00CC123B" w:rsidRPr="00D14CE9" w:rsidRDefault="00CC123B" w:rsidP="00CC123B">
      <w:pPr>
        <w:pStyle w:val="ListParagraph"/>
        <w:widowControl/>
        <w:autoSpaceDE/>
        <w:adjustRightInd/>
        <w:spacing w:after="0"/>
        <w:ind w:left="0"/>
        <w:rPr>
          <w:rFonts w:ascii="EYInterstate Light" w:hAnsi="EYInterstate Light"/>
        </w:rPr>
      </w:pPr>
    </w:p>
    <w:p w:rsidR="002B448C" w:rsidRPr="00D14CE9" w:rsidRDefault="00CC123B" w:rsidP="00FB662D">
      <w:pPr>
        <w:pStyle w:val="EYBodytextwithparaspace"/>
        <w:rPr>
          <w:rFonts w:cstheme="majorHAnsi"/>
          <w:szCs w:val="20"/>
          <w:lang w:val="en-AU"/>
        </w:rPr>
      </w:pPr>
      <w:r w:rsidRPr="00D14CE9">
        <w:rPr>
          <w:rFonts w:cstheme="majorHAnsi"/>
          <w:szCs w:val="20"/>
          <w:lang w:val="en-AU"/>
        </w:rPr>
        <w:t>The overview of Brookfield Multiplex, Pro</w:t>
      </w:r>
      <w:r w:rsidR="00833B09" w:rsidRPr="00D14CE9">
        <w:rPr>
          <w:rFonts w:cstheme="majorHAnsi"/>
          <w:szCs w:val="20"/>
          <w:lang w:val="en-AU"/>
        </w:rPr>
        <w:t>B</w:t>
      </w:r>
      <w:r w:rsidRPr="00D14CE9">
        <w:rPr>
          <w:rFonts w:cstheme="majorHAnsi"/>
          <w:szCs w:val="20"/>
          <w:lang w:val="en-AU"/>
        </w:rPr>
        <w:t>uild, Aquenta responses to the questionnaire developed for construction companies and quantity surveyors is provided in the below table</w:t>
      </w:r>
      <w:r w:rsidR="00FB662D" w:rsidRPr="00D14CE9">
        <w:rPr>
          <w:rFonts w:cstheme="majorHAnsi"/>
          <w:szCs w:val="20"/>
          <w:lang w:val="en-AU"/>
        </w:rPr>
        <w:t>:</w:t>
      </w:r>
    </w:p>
    <w:p w:rsidR="006B034E" w:rsidRPr="00D14CE9" w:rsidRDefault="006B034E" w:rsidP="00B264BF">
      <w:pPr>
        <w:pStyle w:val="EYNormal"/>
        <w:rPr>
          <w:lang w:val="en-AU"/>
        </w:rPr>
      </w:pPr>
    </w:p>
    <w:p w:rsidR="00FB662D" w:rsidRPr="00D14CE9" w:rsidRDefault="00FB662D" w:rsidP="00B264BF">
      <w:pPr>
        <w:pStyle w:val="EYNormal"/>
        <w:rPr>
          <w:lang w:val="en-AU"/>
        </w:rPr>
        <w:sectPr w:rsidR="00FB662D" w:rsidRPr="00D14CE9" w:rsidSect="000B6297">
          <w:pgSz w:w="11909" w:h="16834" w:code="9"/>
          <w:pgMar w:top="1440" w:right="1440" w:bottom="1440" w:left="1440" w:header="720" w:footer="567" w:gutter="0"/>
          <w:cols w:space="720"/>
          <w:docGrid w:linePitch="360"/>
        </w:sectPr>
      </w:pPr>
    </w:p>
    <w:tbl>
      <w:tblPr>
        <w:tblW w:w="1483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36"/>
        <w:tblDescription w:val="Table 36 is an overview of feedback from key stakeholders Brookefield Multiplex, PROBUILD and Aquenta. It is extensive."/>
      </w:tblPr>
      <w:tblGrid>
        <w:gridCol w:w="612"/>
        <w:gridCol w:w="2250"/>
        <w:gridCol w:w="3990"/>
        <w:gridCol w:w="3990"/>
        <w:gridCol w:w="3990"/>
      </w:tblGrid>
      <w:tr w:rsidR="00D077EE" w:rsidRPr="00D14CE9" w:rsidTr="003637FD">
        <w:trPr>
          <w:trHeight w:val="315"/>
          <w:tblHeader/>
        </w:trPr>
        <w:tc>
          <w:tcPr>
            <w:tcW w:w="14832" w:type="dxa"/>
            <w:gridSpan w:val="5"/>
            <w:shd w:val="clear" w:color="auto" w:fill="808080"/>
            <w:noWrap/>
            <w:tcMar>
              <w:top w:w="11" w:type="dxa"/>
              <w:left w:w="11" w:type="dxa"/>
              <w:bottom w:w="11" w:type="dxa"/>
              <w:right w:w="11" w:type="dxa"/>
            </w:tcMar>
            <w:vAlign w:val="center"/>
          </w:tcPr>
          <w:p w:rsidR="00D077EE" w:rsidRPr="00D14CE9" w:rsidRDefault="00D077EE" w:rsidP="001476EB">
            <w:pPr>
              <w:pStyle w:val="EYTableHeadingWhite"/>
              <w:spacing w:before="0" w:after="0"/>
              <w:rPr>
                <w:rFonts w:eastAsia="Arial Unicode MS"/>
              </w:rPr>
            </w:pPr>
            <w:bookmarkStart w:id="752" w:name="_Toc445240969"/>
            <w:bookmarkStart w:id="753" w:name="_Toc448914662"/>
            <w:bookmarkStart w:id="754" w:name="_Toc448920480"/>
            <w:r w:rsidRPr="00D14CE9">
              <w:lastRenderedPageBreak/>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36</w:t>
            </w:r>
            <w:r w:rsidR="00A9654D" w:rsidRPr="00802792">
              <w:fldChar w:fldCharType="end"/>
            </w:r>
            <w:r w:rsidRPr="00D14CE9">
              <w:t xml:space="preserve"> –</w:t>
            </w:r>
            <w:r w:rsidR="00FB464B" w:rsidRPr="00D14CE9">
              <w:t xml:space="preserve"> Stakeholders Consultation – Construction Companies and Quantity Surveyors Key Findings</w:t>
            </w:r>
            <w:bookmarkEnd w:id="752"/>
            <w:bookmarkEnd w:id="753"/>
            <w:bookmarkEnd w:id="754"/>
          </w:p>
        </w:tc>
      </w:tr>
      <w:tr w:rsidR="00111B92" w:rsidRPr="00D14CE9" w:rsidTr="003637FD">
        <w:trPr>
          <w:tblHeader/>
        </w:trPr>
        <w:tc>
          <w:tcPr>
            <w:tcW w:w="612" w:type="dxa"/>
            <w:shd w:val="clear" w:color="auto" w:fill="F0F0F0"/>
            <w:tcMar>
              <w:top w:w="11" w:type="dxa"/>
              <w:left w:w="11" w:type="dxa"/>
              <w:bottom w:w="11" w:type="dxa"/>
              <w:right w:w="11" w:type="dxa"/>
            </w:tcMar>
          </w:tcPr>
          <w:p w:rsidR="00111B92" w:rsidRPr="00D14CE9" w:rsidRDefault="00111B92" w:rsidP="001476EB">
            <w:pPr>
              <w:pStyle w:val="EYTableHeading"/>
              <w:spacing w:before="0" w:after="0"/>
              <w:rPr>
                <w:rFonts w:eastAsia="Arial Unicode MS"/>
              </w:rPr>
            </w:pPr>
            <w:r w:rsidRPr="00D14CE9">
              <w:t>#</w:t>
            </w:r>
          </w:p>
        </w:tc>
        <w:tc>
          <w:tcPr>
            <w:tcW w:w="2250" w:type="dxa"/>
            <w:shd w:val="clear" w:color="auto" w:fill="F0F0F0"/>
            <w:tcMar>
              <w:top w:w="11" w:type="dxa"/>
              <w:left w:w="11" w:type="dxa"/>
              <w:bottom w:w="11" w:type="dxa"/>
              <w:right w:w="11" w:type="dxa"/>
            </w:tcMar>
          </w:tcPr>
          <w:p w:rsidR="00111B92" w:rsidRPr="00D14CE9" w:rsidRDefault="00111B92" w:rsidP="001476EB">
            <w:pPr>
              <w:pStyle w:val="EYTableHeading"/>
              <w:spacing w:before="0" w:after="0"/>
              <w:rPr>
                <w:rFonts w:eastAsia="Arial Unicode MS"/>
              </w:rPr>
            </w:pPr>
            <w:r w:rsidRPr="00D14CE9">
              <w:t>Construction/Quantity surveyors questionnaire</w:t>
            </w:r>
          </w:p>
        </w:tc>
        <w:tc>
          <w:tcPr>
            <w:tcW w:w="3990" w:type="dxa"/>
            <w:shd w:val="clear" w:color="auto" w:fill="F0F0F0"/>
            <w:tcMar>
              <w:top w:w="11" w:type="dxa"/>
              <w:left w:w="11" w:type="dxa"/>
              <w:bottom w:w="11" w:type="dxa"/>
              <w:right w:w="11" w:type="dxa"/>
            </w:tcMar>
          </w:tcPr>
          <w:p w:rsidR="00111B92" w:rsidRPr="00D14CE9" w:rsidRDefault="00111B92" w:rsidP="001476EB">
            <w:pPr>
              <w:pStyle w:val="EYTableHeading"/>
              <w:spacing w:before="0" w:after="0"/>
              <w:rPr>
                <w:rFonts w:eastAsia="Arial Unicode MS"/>
              </w:rPr>
            </w:pPr>
            <w:r w:rsidRPr="00D14CE9">
              <w:t>Brookfield Multiplex</w:t>
            </w:r>
          </w:p>
        </w:tc>
        <w:tc>
          <w:tcPr>
            <w:tcW w:w="3990" w:type="dxa"/>
            <w:shd w:val="clear" w:color="auto" w:fill="F0F0F0"/>
            <w:tcMar>
              <w:top w:w="11" w:type="dxa"/>
              <w:left w:w="11" w:type="dxa"/>
              <w:bottom w:w="11" w:type="dxa"/>
              <w:right w:w="11" w:type="dxa"/>
            </w:tcMar>
          </w:tcPr>
          <w:p w:rsidR="00111B92" w:rsidRPr="00D14CE9" w:rsidRDefault="00111B92" w:rsidP="001476EB">
            <w:pPr>
              <w:pStyle w:val="EYTableHeading"/>
              <w:spacing w:before="0" w:after="0"/>
            </w:pPr>
            <w:r w:rsidRPr="00D14CE9">
              <w:t>PROBUILD</w:t>
            </w:r>
          </w:p>
        </w:tc>
        <w:tc>
          <w:tcPr>
            <w:tcW w:w="3990" w:type="dxa"/>
            <w:shd w:val="clear" w:color="auto" w:fill="F0F0F0"/>
            <w:tcMar>
              <w:top w:w="11" w:type="dxa"/>
              <w:left w:w="11" w:type="dxa"/>
              <w:bottom w:w="11" w:type="dxa"/>
              <w:right w:w="11" w:type="dxa"/>
            </w:tcMar>
          </w:tcPr>
          <w:p w:rsidR="00111B92" w:rsidRPr="00D14CE9" w:rsidRDefault="00111B92" w:rsidP="001476EB">
            <w:pPr>
              <w:pStyle w:val="EYTableHeading"/>
              <w:spacing w:before="0" w:after="0"/>
            </w:pPr>
            <w:r w:rsidRPr="00D14CE9">
              <w:t>Aquenta</w:t>
            </w:r>
          </w:p>
        </w:tc>
      </w:tr>
      <w:tr w:rsidR="00111B92" w:rsidRPr="00D14CE9" w:rsidTr="003637FD">
        <w:trPr>
          <w:trHeight w:val="315"/>
        </w:trPr>
        <w:tc>
          <w:tcPr>
            <w:tcW w:w="612" w:type="dxa"/>
            <w:noWrap/>
            <w:tcMar>
              <w:top w:w="11" w:type="dxa"/>
              <w:left w:w="11" w:type="dxa"/>
              <w:bottom w:w="11" w:type="dxa"/>
              <w:right w:w="11" w:type="dxa"/>
            </w:tcMar>
          </w:tcPr>
          <w:p w:rsidR="00111B92" w:rsidRPr="00D14CE9" w:rsidRDefault="00111B92" w:rsidP="001476EB">
            <w:pPr>
              <w:pStyle w:val="EYTableNormal"/>
              <w:numPr>
                <w:ilvl w:val="0"/>
                <w:numId w:val="29"/>
              </w:numPr>
              <w:spacing w:after="0"/>
            </w:pPr>
          </w:p>
        </w:tc>
        <w:tc>
          <w:tcPr>
            <w:tcW w:w="2250" w:type="dxa"/>
            <w:noWrap/>
            <w:tcMar>
              <w:top w:w="11" w:type="dxa"/>
              <w:left w:w="11" w:type="dxa"/>
              <w:bottom w:w="11" w:type="dxa"/>
              <w:right w:w="11" w:type="dxa"/>
            </w:tcMar>
          </w:tcPr>
          <w:p w:rsidR="00111B92" w:rsidRPr="00D14CE9" w:rsidRDefault="00111B92" w:rsidP="001476EB">
            <w:pPr>
              <w:rPr>
                <w:sz w:val="16"/>
                <w:szCs w:val="16"/>
              </w:rPr>
            </w:pPr>
            <w:r w:rsidRPr="00D14CE9">
              <w:rPr>
                <w:sz w:val="16"/>
                <w:szCs w:val="16"/>
              </w:rPr>
              <w:t>Sector of Expertise</w:t>
            </w:r>
          </w:p>
        </w:tc>
        <w:tc>
          <w:tcPr>
            <w:tcW w:w="3990" w:type="dxa"/>
            <w:noWrap/>
            <w:tcMar>
              <w:top w:w="11" w:type="dxa"/>
              <w:left w:w="11" w:type="dxa"/>
              <w:bottom w:w="11" w:type="dxa"/>
              <w:right w:w="11" w:type="dxa"/>
            </w:tcMar>
          </w:tcPr>
          <w:p w:rsidR="00111B92" w:rsidRPr="00D14CE9" w:rsidRDefault="00111B92" w:rsidP="001476EB">
            <w:pPr>
              <w:rPr>
                <w:sz w:val="16"/>
                <w:szCs w:val="16"/>
              </w:rPr>
            </w:pPr>
            <w:r w:rsidRPr="00D14CE9">
              <w:rPr>
                <w:sz w:val="16"/>
                <w:szCs w:val="16"/>
              </w:rPr>
              <w:t>End-user of commodity products used in the construction of non-residential buildings and apartments in high-rise buildings.</w:t>
            </w:r>
          </w:p>
        </w:tc>
        <w:tc>
          <w:tcPr>
            <w:tcW w:w="3990" w:type="dxa"/>
            <w:tcMar>
              <w:top w:w="11" w:type="dxa"/>
              <w:left w:w="11" w:type="dxa"/>
              <w:bottom w:w="11" w:type="dxa"/>
              <w:right w:w="11" w:type="dxa"/>
            </w:tcMar>
          </w:tcPr>
          <w:p w:rsidR="00111B92" w:rsidRPr="00D14CE9" w:rsidRDefault="00111B92" w:rsidP="001476EB">
            <w:pPr>
              <w:rPr>
                <w:sz w:val="16"/>
                <w:szCs w:val="16"/>
              </w:rPr>
            </w:pPr>
            <w:r w:rsidRPr="00D14CE9">
              <w:rPr>
                <w:sz w:val="16"/>
                <w:szCs w:val="16"/>
              </w:rPr>
              <w:t xml:space="preserve">End-user of commodity products used in the construction of non-residential buildings (offices, shopping </w:t>
            </w:r>
            <w:r w:rsidR="00833B09" w:rsidRPr="00D14CE9">
              <w:rPr>
                <w:sz w:val="16"/>
                <w:szCs w:val="16"/>
              </w:rPr>
              <w:t>centres</w:t>
            </w:r>
            <w:r w:rsidRPr="00D14CE9">
              <w:rPr>
                <w:sz w:val="16"/>
                <w:szCs w:val="16"/>
              </w:rPr>
              <w:t>) and apartments in high-rise buildings.</w:t>
            </w:r>
          </w:p>
        </w:tc>
        <w:tc>
          <w:tcPr>
            <w:tcW w:w="3990" w:type="dxa"/>
            <w:tcMar>
              <w:top w:w="11" w:type="dxa"/>
              <w:left w:w="11" w:type="dxa"/>
              <w:bottom w:w="11" w:type="dxa"/>
              <w:right w:w="11" w:type="dxa"/>
            </w:tcMar>
          </w:tcPr>
          <w:p w:rsidR="00111B92" w:rsidRPr="00D14CE9" w:rsidRDefault="00111B92" w:rsidP="001476EB">
            <w:pPr>
              <w:rPr>
                <w:sz w:val="16"/>
                <w:szCs w:val="16"/>
              </w:rPr>
            </w:pPr>
            <w:r w:rsidRPr="00D14CE9">
              <w:rPr>
                <w:sz w:val="16"/>
                <w:szCs w:val="16"/>
              </w:rPr>
              <w:t>Construction quantity surveyor specialized in Non</w:t>
            </w:r>
            <w:r w:rsidR="00833B09">
              <w:rPr>
                <w:sz w:val="16"/>
                <w:szCs w:val="16"/>
              </w:rPr>
              <w:noBreakHyphen/>
            </w:r>
            <w:r w:rsidRPr="00D14CE9">
              <w:rPr>
                <w:sz w:val="16"/>
                <w:szCs w:val="16"/>
              </w:rPr>
              <w:t xml:space="preserve">Residential Building Construction and Engineering Construction. </w:t>
            </w:r>
          </w:p>
        </w:tc>
      </w:tr>
      <w:tr w:rsidR="00111B92" w:rsidRPr="00D14CE9" w:rsidTr="003637FD">
        <w:trPr>
          <w:trHeight w:val="315"/>
        </w:trPr>
        <w:tc>
          <w:tcPr>
            <w:tcW w:w="612" w:type="dxa"/>
            <w:noWrap/>
            <w:tcMar>
              <w:top w:w="11" w:type="dxa"/>
              <w:left w:w="11" w:type="dxa"/>
              <w:bottom w:w="11" w:type="dxa"/>
              <w:right w:w="11" w:type="dxa"/>
            </w:tcMar>
          </w:tcPr>
          <w:p w:rsidR="00111B92" w:rsidRPr="00D14CE9" w:rsidRDefault="00111B92" w:rsidP="001476EB">
            <w:pPr>
              <w:pStyle w:val="EYTableNormal"/>
              <w:numPr>
                <w:ilvl w:val="0"/>
                <w:numId w:val="29"/>
              </w:numPr>
              <w:spacing w:after="0"/>
            </w:pPr>
          </w:p>
        </w:tc>
        <w:tc>
          <w:tcPr>
            <w:tcW w:w="2250" w:type="dxa"/>
            <w:noWrap/>
            <w:tcMar>
              <w:top w:w="11" w:type="dxa"/>
              <w:left w:w="11" w:type="dxa"/>
              <w:bottom w:w="11" w:type="dxa"/>
              <w:right w:w="11" w:type="dxa"/>
            </w:tcMar>
          </w:tcPr>
          <w:p w:rsidR="00FA64A4" w:rsidRDefault="00111B92" w:rsidP="001476EB">
            <w:pPr>
              <w:rPr>
                <w:sz w:val="16"/>
                <w:szCs w:val="16"/>
              </w:rPr>
            </w:pPr>
            <w:r w:rsidRPr="00D14CE9">
              <w:rPr>
                <w:sz w:val="16"/>
                <w:szCs w:val="16"/>
              </w:rPr>
              <w:t xml:space="preserve">Please identify the extractive resources/products that are used as key construction inputs and are important to your projects. </w:t>
            </w:r>
          </w:p>
          <w:p w:rsidR="00111B92" w:rsidRPr="00FA64A4" w:rsidRDefault="00111B92" w:rsidP="00FA64A4">
            <w:pPr>
              <w:jc w:val="center"/>
              <w:rPr>
                <w:sz w:val="16"/>
                <w:szCs w:val="16"/>
              </w:rPr>
            </w:pPr>
          </w:p>
        </w:tc>
        <w:tc>
          <w:tcPr>
            <w:tcW w:w="3990" w:type="dxa"/>
            <w:noWrap/>
            <w:tcMar>
              <w:top w:w="11" w:type="dxa"/>
              <w:left w:w="11" w:type="dxa"/>
              <w:bottom w:w="11" w:type="dxa"/>
              <w:right w:w="11" w:type="dxa"/>
            </w:tcMar>
          </w:tcPr>
          <w:p w:rsidR="00111B92" w:rsidRPr="00D14CE9" w:rsidRDefault="00111B92" w:rsidP="001476EB">
            <w:pPr>
              <w:rPr>
                <w:sz w:val="16"/>
                <w:szCs w:val="16"/>
              </w:rPr>
            </w:pPr>
            <w:r w:rsidRPr="00D14CE9">
              <w:rPr>
                <w:sz w:val="16"/>
                <w:szCs w:val="16"/>
              </w:rPr>
              <w:t>Resources requirements are identical for each of those construction types, used in the substructure and superstructure elements of the buildings.</w:t>
            </w:r>
          </w:p>
          <w:p w:rsidR="00111B92" w:rsidRPr="00D14CE9" w:rsidRDefault="00111B92" w:rsidP="001476EB">
            <w:pPr>
              <w:rPr>
                <w:sz w:val="16"/>
                <w:szCs w:val="16"/>
              </w:rPr>
            </w:pPr>
            <w:r w:rsidRPr="00D14CE9">
              <w:rPr>
                <w:sz w:val="16"/>
                <w:szCs w:val="16"/>
              </w:rPr>
              <w:t>Main commodity product used out of extractive resources manufactured in Victoria is concrete, composed of:</w:t>
            </w:r>
          </w:p>
          <w:p w:rsidR="00111B92" w:rsidRPr="00D14CE9" w:rsidRDefault="00111B92"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50% aggregate, comprised primarily of bluestone crushed rock. </w:t>
            </w:r>
          </w:p>
          <w:p w:rsidR="00111B92" w:rsidRPr="00D14CE9" w:rsidRDefault="00111B92"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33% concrete sand, comprised primarily of sand and gravel. </w:t>
            </w:r>
          </w:p>
          <w:p w:rsidR="00111B92" w:rsidRPr="00D14CE9" w:rsidRDefault="00111B92"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17% cement, indicated to be a raw product. </w:t>
            </w:r>
          </w:p>
          <w:p w:rsidR="00111B92" w:rsidRPr="00D14CE9" w:rsidRDefault="00111B92" w:rsidP="001476EB">
            <w:pPr>
              <w:rPr>
                <w:sz w:val="16"/>
                <w:szCs w:val="16"/>
              </w:rPr>
            </w:pPr>
            <w:r w:rsidRPr="00D14CE9">
              <w:rPr>
                <w:sz w:val="16"/>
                <w:szCs w:val="16"/>
              </w:rPr>
              <w:t>Other resources, such as fine sand for example, are used in very small amounts in construction projects and therefore considered as negligible in terms of project cost and resource volume.</w:t>
            </w:r>
          </w:p>
        </w:tc>
        <w:tc>
          <w:tcPr>
            <w:tcW w:w="3990" w:type="dxa"/>
            <w:tcMar>
              <w:top w:w="11" w:type="dxa"/>
              <w:left w:w="11" w:type="dxa"/>
              <w:bottom w:w="11" w:type="dxa"/>
              <w:right w:w="11" w:type="dxa"/>
            </w:tcMar>
          </w:tcPr>
          <w:p w:rsidR="00111B92" w:rsidRPr="00D14CE9" w:rsidRDefault="00111B92"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Hard Rock used for Aggregate, Road Base (Class 1 and 2 crushed rock) and Road Sub-Base (incl. Class 3 and 4 CR, NDCR and track material).</w:t>
            </w:r>
          </w:p>
          <w:p w:rsidR="00111B92" w:rsidRPr="00D14CE9" w:rsidRDefault="00111B92"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Limestone used for Road Base (Class 1 and 2 crushed rock), Road Class Sub-Base (Class 3 and 4 CR, NDCR and track material) and cement.</w:t>
            </w:r>
          </w:p>
          <w:p w:rsidR="00111B92" w:rsidRPr="00D14CE9" w:rsidRDefault="00111B92"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Sand and Gravel used for Aggregate, Road Base (Class 1 and 2 crushed rock), Concrete Sand, Fine Sand, Glass Sand and Industrial (silica flour, fibre glass, ceramics, etc.).</w:t>
            </w:r>
          </w:p>
          <w:p w:rsidR="00111B92" w:rsidRPr="00D14CE9" w:rsidRDefault="00111B92"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Clay and Clay Shale used for Brick and Tile/Pipe.</w:t>
            </w:r>
          </w:p>
          <w:p w:rsidR="00111B92" w:rsidRPr="00D14CE9" w:rsidRDefault="00111B92" w:rsidP="001476EB">
            <w:pPr>
              <w:pStyle w:val="ListParagraph"/>
              <w:spacing w:after="0"/>
              <w:ind w:left="0"/>
              <w:rPr>
                <w:rFonts w:ascii="EYInterstate Light" w:hAnsi="EYInterstate Light"/>
                <w:sz w:val="16"/>
                <w:szCs w:val="16"/>
              </w:rPr>
            </w:pPr>
            <w:r w:rsidRPr="00D14CE9">
              <w:rPr>
                <w:rFonts w:ascii="EYInterstate Light" w:hAnsi="EYInterstate Light"/>
                <w:sz w:val="16"/>
                <w:szCs w:val="16"/>
              </w:rPr>
              <w:t xml:space="preserve">All projects use hard rocks, limestone, sand and gravel and clay and clay shale through trade elements, </w:t>
            </w:r>
            <w:r w:rsidR="008E179B" w:rsidRPr="00D14CE9">
              <w:rPr>
                <w:rFonts w:ascii="EYInterstate Light" w:hAnsi="EYInterstate Light"/>
                <w:sz w:val="16"/>
                <w:szCs w:val="16"/>
              </w:rPr>
              <w:t>i.e.</w:t>
            </w:r>
            <w:r w:rsidRPr="00D14CE9">
              <w:rPr>
                <w:rFonts w:ascii="EYInterstate Light" w:hAnsi="EYInterstate Light"/>
                <w:sz w:val="16"/>
                <w:szCs w:val="16"/>
              </w:rPr>
              <w:t xml:space="preserve">; concrete structure (aggregates, sands, cement, lime, fills, </w:t>
            </w:r>
            <w:r w:rsidR="008E179B" w:rsidRPr="00D14CE9">
              <w:rPr>
                <w:rFonts w:ascii="EYInterstate Light" w:hAnsi="EYInterstate Light"/>
                <w:sz w:val="16"/>
                <w:szCs w:val="16"/>
              </w:rPr>
              <w:t>etc.</w:t>
            </w:r>
            <w:r w:rsidRPr="00D14CE9">
              <w:rPr>
                <w:rFonts w:ascii="EYInterstate Light" w:hAnsi="EYInterstate Light"/>
                <w:sz w:val="16"/>
                <w:szCs w:val="16"/>
              </w:rPr>
              <w:t xml:space="preserve">), external landscape (pavers), roadways (road base aggregates, sub-base, </w:t>
            </w:r>
            <w:r w:rsidR="008E179B" w:rsidRPr="00D14CE9">
              <w:rPr>
                <w:rFonts w:ascii="EYInterstate Light" w:hAnsi="EYInterstate Light"/>
                <w:sz w:val="16"/>
                <w:szCs w:val="16"/>
              </w:rPr>
              <w:t>etc.</w:t>
            </w:r>
            <w:r w:rsidRPr="00D14CE9">
              <w:rPr>
                <w:rFonts w:ascii="EYInterstate Light" w:hAnsi="EYInterstate Light"/>
                <w:sz w:val="16"/>
                <w:szCs w:val="16"/>
              </w:rPr>
              <w:t>), brick/block. Hard rocks is also used within benchtops (granite and marble), floor tiles (marble) as a re-constituted product, paving (bluestone).</w:t>
            </w:r>
          </w:p>
        </w:tc>
        <w:tc>
          <w:tcPr>
            <w:tcW w:w="3990" w:type="dxa"/>
            <w:tcMar>
              <w:top w:w="11" w:type="dxa"/>
              <w:left w:w="11" w:type="dxa"/>
              <w:bottom w:w="11" w:type="dxa"/>
              <w:right w:w="11" w:type="dxa"/>
            </w:tcMar>
          </w:tcPr>
          <w:p w:rsidR="00111B92" w:rsidRPr="00D14CE9" w:rsidRDefault="00111B92"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Commodity products used for Non-Residential buildings are concrete (made out of concrete sand, crushed rock_ basalt and cement), glass, tile and plasterboard (compressed cement used in finishes).</w:t>
            </w:r>
          </w:p>
          <w:p w:rsidR="00111B92" w:rsidRPr="00D14CE9" w:rsidRDefault="00111B92"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Concrete will represent the most significant portion of commodity products used (generally 50% of construction components necessary to build 1 m2) although no precise range has been provided by Aquenta. </w:t>
            </w:r>
          </w:p>
          <w:p w:rsidR="00111B92" w:rsidRPr="00D14CE9" w:rsidRDefault="00111B92"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Commodity products used for Engineering Construction in respect of road and rail construction are Road Base Aggregate (80%-90%) and concrete, asphalt, earthworks and imported fill (10-20%).</w:t>
            </w:r>
          </w:p>
          <w:p w:rsidR="00802BCC" w:rsidRPr="00D14CE9" w:rsidRDefault="00802BCC" w:rsidP="001476EB">
            <w:pPr>
              <w:pStyle w:val="ListParagraph"/>
              <w:spacing w:after="0"/>
              <w:ind w:left="0"/>
              <w:rPr>
                <w:rFonts w:ascii="EYInterstate Light" w:hAnsi="EYInterstate Light"/>
                <w:sz w:val="16"/>
                <w:szCs w:val="16"/>
              </w:rPr>
            </w:pPr>
          </w:p>
          <w:p w:rsidR="00111B92" w:rsidRPr="00D14CE9" w:rsidRDefault="00111B92" w:rsidP="001476EB">
            <w:pPr>
              <w:pStyle w:val="ListParagraph"/>
              <w:spacing w:after="0"/>
              <w:ind w:left="0"/>
              <w:rPr>
                <w:rFonts w:ascii="EYInterstate Light" w:hAnsi="EYInterstate Light"/>
                <w:sz w:val="16"/>
                <w:szCs w:val="16"/>
              </w:rPr>
            </w:pPr>
            <w:r w:rsidRPr="00D14CE9">
              <w:rPr>
                <w:rFonts w:ascii="EYInterstate Light" w:hAnsi="EYInterstate Light"/>
                <w:sz w:val="16"/>
                <w:szCs w:val="16"/>
              </w:rPr>
              <w:t xml:space="preserve">No further information has been provided in relation to the raw materials components of those commodity products. </w:t>
            </w:r>
          </w:p>
          <w:p w:rsidR="00111B92" w:rsidRPr="00D14CE9" w:rsidRDefault="00111B92" w:rsidP="001476EB">
            <w:pPr>
              <w:pStyle w:val="ListParagraph"/>
              <w:spacing w:after="0"/>
              <w:ind w:left="0"/>
              <w:rPr>
                <w:rFonts w:ascii="EYInterstate Light" w:hAnsi="EYInterstate Light"/>
                <w:sz w:val="16"/>
                <w:szCs w:val="16"/>
              </w:rPr>
            </w:pPr>
          </w:p>
        </w:tc>
      </w:tr>
      <w:tr w:rsidR="00904DEE" w:rsidRPr="00D14CE9" w:rsidTr="003637FD">
        <w:trPr>
          <w:trHeight w:val="315"/>
        </w:trPr>
        <w:tc>
          <w:tcPr>
            <w:tcW w:w="612" w:type="dxa"/>
            <w:noWrap/>
            <w:tcMar>
              <w:top w:w="11" w:type="dxa"/>
              <w:left w:w="11" w:type="dxa"/>
              <w:bottom w:w="11" w:type="dxa"/>
              <w:right w:w="11" w:type="dxa"/>
            </w:tcMar>
          </w:tcPr>
          <w:p w:rsidR="00904DEE" w:rsidRPr="00D14CE9" w:rsidRDefault="00904DEE" w:rsidP="001476EB">
            <w:pPr>
              <w:pStyle w:val="EYTableNormal"/>
              <w:numPr>
                <w:ilvl w:val="0"/>
                <w:numId w:val="29"/>
              </w:numPr>
              <w:spacing w:after="0"/>
            </w:pPr>
          </w:p>
        </w:tc>
        <w:tc>
          <w:tcPr>
            <w:tcW w:w="225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Are there general rules of thumb (conversion factors) used in the industry for extractive resources? If yes, can you please describe the type of projects and provide indicative estimates of quantity required per unit. (e.g.  an average 10 storey residential building requires x glass panels translating into x tonnes of sand)</w:t>
            </w:r>
          </w:p>
        </w:tc>
        <w:tc>
          <w:tcPr>
            <w:tcW w:w="399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Concrete volume ratios used on a sample of Brookfield Multiplex projects have been provided, presented in</w:t>
            </w:r>
            <w:r w:rsidR="00D273F5" w:rsidRPr="00D14CE9">
              <w:rPr>
                <w:sz w:val="16"/>
                <w:szCs w:val="16"/>
              </w:rPr>
              <w:t xml:space="preserve"> </w:t>
            </w:r>
            <w:r w:rsidR="00D273F5" w:rsidRPr="00474B05">
              <w:rPr>
                <w:sz w:val="16"/>
                <w:szCs w:val="16"/>
              </w:rPr>
              <w:fldChar w:fldCharType="begin" w:fldLock="1"/>
            </w:r>
            <w:r w:rsidR="00D273F5" w:rsidRPr="00D14CE9">
              <w:rPr>
                <w:sz w:val="16"/>
                <w:szCs w:val="16"/>
              </w:rPr>
              <w:instrText xml:space="preserve"> REF _Ref441498253 \h  \* MERGEFORMAT </w:instrText>
            </w:r>
            <w:r w:rsidR="00D273F5" w:rsidRPr="00474B05">
              <w:rPr>
                <w:sz w:val="16"/>
                <w:szCs w:val="16"/>
              </w:rPr>
            </w:r>
            <w:r w:rsidR="00D273F5" w:rsidRPr="00474B05">
              <w:rPr>
                <w:sz w:val="16"/>
                <w:szCs w:val="16"/>
              </w:rPr>
              <w:fldChar w:fldCharType="separate"/>
            </w:r>
            <w:r w:rsidR="00895089" w:rsidRPr="00E65C9D">
              <w:rPr>
                <w:sz w:val="16"/>
                <w:szCs w:val="16"/>
              </w:rPr>
              <w:t>Table 34</w:t>
            </w:r>
            <w:r w:rsidR="00D273F5" w:rsidRPr="00474B05">
              <w:rPr>
                <w:sz w:val="16"/>
                <w:szCs w:val="16"/>
              </w:rPr>
              <w:fldChar w:fldCharType="end"/>
            </w:r>
            <w:r w:rsidR="00D273F5" w:rsidRPr="00D14CE9">
              <w:rPr>
                <w:sz w:val="16"/>
                <w:szCs w:val="16"/>
              </w:rPr>
              <w:t>.</w:t>
            </w:r>
          </w:p>
          <w:p w:rsidR="00904DEE" w:rsidRPr="00D14CE9" w:rsidRDefault="00904DEE" w:rsidP="001476EB">
            <w:pPr>
              <w:rPr>
                <w:sz w:val="16"/>
                <w:szCs w:val="16"/>
              </w:rPr>
            </w:pPr>
          </w:p>
          <w:p w:rsidR="00904DEE" w:rsidRPr="00D14CE9" w:rsidRDefault="00904DEE" w:rsidP="001476EB">
            <w:pPr>
              <w:rPr>
                <w:sz w:val="16"/>
                <w:szCs w:val="16"/>
              </w:rPr>
            </w:pPr>
            <w:r w:rsidRPr="00D14CE9">
              <w:rPr>
                <w:sz w:val="16"/>
                <w:szCs w:val="16"/>
              </w:rPr>
              <w:t>Based on the projects analysed, there does not seem to be any applicable rules of thumb.</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Uncertainties as to what those are. Concrete and plasterboard example of quantities have been provided in</w:t>
            </w:r>
            <w:r w:rsidR="00AF4D01" w:rsidRPr="00D14CE9">
              <w:rPr>
                <w:rFonts w:cs="Arial"/>
                <w:color w:val="000000"/>
                <w:sz w:val="16"/>
                <w:szCs w:val="16"/>
              </w:rPr>
              <w:t xml:space="preserve"> </w:t>
            </w:r>
            <w:r w:rsidR="00E746FC" w:rsidRPr="00D14CE9">
              <w:rPr>
                <w:rFonts w:cs="Arial"/>
                <w:color w:val="000000"/>
                <w:sz w:val="16"/>
                <w:szCs w:val="16"/>
              </w:rPr>
              <w:t>Table 34.</w:t>
            </w:r>
          </w:p>
          <w:p w:rsidR="00904DEE" w:rsidRPr="00D14CE9" w:rsidRDefault="00904DEE" w:rsidP="001476EB">
            <w:pPr>
              <w:rPr>
                <w:rFonts w:cs="Arial"/>
                <w:color w:val="000000"/>
                <w:sz w:val="16"/>
                <w:szCs w:val="16"/>
              </w:rPr>
            </w:pPr>
          </w:p>
        </w:tc>
        <w:tc>
          <w:tcPr>
            <w:tcW w:w="3990" w:type="dxa"/>
            <w:tcMar>
              <w:top w:w="11" w:type="dxa"/>
              <w:left w:w="11" w:type="dxa"/>
              <w:bottom w:w="11" w:type="dxa"/>
              <w:right w:w="11" w:type="dxa"/>
            </w:tcMar>
          </w:tcPr>
          <w:p w:rsidR="00904DEE" w:rsidRPr="00D14CE9" w:rsidRDefault="00904DEE" w:rsidP="001476EB">
            <w:pPr>
              <w:pStyle w:val="ListParagraph"/>
              <w:numPr>
                <w:ilvl w:val="0"/>
                <w:numId w:val="30"/>
              </w:numPr>
              <w:spacing w:after="0"/>
              <w:ind w:left="0" w:hanging="357"/>
              <w:rPr>
                <w:rFonts w:ascii="EYInterstate Light" w:hAnsi="EYInterstate Light"/>
                <w:sz w:val="16"/>
                <w:szCs w:val="16"/>
              </w:rPr>
            </w:pPr>
          </w:p>
        </w:tc>
      </w:tr>
      <w:tr w:rsidR="00904DEE" w:rsidRPr="00D14CE9" w:rsidTr="003637FD">
        <w:trPr>
          <w:trHeight w:val="315"/>
        </w:trPr>
        <w:tc>
          <w:tcPr>
            <w:tcW w:w="612" w:type="dxa"/>
            <w:noWrap/>
            <w:tcMar>
              <w:top w:w="11" w:type="dxa"/>
              <w:left w:w="11" w:type="dxa"/>
              <w:bottom w:w="11" w:type="dxa"/>
              <w:right w:w="11" w:type="dxa"/>
            </w:tcMar>
          </w:tcPr>
          <w:p w:rsidR="00904DEE" w:rsidRPr="00D14CE9" w:rsidRDefault="00904DEE" w:rsidP="001476EB">
            <w:pPr>
              <w:pStyle w:val="EYTableNormal"/>
              <w:numPr>
                <w:ilvl w:val="0"/>
                <w:numId w:val="29"/>
              </w:numPr>
              <w:spacing w:after="0"/>
            </w:pPr>
          </w:p>
        </w:tc>
        <w:tc>
          <w:tcPr>
            <w:tcW w:w="225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 xml:space="preserve">What proportion of the total cost of the following construction types is comprised of extractive resource costs/products: (excluding labour costs). </w:t>
            </w:r>
          </w:p>
          <w:p w:rsidR="00904DEE" w:rsidRPr="00D14CE9" w:rsidRDefault="00904DEE" w:rsidP="001476EB">
            <w:pPr>
              <w:rPr>
                <w:sz w:val="16"/>
                <w:szCs w:val="16"/>
              </w:rPr>
            </w:pPr>
            <w:r w:rsidRPr="00D14CE9">
              <w:rPr>
                <w:sz w:val="16"/>
                <w:szCs w:val="16"/>
              </w:rPr>
              <w:t>a. Building construction - Non-residential</w:t>
            </w:r>
          </w:p>
          <w:p w:rsidR="00904DEE" w:rsidRPr="00D14CE9" w:rsidRDefault="00904DEE" w:rsidP="001476EB">
            <w:pPr>
              <w:rPr>
                <w:sz w:val="16"/>
                <w:szCs w:val="16"/>
              </w:rPr>
            </w:pPr>
            <w:r w:rsidRPr="00D14CE9">
              <w:rPr>
                <w:sz w:val="16"/>
                <w:szCs w:val="16"/>
              </w:rPr>
              <w:t xml:space="preserve">     i. Hospital</w:t>
            </w:r>
          </w:p>
          <w:p w:rsidR="00904DEE" w:rsidRPr="00D14CE9" w:rsidRDefault="00904DEE" w:rsidP="001476EB">
            <w:pPr>
              <w:rPr>
                <w:sz w:val="16"/>
                <w:szCs w:val="16"/>
              </w:rPr>
            </w:pPr>
            <w:r w:rsidRPr="00D14CE9">
              <w:rPr>
                <w:sz w:val="16"/>
                <w:szCs w:val="16"/>
              </w:rPr>
              <w:t xml:space="preserve">     ii. School</w:t>
            </w:r>
          </w:p>
          <w:p w:rsidR="00904DEE" w:rsidRPr="00D14CE9" w:rsidRDefault="00904DEE" w:rsidP="001476EB">
            <w:pPr>
              <w:rPr>
                <w:sz w:val="16"/>
                <w:szCs w:val="16"/>
              </w:rPr>
            </w:pPr>
            <w:r w:rsidRPr="00D14CE9">
              <w:rPr>
                <w:sz w:val="16"/>
                <w:szCs w:val="16"/>
              </w:rPr>
              <w:t xml:space="preserve">     iii. Commercial office space</w:t>
            </w:r>
          </w:p>
          <w:p w:rsidR="00904DEE" w:rsidRPr="00D14CE9" w:rsidRDefault="00904DEE" w:rsidP="001476EB">
            <w:pPr>
              <w:rPr>
                <w:sz w:val="16"/>
                <w:szCs w:val="16"/>
              </w:rPr>
            </w:pPr>
            <w:r w:rsidRPr="00D14CE9">
              <w:rPr>
                <w:sz w:val="16"/>
                <w:szCs w:val="16"/>
              </w:rPr>
              <w:t>b. Building construction - Residential</w:t>
            </w:r>
          </w:p>
          <w:p w:rsidR="00904DEE" w:rsidRPr="00D14CE9" w:rsidRDefault="00904DEE" w:rsidP="001476EB">
            <w:pPr>
              <w:rPr>
                <w:sz w:val="16"/>
                <w:szCs w:val="16"/>
              </w:rPr>
            </w:pPr>
            <w:r w:rsidRPr="00D14CE9">
              <w:rPr>
                <w:sz w:val="16"/>
                <w:szCs w:val="16"/>
              </w:rPr>
              <w:t xml:space="preserve">c. Engineering Construction - Energy and utilities infrastructure </w:t>
            </w:r>
          </w:p>
          <w:p w:rsidR="00904DEE" w:rsidRPr="00D14CE9" w:rsidRDefault="00904DEE" w:rsidP="001476EB">
            <w:pPr>
              <w:rPr>
                <w:sz w:val="16"/>
                <w:szCs w:val="16"/>
              </w:rPr>
            </w:pPr>
            <w:r w:rsidRPr="00D14CE9">
              <w:rPr>
                <w:sz w:val="16"/>
                <w:szCs w:val="16"/>
              </w:rPr>
              <w:lastRenderedPageBreak/>
              <w:t>d. Engineering Construction - Transport infrastructure</w:t>
            </w:r>
          </w:p>
        </w:tc>
        <w:tc>
          <w:tcPr>
            <w:tcW w:w="399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lastRenderedPageBreak/>
              <w:t>Extractive resources used equal 32.5% of a construction project total costs (i.e. 40% of the total project cost out of which 75% correspond to labour):</w:t>
            </w:r>
          </w:p>
          <w:p w:rsidR="00904DEE" w:rsidRPr="00D14CE9" w:rsidRDefault="00904DEE"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22.5% of the construction project costs relate to the cost of concrete, including transport costs and excluding labour costs. </w:t>
            </w:r>
          </w:p>
          <w:p w:rsidR="00904DEE" w:rsidRPr="00D14CE9" w:rsidRDefault="00904DEE"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10% is related to the cost of façade (glass), including transport costs.</w:t>
            </w:r>
          </w:p>
          <w:p w:rsidR="00904DEE" w:rsidRPr="00D14CE9" w:rsidRDefault="00904DEE" w:rsidP="001476EB">
            <w:pPr>
              <w:rPr>
                <w:sz w:val="16"/>
                <w:szCs w:val="16"/>
              </w:rPr>
            </w:pP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Not provided / available.</w:t>
            </w:r>
          </w:p>
        </w:tc>
        <w:tc>
          <w:tcPr>
            <w:tcW w:w="3990" w:type="dxa"/>
            <w:tcMar>
              <w:top w:w="11" w:type="dxa"/>
              <w:left w:w="11" w:type="dxa"/>
              <w:bottom w:w="11" w:type="dxa"/>
              <w:right w:w="11" w:type="dxa"/>
            </w:tcMar>
          </w:tcPr>
          <w:p w:rsidR="00904DEE" w:rsidRPr="00D14CE9" w:rsidRDefault="00904DEE" w:rsidP="001476EB">
            <w:pPr>
              <w:pStyle w:val="ListParagraph"/>
              <w:spacing w:after="0"/>
              <w:ind w:left="0"/>
              <w:rPr>
                <w:rFonts w:ascii="EYInterstate Light" w:hAnsi="EYInterstate Light"/>
                <w:sz w:val="16"/>
                <w:szCs w:val="16"/>
              </w:rPr>
            </w:pPr>
            <w:r w:rsidRPr="00D14CE9">
              <w:rPr>
                <w:rFonts w:ascii="EYInterstate Light" w:hAnsi="EYInterstate Light"/>
                <w:sz w:val="16"/>
                <w:szCs w:val="16"/>
              </w:rPr>
              <w:t xml:space="preserve">Commodity products used in Aquenta’s sectors of expertise equal 30% to 40% of a construction project total costs, including transport costs and excluding labour. They are more commonly used within the substructure and finishes elements of the total project costs. </w:t>
            </w:r>
          </w:p>
          <w:p w:rsidR="00904DEE" w:rsidRPr="00D14CE9" w:rsidRDefault="00904DEE" w:rsidP="001476EB">
            <w:pPr>
              <w:rPr>
                <w:rFonts w:cs="Arial"/>
                <w:color w:val="000000"/>
                <w:sz w:val="16"/>
                <w:szCs w:val="16"/>
              </w:rPr>
            </w:pPr>
          </w:p>
        </w:tc>
      </w:tr>
      <w:tr w:rsidR="00904DEE" w:rsidRPr="00D14CE9" w:rsidTr="003637FD">
        <w:trPr>
          <w:trHeight w:val="315"/>
        </w:trPr>
        <w:tc>
          <w:tcPr>
            <w:tcW w:w="612" w:type="dxa"/>
            <w:noWrap/>
            <w:tcMar>
              <w:top w:w="11" w:type="dxa"/>
              <w:left w:w="11" w:type="dxa"/>
              <w:bottom w:w="11" w:type="dxa"/>
              <w:right w:w="11" w:type="dxa"/>
            </w:tcMar>
          </w:tcPr>
          <w:p w:rsidR="00904DEE" w:rsidRPr="00D14CE9" w:rsidRDefault="00904DEE" w:rsidP="001476EB">
            <w:pPr>
              <w:pStyle w:val="EYTableNormal"/>
              <w:numPr>
                <w:ilvl w:val="0"/>
                <w:numId w:val="29"/>
              </w:numPr>
              <w:spacing w:after="0"/>
            </w:pPr>
          </w:p>
        </w:tc>
        <w:tc>
          <w:tcPr>
            <w:tcW w:w="225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Which rock types contribute the greatest proportion of your project costs? Is this on a volume or price basis? Given this, which rock types do you think have the potential to greatly influence your construction costs looking forward to 2050?</w:t>
            </w:r>
          </w:p>
        </w:tc>
        <w:tc>
          <w:tcPr>
            <w:tcW w:w="399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Inputs to concrete would drive production costs in the future if these were to grow.</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Either hard rocks (being granite/marble for tiles/benchtops, and concrete) or sands (within concrete, reconstituted products, mortar, glass). This would be both on cost and volume fronts. Nearly all will affect future costs as they are used in combinations for quite a few building products (i.e. concrete, glass).</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p>
        </w:tc>
      </w:tr>
      <w:tr w:rsidR="00904DEE" w:rsidRPr="00D14CE9" w:rsidTr="003637FD">
        <w:trPr>
          <w:trHeight w:val="315"/>
        </w:trPr>
        <w:tc>
          <w:tcPr>
            <w:tcW w:w="612" w:type="dxa"/>
            <w:noWrap/>
            <w:tcMar>
              <w:top w:w="11" w:type="dxa"/>
              <w:left w:w="11" w:type="dxa"/>
              <w:bottom w:w="11" w:type="dxa"/>
              <w:right w:w="11" w:type="dxa"/>
            </w:tcMar>
          </w:tcPr>
          <w:p w:rsidR="00904DEE" w:rsidRPr="00D14CE9" w:rsidRDefault="00904DEE" w:rsidP="001476EB">
            <w:pPr>
              <w:pStyle w:val="EYTableNormal"/>
              <w:numPr>
                <w:ilvl w:val="0"/>
                <w:numId w:val="29"/>
              </w:numPr>
              <w:spacing w:after="0"/>
            </w:pPr>
          </w:p>
        </w:tc>
        <w:tc>
          <w:tcPr>
            <w:tcW w:w="225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Given your responses to Question 4, would a general increase (say 10%) in the price of the resources identified as important to your projects generate a proportionate increase in construction costs? Or:</w:t>
            </w:r>
          </w:p>
          <w:p w:rsidR="00904DEE" w:rsidRPr="00D14CE9" w:rsidRDefault="00904DEE" w:rsidP="004839B9">
            <w:pPr>
              <w:tabs>
                <w:tab w:val="left" w:pos="239"/>
              </w:tabs>
              <w:ind w:left="239" w:hanging="239"/>
              <w:rPr>
                <w:sz w:val="16"/>
                <w:szCs w:val="16"/>
              </w:rPr>
            </w:pPr>
            <w:r w:rsidRPr="00D14CE9">
              <w:rPr>
                <w:sz w:val="16"/>
                <w:szCs w:val="16"/>
              </w:rPr>
              <w:t xml:space="preserve">a. </w:t>
            </w:r>
            <w:r w:rsidR="004839B9">
              <w:rPr>
                <w:sz w:val="16"/>
                <w:szCs w:val="16"/>
              </w:rPr>
              <w:tab/>
            </w:r>
            <w:r w:rsidRPr="00D14CE9">
              <w:rPr>
                <w:sz w:val="16"/>
                <w:szCs w:val="16"/>
              </w:rPr>
              <w:t>Would there be other indirect cost increases that would occur? (for instance, the costs of other non-extractive inputs could also increase)</w:t>
            </w:r>
          </w:p>
          <w:p w:rsidR="00904DEE" w:rsidRPr="00D14CE9" w:rsidRDefault="00904DEE" w:rsidP="004839B9">
            <w:pPr>
              <w:tabs>
                <w:tab w:val="left" w:pos="239"/>
              </w:tabs>
              <w:ind w:left="239" w:hanging="239"/>
              <w:rPr>
                <w:sz w:val="16"/>
                <w:szCs w:val="16"/>
              </w:rPr>
            </w:pPr>
            <w:r w:rsidRPr="00D14CE9">
              <w:rPr>
                <w:sz w:val="16"/>
                <w:szCs w:val="16"/>
              </w:rPr>
              <w:t xml:space="preserve">b. </w:t>
            </w:r>
            <w:r w:rsidR="004839B9">
              <w:rPr>
                <w:sz w:val="16"/>
                <w:szCs w:val="16"/>
              </w:rPr>
              <w:tab/>
            </w:r>
            <w:r w:rsidRPr="00D14CE9">
              <w:rPr>
                <w:sz w:val="16"/>
                <w:szCs w:val="16"/>
              </w:rPr>
              <w:t>Would there be a substitution away from these resources to other options?</w:t>
            </w:r>
          </w:p>
        </w:tc>
        <w:tc>
          <w:tcPr>
            <w:tcW w:w="399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In theory there would be a potential price increase as suggested. However aside from materials and labour, other key factors such as market forces, subcontractor circumstances and states of design would be key influences.</w:t>
            </w:r>
          </w:p>
          <w:p w:rsidR="00904DEE" w:rsidRPr="00D14CE9" w:rsidRDefault="00904DEE" w:rsidP="001476EB">
            <w:pPr>
              <w:rPr>
                <w:sz w:val="16"/>
                <w:szCs w:val="16"/>
              </w:rPr>
            </w:pPr>
            <w:r w:rsidRPr="00D14CE9">
              <w:rPr>
                <w:sz w:val="16"/>
                <w:szCs w:val="16"/>
              </w:rPr>
              <w:t>Potentially a substitution would occur. However this decision will most likely be influenced by a range of market factors instead of a singular material price increase.</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No, an increase of 10% on the elements of concrete (aggregates, sands, etc), which is approximately 3% of total costs would not have a proportionate affect. In theory no other indirect cost increase would occur. However, suppliers would look to increase transport costs as a side effect.</w:t>
            </w:r>
          </w:p>
          <w:p w:rsidR="00904DEE" w:rsidRPr="00D14CE9" w:rsidRDefault="00904DEE" w:rsidP="001476EB">
            <w:pPr>
              <w:rPr>
                <w:rFonts w:cs="Arial"/>
                <w:color w:val="000000"/>
                <w:sz w:val="16"/>
                <w:szCs w:val="16"/>
              </w:rPr>
            </w:pPr>
            <w:r w:rsidRPr="00D14CE9">
              <w:rPr>
                <w:rFonts w:cs="Arial"/>
                <w:color w:val="000000"/>
                <w:sz w:val="16"/>
                <w:szCs w:val="16"/>
              </w:rPr>
              <w:t>There are substitutions already being made to use substitute products that have an environmental impact (i.e. fly-ash and recycled concrete for aggregates).</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If the price of concrete was to increase, the only additional indirect cost increase that would occur would be related to potential delays in the project caused by this increase (i.e. time cost).</w:t>
            </w:r>
          </w:p>
        </w:tc>
      </w:tr>
      <w:tr w:rsidR="00904DEE" w:rsidRPr="00D14CE9" w:rsidTr="003637FD">
        <w:trPr>
          <w:trHeight w:val="315"/>
        </w:trPr>
        <w:tc>
          <w:tcPr>
            <w:tcW w:w="612" w:type="dxa"/>
            <w:noWrap/>
            <w:tcMar>
              <w:top w:w="11" w:type="dxa"/>
              <w:left w:w="11" w:type="dxa"/>
              <w:bottom w:w="11" w:type="dxa"/>
              <w:right w:w="11" w:type="dxa"/>
            </w:tcMar>
          </w:tcPr>
          <w:p w:rsidR="00904DEE" w:rsidRPr="00D14CE9" w:rsidRDefault="00904DEE" w:rsidP="001476EB">
            <w:pPr>
              <w:pStyle w:val="EYTableNormal"/>
              <w:numPr>
                <w:ilvl w:val="0"/>
                <w:numId w:val="29"/>
              </w:numPr>
              <w:spacing w:after="0"/>
            </w:pPr>
          </w:p>
        </w:tc>
        <w:tc>
          <w:tcPr>
            <w:tcW w:w="225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Of the resources/products identified as important to your projects, is there a specific grade/quality that you require for your projects or is there a degree of substitution that is possible?  Which resources/products lack substitute and which products are easily</w:t>
            </w:r>
            <w:r w:rsidRPr="00D14CE9">
              <w:t xml:space="preserve"> </w:t>
            </w:r>
            <w:r w:rsidRPr="00D14CE9">
              <w:rPr>
                <w:sz w:val="16"/>
                <w:szCs w:val="16"/>
              </w:rPr>
              <w:t>substitutable.  (e.g. granite and  limestone are both used as inputs into the product ‘dimension stone’)</w:t>
            </w:r>
          </w:p>
        </w:tc>
        <w:tc>
          <w:tcPr>
            <w:tcW w:w="3990" w:type="dxa"/>
            <w:noWrap/>
            <w:tcMar>
              <w:top w:w="11" w:type="dxa"/>
              <w:left w:w="11" w:type="dxa"/>
              <w:bottom w:w="11" w:type="dxa"/>
              <w:right w:w="11" w:type="dxa"/>
            </w:tcMar>
          </w:tcPr>
          <w:p w:rsidR="00904DEE" w:rsidRPr="00D14CE9" w:rsidRDefault="00904DEE" w:rsidP="001476EB">
            <w:pPr>
              <w:rPr>
                <w:sz w:val="16"/>
                <w:szCs w:val="16"/>
              </w:rPr>
            </w:pPr>
            <w:r w:rsidRPr="00D14CE9">
              <w:rPr>
                <w:rFonts w:cs="Arial"/>
                <w:color w:val="000000"/>
                <w:sz w:val="16"/>
                <w:szCs w:val="16"/>
              </w:rPr>
              <w:t>Not provided / available.</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The grade for items such as concrete and glazing would not be looked at by the builder. However there would be substitutions that the suppliers/manufacturers would use. Aggregates are easier to substitute, whereas a marble/granite within tiles/benchtops would not be.</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p>
        </w:tc>
      </w:tr>
      <w:tr w:rsidR="00904DEE" w:rsidRPr="00D14CE9" w:rsidTr="003637FD">
        <w:trPr>
          <w:trHeight w:val="315"/>
        </w:trPr>
        <w:tc>
          <w:tcPr>
            <w:tcW w:w="612" w:type="dxa"/>
            <w:noWrap/>
            <w:tcMar>
              <w:top w:w="11" w:type="dxa"/>
              <w:left w:w="11" w:type="dxa"/>
              <w:bottom w:w="11" w:type="dxa"/>
              <w:right w:w="11" w:type="dxa"/>
            </w:tcMar>
          </w:tcPr>
          <w:p w:rsidR="00904DEE" w:rsidRPr="00D14CE9" w:rsidRDefault="00904DEE" w:rsidP="001476EB">
            <w:pPr>
              <w:pStyle w:val="EYTableNormal"/>
              <w:numPr>
                <w:ilvl w:val="0"/>
                <w:numId w:val="29"/>
              </w:numPr>
              <w:spacing w:after="0"/>
            </w:pPr>
          </w:p>
        </w:tc>
        <w:tc>
          <w:tcPr>
            <w:tcW w:w="225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Is proximity of quarry or product manufacturers to your project sites a key factor to determine the type of product you will use in your projects?</w:t>
            </w:r>
          </w:p>
        </w:tc>
        <w:tc>
          <w:tcPr>
            <w:tcW w:w="3990" w:type="dxa"/>
            <w:noWrap/>
            <w:tcMar>
              <w:top w:w="11" w:type="dxa"/>
              <w:left w:w="11" w:type="dxa"/>
              <w:bottom w:w="11" w:type="dxa"/>
              <w:right w:w="11" w:type="dxa"/>
            </w:tcMar>
          </w:tcPr>
          <w:p w:rsidR="00904DEE" w:rsidRPr="00D14CE9" w:rsidRDefault="00904DEE" w:rsidP="001476EB">
            <w:pPr>
              <w:rPr>
                <w:sz w:val="16"/>
                <w:szCs w:val="16"/>
              </w:rPr>
            </w:pPr>
            <w:r w:rsidRPr="00D14CE9">
              <w:rPr>
                <w:rFonts w:cs="Arial"/>
                <w:color w:val="000000"/>
                <w:sz w:val="16"/>
                <w:szCs w:val="16"/>
              </w:rPr>
              <w:t>Not provided / available.</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This has not been a contributing factor to date, though this will become more prevalent in the future (i.e. in relation to associated transport costs).</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p>
        </w:tc>
      </w:tr>
      <w:tr w:rsidR="00904DEE" w:rsidRPr="00D14CE9" w:rsidTr="003637FD">
        <w:trPr>
          <w:trHeight w:val="315"/>
        </w:trPr>
        <w:tc>
          <w:tcPr>
            <w:tcW w:w="612" w:type="dxa"/>
            <w:noWrap/>
            <w:tcMar>
              <w:top w:w="11" w:type="dxa"/>
              <w:left w:w="11" w:type="dxa"/>
              <w:bottom w:w="11" w:type="dxa"/>
              <w:right w:w="11" w:type="dxa"/>
            </w:tcMar>
          </w:tcPr>
          <w:p w:rsidR="00904DEE" w:rsidRPr="00D14CE9" w:rsidRDefault="00904DEE" w:rsidP="001476EB">
            <w:pPr>
              <w:pStyle w:val="EYTableNormal"/>
              <w:numPr>
                <w:ilvl w:val="0"/>
                <w:numId w:val="29"/>
              </w:numPr>
              <w:spacing w:after="0"/>
            </w:pPr>
          </w:p>
        </w:tc>
        <w:tc>
          <w:tcPr>
            <w:tcW w:w="225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What proportion of the cost of your project is attributed to the cost of transporting construction materials from the quarry/product manufacturer to the project site?</w:t>
            </w:r>
          </w:p>
        </w:tc>
        <w:tc>
          <w:tcPr>
            <w:tcW w:w="399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Transport cost is ‘negligible’ in terms of extractive resource cost for resources procured locally to Australia.</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 xml:space="preserve">Not definitive without more research – under 0.01%. </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 xml:space="preserve">Transport cost was indicated to represent 50% of the cost of extractive resources, exponentially increasing depending on the distance to be covered. Standard quarry rates would usually be based on 24-50k radius. A threshold of 50km from the quarry was provided as a trigger for the increase in transport costs.  </w:t>
            </w:r>
          </w:p>
        </w:tc>
      </w:tr>
      <w:tr w:rsidR="00904DEE" w:rsidRPr="00D14CE9" w:rsidTr="003637FD">
        <w:trPr>
          <w:trHeight w:val="315"/>
        </w:trPr>
        <w:tc>
          <w:tcPr>
            <w:tcW w:w="612" w:type="dxa"/>
            <w:noWrap/>
            <w:tcMar>
              <w:top w:w="11" w:type="dxa"/>
              <w:left w:w="11" w:type="dxa"/>
              <w:bottom w:w="11" w:type="dxa"/>
              <w:right w:w="11" w:type="dxa"/>
            </w:tcMar>
          </w:tcPr>
          <w:p w:rsidR="00904DEE" w:rsidRPr="00D14CE9" w:rsidRDefault="00904DEE" w:rsidP="001476EB">
            <w:pPr>
              <w:pStyle w:val="EYTableNormal"/>
              <w:numPr>
                <w:ilvl w:val="0"/>
                <w:numId w:val="29"/>
              </w:numPr>
              <w:spacing w:after="0"/>
            </w:pPr>
          </w:p>
        </w:tc>
        <w:tc>
          <w:tcPr>
            <w:tcW w:w="225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Of the products you identified as key inputs, do you source the products locally (within Victoria), interstate or other locations? If you do not source the products locally, please provide indicative estimates of how much (% of total) and the reasons for sourcing from other locations.</w:t>
            </w:r>
          </w:p>
        </w:tc>
        <w:tc>
          <w:tcPr>
            <w:tcW w:w="399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Most façade related products (e.g. glass) are procured outside of Australia, so glass sand consumed in Brookfield’s construction may not entirely come from Victoria.</w:t>
            </w:r>
          </w:p>
          <w:p w:rsidR="00904DEE" w:rsidRPr="00D14CE9" w:rsidRDefault="00904DEE" w:rsidP="001476EB">
            <w:pPr>
              <w:rPr>
                <w:sz w:val="16"/>
                <w:szCs w:val="16"/>
              </w:rPr>
            </w:pPr>
            <w:r w:rsidRPr="00D14CE9">
              <w:rPr>
                <w:sz w:val="16"/>
                <w:szCs w:val="16"/>
              </w:rPr>
              <w:t>No change would lead the company to use Australian glass, unless determined by specific technical requirements or a client request. Exchange rate volatility would be a consideration also.</w:t>
            </w:r>
          </w:p>
          <w:p w:rsidR="00904DEE" w:rsidRPr="00D14CE9" w:rsidRDefault="00904DEE" w:rsidP="001476EB">
            <w:pPr>
              <w:rPr>
                <w:sz w:val="16"/>
                <w:szCs w:val="16"/>
              </w:rPr>
            </w:pP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As building products go, glazing is predominately sources overseas rather than locally.</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Most façade related products (precast glass etc) are procured overseas, subject to client preference. For small projects though, those products may be procured locally.</w:t>
            </w:r>
          </w:p>
        </w:tc>
      </w:tr>
      <w:tr w:rsidR="00904DEE" w:rsidRPr="00D14CE9" w:rsidTr="003637FD">
        <w:trPr>
          <w:trHeight w:val="315"/>
        </w:trPr>
        <w:tc>
          <w:tcPr>
            <w:tcW w:w="612" w:type="dxa"/>
            <w:noWrap/>
            <w:tcMar>
              <w:top w:w="11" w:type="dxa"/>
              <w:left w:w="11" w:type="dxa"/>
              <w:bottom w:w="11" w:type="dxa"/>
              <w:right w:w="11" w:type="dxa"/>
            </w:tcMar>
          </w:tcPr>
          <w:p w:rsidR="00904DEE" w:rsidRPr="00D14CE9" w:rsidRDefault="00904DEE" w:rsidP="001476EB">
            <w:pPr>
              <w:pStyle w:val="EYTableNormal"/>
              <w:numPr>
                <w:ilvl w:val="0"/>
                <w:numId w:val="29"/>
              </w:numPr>
              <w:spacing w:after="0"/>
            </w:pPr>
          </w:p>
        </w:tc>
        <w:tc>
          <w:tcPr>
            <w:tcW w:w="225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Are there existing locations where construction is already threatened due to supply sterilization/shortages? If so, which locations does this relate to?</w:t>
            </w:r>
          </w:p>
        </w:tc>
        <w:tc>
          <w:tcPr>
            <w:tcW w:w="3990" w:type="dxa"/>
            <w:noWrap/>
            <w:tcMar>
              <w:top w:w="11" w:type="dxa"/>
              <w:left w:w="11" w:type="dxa"/>
              <w:bottom w:w="11" w:type="dxa"/>
              <w:right w:w="11" w:type="dxa"/>
            </w:tcMar>
          </w:tcPr>
          <w:p w:rsidR="00904DEE" w:rsidRPr="00D14CE9" w:rsidRDefault="00904DEE" w:rsidP="001476EB">
            <w:pPr>
              <w:rPr>
                <w:sz w:val="16"/>
                <w:szCs w:val="16"/>
              </w:rPr>
            </w:pPr>
            <w:r w:rsidRPr="00D14CE9">
              <w:rPr>
                <w:rFonts w:cs="Arial"/>
                <w:color w:val="000000"/>
                <w:sz w:val="16"/>
                <w:szCs w:val="16"/>
              </w:rPr>
              <w:t>Not provided / available.</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Not provided / available.</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Not provided / available.</w:t>
            </w:r>
          </w:p>
        </w:tc>
      </w:tr>
      <w:tr w:rsidR="00904DEE" w:rsidRPr="00D14CE9" w:rsidTr="003637FD">
        <w:trPr>
          <w:trHeight w:val="315"/>
        </w:trPr>
        <w:tc>
          <w:tcPr>
            <w:tcW w:w="612" w:type="dxa"/>
            <w:noWrap/>
            <w:tcMar>
              <w:top w:w="11" w:type="dxa"/>
              <w:left w:w="11" w:type="dxa"/>
              <w:bottom w:w="11" w:type="dxa"/>
              <w:right w:w="11" w:type="dxa"/>
            </w:tcMar>
          </w:tcPr>
          <w:p w:rsidR="00904DEE" w:rsidRPr="00D14CE9" w:rsidRDefault="00904DEE" w:rsidP="001476EB">
            <w:pPr>
              <w:pStyle w:val="EYTableNormal"/>
              <w:numPr>
                <w:ilvl w:val="0"/>
                <w:numId w:val="29"/>
              </w:numPr>
              <w:spacing w:after="0"/>
            </w:pPr>
          </w:p>
        </w:tc>
        <w:tc>
          <w:tcPr>
            <w:tcW w:w="225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What action will you take if the construction products that are important to your projects become constrained or unavailable in the future? Would you source it from other locations or consider other products as substitution (e.g. recycled concrete as road base, or imported pre-cast units etc)?</w:t>
            </w:r>
          </w:p>
          <w:p w:rsidR="00904DEE" w:rsidRPr="00D14CE9" w:rsidRDefault="00904DEE" w:rsidP="001476EB">
            <w:pPr>
              <w:rPr>
                <w:sz w:val="16"/>
                <w:szCs w:val="16"/>
              </w:rPr>
            </w:pPr>
            <w:r w:rsidRPr="00D14CE9">
              <w:rPr>
                <w:sz w:val="16"/>
                <w:szCs w:val="16"/>
              </w:rPr>
              <w:t>Are there other alternatives to extractive resources that could be used in your projects? What are these and have you considered using these alternatives?</w:t>
            </w:r>
          </w:p>
        </w:tc>
        <w:tc>
          <w:tcPr>
            <w:tcW w:w="3990" w:type="dxa"/>
            <w:noWrap/>
            <w:tcMar>
              <w:top w:w="11" w:type="dxa"/>
              <w:left w:w="11" w:type="dxa"/>
              <w:bottom w:w="11" w:type="dxa"/>
              <w:right w:w="11" w:type="dxa"/>
            </w:tcMar>
          </w:tcPr>
          <w:p w:rsidR="00904DEE" w:rsidRPr="00D14CE9" w:rsidRDefault="00904DEE" w:rsidP="001476EB">
            <w:pPr>
              <w:rPr>
                <w:sz w:val="16"/>
                <w:szCs w:val="16"/>
              </w:rPr>
            </w:pPr>
            <w:r w:rsidRPr="00D14CE9">
              <w:rPr>
                <w:rFonts w:cs="Arial"/>
                <w:color w:val="000000"/>
                <w:sz w:val="16"/>
                <w:szCs w:val="16"/>
              </w:rPr>
              <w:t>Not provided / available.</w:t>
            </w: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New locations and substitutions would be looked at and there would be measured on costs, effect on programme, quality of product and benefit to the end user/client.</w:t>
            </w:r>
          </w:p>
        </w:tc>
        <w:tc>
          <w:tcPr>
            <w:tcW w:w="3990" w:type="dxa"/>
            <w:tcMar>
              <w:top w:w="11" w:type="dxa"/>
              <w:left w:w="11" w:type="dxa"/>
              <w:bottom w:w="11" w:type="dxa"/>
              <w:right w:w="11" w:type="dxa"/>
            </w:tcMar>
          </w:tcPr>
          <w:p w:rsidR="00904DEE" w:rsidRPr="00D14CE9" w:rsidRDefault="00904DEE" w:rsidP="001476EB">
            <w:pPr>
              <w:pStyle w:val="ListParagraph"/>
              <w:widowControl/>
              <w:autoSpaceDE/>
              <w:autoSpaceDN/>
              <w:adjustRightInd/>
              <w:spacing w:after="0" w:line="276" w:lineRule="auto"/>
              <w:ind w:left="0"/>
              <w:rPr>
                <w:rFonts w:ascii="EYInterstate Light" w:hAnsi="EYInterstate Light" w:cs="Arial"/>
                <w:color w:val="000000"/>
                <w:sz w:val="16"/>
                <w:szCs w:val="16"/>
              </w:rPr>
            </w:pPr>
            <w:r w:rsidRPr="00D14CE9">
              <w:rPr>
                <w:rFonts w:ascii="EYInterstate Light" w:hAnsi="EYInterstate Light" w:cs="Arial"/>
                <w:color w:val="000000"/>
                <w:sz w:val="16"/>
                <w:szCs w:val="16"/>
              </w:rPr>
              <w:t>Not provided / available.</w:t>
            </w:r>
          </w:p>
        </w:tc>
      </w:tr>
      <w:tr w:rsidR="00904DEE" w:rsidRPr="00D14CE9" w:rsidTr="003637FD">
        <w:trPr>
          <w:trHeight w:val="315"/>
        </w:trPr>
        <w:tc>
          <w:tcPr>
            <w:tcW w:w="612" w:type="dxa"/>
            <w:noWrap/>
            <w:tcMar>
              <w:top w:w="11" w:type="dxa"/>
              <w:left w:w="11" w:type="dxa"/>
              <w:bottom w:w="11" w:type="dxa"/>
              <w:right w:w="11" w:type="dxa"/>
            </w:tcMar>
          </w:tcPr>
          <w:p w:rsidR="00904DEE" w:rsidRPr="00D14CE9" w:rsidRDefault="00904DEE" w:rsidP="001476EB">
            <w:pPr>
              <w:pStyle w:val="EYTableNormal"/>
              <w:numPr>
                <w:ilvl w:val="0"/>
                <w:numId w:val="29"/>
              </w:numPr>
              <w:spacing w:after="0"/>
            </w:pPr>
          </w:p>
        </w:tc>
        <w:tc>
          <w:tcPr>
            <w:tcW w:w="225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Is there any evidence of changes in product types or alternative products being used in the construction sector, as a result of new technology, market preferences, or new building standards?  If so, what are these changes?</w:t>
            </w:r>
          </w:p>
        </w:tc>
        <w:tc>
          <w:tcPr>
            <w:tcW w:w="3990" w:type="dxa"/>
            <w:noWrap/>
            <w:tcMar>
              <w:top w:w="11" w:type="dxa"/>
              <w:left w:w="11" w:type="dxa"/>
              <w:bottom w:w="11" w:type="dxa"/>
              <w:right w:w="11" w:type="dxa"/>
            </w:tcMar>
          </w:tcPr>
          <w:p w:rsidR="00904DEE" w:rsidRPr="00D14CE9" w:rsidRDefault="00904DEE" w:rsidP="001476EB">
            <w:pPr>
              <w:rPr>
                <w:sz w:val="16"/>
                <w:szCs w:val="16"/>
              </w:rPr>
            </w:pPr>
            <w:r w:rsidRPr="00D14CE9">
              <w:rPr>
                <w:sz w:val="16"/>
                <w:szCs w:val="16"/>
              </w:rPr>
              <w:t>If substitution were to occur, this would be away from concrete and extractive materials altogether, driven by the scarcity of concrete as a commodity product. Extractive resources would be abandoned in favour of metal and wood products, relying on technological progress. Structural steel framed building could be considered. However, factors including subcontractor pricing, design, programme, logistics etc. may come into play in determining the final structural design.</w:t>
            </w:r>
          </w:p>
          <w:p w:rsidR="00904DEE" w:rsidRPr="00D14CE9" w:rsidRDefault="00904DEE" w:rsidP="001476EB">
            <w:pPr>
              <w:rPr>
                <w:sz w:val="16"/>
                <w:szCs w:val="16"/>
              </w:rPr>
            </w:pPr>
          </w:p>
        </w:tc>
        <w:tc>
          <w:tcPr>
            <w:tcW w:w="3990" w:type="dxa"/>
            <w:tcMar>
              <w:top w:w="11" w:type="dxa"/>
              <w:left w:w="11" w:type="dxa"/>
              <w:bottom w:w="11" w:type="dxa"/>
              <w:right w:w="11" w:type="dxa"/>
            </w:tcMar>
          </w:tcPr>
          <w:p w:rsidR="00904DEE" w:rsidRPr="00D14CE9" w:rsidRDefault="00904DEE" w:rsidP="001476EB">
            <w:pPr>
              <w:rPr>
                <w:rFonts w:cs="Arial"/>
                <w:color w:val="000000"/>
                <w:sz w:val="16"/>
                <w:szCs w:val="16"/>
              </w:rPr>
            </w:pPr>
            <w:r w:rsidRPr="00D14CE9">
              <w:rPr>
                <w:rFonts w:cs="Arial"/>
                <w:color w:val="000000"/>
                <w:sz w:val="16"/>
                <w:szCs w:val="16"/>
              </w:rPr>
              <w:t>Not provided / available.</w:t>
            </w:r>
          </w:p>
        </w:tc>
        <w:tc>
          <w:tcPr>
            <w:tcW w:w="3990" w:type="dxa"/>
            <w:tcMar>
              <w:top w:w="11" w:type="dxa"/>
              <w:left w:w="11" w:type="dxa"/>
              <w:bottom w:w="11" w:type="dxa"/>
              <w:right w:w="11" w:type="dxa"/>
            </w:tcMar>
          </w:tcPr>
          <w:p w:rsidR="00904DEE" w:rsidRPr="00D14CE9" w:rsidRDefault="00904DEE"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The concrete mix does not really allow any substitution of its major component that is basalt. There could be a problem with concrete supply and cost in the state if basalt is exhausted.</w:t>
            </w:r>
          </w:p>
          <w:p w:rsidR="00904DEE" w:rsidRPr="00D14CE9" w:rsidRDefault="00904DEE"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Aggregate would stay the same (any changes would be more related to design specifications than underlying resource composition), cement might change, drying time might change.</w:t>
            </w:r>
          </w:p>
          <w:p w:rsidR="00904DEE" w:rsidRPr="00D14CE9" w:rsidRDefault="00904DEE"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Use of recycled concrete is quite limited (as approval is generally required to us it).</w:t>
            </w:r>
          </w:p>
          <w:p w:rsidR="00904DEE" w:rsidRPr="00D14CE9" w:rsidRDefault="00904DEE"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If a broader substitution was to occur, this could be away from concrete towards steel for instance. However, from </w:t>
            </w:r>
            <w:r w:rsidR="00046ADE" w:rsidRPr="00D14CE9">
              <w:rPr>
                <w:rFonts w:ascii="EYInterstate Light" w:hAnsi="EYInterstate Light"/>
                <w:sz w:val="16"/>
                <w:szCs w:val="16"/>
              </w:rPr>
              <w:t xml:space="preserve">Aquenta’s </w:t>
            </w:r>
            <w:r w:rsidR="002542FD" w:rsidRPr="00D14CE9">
              <w:rPr>
                <w:rFonts w:ascii="EYInterstate Light" w:hAnsi="EYInterstate Light"/>
                <w:sz w:val="16"/>
                <w:szCs w:val="16"/>
              </w:rPr>
              <w:t>perspective</w:t>
            </w:r>
            <w:r w:rsidRPr="00D14CE9">
              <w:rPr>
                <w:rFonts w:ascii="EYInterstate Light" w:hAnsi="EYInterstate Light"/>
                <w:sz w:val="16"/>
                <w:szCs w:val="16"/>
              </w:rPr>
              <w:t xml:space="preserve">, concrete cannot be fully substituted in the construction. Glass reinforced polymer pipes have replaced concrete in some instances, although it depends on the use. </w:t>
            </w:r>
          </w:p>
          <w:p w:rsidR="00904DEE" w:rsidRPr="00D14CE9" w:rsidRDefault="00904DEE" w:rsidP="001476EB">
            <w:pPr>
              <w:rPr>
                <w:rFonts w:cs="Arial"/>
                <w:color w:val="000000"/>
                <w:sz w:val="16"/>
                <w:szCs w:val="16"/>
              </w:rPr>
            </w:pPr>
            <w:r w:rsidRPr="00D14CE9">
              <w:rPr>
                <w:rFonts w:cs="Arial"/>
                <w:color w:val="000000"/>
                <w:sz w:val="16"/>
                <w:szCs w:val="16"/>
              </w:rPr>
              <w:t>Aquenta has indicated that they forecast, subject to political decisions , in the coming years:</w:t>
            </w:r>
          </w:p>
          <w:p w:rsidR="00904DEE" w:rsidRPr="00D14CE9" w:rsidRDefault="00904DEE"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Slow</w:t>
            </w:r>
            <w:r w:rsidR="00046ADE" w:rsidRPr="00D14CE9">
              <w:rPr>
                <w:rFonts w:ascii="EYInterstate Light" w:hAnsi="EYInterstate Light"/>
                <w:sz w:val="16"/>
                <w:szCs w:val="16"/>
              </w:rPr>
              <w:t>-</w:t>
            </w:r>
            <w:r w:rsidRPr="00D14CE9">
              <w:rPr>
                <w:rFonts w:ascii="EYInterstate Light" w:hAnsi="EYInterstate Light"/>
                <w:sz w:val="16"/>
                <w:szCs w:val="16"/>
              </w:rPr>
              <w:t xml:space="preserve">down in the building of high rise structures (CBD), </w:t>
            </w:r>
            <w:r w:rsidRPr="00D14CE9">
              <w:rPr>
                <w:rFonts w:ascii="EYInterstate Light" w:hAnsi="EYInterstate Light"/>
                <w:sz w:val="16"/>
                <w:szCs w:val="16"/>
              </w:rPr>
              <w:lastRenderedPageBreak/>
              <w:t xml:space="preserve">dependent on land availability. </w:t>
            </w:r>
          </w:p>
          <w:p w:rsidR="00904DEE" w:rsidRPr="00D14CE9" w:rsidRDefault="00904DEE"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Focus on education and health facilities.</w:t>
            </w:r>
          </w:p>
          <w:p w:rsidR="00904DEE" w:rsidRPr="00D14CE9" w:rsidRDefault="00904DEE" w:rsidP="001476EB">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Steady residential development.</w:t>
            </w:r>
          </w:p>
          <w:p w:rsidR="00904DEE" w:rsidRPr="00D14CE9" w:rsidRDefault="00904DEE" w:rsidP="001476EB">
            <w:pPr>
              <w:pStyle w:val="ListParagraph"/>
              <w:numPr>
                <w:ilvl w:val="0"/>
                <w:numId w:val="22"/>
              </w:numPr>
              <w:spacing w:after="0"/>
              <w:ind w:left="155" w:hanging="155"/>
              <w:rPr>
                <w:rFonts w:ascii="EYInterstate Light" w:hAnsi="EYInterstate Light" w:cs="Arial"/>
                <w:color w:val="000000"/>
                <w:sz w:val="16"/>
                <w:szCs w:val="16"/>
              </w:rPr>
            </w:pPr>
            <w:r w:rsidRPr="00D14CE9">
              <w:rPr>
                <w:rFonts w:ascii="EYInterstate Light" w:hAnsi="EYInterstate Light"/>
                <w:sz w:val="16"/>
                <w:szCs w:val="16"/>
              </w:rPr>
              <w:t>Steady transport construction.</w:t>
            </w:r>
          </w:p>
        </w:tc>
      </w:tr>
    </w:tbl>
    <w:p w:rsidR="00486FB4" w:rsidRPr="006B35A2" w:rsidRDefault="00486FB4" w:rsidP="00486FB4">
      <w:pPr>
        <w:pStyle w:val="EYBodytextwithparaspace"/>
        <w:rPr>
          <w:rFonts w:cstheme="majorHAnsi"/>
          <w:i/>
          <w:sz w:val="16"/>
          <w:szCs w:val="16"/>
        </w:rPr>
      </w:pPr>
      <w:r w:rsidRPr="006B35A2">
        <w:rPr>
          <w:rFonts w:cstheme="majorHAnsi"/>
          <w:i/>
          <w:sz w:val="16"/>
          <w:szCs w:val="16"/>
        </w:rPr>
        <w:lastRenderedPageBreak/>
        <w:t>Source: EY data</w:t>
      </w:r>
    </w:p>
    <w:p w:rsidR="00E22DF2" w:rsidRPr="00D14CE9" w:rsidRDefault="00E22DF2" w:rsidP="00B264BF">
      <w:pPr>
        <w:pStyle w:val="EYNormal"/>
        <w:rPr>
          <w:lang w:val="en-AU"/>
        </w:rPr>
        <w:sectPr w:rsidR="00E22DF2" w:rsidRPr="00D14CE9" w:rsidSect="00F10554">
          <w:footerReference w:type="default" r:id="rId64"/>
          <w:pgSz w:w="16834" w:h="11909" w:orient="landscape" w:code="9"/>
          <w:pgMar w:top="1440" w:right="1440" w:bottom="1440" w:left="1440" w:header="720" w:footer="567" w:gutter="0"/>
          <w:cols w:space="720"/>
          <w:docGrid w:linePitch="360"/>
        </w:sectPr>
      </w:pPr>
    </w:p>
    <w:p w:rsidR="00E22DF2" w:rsidRPr="00D14CE9" w:rsidRDefault="00E22DF2" w:rsidP="00856574">
      <w:pPr>
        <w:pStyle w:val="ListParagraph"/>
        <w:numPr>
          <w:ilvl w:val="2"/>
          <w:numId w:val="28"/>
        </w:numPr>
        <w:ind w:left="720" w:hanging="720"/>
        <w:rPr>
          <w:rFonts w:ascii="EYInterstate Light" w:hAnsi="EYInterstate Light"/>
          <w:b/>
          <w:i/>
        </w:rPr>
      </w:pPr>
      <w:r w:rsidRPr="00D14CE9">
        <w:rPr>
          <w:rFonts w:ascii="EYInterstate Light" w:hAnsi="EYInterstate Light"/>
          <w:b/>
          <w:i/>
        </w:rPr>
        <w:lastRenderedPageBreak/>
        <w:t xml:space="preserve">Key </w:t>
      </w:r>
      <w:r w:rsidR="000C499E" w:rsidRPr="00D14CE9">
        <w:rPr>
          <w:rFonts w:ascii="EYInterstate Light" w:hAnsi="EYInterstate Light"/>
          <w:b/>
          <w:i/>
        </w:rPr>
        <w:t xml:space="preserve">findings </w:t>
      </w:r>
      <w:r w:rsidRPr="00D14CE9">
        <w:rPr>
          <w:rFonts w:ascii="EYInterstate Light" w:hAnsi="EYInterstate Light"/>
          <w:b/>
          <w:i/>
        </w:rPr>
        <w:t>- Quantitative Data</w:t>
      </w:r>
    </w:p>
    <w:p w:rsidR="00E22DF2" w:rsidRPr="00D14CE9" w:rsidRDefault="00E22DF2" w:rsidP="00965BD8">
      <w:pPr>
        <w:pStyle w:val="EYBodytextwithparaspace"/>
        <w:rPr>
          <w:rFonts w:cstheme="majorHAnsi"/>
          <w:b/>
          <w:szCs w:val="20"/>
          <w:lang w:val="en-AU"/>
        </w:rPr>
      </w:pPr>
      <w:r w:rsidRPr="00D14CE9">
        <w:rPr>
          <w:rFonts w:cstheme="majorHAnsi"/>
          <w:b/>
          <w:szCs w:val="20"/>
          <w:lang w:val="en-AU"/>
        </w:rPr>
        <w:t>Brookfield Multiplex</w:t>
      </w:r>
    </w:p>
    <w:p w:rsidR="00E22DF2" w:rsidRPr="00D14CE9" w:rsidRDefault="00E22DF2" w:rsidP="00965BD8">
      <w:pPr>
        <w:pStyle w:val="EYBodytextwithparaspace"/>
        <w:rPr>
          <w:rFonts w:cstheme="majorHAnsi"/>
          <w:szCs w:val="20"/>
          <w:lang w:val="en-AU"/>
        </w:rPr>
      </w:pPr>
      <w:r w:rsidRPr="00D14CE9">
        <w:rPr>
          <w:rFonts w:cstheme="majorHAnsi"/>
          <w:szCs w:val="20"/>
          <w:lang w:val="en-AU"/>
        </w:rPr>
        <w:t>Concrete volume ratios used on a sample of Brookfield Multiplex projects have been provided, presented in below</w:t>
      </w:r>
      <w:r w:rsidR="001476EB">
        <w:rPr>
          <w:rFonts w:cstheme="majorHAnsi"/>
          <w:szCs w:val="20"/>
          <w:lang w:val="en-AU"/>
        </w:rPr>
        <w:t xml:space="preserve"> </w:t>
      </w:r>
      <w:r w:rsidR="001476EB">
        <w:rPr>
          <w:rFonts w:cstheme="majorHAnsi"/>
          <w:szCs w:val="20"/>
          <w:lang w:val="en-AU"/>
        </w:rPr>
        <w:fldChar w:fldCharType="begin"/>
      </w:r>
      <w:r w:rsidR="001476EB">
        <w:rPr>
          <w:rFonts w:cstheme="majorHAnsi"/>
          <w:szCs w:val="20"/>
          <w:lang w:val="en-AU"/>
        </w:rPr>
        <w:instrText xml:space="preserve"> REF _Ref441498253 \h </w:instrText>
      </w:r>
      <w:r w:rsidR="001476EB">
        <w:rPr>
          <w:rFonts w:cstheme="majorHAnsi"/>
          <w:szCs w:val="20"/>
          <w:lang w:val="en-AU"/>
        </w:rPr>
      </w:r>
      <w:r w:rsidR="001476EB">
        <w:rPr>
          <w:rFonts w:cstheme="majorHAnsi"/>
          <w:szCs w:val="20"/>
          <w:lang w:val="en-AU"/>
        </w:rPr>
        <w:fldChar w:fldCharType="separate"/>
      </w:r>
      <w:r w:rsidR="00525C82" w:rsidRPr="00D14CE9">
        <w:t xml:space="preserve">Table </w:t>
      </w:r>
      <w:r w:rsidR="00525C82">
        <w:rPr>
          <w:noProof/>
        </w:rPr>
        <w:t>37</w:t>
      </w:r>
      <w:r w:rsidR="001476EB">
        <w:rPr>
          <w:rFonts w:cstheme="majorHAnsi"/>
          <w:szCs w:val="20"/>
          <w:lang w:val="en-AU"/>
        </w:rPr>
        <w:fldChar w:fldCharType="end"/>
      </w:r>
      <w:r w:rsidRPr="00D14CE9">
        <w:rPr>
          <w:rFonts w:cstheme="majorHAnsi"/>
          <w:szCs w:val="20"/>
          <w:lang w:val="en-AU"/>
        </w:rPr>
        <w:t>. Those concrete ratios exclude volume of reinforcement, stairs and other ancillary concrete works associated with services and landscaping and assume a density of concrete as 2,400kg/m</w:t>
      </w:r>
      <w:r w:rsidRPr="00D14CE9">
        <w:rPr>
          <w:rFonts w:cstheme="majorHAnsi"/>
          <w:szCs w:val="20"/>
          <w:vertAlign w:val="superscript"/>
          <w:lang w:val="en-AU"/>
        </w:rPr>
        <w:t>3</w:t>
      </w:r>
      <w:r w:rsidRPr="00D14CE9">
        <w:rPr>
          <w:rFonts w:cstheme="majorHAnsi"/>
          <w:szCs w:val="20"/>
          <w:lang w:val="en-AU"/>
        </w:rPr>
        <w:t>.</w:t>
      </w:r>
    </w:p>
    <w:tbl>
      <w:tblPr>
        <w:tblW w:w="91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37"/>
        <w:tblDescription w:val="Table 37 shows concrete volume rations from Brookfield Multiplex by dividing them into structure/precast office and apartments. "/>
      </w:tblPr>
      <w:tblGrid>
        <w:gridCol w:w="1782"/>
        <w:gridCol w:w="1230"/>
        <w:gridCol w:w="1230"/>
        <w:gridCol w:w="1230"/>
        <w:gridCol w:w="1230"/>
        <w:gridCol w:w="1230"/>
        <w:gridCol w:w="1230"/>
      </w:tblGrid>
      <w:tr w:rsidR="0089174D" w:rsidRPr="00D14CE9" w:rsidTr="00F10554">
        <w:trPr>
          <w:trHeight w:val="315"/>
        </w:trPr>
        <w:tc>
          <w:tcPr>
            <w:tcW w:w="9162" w:type="dxa"/>
            <w:gridSpan w:val="7"/>
            <w:shd w:val="clear" w:color="auto" w:fill="808080"/>
            <w:noWrap/>
            <w:vAlign w:val="bottom"/>
          </w:tcPr>
          <w:p w:rsidR="0089174D" w:rsidRPr="00D14CE9" w:rsidRDefault="0089174D" w:rsidP="00802792">
            <w:pPr>
              <w:pStyle w:val="EYTableHeadingWhite"/>
              <w:rPr>
                <w:rFonts w:eastAsia="Arial Unicode MS"/>
              </w:rPr>
            </w:pPr>
            <w:bookmarkStart w:id="755" w:name="_Ref441498253"/>
            <w:bookmarkStart w:id="756" w:name="_Toc445240970"/>
            <w:bookmarkStart w:id="757" w:name="_Toc448914663"/>
            <w:bookmarkStart w:id="758" w:name="_Toc448920481"/>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37</w:t>
            </w:r>
            <w:r w:rsidR="00A9654D" w:rsidRPr="00802792">
              <w:fldChar w:fldCharType="end"/>
            </w:r>
            <w:bookmarkEnd w:id="755"/>
            <w:r w:rsidRPr="00D14CE9">
              <w:t xml:space="preserve"> – </w:t>
            </w:r>
            <w:r w:rsidR="007A4C20" w:rsidRPr="00D14CE9">
              <w:t xml:space="preserve">Brookfield Multiplex </w:t>
            </w:r>
            <w:r w:rsidR="00F63AE4" w:rsidRPr="00D14CE9">
              <w:t xml:space="preserve">- </w:t>
            </w:r>
            <w:r w:rsidR="007A4C20" w:rsidRPr="00D14CE9">
              <w:t>Concrete Volume Ratios</w:t>
            </w:r>
            <w:bookmarkEnd w:id="756"/>
            <w:bookmarkEnd w:id="757"/>
            <w:bookmarkEnd w:id="758"/>
            <w:r w:rsidR="007A4C20" w:rsidRPr="00D14CE9">
              <w:t xml:space="preserve"> </w:t>
            </w:r>
          </w:p>
        </w:tc>
      </w:tr>
      <w:tr w:rsidR="007A4C20" w:rsidRPr="00D14CE9" w:rsidTr="00F10554">
        <w:tc>
          <w:tcPr>
            <w:tcW w:w="1782" w:type="dxa"/>
            <w:shd w:val="clear" w:color="auto" w:fill="F0F0F0"/>
            <w:vAlign w:val="bottom"/>
          </w:tcPr>
          <w:p w:rsidR="007A4C20" w:rsidRPr="00D14CE9" w:rsidRDefault="007A4C20" w:rsidP="00E65C9D">
            <w:pPr>
              <w:pStyle w:val="EYTableHeading"/>
              <w:rPr>
                <w:rFonts w:eastAsia="Arial Unicode MS"/>
              </w:rPr>
            </w:pPr>
          </w:p>
        </w:tc>
        <w:tc>
          <w:tcPr>
            <w:tcW w:w="1230" w:type="dxa"/>
            <w:shd w:val="clear" w:color="auto" w:fill="F0F0F0"/>
            <w:vAlign w:val="bottom"/>
          </w:tcPr>
          <w:p w:rsidR="007A4C20" w:rsidRPr="00D14CE9" w:rsidRDefault="00811D77">
            <w:pPr>
              <w:pStyle w:val="EYTableHeading"/>
              <w:rPr>
                <w:rFonts w:eastAsia="Arial Unicode MS"/>
              </w:rPr>
            </w:pPr>
            <w:r w:rsidRPr="00D14CE9">
              <w:rPr>
                <w:rFonts w:eastAsia="Arial Unicode MS"/>
              </w:rPr>
              <w:t>Levels</w:t>
            </w:r>
          </w:p>
        </w:tc>
        <w:tc>
          <w:tcPr>
            <w:tcW w:w="1230" w:type="dxa"/>
            <w:shd w:val="clear" w:color="auto" w:fill="F0F0F0"/>
            <w:vAlign w:val="bottom"/>
          </w:tcPr>
          <w:p w:rsidR="007A4C20" w:rsidRPr="00D14CE9" w:rsidRDefault="00811D77">
            <w:pPr>
              <w:pStyle w:val="EYTableHeading"/>
              <w:rPr>
                <w:rFonts w:eastAsia="Arial Unicode MS"/>
              </w:rPr>
            </w:pPr>
            <w:r w:rsidRPr="00D14CE9">
              <w:rPr>
                <w:rFonts w:eastAsia="Arial Unicode MS"/>
              </w:rPr>
              <w:t>GFAm</w:t>
            </w:r>
            <w:r w:rsidRPr="00D14CE9">
              <w:rPr>
                <w:rFonts w:eastAsia="Arial Unicode MS"/>
                <w:vertAlign w:val="superscript"/>
              </w:rPr>
              <w:t>2</w:t>
            </w:r>
          </w:p>
        </w:tc>
        <w:tc>
          <w:tcPr>
            <w:tcW w:w="1230" w:type="dxa"/>
            <w:shd w:val="clear" w:color="auto" w:fill="F0F0F0"/>
            <w:vAlign w:val="bottom"/>
          </w:tcPr>
          <w:p w:rsidR="007A4C20" w:rsidRPr="00D14CE9" w:rsidRDefault="00811D77">
            <w:pPr>
              <w:pStyle w:val="EYTableHeading"/>
              <w:rPr>
                <w:rFonts w:eastAsia="Arial Unicode MS"/>
              </w:rPr>
            </w:pPr>
            <w:r w:rsidRPr="00D14CE9">
              <w:rPr>
                <w:rFonts w:eastAsia="Arial Unicode MS"/>
              </w:rPr>
              <w:t>Volume m</w:t>
            </w:r>
            <w:r w:rsidRPr="00D14CE9">
              <w:rPr>
                <w:rFonts w:eastAsia="Arial Unicode MS"/>
                <w:vertAlign w:val="superscript"/>
              </w:rPr>
              <w:t>3</w:t>
            </w:r>
          </w:p>
        </w:tc>
        <w:tc>
          <w:tcPr>
            <w:tcW w:w="1230" w:type="dxa"/>
            <w:shd w:val="clear" w:color="auto" w:fill="F0F0F0"/>
          </w:tcPr>
          <w:p w:rsidR="007A4C20" w:rsidRPr="00D14CE9" w:rsidRDefault="00811D77">
            <w:pPr>
              <w:pStyle w:val="EYTableHeading"/>
              <w:rPr>
                <w:rFonts w:eastAsia="Arial Unicode MS"/>
              </w:rPr>
            </w:pPr>
            <w:r w:rsidRPr="00D14CE9">
              <w:rPr>
                <w:rFonts w:eastAsia="Arial Unicode MS"/>
              </w:rPr>
              <w:t>Weight(t)</w:t>
            </w:r>
          </w:p>
        </w:tc>
        <w:tc>
          <w:tcPr>
            <w:tcW w:w="1230" w:type="dxa"/>
            <w:shd w:val="clear" w:color="auto" w:fill="F0F0F0"/>
          </w:tcPr>
          <w:p w:rsidR="007A4C20" w:rsidRPr="00D14CE9" w:rsidRDefault="00811D77">
            <w:pPr>
              <w:pStyle w:val="EYTableHeading"/>
              <w:rPr>
                <w:rFonts w:eastAsia="Arial Unicode MS"/>
              </w:rPr>
            </w:pPr>
            <w:r w:rsidRPr="00D14CE9">
              <w:rPr>
                <w:rFonts w:eastAsia="Arial Unicode MS"/>
              </w:rPr>
              <w:t>t/Lvl</w:t>
            </w:r>
          </w:p>
        </w:tc>
        <w:tc>
          <w:tcPr>
            <w:tcW w:w="1230" w:type="dxa"/>
            <w:shd w:val="clear" w:color="auto" w:fill="F0F0F0"/>
          </w:tcPr>
          <w:p w:rsidR="007A4C20" w:rsidRPr="00D14CE9" w:rsidRDefault="00811D77">
            <w:pPr>
              <w:pStyle w:val="EYTableHeading"/>
              <w:rPr>
                <w:rFonts w:eastAsia="Arial Unicode MS"/>
              </w:rPr>
            </w:pPr>
            <w:r w:rsidRPr="00D14CE9">
              <w:rPr>
                <w:rFonts w:eastAsia="Arial Unicode MS"/>
              </w:rPr>
              <w:t>t/GFA</w:t>
            </w:r>
          </w:p>
        </w:tc>
      </w:tr>
      <w:tr w:rsidR="00811D77" w:rsidRPr="00D14CE9" w:rsidTr="00F10554">
        <w:tc>
          <w:tcPr>
            <w:tcW w:w="9162" w:type="dxa"/>
            <w:gridSpan w:val="7"/>
            <w:shd w:val="clear" w:color="auto" w:fill="F0F0F0"/>
            <w:vAlign w:val="bottom"/>
          </w:tcPr>
          <w:p w:rsidR="00811D77" w:rsidRPr="00D14CE9" w:rsidRDefault="00811D77" w:rsidP="00802792">
            <w:pPr>
              <w:pStyle w:val="EYTableHeading"/>
              <w:rPr>
                <w:rFonts w:eastAsia="Arial Unicode MS"/>
              </w:rPr>
            </w:pPr>
            <w:r w:rsidRPr="00D14CE9">
              <w:rPr>
                <w:rFonts w:eastAsia="Arial Unicode MS"/>
              </w:rPr>
              <w:t>Structure and precast office</w:t>
            </w:r>
          </w:p>
        </w:tc>
      </w:tr>
      <w:tr w:rsidR="00811D77" w:rsidRPr="00D14CE9" w:rsidTr="00F10554">
        <w:trPr>
          <w:trHeight w:val="315"/>
        </w:trPr>
        <w:tc>
          <w:tcPr>
            <w:tcW w:w="1782" w:type="dxa"/>
            <w:noWrap/>
            <w:vAlign w:val="center"/>
          </w:tcPr>
          <w:p w:rsidR="00811D77" w:rsidRPr="00D14CE9" w:rsidRDefault="00811D77" w:rsidP="00131A07">
            <w:pPr>
              <w:rPr>
                <w:sz w:val="16"/>
                <w:szCs w:val="16"/>
              </w:rPr>
            </w:pPr>
            <w:r w:rsidRPr="00D14CE9">
              <w:rPr>
                <w:sz w:val="16"/>
                <w:szCs w:val="16"/>
              </w:rPr>
              <w:t>700 Bourke NAB</w:t>
            </w:r>
          </w:p>
        </w:tc>
        <w:tc>
          <w:tcPr>
            <w:tcW w:w="1230" w:type="dxa"/>
            <w:noWrap/>
            <w:vAlign w:val="center"/>
          </w:tcPr>
          <w:p w:rsidR="00811D77" w:rsidRPr="00D14CE9" w:rsidRDefault="00811D77" w:rsidP="00E65C9D">
            <w:pPr>
              <w:jc w:val="center"/>
              <w:rPr>
                <w:sz w:val="16"/>
                <w:szCs w:val="16"/>
              </w:rPr>
            </w:pPr>
            <w:r w:rsidRPr="00D14CE9">
              <w:rPr>
                <w:sz w:val="16"/>
                <w:szCs w:val="16"/>
              </w:rPr>
              <w:t>16</w:t>
            </w:r>
          </w:p>
        </w:tc>
        <w:tc>
          <w:tcPr>
            <w:tcW w:w="1230" w:type="dxa"/>
            <w:noWrap/>
            <w:vAlign w:val="center"/>
          </w:tcPr>
          <w:p w:rsidR="00811D77" w:rsidRPr="00D14CE9" w:rsidRDefault="00811D77" w:rsidP="00E65C9D">
            <w:pPr>
              <w:jc w:val="center"/>
              <w:rPr>
                <w:sz w:val="16"/>
                <w:szCs w:val="16"/>
              </w:rPr>
            </w:pPr>
            <w:r w:rsidRPr="00D14CE9">
              <w:rPr>
                <w:sz w:val="16"/>
                <w:szCs w:val="16"/>
              </w:rPr>
              <w:t>92,658</w:t>
            </w:r>
          </w:p>
        </w:tc>
        <w:tc>
          <w:tcPr>
            <w:tcW w:w="1230" w:type="dxa"/>
            <w:noWrap/>
            <w:vAlign w:val="center"/>
          </w:tcPr>
          <w:p w:rsidR="00811D77" w:rsidRPr="00D14CE9" w:rsidRDefault="00811D77" w:rsidP="00E65C9D">
            <w:pPr>
              <w:jc w:val="center"/>
              <w:rPr>
                <w:sz w:val="16"/>
                <w:szCs w:val="16"/>
              </w:rPr>
            </w:pPr>
            <w:r w:rsidRPr="00D14CE9">
              <w:rPr>
                <w:sz w:val="16"/>
                <w:szCs w:val="16"/>
              </w:rPr>
              <w:t>35,672</w:t>
            </w:r>
          </w:p>
        </w:tc>
        <w:tc>
          <w:tcPr>
            <w:tcW w:w="1230" w:type="dxa"/>
            <w:vAlign w:val="center"/>
          </w:tcPr>
          <w:p w:rsidR="00811D77" w:rsidRPr="00D14CE9" w:rsidRDefault="00811D77" w:rsidP="00E65C9D">
            <w:pPr>
              <w:jc w:val="center"/>
              <w:rPr>
                <w:sz w:val="16"/>
                <w:szCs w:val="16"/>
              </w:rPr>
            </w:pPr>
            <w:r w:rsidRPr="00D14CE9">
              <w:rPr>
                <w:sz w:val="16"/>
                <w:szCs w:val="16"/>
              </w:rPr>
              <w:t>85,612</w:t>
            </w:r>
          </w:p>
        </w:tc>
        <w:tc>
          <w:tcPr>
            <w:tcW w:w="1230" w:type="dxa"/>
            <w:vAlign w:val="center"/>
          </w:tcPr>
          <w:p w:rsidR="00811D77" w:rsidRPr="00D14CE9" w:rsidRDefault="00811D77" w:rsidP="00E65C9D">
            <w:pPr>
              <w:jc w:val="center"/>
              <w:rPr>
                <w:sz w:val="16"/>
                <w:szCs w:val="16"/>
              </w:rPr>
            </w:pPr>
            <w:r w:rsidRPr="00D14CE9">
              <w:rPr>
                <w:sz w:val="16"/>
                <w:szCs w:val="16"/>
              </w:rPr>
              <w:t>5,351</w:t>
            </w:r>
          </w:p>
        </w:tc>
        <w:tc>
          <w:tcPr>
            <w:tcW w:w="1230" w:type="dxa"/>
            <w:vAlign w:val="center"/>
          </w:tcPr>
          <w:p w:rsidR="00811D77" w:rsidRPr="00D14CE9" w:rsidRDefault="00811D77" w:rsidP="00E65C9D">
            <w:pPr>
              <w:jc w:val="center"/>
              <w:rPr>
                <w:sz w:val="16"/>
                <w:szCs w:val="16"/>
              </w:rPr>
            </w:pPr>
            <w:r w:rsidRPr="00D14CE9">
              <w:rPr>
                <w:sz w:val="16"/>
                <w:szCs w:val="16"/>
              </w:rPr>
              <w:t>0.92</w:t>
            </w:r>
          </w:p>
        </w:tc>
      </w:tr>
      <w:tr w:rsidR="00811D77" w:rsidRPr="00D14CE9" w:rsidTr="00F10554">
        <w:trPr>
          <w:trHeight w:val="315"/>
        </w:trPr>
        <w:tc>
          <w:tcPr>
            <w:tcW w:w="1782" w:type="dxa"/>
            <w:noWrap/>
            <w:vAlign w:val="center"/>
          </w:tcPr>
          <w:p w:rsidR="00811D77" w:rsidRPr="00D14CE9" w:rsidRDefault="00811D77" w:rsidP="00131A07">
            <w:pPr>
              <w:rPr>
                <w:sz w:val="16"/>
                <w:szCs w:val="16"/>
              </w:rPr>
            </w:pPr>
            <w:r w:rsidRPr="00D14CE9">
              <w:rPr>
                <w:sz w:val="16"/>
                <w:szCs w:val="16"/>
              </w:rPr>
              <w:t>720 Bourke Medibank</w:t>
            </w:r>
          </w:p>
        </w:tc>
        <w:tc>
          <w:tcPr>
            <w:tcW w:w="1230" w:type="dxa"/>
            <w:noWrap/>
            <w:vAlign w:val="center"/>
          </w:tcPr>
          <w:p w:rsidR="00811D77" w:rsidRPr="00D14CE9" w:rsidRDefault="00811D77" w:rsidP="00E65C9D">
            <w:pPr>
              <w:jc w:val="center"/>
              <w:rPr>
                <w:sz w:val="16"/>
                <w:szCs w:val="16"/>
              </w:rPr>
            </w:pPr>
            <w:r w:rsidRPr="00D14CE9">
              <w:rPr>
                <w:sz w:val="16"/>
                <w:szCs w:val="16"/>
              </w:rPr>
              <w:t>20</w:t>
            </w:r>
          </w:p>
        </w:tc>
        <w:tc>
          <w:tcPr>
            <w:tcW w:w="1230" w:type="dxa"/>
            <w:noWrap/>
            <w:vAlign w:val="center"/>
          </w:tcPr>
          <w:p w:rsidR="00811D77" w:rsidRPr="00D14CE9" w:rsidRDefault="00811D77" w:rsidP="00E65C9D">
            <w:pPr>
              <w:jc w:val="center"/>
              <w:rPr>
                <w:sz w:val="16"/>
                <w:szCs w:val="16"/>
              </w:rPr>
            </w:pPr>
            <w:r w:rsidRPr="00D14CE9">
              <w:rPr>
                <w:sz w:val="16"/>
                <w:szCs w:val="16"/>
              </w:rPr>
              <w:t>76,358</w:t>
            </w:r>
          </w:p>
        </w:tc>
        <w:tc>
          <w:tcPr>
            <w:tcW w:w="1230" w:type="dxa"/>
            <w:noWrap/>
            <w:vAlign w:val="center"/>
          </w:tcPr>
          <w:p w:rsidR="00811D77" w:rsidRPr="00D14CE9" w:rsidRDefault="00811D77" w:rsidP="00E65C9D">
            <w:pPr>
              <w:jc w:val="center"/>
              <w:rPr>
                <w:sz w:val="16"/>
                <w:szCs w:val="16"/>
              </w:rPr>
            </w:pPr>
            <w:r w:rsidRPr="00D14CE9">
              <w:rPr>
                <w:sz w:val="16"/>
                <w:szCs w:val="16"/>
              </w:rPr>
              <w:t>34,957</w:t>
            </w:r>
          </w:p>
        </w:tc>
        <w:tc>
          <w:tcPr>
            <w:tcW w:w="1230" w:type="dxa"/>
            <w:vAlign w:val="center"/>
          </w:tcPr>
          <w:p w:rsidR="00811D77" w:rsidRPr="00D14CE9" w:rsidRDefault="00811D77" w:rsidP="00E65C9D">
            <w:pPr>
              <w:jc w:val="center"/>
              <w:rPr>
                <w:sz w:val="16"/>
                <w:szCs w:val="16"/>
              </w:rPr>
            </w:pPr>
            <w:r w:rsidRPr="00D14CE9">
              <w:rPr>
                <w:sz w:val="16"/>
                <w:szCs w:val="16"/>
              </w:rPr>
              <w:t>83,898</w:t>
            </w:r>
          </w:p>
        </w:tc>
        <w:tc>
          <w:tcPr>
            <w:tcW w:w="1230" w:type="dxa"/>
            <w:vAlign w:val="center"/>
          </w:tcPr>
          <w:p w:rsidR="00811D77" w:rsidRPr="00D14CE9" w:rsidRDefault="00811D77" w:rsidP="00E65C9D">
            <w:pPr>
              <w:jc w:val="center"/>
              <w:rPr>
                <w:sz w:val="16"/>
                <w:szCs w:val="16"/>
              </w:rPr>
            </w:pPr>
            <w:r w:rsidRPr="00D14CE9">
              <w:rPr>
                <w:sz w:val="16"/>
                <w:szCs w:val="16"/>
              </w:rPr>
              <w:t>4,195</w:t>
            </w:r>
          </w:p>
        </w:tc>
        <w:tc>
          <w:tcPr>
            <w:tcW w:w="1230" w:type="dxa"/>
            <w:vAlign w:val="center"/>
          </w:tcPr>
          <w:p w:rsidR="00811D77" w:rsidRPr="00D14CE9" w:rsidRDefault="00811D77" w:rsidP="00E65C9D">
            <w:pPr>
              <w:jc w:val="center"/>
              <w:rPr>
                <w:sz w:val="16"/>
                <w:szCs w:val="16"/>
              </w:rPr>
            </w:pPr>
            <w:r w:rsidRPr="00D14CE9">
              <w:rPr>
                <w:sz w:val="16"/>
                <w:szCs w:val="16"/>
              </w:rPr>
              <w:t>1.10</w:t>
            </w:r>
          </w:p>
        </w:tc>
      </w:tr>
      <w:tr w:rsidR="00811D77" w:rsidRPr="00D14CE9" w:rsidTr="00F10554">
        <w:trPr>
          <w:trHeight w:val="315"/>
        </w:trPr>
        <w:tc>
          <w:tcPr>
            <w:tcW w:w="1782" w:type="dxa"/>
            <w:noWrap/>
            <w:vAlign w:val="center"/>
          </w:tcPr>
          <w:p w:rsidR="00811D77" w:rsidRPr="00D14CE9" w:rsidRDefault="00811D77" w:rsidP="00131A07">
            <w:pPr>
              <w:rPr>
                <w:sz w:val="16"/>
                <w:szCs w:val="16"/>
              </w:rPr>
            </w:pPr>
            <w:r w:rsidRPr="00D14CE9">
              <w:rPr>
                <w:sz w:val="16"/>
                <w:szCs w:val="16"/>
              </w:rPr>
              <w:t>Collins Square 4D (Precast not included)</w:t>
            </w:r>
          </w:p>
        </w:tc>
        <w:tc>
          <w:tcPr>
            <w:tcW w:w="1230" w:type="dxa"/>
            <w:noWrap/>
            <w:vAlign w:val="center"/>
          </w:tcPr>
          <w:p w:rsidR="00811D77" w:rsidRPr="00D14CE9" w:rsidRDefault="00811D77" w:rsidP="00E65C9D">
            <w:pPr>
              <w:jc w:val="center"/>
              <w:rPr>
                <w:sz w:val="16"/>
                <w:szCs w:val="16"/>
              </w:rPr>
            </w:pPr>
            <w:r w:rsidRPr="00D14CE9">
              <w:rPr>
                <w:sz w:val="16"/>
                <w:szCs w:val="16"/>
              </w:rPr>
              <w:t>38</w:t>
            </w:r>
          </w:p>
        </w:tc>
        <w:tc>
          <w:tcPr>
            <w:tcW w:w="1230" w:type="dxa"/>
            <w:noWrap/>
            <w:vAlign w:val="center"/>
          </w:tcPr>
          <w:p w:rsidR="00811D77" w:rsidRPr="00D14CE9" w:rsidRDefault="00811D77" w:rsidP="00E65C9D">
            <w:pPr>
              <w:jc w:val="center"/>
              <w:rPr>
                <w:sz w:val="16"/>
                <w:szCs w:val="16"/>
              </w:rPr>
            </w:pPr>
            <w:r w:rsidRPr="00D14CE9">
              <w:rPr>
                <w:sz w:val="16"/>
                <w:szCs w:val="16"/>
              </w:rPr>
              <w:t>106,217</w:t>
            </w:r>
          </w:p>
        </w:tc>
        <w:tc>
          <w:tcPr>
            <w:tcW w:w="1230" w:type="dxa"/>
            <w:noWrap/>
            <w:vAlign w:val="center"/>
          </w:tcPr>
          <w:p w:rsidR="00811D77" w:rsidRPr="00D14CE9" w:rsidRDefault="00811D77" w:rsidP="00E65C9D">
            <w:pPr>
              <w:jc w:val="center"/>
              <w:rPr>
                <w:sz w:val="16"/>
                <w:szCs w:val="16"/>
              </w:rPr>
            </w:pPr>
            <w:r w:rsidRPr="00D14CE9">
              <w:rPr>
                <w:sz w:val="16"/>
                <w:szCs w:val="16"/>
              </w:rPr>
              <w:t>39,247</w:t>
            </w:r>
          </w:p>
        </w:tc>
        <w:tc>
          <w:tcPr>
            <w:tcW w:w="1230" w:type="dxa"/>
            <w:vAlign w:val="center"/>
          </w:tcPr>
          <w:p w:rsidR="00811D77" w:rsidRPr="00D14CE9" w:rsidRDefault="00811D77" w:rsidP="00E65C9D">
            <w:pPr>
              <w:jc w:val="center"/>
              <w:rPr>
                <w:sz w:val="16"/>
                <w:szCs w:val="16"/>
              </w:rPr>
            </w:pPr>
            <w:r w:rsidRPr="00D14CE9">
              <w:rPr>
                <w:sz w:val="16"/>
                <w:szCs w:val="16"/>
              </w:rPr>
              <w:t>94,192</w:t>
            </w:r>
          </w:p>
        </w:tc>
        <w:tc>
          <w:tcPr>
            <w:tcW w:w="1230" w:type="dxa"/>
            <w:vAlign w:val="center"/>
          </w:tcPr>
          <w:p w:rsidR="00811D77" w:rsidRPr="00D14CE9" w:rsidRDefault="00811D77" w:rsidP="00E65C9D">
            <w:pPr>
              <w:jc w:val="center"/>
              <w:rPr>
                <w:sz w:val="16"/>
                <w:szCs w:val="16"/>
              </w:rPr>
            </w:pPr>
            <w:r w:rsidRPr="00D14CE9">
              <w:rPr>
                <w:sz w:val="16"/>
                <w:szCs w:val="16"/>
              </w:rPr>
              <w:t>2,479</w:t>
            </w:r>
          </w:p>
        </w:tc>
        <w:tc>
          <w:tcPr>
            <w:tcW w:w="1230" w:type="dxa"/>
            <w:vAlign w:val="center"/>
          </w:tcPr>
          <w:p w:rsidR="00811D77" w:rsidRPr="00D14CE9" w:rsidRDefault="00811D77" w:rsidP="00E65C9D">
            <w:pPr>
              <w:jc w:val="center"/>
              <w:rPr>
                <w:sz w:val="16"/>
                <w:szCs w:val="16"/>
              </w:rPr>
            </w:pPr>
            <w:r w:rsidRPr="00D14CE9">
              <w:rPr>
                <w:sz w:val="16"/>
                <w:szCs w:val="16"/>
              </w:rPr>
              <w:t>0.89</w:t>
            </w:r>
          </w:p>
        </w:tc>
      </w:tr>
      <w:tr w:rsidR="00584A0D" w:rsidRPr="00D14CE9" w:rsidTr="00F10554">
        <w:tc>
          <w:tcPr>
            <w:tcW w:w="9162" w:type="dxa"/>
            <w:gridSpan w:val="7"/>
            <w:shd w:val="clear" w:color="auto" w:fill="F0F0F0"/>
            <w:vAlign w:val="bottom"/>
          </w:tcPr>
          <w:p w:rsidR="00584A0D" w:rsidRPr="00D14CE9" w:rsidRDefault="00584A0D" w:rsidP="00E65C9D">
            <w:pPr>
              <w:pStyle w:val="EYTableHeading"/>
              <w:rPr>
                <w:rFonts w:eastAsia="Arial Unicode MS"/>
              </w:rPr>
            </w:pPr>
            <w:r w:rsidRPr="00D14CE9">
              <w:rPr>
                <w:rFonts w:eastAsia="Arial Unicode MS"/>
              </w:rPr>
              <w:t>Apartments</w:t>
            </w:r>
          </w:p>
        </w:tc>
      </w:tr>
      <w:tr w:rsidR="00584A0D" w:rsidRPr="00D14CE9" w:rsidTr="00F10554">
        <w:trPr>
          <w:trHeight w:val="315"/>
        </w:trPr>
        <w:tc>
          <w:tcPr>
            <w:tcW w:w="1782" w:type="dxa"/>
            <w:noWrap/>
            <w:vAlign w:val="center"/>
          </w:tcPr>
          <w:p w:rsidR="00584A0D" w:rsidRPr="00D14CE9" w:rsidRDefault="00584A0D" w:rsidP="00131A07">
            <w:pPr>
              <w:rPr>
                <w:sz w:val="16"/>
                <w:szCs w:val="16"/>
              </w:rPr>
            </w:pPr>
            <w:r w:rsidRPr="00D14CE9">
              <w:rPr>
                <w:sz w:val="16"/>
                <w:szCs w:val="16"/>
              </w:rPr>
              <w:t>Bella Apartments</w:t>
            </w:r>
          </w:p>
        </w:tc>
        <w:tc>
          <w:tcPr>
            <w:tcW w:w="1230" w:type="dxa"/>
            <w:noWrap/>
            <w:vAlign w:val="center"/>
          </w:tcPr>
          <w:p w:rsidR="00584A0D" w:rsidRPr="00D14CE9" w:rsidRDefault="00584A0D" w:rsidP="00E65C9D">
            <w:pPr>
              <w:jc w:val="center"/>
              <w:rPr>
                <w:sz w:val="16"/>
                <w:szCs w:val="16"/>
              </w:rPr>
            </w:pPr>
            <w:r w:rsidRPr="00D14CE9">
              <w:rPr>
                <w:sz w:val="16"/>
                <w:szCs w:val="16"/>
              </w:rPr>
              <w:t>32</w:t>
            </w:r>
          </w:p>
        </w:tc>
        <w:tc>
          <w:tcPr>
            <w:tcW w:w="1230" w:type="dxa"/>
            <w:noWrap/>
            <w:vAlign w:val="center"/>
          </w:tcPr>
          <w:p w:rsidR="00584A0D" w:rsidRPr="00D14CE9" w:rsidRDefault="00584A0D" w:rsidP="00E65C9D">
            <w:pPr>
              <w:jc w:val="center"/>
              <w:rPr>
                <w:sz w:val="16"/>
                <w:szCs w:val="16"/>
              </w:rPr>
            </w:pPr>
            <w:r w:rsidRPr="00D14CE9">
              <w:rPr>
                <w:sz w:val="16"/>
                <w:szCs w:val="16"/>
              </w:rPr>
              <w:t>17,944</w:t>
            </w:r>
          </w:p>
        </w:tc>
        <w:tc>
          <w:tcPr>
            <w:tcW w:w="1230" w:type="dxa"/>
            <w:noWrap/>
            <w:vAlign w:val="center"/>
          </w:tcPr>
          <w:p w:rsidR="00584A0D" w:rsidRPr="00D14CE9" w:rsidRDefault="00584A0D" w:rsidP="00E65C9D">
            <w:pPr>
              <w:jc w:val="center"/>
              <w:rPr>
                <w:sz w:val="16"/>
                <w:szCs w:val="16"/>
              </w:rPr>
            </w:pPr>
            <w:r w:rsidRPr="00D14CE9">
              <w:rPr>
                <w:sz w:val="16"/>
                <w:szCs w:val="16"/>
              </w:rPr>
              <w:t>7,315</w:t>
            </w:r>
          </w:p>
        </w:tc>
        <w:tc>
          <w:tcPr>
            <w:tcW w:w="1230" w:type="dxa"/>
            <w:vAlign w:val="center"/>
          </w:tcPr>
          <w:p w:rsidR="00584A0D" w:rsidRPr="00D14CE9" w:rsidRDefault="00584A0D" w:rsidP="00E65C9D">
            <w:pPr>
              <w:jc w:val="center"/>
              <w:rPr>
                <w:sz w:val="16"/>
                <w:szCs w:val="16"/>
              </w:rPr>
            </w:pPr>
            <w:r w:rsidRPr="00D14CE9">
              <w:rPr>
                <w:sz w:val="16"/>
                <w:szCs w:val="16"/>
              </w:rPr>
              <w:t>17,556</w:t>
            </w:r>
          </w:p>
        </w:tc>
        <w:tc>
          <w:tcPr>
            <w:tcW w:w="1230" w:type="dxa"/>
            <w:vAlign w:val="center"/>
          </w:tcPr>
          <w:p w:rsidR="00584A0D" w:rsidRPr="00D14CE9" w:rsidRDefault="00584A0D" w:rsidP="00E65C9D">
            <w:pPr>
              <w:jc w:val="center"/>
              <w:rPr>
                <w:sz w:val="16"/>
                <w:szCs w:val="16"/>
              </w:rPr>
            </w:pPr>
            <w:r w:rsidRPr="00D14CE9">
              <w:rPr>
                <w:sz w:val="16"/>
                <w:szCs w:val="16"/>
              </w:rPr>
              <w:t>549</w:t>
            </w:r>
          </w:p>
        </w:tc>
        <w:tc>
          <w:tcPr>
            <w:tcW w:w="1230" w:type="dxa"/>
            <w:vAlign w:val="center"/>
          </w:tcPr>
          <w:p w:rsidR="00584A0D" w:rsidRPr="00D14CE9" w:rsidRDefault="00584A0D" w:rsidP="00E65C9D">
            <w:pPr>
              <w:jc w:val="center"/>
              <w:rPr>
                <w:sz w:val="16"/>
                <w:szCs w:val="16"/>
              </w:rPr>
            </w:pPr>
            <w:r w:rsidRPr="00D14CE9">
              <w:rPr>
                <w:sz w:val="16"/>
                <w:szCs w:val="16"/>
              </w:rPr>
              <w:t>0.98</w:t>
            </w:r>
          </w:p>
        </w:tc>
      </w:tr>
      <w:tr w:rsidR="00584A0D" w:rsidRPr="00D14CE9" w:rsidTr="00F10554">
        <w:trPr>
          <w:trHeight w:val="315"/>
        </w:trPr>
        <w:tc>
          <w:tcPr>
            <w:tcW w:w="1782" w:type="dxa"/>
            <w:noWrap/>
            <w:vAlign w:val="center"/>
          </w:tcPr>
          <w:p w:rsidR="00584A0D" w:rsidRPr="00D14CE9" w:rsidRDefault="00584A0D" w:rsidP="00131A07">
            <w:pPr>
              <w:rPr>
                <w:sz w:val="16"/>
                <w:szCs w:val="16"/>
              </w:rPr>
            </w:pPr>
            <w:r w:rsidRPr="00D14CE9">
              <w:rPr>
                <w:sz w:val="16"/>
                <w:szCs w:val="16"/>
              </w:rPr>
              <w:t>Southbank Grand</w:t>
            </w:r>
          </w:p>
        </w:tc>
        <w:tc>
          <w:tcPr>
            <w:tcW w:w="1230" w:type="dxa"/>
            <w:noWrap/>
            <w:vAlign w:val="center"/>
          </w:tcPr>
          <w:p w:rsidR="00584A0D" w:rsidRPr="00D14CE9" w:rsidRDefault="00584A0D" w:rsidP="00E65C9D">
            <w:pPr>
              <w:jc w:val="center"/>
              <w:rPr>
                <w:sz w:val="16"/>
                <w:szCs w:val="16"/>
              </w:rPr>
            </w:pPr>
            <w:r w:rsidRPr="00D14CE9">
              <w:rPr>
                <w:sz w:val="16"/>
                <w:szCs w:val="16"/>
              </w:rPr>
              <w:t>43</w:t>
            </w:r>
          </w:p>
        </w:tc>
        <w:tc>
          <w:tcPr>
            <w:tcW w:w="1230" w:type="dxa"/>
            <w:noWrap/>
            <w:vAlign w:val="center"/>
          </w:tcPr>
          <w:p w:rsidR="00584A0D" w:rsidRPr="00D14CE9" w:rsidRDefault="00584A0D" w:rsidP="00E65C9D">
            <w:pPr>
              <w:jc w:val="center"/>
              <w:rPr>
                <w:sz w:val="16"/>
                <w:szCs w:val="16"/>
              </w:rPr>
            </w:pPr>
            <w:r w:rsidRPr="00D14CE9">
              <w:rPr>
                <w:sz w:val="16"/>
                <w:szCs w:val="16"/>
              </w:rPr>
              <w:t>62,313</w:t>
            </w:r>
          </w:p>
        </w:tc>
        <w:tc>
          <w:tcPr>
            <w:tcW w:w="1230" w:type="dxa"/>
            <w:noWrap/>
            <w:vAlign w:val="center"/>
          </w:tcPr>
          <w:p w:rsidR="00584A0D" w:rsidRPr="00D14CE9" w:rsidRDefault="00584A0D" w:rsidP="00E65C9D">
            <w:pPr>
              <w:jc w:val="center"/>
              <w:rPr>
                <w:sz w:val="16"/>
                <w:szCs w:val="16"/>
              </w:rPr>
            </w:pPr>
            <w:r w:rsidRPr="00D14CE9">
              <w:rPr>
                <w:sz w:val="16"/>
                <w:szCs w:val="16"/>
              </w:rPr>
              <w:t>21,328</w:t>
            </w:r>
          </w:p>
        </w:tc>
        <w:tc>
          <w:tcPr>
            <w:tcW w:w="1230" w:type="dxa"/>
            <w:vAlign w:val="center"/>
          </w:tcPr>
          <w:p w:rsidR="00584A0D" w:rsidRPr="00D14CE9" w:rsidRDefault="00584A0D" w:rsidP="00E65C9D">
            <w:pPr>
              <w:jc w:val="center"/>
              <w:rPr>
                <w:sz w:val="16"/>
                <w:szCs w:val="16"/>
              </w:rPr>
            </w:pPr>
            <w:r w:rsidRPr="00D14CE9">
              <w:rPr>
                <w:sz w:val="16"/>
                <w:szCs w:val="16"/>
              </w:rPr>
              <w:t>51,187</w:t>
            </w:r>
          </w:p>
        </w:tc>
        <w:tc>
          <w:tcPr>
            <w:tcW w:w="1230" w:type="dxa"/>
            <w:vAlign w:val="center"/>
          </w:tcPr>
          <w:p w:rsidR="00584A0D" w:rsidRPr="00D14CE9" w:rsidRDefault="00584A0D" w:rsidP="00E65C9D">
            <w:pPr>
              <w:jc w:val="center"/>
              <w:rPr>
                <w:sz w:val="16"/>
                <w:szCs w:val="16"/>
              </w:rPr>
            </w:pPr>
            <w:r w:rsidRPr="00D14CE9">
              <w:rPr>
                <w:sz w:val="16"/>
                <w:szCs w:val="16"/>
              </w:rPr>
              <w:t>1,190</w:t>
            </w:r>
          </w:p>
        </w:tc>
        <w:tc>
          <w:tcPr>
            <w:tcW w:w="1230" w:type="dxa"/>
            <w:vAlign w:val="center"/>
          </w:tcPr>
          <w:p w:rsidR="00584A0D" w:rsidRPr="00D14CE9" w:rsidRDefault="00584A0D" w:rsidP="00E65C9D">
            <w:pPr>
              <w:jc w:val="center"/>
              <w:rPr>
                <w:sz w:val="16"/>
                <w:szCs w:val="16"/>
              </w:rPr>
            </w:pPr>
            <w:r w:rsidRPr="00D14CE9">
              <w:rPr>
                <w:sz w:val="16"/>
                <w:szCs w:val="16"/>
              </w:rPr>
              <w:t>0.82</w:t>
            </w:r>
          </w:p>
        </w:tc>
      </w:tr>
      <w:tr w:rsidR="00584A0D" w:rsidRPr="00D14CE9" w:rsidTr="00F10554">
        <w:trPr>
          <w:trHeight w:val="315"/>
        </w:trPr>
        <w:tc>
          <w:tcPr>
            <w:tcW w:w="1782" w:type="dxa"/>
            <w:noWrap/>
            <w:vAlign w:val="center"/>
          </w:tcPr>
          <w:p w:rsidR="00584A0D" w:rsidRPr="00D14CE9" w:rsidRDefault="00584A0D" w:rsidP="00131A07">
            <w:pPr>
              <w:rPr>
                <w:sz w:val="16"/>
                <w:szCs w:val="16"/>
              </w:rPr>
            </w:pPr>
            <w:r w:rsidRPr="00D14CE9">
              <w:rPr>
                <w:sz w:val="16"/>
                <w:szCs w:val="16"/>
              </w:rPr>
              <w:t>Australis</w:t>
            </w:r>
          </w:p>
        </w:tc>
        <w:tc>
          <w:tcPr>
            <w:tcW w:w="1230" w:type="dxa"/>
            <w:noWrap/>
            <w:vAlign w:val="center"/>
          </w:tcPr>
          <w:p w:rsidR="00584A0D" w:rsidRPr="00D14CE9" w:rsidRDefault="00584A0D" w:rsidP="00E65C9D">
            <w:pPr>
              <w:jc w:val="center"/>
              <w:rPr>
                <w:sz w:val="16"/>
                <w:szCs w:val="16"/>
              </w:rPr>
            </w:pPr>
            <w:r w:rsidRPr="00D14CE9">
              <w:rPr>
                <w:sz w:val="16"/>
                <w:szCs w:val="16"/>
              </w:rPr>
              <w:t>48</w:t>
            </w:r>
          </w:p>
        </w:tc>
        <w:tc>
          <w:tcPr>
            <w:tcW w:w="1230" w:type="dxa"/>
            <w:noWrap/>
            <w:vAlign w:val="center"/>
          </w:tcPr>
          <w:p w:rsidR="00584A0D" w:rsidRPr="00D14CE9" w:rsidRDefault="00584A0D" w:rsidP="00E65C9D">
            <w:pPr>
              <w:jc w:val="center"/>
              <w:rPr>
                <w:sz w:val="16"/>
                <w:szCs w:val="16"/>
              </w:rPr>
            </w:pPr>
            <w:r w:rsidRPr="00D14CE9">
              <w:rPr>
                <w:sz w:val="16"/>
                <w:szCs w:val="16"/>
              </w:rPr>
              <w:t>56,354</w:t>
            </w:r>
          </w:p>
        </w:tc>
        <w:tc>
          <w:tcPr>
            <w:tcW w:w="1230" w:type="dxa"/>
            <w:noWrap/>
            <w:vAlign w:val="center"/>
          </w:tcPr>
          <w:p w:rsidR="00584A0D" w:rsidRPr="00D14CE9" w:rsidRDefault="00584A0D" w:rsidP="00E65C9D">
            <w:pPr>
              <w:jc w:val="center"/>
              <w:rPr>
                <w:sz w:val="16"/>
                <w:szCs w:val="16"/>
              </w:rPr>
            </w:pPr>
            <w:r w:rsidRPr="00D14CE9">
              <w:rPr>
                <w:sz w:val="16"/>
                <w:szCs w:val="16"/>
              </w:rPr>
              <w:t>21,705</w:t>
            </w:r>
          </w:p>
        </w:tc>
        <w:tc>
          <w:tcPr>
            <w:tcW w:w="1230" w:type="dxa"/>
            <w:vAlign w:val="center"/>
          </w:tcPr>
          <w:p w:rsidR="00584A0D" w:rsidRPr="00D14CE9" w:rsidRDefault="00584A0D" w:rsidP="00E65C9D">
            <w:pPr>
              <w:jc w:val="center"/>
              <w:rPr>
                <w:sz w:val="16"/>
                <w:szCs w:val="16"/>
              </w:rPr>
            </w:pPr>
            <w:r w:rsidRPr="00D14CE9">
              <w:rPr>
                <w:sz w:val="16"/>
                <w:szCs w:val="16"/>
              </w:rPr>
              <w:t>52,092</w:t>
            </w:r>
          </w:p>
        </w:tc>
        <w:tc>
          <w:tcPr>
            <w:tcW w:w="1230" w:type="dxa"/>
            <w:vAlign w:val="center"/>
          </w:tcPr>
          <w:p w:rsidR="00584A0D" w:rsidRPr="00D14CE9" w:rsidRDefault="00584A0D" w:rsidP="00E65C9D">
            <w:pPr>
              <w:jc w:val="center"/>
              <w:rPr>
                <w:sz w:val="16"/>
                <w:szCs w:val="16"/>
              </w:rPr>
            </w:pPr>
            <w:r w:rsidRPr="00D14CE9">
              <w:rPr>
                <w:sz w:val="16"/>
                <w:szCs w:val="16"/>
              </w:rPr>
              <w:t>1,085</w:t>
            </w:r>
          </w:p>
        </w:tc>
        <w:tc>
          <w:tcPr>
            <w:tcW w:w="1230" w:type="dxa"/>
            <w:vAlign w:val="center"/>
          </w:tcPr>
          <w:p w:rsidR="00584A0D" w:rsidRPr="00D14CE9" w:rsidRDefault="00584A0D" w:rsidP="00E65C9D">
            <w:pPr>
              <w:jc w:val="center"/>
              <w:rPr>
                <w:sz w:val="16"/>
                <w:szCs w:val="16"/>
              </w:rPr>
            </w:pPr>
            <w:r w:rsidRPr="00D14CE9">
              <w:rPr>
                <w:sz w:val="16"/>
                <w:szCs w:val="16"/>
              </w:rPr>
              <w:t>0.92</w:t>
            </w:r>
          </w:p>
        </w:tc>
      </w:tr>
      <w:tr w:rsidR="00584A0D" w:rsidRPr="00D14CE9" w:rsidTr="00F10554">
        <w:trPr>
          <w:trHeight w:val="315"/>
        </w:trPr>
        <w:tc>
          <w:tcPr>
            <w:tcW w:w="1782" w:type="dxa"/>
            <w:noWrap/>
            <w:vAlign w:val="center"/>
          </w:tcPr>
          <w:p w:rsidR="00584A0D" w:rsidRPr="00D14CE9" w:rsidRDefault="00584A0D" w:rsidP="00131A07">
            <w:pPr>
              <w:rPr>
                <w:sz w:val="16"/>
                <w:szCs w:val="16"/>
              </w:rPr>
            </w:pPr>
            <w:r w:rsidRPr="00D14CE9">
              <w:rPr>
                <w:sz w:val="16"/>
                <w:szCs w:val="16"/>
              </w:rPr>
              <w:t>EQ Tower</w:t>
            </w:r>
          </w:p>
        </w:tc>
        <w:tc>
          <w:tcPr>
            <w:tcW w:w="1230" w:type="dxa"/>
            <w:noWrap/>
            <w:vAlign w:val="center"/>
          </w:tcPr>
          <w:p w:rsidR="00584A0D" w:rsidRPr="00D14CE9" w:rsidRDefault="00584A0D" w:rsidP="00E65C9D">
            <w:pPr>
              <w:jc w:val="center"/>
              <w:rPr>
                <w:sz w:val="16"/>
                <w:szCs w:val="16"/>
              </w:rPr>
            </w:pPr>
            <w:r w:rsidRPr="00D14CE9">
              <w:rPr>
                <w:sz w:val="16"/>
                <w:szCs w:val="16"/>
              </w:rPr>
              <w:t>66</w:t>
            </w:r>
          </w:p>
        </w:tc>
        <w:tc>
          <w:tcPr>
            <w:tcW w:w="1230" w:type="dxa"/>
            <w:noWrap/>
            <w:vAlign w:val="center"/>
          </w:tcPr>
          <w:p w:rsidR="00584A0D" w:rsidRPr="00D14CE9" w:rsidRDefault="00584A0D" w:rsidP="00E65C9D">
            <w:pPr>
              <w:jc w:val="center"/>
              <w:rPr>
                <w:sz w:val="16"/>
                <w:szCs w:val="16"/>
              </w:rPr>
            </w:pPr>
            <w:r w:rsidRPr="00D14CE9">
              <w:rPr>
                <w:sz w:val="16"/>
                <w:szCs w:val="16"/>
              </w:rPr>
              <w:t>57,044</w:t>
            </w:r>
          </w:p>
        </w:tc>
        <w:tc>
          <w:tcPr>
            <w:tcW w:w="1230" w:type="dxa"/>
            <w:noWrap/>
            <w:vAlign w:val="center"/>
          </w:tcPr>
          <w:p w:rsidR="00584A0D" w:rsidRPr="00D14CE9" w:rsidRDefault="00584A0D" w:rsidP="00E65C9D">
            <w:pPr>
              <w:jc w:val="center"/>
              <w:rPr>
                <w:sz w:val="16"/>
                <w:szCs w:val="16"/>
              </w:rPr>
            </w:pPr>
            <w:r w:rsidRPr="00D14CE9">
              <w:rPr>
                <w:sz w:val="16"/>
                <w:szCs w:val="16"/>
              </w:rPr>
              <w:t>23,425</w:t>
            </w:r>
          </w:p>
        </w:tc>
        <w:tc>
          <w:tcPr>
            <w:tcW w:w="1230" w:type="dxa"/>
            <w:vAlign w:val="center"/>
          </w:tcPr>
          <w:p w:rsidR="00584A0D" w:rsidRPr="00D14CE9" w:rsidRDefault="00584A0D" w:rsidP="00E65C9D">
            <w:pPr>
              <w:jc w:val="center"/>
              <w:rPr>
                <w:sz w:val="16"/>
                <w:szCs w:val="16"/>
              </w:rPr>
            </w:pPr>
            <w:r w:rsidRPr="00D14CE9">
              <w:rPr>
                <w:sz w:val="16"/>
                <w:szCs w:val="16"/>
              </w:rPr>
              <w:t>56,221</w:t>
            </w:r>
          </w:p>
        </w:tc>
        <w:tc>
          <w:tcPr>
            <w:tcW w:w="1230" w:type="dxa"/>
            <w:vAlign w:val="center"/>
          </w:tcPr>
          <w:p w:rsidR="00584A0D" w:rsidRPr="00D14CE9" w:rsidRDefault="00584A0D" w:rsidP="00E65C9D">
            <w:pPr>
              <w:jc w:val="center"/>
              <w:rPr>
                <w:sz w:val="16"/>
                <w:szCs w:val="16"/>
              </w:rPr>
            </w:pPr>
            <w:r w:rsidRPr="00D14CE9">
              <w:rPr>
                <w:sz w:val="16"/>
                <w:szCs w:val="16"/>
              </w:rPr>
              <w:t>852</w:t>
            </w:r>
          </w:p>
        </w:tc>
        <w:tc>
          <w:tcPr>
            <w:tcW w:w="1230" w:type="dxa"/>
            <w:vAlign w:val="center"/>
          </w:tcPr>
          <w:p w:rsidR="00584A0D" w:rsidRPr="00D14CE9" w:rsidRDefault="00584A0D" w:rsidP="00E65C9D">
            <w:pPr>
              <w:jc w:val="center"/>
              <w:rPr>
                <w:sz w:val="16"/>
                <w:szCs w:val="16"/>
              </w:rPr>
            </w:pPr>
            <w:r w:rsidRPr="00D14CE9">
              <w:rPr>
                <w:sz w:val="16"/>
                <w:szCs w:val="16"/>
              </w:rPr>
              <w:t>0.99</w:t>
            </w:r>
          </w:p>
        </w:tc>
      </w:tr>
      <w:tr w:rsidR="00584A0D" w:rsidRPr="00D14CE9" w:rsidTr="00F10554">
        <w:trPr>
          <w:trHeight w:val="315"/>
        </w:trPr>
        <w:tc>
          <w:tcPr>
            <w:tcW w:w="1782" w:type="dxa"/>
            <w:noWrap/>
            <w:vAlign w:val="center"/>
          </w:tcPr>
          <w:p w:rsidR="00584A0D" w:rsidRPr="00D14CE9" w:rsidRDefault="00584A0D" w:rsidP="00131A07">
            <w:pPr>
              <w:rPr>
                <w:sz w:val="16"/>
                <w:szCs w:val="16"/>
              </w:rPr>
            </w:pPr>
            <w:r w:rsidRPr="00D14CE9">
              <w:rPr>
                <w:sz w:val="16"/>
                <w:szCs w:val="16"/>
              </w:rPr>
              <w:t>Lighthouse</w:t>
            </w:r>
          </w:p>
        </w:tc>
        <w:tc>
          <w:tcPr>
            <w:tcW w:w="1230" w:type="dxa"/>
            <w:noWrap/>
            <w:vAlign w:val="center"/>
          </w:tcPr>
          <w:p w:rsidR="00584A0D" w:rsidRPr="00D14CE9" w:rsidRDefault="00584A0D" w:rsidP="00E65C9D">
            <w:pPr>
              <w:jc w:val="center"/>
              <w:rPr>
                <w:sz w:val="16"/>
                <w:szCs w:val="16"/>
              </w:rPr>
            </w:pPr>
            <w:r w:rsidRPr="00D14CE9">
              <w:rPr>
                <w:sz w:val="16"/>
                <w:szCs w:val="16"/>
              </w:rPr>
              <w:t>69</w:t>
            </w:r>
          </w:p>
        </w:tc>
        <w:tc>
          <w:tcPr>
            <w:tcW w:w="1230" w:type="dxa"/>
            <w:noWrap/>
            <w:vAlign w:val="center"/>
          </w:tcPr>
          <w:p w:rsidR="00584A0D" w:rsidRPr="00D14CE9" w:rsidRDefault="00584A0D" w:rsidP="00E65C9D">
            <w:pPr>
              <w:jc w:val="center"/>
              <w:rPr>
                <w:sz w:val="16"/>
                <w:szCs w:val="16"/>
              </w:rPr>
            </w:pPr>
            <w:r w:rsidRPr="00D14CE9">
              <w:rPr>
                <w:sz w:val="16"/>
                <w:szCs w:val="16"/>
              </w:rPr>
              <w:t>49,770</w:t>
            </w:r>
          </w:p>
        </w:tc>
        <w:tc>
          <w:tcPr>
            <w:tcW w:w="1230" w:type="dxa"/>
            <w:noWrap/>
            <w:vAlign w:val="center"/>
          </w:tcPr>
          <w:p w:rsidR="00584A0D" w:rsidRPr="00D14CE9" w:rsidRDefault="00584A0D" w:rsidP="00E65C9D">
            <w:pPr>
              <w:jc w:val="center"/>
              <w:rPr>
                <w:sz w:val="16"/>
                <w:szCs w:val="16"/>
              </w:rPr>
            </w:pPr>
            <w:r w:rsidRPr="00D14CE9">
              <w:rPr>
                <w:sz w:val="16"/>
                <w:szCs w:val="16"/>
              </w:rPr>
              <w:t>18,559</w:t>
            </w:r>
          </w:p>
        </w:tc>
        <w:tc>
          <w:tcPr>
            <w:tcW w:w="1230" w:type="dxa"/>
            <w:vAlign w:val="center"/>
          </w:tcPr>
          <w:p w:rsidR="00584A0D" w:rsidRPr="00D14CE9" w:rsidRDefault="00584A0D" w:rsidP="00E65C9D">
            <w:pPr>
              <w:jc w:val="center"/>
              <w:rPr>
                <w:sz w:val="16"/>
                <w:szCs w:val="16"/>
              </w:rPr>
            </w:pPr>
            <w:r w:rsidRPr="00D14CE9">
              <w:rPr>
                <w:sz w:val="16"/>
                <w:szCs w:val="16"/>
              </w:rPr>
              <w:t>44,541</w:t>
            </w:r>
          </w:p>
        </w:tc>
        <w:tc>
          <w:tcPr>
            <w:tcW w:w="1230" w:type="dxa"/>
            <w:vAlign w:val="center"/>
          </w:tcPr>
          <w:p w:rsidR="00584A0D" w:rsidRPr="00D14CE9" w:rsidRDefault="00584A0D" w:rsidP="00E65C9D">
            <w:pPr>
              <w:jc w:val="center"/>
              <w:rPr>
                <w:sz w:val="16"/>
                <w:szCs w:val="16"/>
              </w:rPr>
            </w:pPr>
            <w:r w:rsidRPr="00D14CE9">
              <w:rPr>
                <w:sz w:val="16"/>
                <w:szCs w:val="16"/>
              </w:rPr>
              <w:t>646</w:t>
            </w:r>
          </w:p>
        </w:tc>
        <w:tc>
          <w:tcPr>
            <w:tcW w:w="1230" w:type="dxa"/>
            <w:vAlign w:val="center"/>
          </w:tcPr>
          <w:p w:rsidR="00584A0D" w:rsidRPr="00D14CE9" w:rsidRDefault="00584A0D" w:rsidP="00E65C9D">
            <w:pPr>
              <w:jc w:val="center"/>
              <w:rPr>
                <w:sz w:val="16"/>
                <w:szCs w:val="16"/>
              </w:rPr>
            </w:pPr>
            <w:r w:rsidRPr="00D14CE9">
              <w:rPr>
                <w:sz w:val="16"/>
                <w:szCs w:val="16"/>
              </w:rPr>
              <w:t>0.89</w:t>
            </w:r>
          </w:p>
        </w:tc>
      </w:tr>
      <w:tr w:rsidR="00584A0D" w:rsidRPr="00D14CE9" w:rsidTr="00F10554">
        <w:trPr>
          <w:trHeight w:val="315"/>
        </w:trPr>
        <w:tc>
          <w:tcPr>
            <w:tcW w:w="1782" w:type="dxa"/>
            <w:noWrap/>
            <w:vAlign w:val="center"/>
          </w:tcPr>
          <w:p w:rsidR="00584A0D" w:rsidRPr="00D14CE9" w:rsidRDefault="00584A0D" w:rsidP="00131A07">
            <w:pPr>
              <w:rPr>
                <w:sz w:val="16"/>
                <w:szCs w:val="16"/>
              </w:rPr>
            </w:pPr>
            <w:r w:rsidRPr="00D14CE9">
              <w:rPr>
                <w:sz w:val="16"/>
                <w:szCs w:val="16"/>
              </w:rPr>
              <w:t>Australia 108</w:t>
            </w:r>
          </w:p>
        </w:tc>
        <w:tc>
          <w:tcPr>
            <w:tcW w:w="1230" w:type="dxa"/>
            <w:noWrap/>
            <w:vAlign w:val="center"/>
          </w:tcPr>
          <w:p w:rsidR="00584A0D" w:rsidRPr="00D14CE9" w:rsidRDefault="00584A0D" w:rsidP="00E65C9D">
            <w:pPr>
              <w:jc w:val="center"/>
              <w:rPr>
                <w:sz w:val="16"/>
                <w:szCs w:val="16"/>
              </w:rPr>
            </w:pPr>
            <w:r w:rsidRPr="00D14CE9">
              <w:rPr>
                <w:sz w:val="16"/>
                <w:szCs w:val="16"/>
              </w:rPr>
              <w:t>102</w:t>
            </w:r>
          </w:p>
        </w:tc>
        <w:tc>
          <w:tcPr>
            <w:tcW w:w="1230" w:type="dxa"/>
            <w:noWrap/>
            <w:vAlign w:val="center"/>
          </w:tcPr>
          <w:p w:rsidR="00584A0D" w:rsidRPr="00D14CE9" w:rsidRDefault="00584A0D" w:rsidP="00E65C9D">
            <w:pPr>
              <w:jc w:val="center"/>
              <w:rPr>
                <w:sz w:val="16"/>
                <w:szCs w:val="16"/>
              </w:rPr>
            </w:pPr>
            <w:r w:rsidRPr="00D14CE9">
              <w:rPr>
                <w:sz w:val="16"/>
                <w:szCs w:val="16"/>
              </w:rPr>
              <w:t>140,411</w:t>
            </w:r>
          </w:p>
        </w:tc>
        <w:tc>
          <w:tcPr>
            <w:tcW w:w="1230" w:type="dxa"/>
            <w:noWrap/>
            <w:vAlign w:val="center"/>
          </w:tcPr>
          <w:p w:rsidR="00584A0D" w:rsidRPr="00D14CE9" w:rsidRDefault="00584A0D" w:rsidP="00E65C9D">
            <w:pPr>
              <w:jc w:val="center"/>
              <w:rPr>
                <w:sz w:val="16"/>
                <w:szCs w:val="16"/>
              </w:rPr>
            </w:pPr>
            <w:r w:rsidRPr="00D14CE9">
              <w:rPr>
                <w:sz w:val="16"/>
                <w:szCs w:val="16"/>
              </w:rPr>
              <w:t>55,210</w:t>
            </w:r>
          </w:p>
        </w:tc>
        <w:tc>
          <w:tcPr>
            <w:tcW w:w="1230" w:type="dxa"/>
            <w:vAlign w:val="center"/>
          </w:tcPr>
          <w:p w:rsidR="00584A0D" w:rsidRPr="00D14CE9" w:rsidRDefault="00584A0D" w:rsidP="00E65C9D">
            <w:pPr>
              <w:jc w:val="center"/>
              <w:rPr>
                <w:sz w:val="16"/>
                <w:szCs w:val="16"/>
              </w:rPr>
            </w:pPr>
            <w:r w:rsidRPr="00D14CE9">
              <w:rPr>
                <w:sz w:val="16"/>
                <w:szCs w:val="16"/>
              </w:rPr>
              <w:t>132,505</w:t>
            </w:r>
          </w:p>
        </w:tc>
        <w:tc>
          <w:tcPr>
            <w:tcW w:w="1230" w:type="dxa"/>
            <w:vAlign w:val="center"/>
          </w:tcPr>
          <w:p w:rsidR="00584A0D" w:rsidRPr="00D14CE9" w:rsidRDefault="00584A0D" w:rsidP="00E65C9D">
            <w:pPr>
              <w:jc w:val="center"/>
              <w:rPr>
                <w:sz w:val="16"/>
                <w:szCs w:val="16"/>
              </w:rPr>
            </w:pPr>
            <w:r w:rsidRPr="00D14CE9">
              <w:rPr>
                <w:sz w:val="16"/>
                <w:szCs w:val="16"/>
              </w:rPr>
              <w:t>1,299</w:t>
            </w:r>
          </w:p>
        </w:tc>
        <w:tc>
          <w:tcPr>
            <w:tcW w:w="1230" w:type="dxa"/>
            <w:vAlign w:val="center"/>
          </w:tcPr>
          <w:p w:rsidR="00584A0D" w:rsidRPr="00D14CE9" w:rsidRDefault="00584A0D" w:rsidP="00E65C9D">
            <w:pPr>
              <w:jc w:val="center"/>
              <w:rPr>
                <w:sz w:val="16"/>
                <w:szCs w:val="16"/>
              </w:rPr>
            </w:pPr>
            <w:r w:rsidRPr="00D14CE9">
              <w:rPr>
                <w:sz w:val="16"/>
                <w:szCs w:val="16"/>
              </w:rPr>
              <w:t>0.94</w:t>
            </w:r>
          </w:p>
        </w:tc>
      </w:tr>
    </w:tbl>
    <w:p w:rsidR="00E22DF2" w:rsidRPr="003637FD" w:rsidRDefault="00697103" w:rsidP="00E22DF2">
      <w:pPr>
        <w:pStyle w:val="ListParagraph"/>
        <w:ind w:left="0"/>
        <w:rPr>
          <w:rFonts w:ascii="EYInterstate Light" w:hAnsi="EYInterstate Light"/>
          <w:i/>
          <w:sz w:val="16"/>
          <w:szCs w:val="16"/>
        </w:rPr>
      </w:pPr>
      <w:r w:rsidRPr="003637FD">
        <w:rPr>
          <w:rFonts w:ascii="EYInterstate Light" w:hAnsi="EYInterstate Light"/>
          <w:i/>
          <w:sz w:val="16"/>
          <w:szCs w:val="16"/>
        </w:rPr>
        <w:t>Source:</w:t>
      </w:r>
      <w:r w:rsidR="00486FB4">
        <w:rPr>
          <w:rFonts w:ascii="EYInterstate Light" w:hAnsi="EYInterstate Light"/>
          <w:i/>
          <w:sz w:val="16"/>
          <w:szCs w:val="16"/>
        </w:rPr>
        <w:t xml:space="preserve"> Brookfield Multiplex</w:t>
      </w:r>
    </w:p>
    <w:p w:rsidR="00E22DF2" w:rsidRPr="00D14CE9" w:rsidRDefault="00E22DF2" w:rsidP="00965BD8">
      <w:pPr>
        <w:pStyle w:val="EYBodytextwithparaspace"/>
        <w:rPr>
          <w:rFonts w:cstheme="majorHAnsi"/>
          <w:b/>
          <w:szCs w:val="20"/>
          <w:lang w:val="en-AU"/>
        </w:rPr>
      </w:pPr>
      <w:r w:rsidRPr="00D14CE9">
        <w:rPr>
          <w:rFonts w:cstheme="majorHAnsi"/>
          <w:b/>
          <w:szCs w:val="20"/>
          <w:lang w:val="en-AU"/>
        </w:rPr>
        <w:t>PROBUILD</w:t>
      </w:r>
    </w:p>
    <w:p w:rsidR="00E22DF2" w:rsidRPr="00D14CE9" w:rsidRDefault="00E22DF2" w:rsidP="00965BD8">
      <w:pPr>
        <w:pStyle w:val="EYBodytextwithparaspace"/>
        <w:rPr>
          <w:rFonts w:cstheme="majorHAnsi"/>
          <w:szCs w:val="20"/>
          <w:lang w:val="en-AU"/>
        </w:rPr>
      </w:pPr>
      <w:r w:rsidRPr="00D14CE9">
        <w:rPr>
          <w:rFonts w:cstheme="majorHAnsi"/>
          <w:szCs w:val="20"/>
          <w:lang w:val="en-AU"/>
        </w:rPr>
        <w:t>Average quantities of commodity products used on a sample of PROBUILD’s projects have been provided, presented in below</w:t>
      </w:r>
      <w:r w:rsidR="001476EB">
        <w:rPr>
          <w:rFonts w:cstheme="majorHAnsi"/>
          <w:szCs w:val="20"/>
          <w:lang w:val="en-AU"/>
        </w:rPr>
        <w:t xml:space="preserve"> </w:t>
      </w:r>
      <w:r w:rsidR="001476EB">
        <w:rPr>
          <w:rFonts w:cstheme="majorHAnsi"/>
          <w:szCs w:val="20"/>
          <w:lang w:val="en-AU"/>
        </w:rPr>
        <w:fldChar w:fldCharType="begin"/>
      </w:r>
      <w:r w:rsidR="001476EB">
        <w:rPr>
          <w:rFonts w:cstheme="majorHAnsi"/>
          <w:szCs w:val="20"/>
          <w:lang w:val="en-AU"/>
        </w:rPr>
        <w:instrText xml:space="preserve"> REF _Ref441498232 \h </w:instrText>
      </w:r>
      <w:r w:rsidR="001476EB">
        <w:rPr>
          <w:rFonts w:cstheme="majorHAnsi"/>
          <w:szCs w:val="20"/>
          <w:lang w:val="en-AU"/>
        </w:rPr>
      </w:r>
      <w:r w:rsidR="001476EB">
        <w:rPr>
          <w:rFonts w:cstheme="majorHAnsi"/>
          <w:szCs w:val="20"/>
          <w:lang w:val="en-AU"/>
        </w:rPr>
        <w:fldChar w:fldCharType="separate"/>
      </w:r>
      <w:r w:rsidR="00525C82" w:rsidRPr="00D14CE9">
        <w:t xml:space="preserve">Table </w:t>
      </w:r>
      <w:r w:rsidR="00525C82">
        <w:rPr>
          <w:noProof/>
        </w:rPr>
        <w:t>38</w:t>
      </w:r>
      <w:r w:rsidR="001476EB">
        <w:rPr>
          <w:rFonts w:cstheme="majorHAnsi"/>
          <w:szCs w:val="20"/>
          <w:lang w:val="en-AU"/>
        </w:rPr>
        <w:fldChar w:fldCharType="end"/>
      </w:r>
      <w:r w:rsidRPr="00D14CE9">
        <w:rPr>
          <w:rFonts w:cstheme="majorHAnsi"/>
          <w:szCs w:val="20"/>
          <w:lang w:val="en-AU"/>
        </w:rPr>
        <w:t xml:space="preserve">. </w:t>
      </w:r>
    </w:p>
    <w:tbl>
      <w:tblPr>
        <w:tblW w:w="91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38"/>
        <w:tblDescription w:val="Table 38 shows concrete and plasterboard quantity ratios reported by PROBUILD by dividing them into commercial and retail constructions. "/>
      </w:tblPr>
      <w:tblGrid>
        <w:gridCol w:w="3852"/>
        <w:gridCol w:w="1350"/>
        <w:gridCol w:w="1980"/>
        <w:gridCol w:w="1980"/>
      </w:tblGrid>
      <w:tr w:rsidR="007C0864" w:rsidRPr="00D14CE9" w:rsidTr="00F10554">
        <w:trPr>
          <w:trHeight w:val="315"/>
        </w:trPr>
        <w:tc>
          <w:tcPr>
            <w:tcW w:w="9162" w:type="dxa"/>
            <w:gridSpan w:val="4"/>
            <w:shd w:val="clear" w:color="auto" w:fill="808080"/>
            <w:noWrap/>
          </w:tcPr>
          <w:p w:rsidR="007C0864" w:rsidRPr="00D14CE9" w:rsidRDefault="007C0864" w:rsidP="00802792">
            <w:pPr>
              <w:pStyle w:val="EYTableHeadingWhite"/>
              <w:rPr>
                <w:rFonts w:eastAsia="Arial Unicode MS"/>
              </w:rPr>
            </w:pPr>
            <w:bookmarkStart w:id="759" w:name="_Ref441498232"/>
            <w:bookmarkStart w:id="760" w:name="_Toc445240971"/>
            <w:bookmarkStart w:id="761" w:name="_Toc448914664"/>
            <w:bookmarkStart w:id="762" w:name="_Toc448920482"/>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38</w:t>
            </w:r>
            <w:r w:rsidR="00A9654D" w:rsidRPr="00802792">
              <w:fldChar w:fldCharType="end"/>
            </w:r>
            <w:bookmarkEnd w:id="759"/>
            <w:r w:rsidRPr="00D14CE9">
              <w:t xml:space="preserve"> – PROBUILD Concrete and Plasterboard Quantity Ratios</w:t>
            </w:r>
            <w:bookmarkEnd w:id="760"/>
            <w:bookmarkEnd w:id="761"/>
            <w:bookmarkEnd w:id="762"/>
            <w:r w:rsidRPr="00D14CE9">
              <w:t xml:space="preserve"> </w:t>
            </w:r>
          </w:p>
        </w:tc>
      </w:tr>
      <w:tr w:rsidR="00895849" w:rsidRPr="00D14CE9" w:rsidTr="00F10554">
        <w:tc>
          <w:tcPr>
            <w:tcW w:w="3852" w:type="dxa"/>
            <w:shd w:val="clear" w:color="auto" w:fill="F0F0F0"/>
          </w:tcPr>
          <w:p w:rsidR="00895849" w:rsidRPr="00D14CE9" w:rsidRDefault="00895849" w:rsidP="00E65C9D">
            <w:pPr>
              <w:pStyle w:val="EYTableHeading"/>
              <w:rPr>
                <w:rFonts w:eastAsia="Arial Unicode MS"/>
              </w:rPr>
            </w:pPr>
          </w:p>
        </w:tc>
        <w:tc>
          <w:tcPr>
            <w:tcW w:w="1350" w:type="dxa"/>
            <w:shd w:val="clear" w:color="auto" w:fill="F0F0F0"/>
          </w:tcPr>
          <w:p w:rsidR="00895849" w:rsidRPr="00D14CE9" w:rsidRDefault="00895849">
            <w:pPr>
              <w:pStyle w:val="EYTableHeading"/>
              <w:rPr>
                <w:rFonts w:eastAsia="Arial Unicode MS"/>
              </w:rPr>
            </w:pPr>
            <w:r w:rsidRPr="00D14CE9">
              <w:rPr>
                <w:rFonts w:eastAsia="Arial Unicode MS"/>
              </w:rPr>
              <w:t>Total quantity</w:t>
            </w:r>
          </w:p>
        </w:tc>
        <w:tc>
          <w:tcPr>
            <w:tcW w:w="1980" w:type="dxa"/>
            <w:shd w:val="clear" w:color="auto" w:fill="F0F0F0"/>
          </w:tcPr>
          <w:p w:rsidR="00895849" w:rsidRPr="00D14CE9" w:rsidRDefault="00895849">
            <w:pPr>
              <w:pStyle w:val="EYTableHeading"/>
              <w:rPr>
                <w:rFonts w:eastAsia="Arial Unicode MS"/>
              </w:rPr>
            </w:pPr>
            <w:r w:rsidRPr="00D14CE9">
              <w:rPr>
                <w:rFonts w:eastAsia="Arial Unicode MS"/>
              </w:rPr>
              <w:t>Concrete</w:t>
            </w:r>
          </w:p>
        </w:tc>
        <w:tc>
          <w:tcPr>
            <w:tcW w:w="1980" w:type="dxa"/>
            <w:shd w:val="clear" w:color="auto" w:fill="F0F0F0"/>
          </w:tcPr>
          <w:p w:rsidR="00895849" w:rsidRPr="00D14CE9" w:rsidRDefault="00895849">
            <w:pPr>
              <w:pStyle w:val="EYTableHeading"/>
              <w:rPr>
                <w:rFonts w:eastAsia="Arial Unicode MS"/>
              </w:rPr>
            </w:pPr>
            <w:r w:rsidRPr="00D14CE9">
              <w:rPr>
                <w:rFonts w:eastAsia="Arial Unicode MS"/>
              </w:rPr>
              <w:t>Plasterboard</w:t>
            </w:r>
          </w:p>
        </w:tc>
      </w:tr>
      <w:tr w:rsidR="007C0864" w:rsidRPr="00D14CE9" w:rsidTr="00F10554">
        <w:tc>
          <w:tcPr>
            <w:tcW w:w="9162" w:type="dxa"/>
            <w:gridSpan w:val="4"/>
            <w:shd w:val="clear" w:color="auto" w:fill="F0F0F0"/>
          </w:tcPr>
          <w:p w:rsidR="007C0864" w:rsidRPr="00D14CE9" w:rsidRDefault="004E46EC" w:rsidP="00802792">
            <w:pPr>
              <w:pStyle w:val="EYTableHeading"/>
              <w:rPr>
                <w:rFonts w:eastAsia="Arial Unicode MS"/>
              </w:rPr>
            </w:pPr>
            <w:r w:rsidRPr="00D14CE9">
              <w:rPr>
                <w:rFonts w:eastAsia="Arial Unicode MS"/>
              </w:rPr>
              <w:t>C</w:t>
            </w:r>
            <w:r w:rsidR="00AC0D18" w:rsidRPr="00D14CE9">
              <w:rPr>
                <w:rFonts w:eastAsia="Arial Unicode MS"/>
              </w:rPr>
              <w:t>ommerci</w:t>
            </w:r>
            <w:r w:rsidRPr="00D14CE9">
              <w:rPr>
                <w:rFonts w:eastAsia="Arial Unicode MS"/>
              </w:rPr>
              <w:t>al (per apartment)</w:t>
            </w:r>
          </w:p>
        </w:tc>
      </w:tr>
      <w:tr w:rsidR="00877BCA" w:rsidRPr="00D14CE9" w:rsidTr="00F10554">
        <w:trPr>
          <w:trHeight w:val="315"/>
        </w:trPr>
        <w:tc>
          <w:tcPr>
            <w:tcW w:w="3852" w:type="dxa"/>
            <w:vMerge w:val="restart"/>
            <w:noWrap/>
          </w:tcPr>
          <w:p w:rsidR="00877BCA" w:rsidRPr="00D14CE9" w:rsidRDefault="00877BCA" w:rsidP="00131A07">
            <w:pPr>
              <w:rPr>
                <w:sz w:val="16"/>
                <w:szCs w:val="16"/>
              </w:rPr>
            </w:pPr>
            <w:r w:rsidRPr="00D14CE9">
              <w:rPr>
                <w:sz w:val="16"/>
                <w:szCs w:val="16"/>
              </w:rPr>
              <w:t>Empire - 398 Elizabeth Street, Melbourne 61 storey, 474 Apartments</w:t>
            </w:r>
          </w:p>
        </w:tc>
        <w:tc>
          <w:tcPr>
            <w:tcW w:w="1350" w:type="dxa"/>
            <w:noWrap/>
          </w:tcPr>
          <w:p w:rsidR="00877BCA" w:rsidRPr="00D14CE9" w:rsidRDefault="00877BCA" w:rsidP="00131A07">
            <w:pPr>
              <w:jc w:val="center"/>
              <w:rPr>
                <w:sz w:val="16"/>
                <w:szCs w:val="16"/>
              </w:rPr>
            </w:pPr>
            <w:r w:rsidRPr="00D14CE9">
              <w:rPr>
                <w:rFonts w:cs="Calibri"/>
                <w:color w:val="000000"/>
                <w:sz w:val="16"/>
                <w:szCs w:val="16"/>
                <w:lang w:eastAsia="en-AU"/>
              </w:rPr>
              <w:t>Total Quantity</w:t>
            </w:r>
          </w:p>
        </w:tc>
        <w:tc>
          <w:tcPr>
            <w:tcW w:w="1980" w:type="dxa"/>
            <w:noWrap/>
          </w:tcPr>
          <w:p w:rsidR="00877BCA" w:rsidRPr="00D14CE9" w:rsidRDefault="00877BCA" w:rsidP="00131A07">
            <w:pPr>
              <w:jc w:val="center"/>
              <w:rPr>
                <w:rFonts w:cs="Arial"/>
                <w:color w:val="000000"/>
                <w:sz w:val="16"/>
                <w:szCs w:val="16"/>
              </w:rPr>
            </w:pPr>
            <w:r w:rsidRPr="00D14CE9">
              <w:rPr>
                <w:rFonts w:cs="Calibri"/>
                <w:color w:val="000000"/>
                <w:sz w:val="16"/>
                <w:szCs w:val="16"/>
                <w:lang w:eastAsia="en-AU"/>
              </w:rPr>
              <w:t xml:space="preserve"> 17,776 m</w:t>
            </w:r>
            <w:r w:rsidRPr="00D14CE9">
              <w:rPr>
                <w:rFonts w:cs="Calibri"/>
                <w:color w:val="000000"/>
                <w:sz w:val="16"/>
                <w:szCs w:val="16"/>
                <w:vertAlign w:val="superscript"/>
                <w:lang w:eastAsia="en-AU"/>
              </w:rPr>
              <w:t>3</w:t>
            </w:r>
            <w:r w:rsidRPr="00D14CE9">
              <w:rPr>
                <w:rFonts w:cs="Calibri"/>
                <w:color w:val="000000"/>
                <w:sz w:val="16"/>
                <w:szCs w:val="16"/>
                <w:lang w:eastAsia="en-AU"/>
              </w:rPr>
              <w:t xml:space="preserve"> </w:t>
            </w:r>
          </w:p>
        </w:tc>
        <w:tc>
          <w:tcPr>
            <w:tcW w:w="1980" w:type="dxa"/>
            <w:noWrap/>
          </w:tcPr>
          <w:p w:rsidR="00877BCA" w:rsidRPr="00D14CE9" w:rsidRDefault="00877BCA" w:rsidP="00131A07">
            <w:pPr>
              <w:jc w:val="center"/>
              <w:rPr>
                <w:rFonts w:cs="Arial"/>
                <w:color w:val="000000"/>
                <w:sz w:val="16"/>
                <w:szCs w:val="16"/>
              </w:rPr>
            </w:pPr>
            <w:r w:rsidRPr="00D14CE9">
              <w:rPr>
                <w:rFonts w:cs="Calibri"/>
                <w:color w:val="000000"/>
                <w:sz w:val="16"/>
                <w:szCs w:val="16"/>
                <w:lang w:eastAsia="en-AU"/>
              </w:rPr>
              <w:t xml:space="preserve"> 130,503 m</w:t>
            </w:r>
            <w:r w:rsidRPr="00D14CE9">
              <w:rPr>
                <w:rFonts w:cs="Calibri"/>
                <w:color w:val="000000"/>
                <w:sz w:val="16"/>
                <w:szCs w:val="16"/>
                <w:vertAlign w:val="superscript"/>
                <w:lang w:eastAsia="en-AU"/>
              </w:rPr>
              <w:t>2</w:t>
            </w:r>
            <w:r w:rsidRPr="00D14CE9">
              <w:rPr>
                <w:rFonts w:cs="Calibri"/>
                <w:color w:val="000000"/>
                <w:sz w:val="16"/>
                <w:szCs w:val="16"/>
                <w:lang w:eastAsia="en-AU"/>
              </w:rPr>
              <w:t xml:space="preserve"> </w:t>
            </w:r>
          </w:p>
        </w:tc>
      </w:tr>
      <w:tr w:rsidR="00877BCA" w:rsidRPr="00D14CE9" w:rsidTr="00F10554">
        <w:trPr>
          <w:trHeight w:val="315"/>
        </w:trPr>
        <w:tc>
          <w:tcPr>
            <w:tcW w:w="3852" w:type="dxa"/>
            <w:vMerge/>
            <w:noWrap/>
          </w:tcPr>
          <w:p w:rsidR="00877BCA" w:rsidRPr="00D14CE9" w:rsidRDefault="00877BCA" w:rsidP="00131A07">
            <w:pPr>
              <w:rPr>
                <w:sz w:val="16"/>
                <w:szCs w:val="16"/>
              </w:rPr>
            </w:pPr>
          </w:p>
        </w:tc>
        <w:tc>
          <w:tcPr>
            <w:tcW w:w="1350" w:type="dxa"/>
            <w:noWrap/>
          </w:tcPr>
          <w:p w:rsidR="00877BCA" w:rsidRPr="00D14CE9" w:rsidRDefault="00877BCA" w:rsidP="00131A07">
            <w:pPr>
              <w:jc w:val="center"/>
              <w:rPr>
                <w:sz w:val="16"/>
                <w:szCs w:val="16"/>
              </w:rPr>
            </w:pPr>
            <w:r w:rsidRPr="00D14CE9">
              <w:rPr>
                <w:rFonts w:cs="Calibri"/>
                <w:color w:val="000000"/>
                <w:sz w:val="16"/>
                <w:szCs w:val="16"/>
                <w:lang w:eastAsia="en-AU"/>
              </w:rPr>
              <w:t>Quantity per Apartment</w:t>
            </w:r>
          </w:p>
        </w:tc>
        <w:tc>
          <w:tcPr>
            <w:tcW w:w="1980" w:type="dxa"/>
            <w:noWrap/>
          </w:tcPr>
          <w:p w:rsidR="00877BCA" w:rsidRPr="00D14CE9" w:rsidRDefault="00877BCA" w:rsidP="00131A07">
            <w:pPr>
              <w:jc w:val="center"/>
              <w:rPr>
                <w:rFonts w:cs="Arial"/>
                <w:color w:val="000000"/>
                <w:sz w:val="16"/>
                <w:szCs w:val="16"/>
              </w:rPr>
            </w:pPr>
            <w:r w:rsidRPr="00D14CE9">
              <w:rPr>
                <w:rFonts w:cs="Calibri"/>
                <w:color w:val="000000"/>
                <w:sz w:val="16"/>
                <w:szCs w:val="16"/>
                <w:lang w:eastAsia="en-AU"/>
              </w:rPr>
              <w:t xml:space="preserve"> 37.50 </w:t>
            </w:r>
            <w:r w:rsidR="00131A07" w:rsidRPr="00D14CE9">
              <w:rPr>
                <w:rFonts w:cs="Calibri"/>
                <w:color w:val="000000"/>
                <w:sz w:val="16"/>
                <w:szCs w:val="16"/>
                <w:lang w:eastAsia="en-AU"/>
              </w:rPr>
              <w:t>m</w:t>
            </w:r>
            <w:r w:rsidR="00131A07" w:rsidRPr="00D14CE9">
              <w:rPr>
                <w:rFonts w:cs="Calibri"/>
                <w:color w:val="000000"/>
                <w:sz w:val="16"/>
                <w:szCs w:val="16"/>
                <w:vertAlign w:val="superscript"/>
                <w:lang w:eastAsia="en-AU"/>
              </w:rPr>
              <w:t>3</w:t>
            </w:r>
          </w:p>
        </w:tc>
        <w:tc>
          <w:tcPr>
            <w:tcW w:w="1980" w:type="dxa"/>
            <w:noWrap/>
          </w:tcPr>
          <w:p w:rsidR="00877BCA" w:rsidRPr="00D14CE9" w:rsidRDefault="00877BCA" w:rsidP="00131A07">
            <w:pPr>
              <w:jc w:val="center"/>
              <w:rPr>
                <w:rFonts w:cs="Arial"/>
                <w:color w:val="000000"/>
                <w:sz w:val="16"/>
                <w:szCs w:val="16"/>
              </w:rPr>
            </w:pPr>
            <w:r w:rsidRPr="00D14CE9">
              <w:rPr>
                <w:rFonts w:cs="Calibri"/>
                <w:color w:val="000000"/>
                <w:sz w:val="16"/>
                <w:szCs w:val="16"/>
                <w:lang w:eastAsia="en-AU"/>
              </w:rPr>
              <w:t xml:space="preserve"> 275.32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p>
        </w:tc>
      </w:tr>
      <w:tr w:rsidR="00877BCA" w:rsidRPr="00D14CE9" w:rsidTr="00F10554">
        <w:trPr>
          <w:trHeight w:val="315"/>
        </w:trPr>
        <w:tc>
          <w:tcPr>
            <w:tcW w:w="3852" w:type="dxa"/>
            <w:vMerge w:val="restart"/>
            <w:noWrap/>
          </w:tcPr>
          <w:p w:rsidR="00877BCA" w:rsidRPr="00D14CE9" w:rsidRDefault="00877BCA" w:rsidP="00131A07">
            <w:pPr>
              <w:rPr>
                <w:sz w:val="16"/>
                <w:szCs w:val="16"/>
              </w:rPr>
            </w:pPr>
            <w:r w:rsidRPr="00D14CE9">
              <w:rPr>
                <w:rFonts w:cs="Calibri"/>
                <w:color w:val="000000"/>
                <w:sz w:val="16"/>
                <w:szCs w:val="16"/>
                <w:lang w:eastAsia="en-AU"/>
              </w:rPr>
              <w:t>Aurora - 250 Latrobe St, Melbourne 92 storey, 1150 Apartments</w:t>
            </w:r>
          </w:p>
        </w:tc>
        <w:tc>
          <w:tcPr>
            <w:tcW w:w="1350" w:type="dxa"/>
            <w:noWrap/>
          </w:tcPr>
          <w:p w:rsidR="00877BCA" w:rsidRPr="00D14CE9" w:rsidRDefault="00877BCA" w:rsidP="00131A07">
            <w:pPr>
              <w:jc w:val="center"/>
              <w:rPr>
                <w:sz w:val="16"/>
                <w:szCs w:val="16"/>
              </w:rPr>
            </w:pPr>
            <w:r w:rsidRPr="00D14CE9">
              <w:rPr>
                <w:rFonts w:cs="Calibri"/>
                <w:color w:val="000000"/>
                <w:sz w:val="16"/>
                <w:szCs w:val="16"/>
                <w:lang w:eastAsia="en-AU"/>
              </w:rPr>
              <w:t>Total Quantity</w:t>
            </w:r>
          </w:p>
        </w:tc>
        <w:tc>
          <w:tcPr>
            <w:tcW w:w="1980" w:type="dxa"/>
            <w:noWrap/>
          </w:tcPr>
          <w:p w:rsidR="00877BCA" w:rsidRPr="00D14CE9" w:rsidRDefault="00877BCA" w:rsidP="00131A07">
            <w:pPr>
              <w:jc w:val="center"/>
              <w:rPr>
                <w:rFonts w:cs="Arial"/>
                <w:color w:val="000000"/>
                <w:sz w:val="16"/>
                <w:szCs w:val="16"/>
              </w:rPr>
            </w:pPr>
            <w:r w:rsidRPr="00D14CE9">
              <w:rPr>
                <w:rFonts w:cs="Calibri"/>
                <w:color w:val="000000"/>
                <w:sz w:val="16"/>
                <w:szCs w:val="16"/>
                <w:lang w:eastAsia="en-AU"/>
              </w:rPr>
              <w:t xml:space="preserve"> 47,528 </w:t>
            </w:r>
            <w:r w:rsidR="00131A07" w:rsidRPr="00D14CE9">
              <w:rPr>
                <w:rFonts w:cs="Calibri"/>
                <w:color w:val="000000"/>
                <w:sz w:val="16"/>
                <w:szCs w:val="16"/>
                <w:lang w:eastAsia="en-AU"/>
              </w:rPr>
              <w:t>m</w:t>
            </w:r>
            <w:r w:rsidR="00131A07" w:rsidRPr="00D14CE9">
              <w:rPr>
                <w:rFonts w:cs="Calibri"/>
                <w:color w:val="000000"/>
                <w:sz w:val="16"/>
                <w:szCs w:val="16"/>
                <w:vertAlign w:val="superscript"/>
                <w:lang w:eastAsia="en-AU"/>
              </w:rPr>
              <w:t>3</w:t>
            </w:r>
          </w:p>
        </w:tc>
        <w:tc>
          <w:tcPr>
            <w:tcW w:w="1980" w:type="dxa"/>
            <w:noWrap/>
          </w:tcPr>
          <w:p w:rsidR="00877BCA" w:rsidRPr="00D14CE9" w:rsidRDefault="00877BCA" w:rsidP="00131A07">
            <w:pPr>
              <w:jc w:val="center"/>
              <w:rPr>
                <w:rFonts w:cs="Arial"/>
                <w:color w:val="000000"/>
                <w:sz w:val="16"/>
                <w:szCs w:val="16"/>
              </w:rPr>
            </w:pPr>
            <w:r w:rsidRPr="00D14CE9">
              <w:rPr>
                <w:rFonts w:cs="Calibri"/>
                <w:color w:val="000000"/>
                <w:sz w:val="16"/>
                <w:szCs w:val="16"/>
                <w:lang w:eastAsia="en-AU"/>
              </w:rPr>
              <w:t xml:space="preserve"> 375,742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r w:rsidRPr="00D14CE9">
              <w:rPr>
                <w:rFonts w:cs="Calibri"/>
                <w:color w:val="000000"/>
                <w:sz w:val="16"/>
                <w:szCs w:val="16"/>
                <w:lang w:eastAsia="en-AU"/>
              </w:rPr>
              <w:t xml:space="preserve"> </w:t>
            </w:r>
          </w:p>
        </w:tc>
      </w:tr>
      <w:tr w:rsidR="00877BCA" w:rsidRPr="00D14CE9" w:rsidTr="00F10554">
        <w:trPr>
          <w:trHeight w:val="315"/>
        </w:trPr>
        <w:tc>
          <w:tcPr>
            <w:tcW w:w="3852" w:type="dxa"/>
            <w:vMerge/>
            <w:noWrap/>
          </w:tcPr>
          <w:p w:rsidR="00877BCA" w:rsidRPr="00D14CE9" w:rsidRDefault="00877BCA" w:rsidP="00131A07">
            <w:pPr>
              <w:rPr>
                <w:sz w:val="16"/>
                <w:szCs w:val="16"/>
              </w:rPr>
            </w:pPr>
          </w:p>
        </w:tc>
        <w:tc>
          <w:tcPr>
            <w:tcW w:w="1350" w:type="dxa"/>
            <w:noWrap/>
          </w:tcPr>
          <w:p w:rsidR="00877BCA" w:rsidRPr="00D14CE9" w:rsidRDefault="00877BCA" w:rsidP="00131A07">
            <w:pPr>
              <w:jc w:val="center"/>
              <w:rPr>
                <w:rFonts w:cs="Calibri"/>
                <w:color w:val="000000"/>
                <w:sz w:val="16"/>
                <w:szCs w:val="16"/>
                <w:lang w:eastAsia="en-AU"/>
              </w:rPr>
            </w:pPr>
            <w:r w:rsidRPr="00D14CE9">
              <w:rPr>
                <w:rFonts w:cs="Calibri"/>
                <w:color w:val="000000"/>
                <w:sz w:val="16"/>
                <w:szCs w:val="16"/>
                <w:lang w:eastAsia="en-AU"/>
              </w:rPr>
              <w:t>Quantity per Apartment</w:t>
            </w:r>
          </w:p>
        </w:tc>
        <w:tc>
          <w:tcPr>
            <w:tcW w:w="1980" w:type="dxa"/>
            <w:noWrap/>
          </w:tcPr>
          <w:p w:rsidR="00877BCA" w:rsidRPr="00D14CE9" w:rsidRDefault="00877BCA" w:rsidP="00131A07">
            <w:pPr>
              <w:jc w:val="center"/>
              <w:rPr>
                <w:rFonts w:cs="Calibri"/>
                <w:color w:val="000000"/>
                <w:sz w:val="16"/>
                <w:szCs w:val="16"/>
                <w:lang w:eastAsia="en-AU"/>
              </w:rPr>
            </w:pPr>
            <w:r w:rsidRPr="00D14CE9">
              <w:rPr>
                <w:rFonts w:cs="Calibri"/>
                <w:color w:val="000000"/>
                <w:sz w:val="16"/>
                <w:szCs w:val="16"/>
                <w:lang w:eastAsia="en-AU"/>
              </w:rPr>
              <w:t xml:space="preserve"> 41.33 </w:t>
            </w:r>
            <w:r w:rsidR="00131A07" w:rsidRPr="00D14CE9">
              <w:rPr>
                <w:rFonts w:cs="Calibri"/>
                <w:color w:val="000000"/>
                <w:sz w:val="16"/>
                <w:szCs w:val="16"/>
                <w:lang w:eastAsia="en-AU"/>
              </w:rPr>
              <w:t>m</w:t>
            </w:r>
            <w:r w:rsidR="00131A07" w:rsidRPr="00D14CE9">
              <w:rPr>
                <w:rFonts w:cs="Calibri"/>
                <w:color w:val="000000"/>
                <w:sz w:val="16"/>
                <w:szCs w:val="16"/>
                <w:vertAlign w:val="superscript"/>
                <w:lang w:eastAsia="en-AU"/>
              </w:rPr>
              <w:t>3</w:t>
            </w:r>
          </w:p>
        </w:tc>
        <w:tc>
          <w:tcPr>
            <w:tcW w:w="1980" w:type="dxa"/>
            <w:noWrap/>
          </w:tcPr>
          <w:p w:rsidR="00877BCA" w:rsidRPr="00D14CE9" w:rsidRDefault="00877BCA" w:rsidP="00131A07">
            <w:pPr>
              <w:jc w:val="center"/>
              <w:rPr>
                <w:rFonts w:cs="Calibri"/>
                <w:color w:val="000000"/>
                <w:sz w:val="16"/>
                <w:szCs w:val="16"/>
                <w:lang w:eastAsia="en-AU"/>
              </w:rPr>
            </w:pPr>
            <w:r w:rsidRPr="00D14CE9">
              <w:rPr>
                <w:rFonts w:cs="Calibri"/>
                <w:color w:val="000000"/>
                <w:sz w:val="16"/>
                <w:szCs w:val="16"/>
                <w:lang w:eastAsia="en-AU"/>
              </w:rPr>
              <w:t xml:space="preserve"> 326.73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p>
        </w:tc>
      </w:tr>
      <w:tr w:rsidR="00877BCA" w:rsidRPr="00D14CE9" w:rsidTr="00F10554">
        <w:trPr>
          <w:trHeight w:val="315"/>
        </w:trPr>
        <w:tc>
          <w:tcPr>
            <w:tcW w:w="3852" w:type="dxa"/>
            <w:vMerge w:val="restart"/>
            <w:noWrap/>
          </w:tcPr>
          <w:p w:rsidR="00877BCA" w:rsidRPr="00D14CE9" w:rsidRDefault="00877BCA" w:rsidP="00131A07">
            <w:pPr>
              <w:rPr>
                <w:sz w:val="16"/>
                <w:szCs w:val="16"/>
              </w:rPr>
            </w:pPr>
            <w:r w:rsidRPr="00D14CE9">
              <w:rPr>
                <w:rFonts w:cs="Calibri"/>
                <w:color w:val="000000"/>
                <w:sz w:val="16"/>
                <w:szCs w:val="16"/>
                <w:lang w:eastAsia="en-AU"/>
              </w:rPr>
              <w:t xml:space="preserve">Caulfield Precinct 1 15,000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r w:rsidRPr="00D14CE9">
              <w:rPr>
                <w:rFonts w:cs="Calibri"/>
                <w:color w:val="000000"/>
                <w:sz w:val="16"/>
                <w:szCs w:val="16"/>
                <w:lang w:eastAsia="en-AU"/>
              </w:rPr>
              <w:t xml:space="preserve"> - 443 Apartments</w:t>
            </w:r>
          </w:p>
        </w:tc>
        <w:tc>
          <w:tcPr>
            <w:tcW w:w="1350" w:type="dxa"/>
            <w:noWrap/>
          </w:tcPr>
          <w:p w:rsidR="00877BCA" w:rsidRPr="00D14CE9" w:rsidRDefault="00877BCA" w:rsidP="00131A07">
            <w:pPr>
              <w:jc w:val="center"/>
              <w:rPr>
                <w:rFonts w:cs="Calibri"/>
                <w:color w:val="000000"/>
                <w:sz w:val="16"/>
                <w:szCs w:val="16"/>
                <w:lang w:eastAsia="en-AU"/>
              </w:rPr>
            </w:pPr>
            <w:r w:rsidRPr="00D14CE9">
              <w:rPr>
                <w:rFonts w:cs="Calibri"/>
                <w:color w:val="000000"/>
                <w:sz w:val="16"/>
                <w:szCs w:val="16"/>
                <w:lang w:eastAsia="en-AU"/>
              </w:rPr>
              <w:t>Total Quantity</w:t>
            </w:r>
          </w:p>
        </w:tc>
        <w:tc>
          <w:tcPr>
            <w:tcW w:w="1980" w:type="dxa"/>
            <w:noWrap/>
          </w:tcPr>
          <w:p w:rsidR="00877BCA" w:rsidRPr="00D14CE9" w:rsidRDefault="00877BCA" w:rsidP="00131A07">
            <w:pPr>
              <w:jc w:val="center"/>
              <w:rPr>
                <w:rFonts w:cs="Calibri"/>
                <w:color w:val="000000"/>
                <w:sz w:val="16"/>
                <w:szCs w:val="16"/>
                <w:lang w:eastAsia="en-AU"/>
              </w:rPr>
            </w:pPr>
            <w:r w:rsidRPr="00D14CE9">
              <w:rPr>
                <w:rFonts w:cs="Calibri"/>
                <w:color w:val="000000"/>
                <w:sz w:val="16"/>
                <w:szCs w:val="16"/>
                <w:lang w:eastAsia="en-AU"/>
              </w:rPr>
              <w:t xml:space="preserve"> 14,377 </w:t>
            </w:r>
            <w:r w:rsidR="00131A07" w:rsidRPr="00D14CE9">
              <w:rPr>
                <w:rFonts w:cs="Calibri"/>
                <w:color w:val="000000"/>
                <w:sz w:val="16"/>
                <w:szCs w:val="16"/>
                <w:lang w:eastAsia="en-AU"/>
              </w:rPr>
              <w:t>m</w:t>
            </w:r>
            <w:r w:rsidR="00131A07" w:rsidRPr="00D14CE9">
              <w:rPr>
                <w:rFonts w:cs="Calibri"/>
                <w:color w:val="000000"/>
                <w:sz w:val="16"/>
                <w:szCs w:val="16"/>
                <w:vertAlign w:val="superscript"/>
                <w:lang w:eastAsia="en-AU"/>
              </w:rPr>
              <w:t>3</w:t>
            </w:r>
          </w:p>
        </w:tc>
        <w:tc>
          <w:tcPr>
            <w:tcW w:w="1980" w:type="dxa"/>
            <w:noWrap/>
          </w:tcPr>
          <w:p w:rsidR="00877BCA" w:rsidRPr="00D14CE9" w:rsidRDefault="00877BCA" w:rsidP="00131A07">
            <w:pPr>
              <w:jc w:val="center"/>
              <w:rPr>
                <w:rFonts w:cs="Calibri"/>
                <w:color w:val="000000"/>
                <w:sz w:val="16"/>
                <w:szCs w:val="16"/>
                <w:lang w:eastAsia="en-AU"/>
              </w:rPr>
            </w:pPr>
            <w:r w:rsidRPr="00D14CE9">
              <w:rPr>
                <w:rFonts w:cs="Calibri"/>
                <w:color w:val="000000"/>
                <w:sz w:val="16"/>
                <w:szCs w:val="16"/>
                <w:lang w:eastAsia="en-AU"/>
              </w:rPr>
              <w:t xml:space="preserve"> 87,592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p>
        </w:tc>
      </w:tr>
      <w:tr w:rsidR="00877BCA" w:rsidRPr="00D14CE9" w:rsidTr="00F10554">
        <w:trPr>
          <w:trHeight w:val="315"/>
        </w:trPr>
        <w:tc>
          <w:tcPr>
            <w:tcW w:w="3852" w:type="dxa"/>
            <w:vMerge/>
            <w:tcBorders>
              <w:bottom w:val="single" w:sz="4" w:space="0" w:color="BFBFBF" w:themeColor="background1" w:themeShade="BF"/>
            </w:tcBorders>
            <w:noWrap/>
          </w:tcPr>
          <w:p w:rsidR="00877BCA" w:rsidRPr="00D14CE9" w:rsidRDefault="00877BCA" w:rsidP="00131A07">
            <w:pPr>
              <w:rPr>
                <w:sz w:val="16"/>
                <w:szCs w:val="16"/>
              </w:rPr>
            </w:pPr>
          </w:p>
        </w:tc>
        <w:tc>
          <w:tcPr>
            <w:tcW w:w="1350" w:type="dxa"/>
            <w:tcBorders>
              <w:bottom w:val="single" w:sz="4" w:space="0" w:color="BFBFBF" w:themeColor="background1" w:themeShade="BF"/>
            </w:tcBorders>
            <w:noWrap/>
          </w:tcPr>
          <w:p w:rsidR="00877BCA" w:rsidRPr="00D14CE9" w:rsidRDefault="00877BCA" w:rsidP="00131A07">
            <w:pPr>
              <w:jc w:val="center"/>
              <w:rPr>
                <w:rFonts w:cs="Calibri"/>
                <w:color w:val="000000"/>
                <w:sz w:val="16"/>
                <w:szCs w:val="16"/>
                <w:lang w:eastAsia="en-AU"/>
              </w:rPr>
            </w:pPr>
            <w:r w:rsidRPr="00D14CE9">
              <w:rPr>
                <w:rFonts w:cs="Calibri"/>
                <w:color w:val="000000"/>
                <w:sz w:val="16"/>
                <w:szCs w:val="16"/>
                <w:lang w:eastAsia="en-AU"/>
              </w:rPr>
              <w:t>Quantity per Apartment</w:t>
            </w:r>
          </w:p>
        </w:tc>
        <w:tc>
          <w:tcPr>
            <w:tcW w:w="1980" w:type="dxa"/>
            <w:tcBorders>
              <w:bottom w:val="single" w:sz="4" w:space="0" w:color="BFBFBF" w:themeColor="background1" w:themeShade="BF"/>
            </w:tcBorders>
            <w:noWrap/>
          </w:tcPr>
          <w:p w:rsidR="00877BCA" w:rsidRPr="00D14CE9" w:rsidRDefault="00877BCA" w:rsidP="00131A07">
            <w:pPr>
              <w:jc w:val="center"/>
              <w:rPr>
                <w:rFonts w:cs="Calibri"/>
                <w:color w:val="000000"/>
                <w:sz w:val="16"/>
                <w:szCs w:val="16"/>
                <w:lang w:eastAsia="en-AU"/>
              </w:rPr>
            </w:pPr>
            <w:r w:rsidRPr="00D14CE9">
              <w:rPr>
                <w:rFonts w:cs="Calibri"/>
                <w:color w:val="000000"/>
                <w:sz w:val="16"/>
                <w:szCs w:val="16"/>
                <w:lang w:eastAsia="en-AU"/>
              </w:rPr>
              <w:t xml:space="preserve"> 32.45 </w:t>
            </w:r>
            <w:r w:rsidR="00131A07" w:rsidRPr="00D14CE9">
              <w:rPr>
                <w:rFonts w:cs="Calibri"/>
                <w:color w:val="000000"/>
                <w:sz w:val="16"/>
                <w:szCs w:val="16"/>
                <w:lang w:eastAsia="en-AU"/>
              </w:rPr>
              <w:t>m</w:t>
            </w:r>
            <w:r w:rsidR="00131A07" w:rsidRPr="00D14CE9">
              <w:rPr>
                <w:rFonts w:cs="Calibri"/>
                <w:color w:val="000000"/>
                <w:sz w:val="16"/>
                <w:szCs w:val="16"/>
                <w:vertAlign w:val="superscript"/>
                <w:lang w:eastAsia="en-AU"/>
              </w:rPr>
              <w:t>3</w:t>
            </w:r>
            <w:r w:rsidRPr="00D14CE9">
              <w:rPr>
                <w:rFonts w:cs="Calibri"/>
                <w:color w:val="000000"/>
                <w:sz w:val="16"/>
                <w:szCs w:val="16"/>
                <w:lang w:eastAsia="en-AU"/>
              </w:rPr>
              <w:t xml:space="preserve"> </w:t>
            </w:r>
          </w:p>
        </w:tc>
        <w:tc>
          <w:tcPr>
            <w:tcW w:w="1980" w:type="dxa"/>
            <w:tcBorders>
              <w:bottom w:val="single" w:sz="4" w:space="0" w:color="BFBFBF" w:themeColor="background1" w:themeShade="BF"/>
            </w:tcBorders>
            <w:noWrap/>
          </w:tcPr>
          <w:p w:rsidR="00877BCA" w:rsidRPr="00D14CE9" w:rsidRDefault="00877BCA" w:rsidP="00131A07">
            <w:pPr>
              <w:jc w:val="center"/>
              <w:rPr>
                <w:rFonts w:cs="Calibri"/>
                <w:color w:val="000000"/>
                <w:sz w:val="16"/>
                <w:szCs w:val="16"/>
                <w:lang w:eastAsia="en-AU"/>
              </w:rPr>
            </w:pPr>
            <w:r w:rsidRPr="00D14CE9">
              <w:rPr>
                <w:rFonts w:cs="Calibri"/>
                <w:color w:val="000000"/>
                <w:sz w:val="16"/>
                <w:szCs w:val="16"/>
                <w:lang w:eastAsia="en-AU"/>
              </w:rPr>
              <w:t xml:space="preserve">197.72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p>
        </w:tc>
      </w:tr>
      <w:tr w:rsidR="00B25A65" w:rsidRPr="00D14CE9" w:rsidTr="00F10554">
        <w:trPr>
          <w:trHeight w:val="315"/>
        </w:trPr>
        <w:tc>
          <w:tcPr>
            <w:tcW w:w="5202" w:type="dxa"/>
            <w:gridSpan w:val="2"/>
            <w:shd w:val="clear" w:color="auto" w:fill="FFE600"/>
            <w:noWrap/>
          </w:tcPr>
          <w:p w:rsidR="00B25A65" w:rsidRPr="00D14CE9" w:rsidRDefault="00B25A65" w:rsidP="00B25A65">
            <w:pPr>
              <w:rPr>
                <w:rFonts w:cs="Calibri"/>
                <w:color w:val="000000"/>
                <w:sz w:val="16"/>
                <w:szCs w:val="16"/>
                <w:lang w:eastAsia="en-AU"/>
              </w:rPr>
            </w:pPr>
            <w:r w:rsidRPr="00D14CE9">
              <w:rPr>
                <w:sz w:val="16"/>
                <w:szCs w:val="16"/>
              </w:rPr>
              <w:t>Average</w:t>
            </w:r>
          </w:p>
        </w:tc>
        <w:tc>
          <w:tcPr>
            <w:tcW w:w="1980" w:type="dxa"/>
            <w:shd w:val="clear" w:color="auto" w:fill="FFE600"/>
            <w:noWrap/>
          </w:tcPr>
          <w:p w:rsidR="00B25A65" w:rsidRPr="00D14CE9" w:rsidRDefault="00B25A65" w:rsidP="00131A07">
            <w:pPr>
              <w:jc w:val="center"/>
              <w:rPr>
                <w:rFonts w:cs="Calibri"/>
                <w:color w:val="000000"/>
                <w:sz w:val="16"/>
                <w:szCs w:val="16"/>
                <w:lang w:eastAsia="en-AU"/>
              </w:rPr>
            </w:pPr>
            <w:r w:rsidRPr="00D14CE9">
              <w:rPr>
                <w:rFonts w:cs="Calibri"/>
                <w:color w:val="000000"/>
                <w:sz w:val="16"/>
                <w:szCs w:val="16"/>
                <w:lang w:eastAsia="en-AU"/>
              </w:rPr>
              <w:t xml:space="preserve"> 38.55 </w:t>
            </w:r>
            <w:r w:rsidR="00131A07" w:rsidRPr="00D14CE9">
              <w:rPr>
                <w:rFonts w:cs="Calibri"/>
                <w:color w:val="000000"/>
                <w:sz w:val="16"/>
                <w:szCs w:val="16"/>
                <w:lang w:eastAsia="en-AU"/>
              </w:rPr>
              <w:t>m</w:t>
            </w:r>
            <w:r w:rsidR="00131A07" w:rsidRPr="00D14CE9">
              <w:rPr>
                <w:rFonts w:cs="Calibri"/>
                <w:color w:val="000000"/>
                <w:sz w:val="16"/>
                <w:szCs w:val="16"/>
                <w:vertAlign w:val="superscript"/>
                <w:lang w:eastAsia="en-AU"/>
              </w:rPr>
              <w:t>3</w:t>
            </w:r>
          </w:p>
        </w:tc>
        <w:tc>
          <w:tcPr>
            <w:tcW w:w="1980" w:type="dxa"/>
            <w:shd w:val="clear" w:color="auto" w:fill="FFE600"/>
            <w:noWrap/>
          </w:tcPr>
          <w:p w:rsidR="00B25A65" w:rsidRPr="00D14CE9" w:rsidRDefault="00B25A65" w:rsidP="00131A07">
            <w:pPr>
              <w:jc w:val="center"/>
              <w:rPr>
                <w:rFonts w:cs="Calibri"/>
                <w:color w:val="000000"/>
                <w:sz w:val="16"/>
                <w:szCs w:val="16"/>
                <w:lang w:eastAsia="en-AU"/>
              </w:rPr>
            </w:pPr>
            <w:r w:rsidRPr="00D14CE9">
              <w:rPr>
                <w:rFonts w:cs="Calibri"/>
                <w:color w:val="000000"/>
                <w:sz w:val="16"/>
                <w:szCs w:val="16"/>
                <w:lang w:eastAsia="en-AU"/>
              </w:rPr>
              <w:t xml:space="preserve">287.29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p>
        </w:tc>
      </w:tr>
      <w:tr w:rsidR="00AC0D18" w:rsidRPr="00D14CE9" w:rsidTr="00F10554">
        <w:tc>
          <w:tcPr>
            <w:tcW w:w="9162" w:type="dxa"/>
            <w:gridSpan w:val="4"/>
            <w:shd w:val="clear" w:color="auto" w:fill="F0F0F0"/>
          </w:tcPr>
          <w:p w:rsidR="00AC0D18" w:rsidRPr="00D14CE9" w:rsidRDefault="00AC0D18" w:rsidP="00802792">
            <w:pPr>
              <w:pStyle w:val="EYTableHeading"/>
              <w:rPr>
                <w:rFonts w:eastAsia="Arial Unicode MS"/>
              </w:rPr>
            </w:pPr>
            <w:r w:rsidRPr="00D14CE9">
              <w:rPr>
                <w:rFonts w:eastAsia="Arial Unicode MS"/>
              </w:rPr>
              <w:t>Retail (per m2)</w:t>
            </w:r>
          </w:p>
        </w:tc>
      </w:tr>
      <w:tr w:rsidR="00AC0D18" w:rsidRPr="00D14CE9" w:rsidTr="00F10554">
        <w:trPr>
          <w:trHeight w:val="315"/>
        </w:trPr>
        <w:tc>
          <w:tcPr>
            <w:tcW w:w="3852" w:type="dxa"/>
            <w:vMerge w:val="restart"/>
            <w:noWrap/>
          </w:tcPr>
          <w:p w:rsidR="00AC0D18" w:rsidRPr="00D14CE9" w:rsidRDefault="00AC0D18" w:rsidP="00AC0D18">
            <w:pPr>
              <w:rPr>
                <w:sz w:val="16"/>
                <w:szCs w:val="16"/>
              </w:rPr>
            </w:pPr>
            <w:r w:rsidRPr="00D14CE9">
              <w:rPr>
                <w:rFonts w:cs="Calibri"/>
                <w:color w:val="000000"/>
                <w:sz w:val="16"/>
                <w:szCs w:val="16"/>
                <w:lang w:eastAsia="en-AU"/>
              </w:rPr>
              <w:t>Werribee Plaza - Stage 7</w:t>
            </w:r>
            <w:r w:rsidRPr="00D14CE9">
              <w:rPr>
                <w:rFonts w:cs="Calibri"/>
                <w:color w:val="000000"/>
                <w:sz w:val="16"/>
                <w:szCs w:val="16"/>
                <w:lang w:eastAsia="en-AU"/>
              </w:rPr>
              <w:br/>
              <w:t xml:space="preserve">GFA 148,190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p>
        </w:tc>
        <w:tc>
          <w:tcPr>
            <w:tcW w:w="1350" w:type="dxa"/>
            <w:noWrap/>
          </w:tcPr>
          <w:p w:rsidR="00AC0D18" w:rsidRPr="00D14CE9" w:rsidRDefault="00AC0D18" w:rsidP="00131A07">
            <w:pPr>
              <w:jc w:val="center"/>
              <w:rPr>
                <w:sz w:val="16"/>
                <w:szCs w:val="16"/>
              </w:rPr>
            </w:pPr>
            <w:r w:rsidRPr="00D14CE9">
              <w:rPr>
                <w:rFonts w:cs="Calibri"/>
                <w:color w:val="000000"/>
                <w:sz w:val="16"/>
                <w:szCs w:val="16"/>
                <w:lang w:eastAsia="en-AU"/>
              </w:rPr>
              <w:t>Total Quantity</w:t>
            </w:r>
          </w:p>
        </w:tc>
        <w:tc>
          <w:tcPr>
            <w:tcW w:w="1980" w:type="dxa"/>
            <w:noWrap/>
          </w:tcPr>
          <w:p w:rsidR="00AC0D18" w:rsidRPr="00D14CE9" w:rsidRDefault="00AC0D18" w:rsidP="00131A07">
            <w:pPr>
              <w:jc w:val="center"/>
              <w:rPr>
                <w:rFonts w:cs="Arial"/>
                <w:color w:val="000000"/>
                <w:sz w:val="16"/>
                <w:szCs w:val="16"/>
              </w:rPr>
            </w:pPr>
            <w:r w:rsidRPr="00D14CE9">
              <w:rPr>
                <w:rFonts w:cs="Calibri"/>
                <w:color w:val="000000"/>
                <w:sz w:val="16"/>
                <w:szCs w:val="16"/>
                <w:lang w:eastAsia="en-AU"/>
              </w:rPr>
              <w:t xml:space="preserve"> 44,218 </w:t>
            </w:r>
            <w:r w:rsidR="00131A07" w:rsidRPr="00D14CE9">
              <w:rPr>
                <w:rFonts w:cs="Calibri"/>
                <w:color w:val="000000"/>
                <w:sz w:val="16"/>
                <w:szCs w:val="16"/>
                <w:lang w:eastAsia="en-AU"/>
              </w:rPr>
              <w:t>m</w:t>
            </w:r>
            <w:r w:rsidR="00131A07" w:rsidRPr="00D14CE9">
              <w:rPr>
                <w:rFonts w:cs="Calibri"/>
                <w:color w:val="000000"/>
                <w:sz w:val="16"/>
                <w:szCs w:val="16"/>
                <w:vertAlign w:val="superscript"/>
                <w:lang w:eastAsia="en-AU"/>
              </w:rPr>
              <w:t>3</w:t>
            </w:r>
            <w:r w:rsidRPr="00D14CE9">
              <w:rPr>
                <w:rFonts w:cs="Calibri"/>
                <w:color w:val="000000"/>
                <w:sz w:val="16"/>
                <w:szCs w:val="16"/>
                <w:lang w:eastAsia="en-AU"/>
              </w:rPr>
              <w:t xml:space="preserve"> </w:t>
            </w:r>
          </w:p>
        </w:tc>
        <w:tc>
          <w:tcPr>
            <w:tcW w:w="1980" w:type="dxa"/>
            <w:noWrap/>
          </w:tcPr>
          <w:p w:rsidR="00AC0D18" w:rsidRPr="00D14CE9" w:rsidRDefault="00AC0D18" w:rsidP="00131A07">
            <w:pPr>
              <w:jc w:val="center"/>
              <w:rPr>
                <w:rFonts w:cs="Arial"/>
                <w:color w:val="000000"/>
                <w:sz w:val="16"/>
                <w:szCs w:val="16"/>
              </w:rPr>
            </w:pPr>
            <w:r w:rsidRPr="00D14CE9">
              <w:rPr>
                <w:rFonts w:cs="Calibri"/>
                <w:color w:val="000000"/>
                <w:sz w:val="16"/>
                <w:szCs w:val="16"/>
                <w:lang w:eastAsia="en-AU"/>
              </w:rPr>
              <w:t xml:space="preserve"> 48,888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r w:rsidRPr="00D14CE9">
              <w:rPr>
                <w:rFonts w:cs="Calibri"/>
                <w:color w:val="000000"/>
                <w:sz w:val="16"/>
                <w:szCs w:val="16"/>
                <w:lang w:eastAsia="en-AU"/>
              </w:rPr>
              <w:t xml:space="preserve"> </w:t>
            </w:r>
          </w:p>
        </w:tc>
      </w:tr>
      <w:tr w:rsidR="00AC0D18" w:rsidRPr="00D14CE9" w:rsidTr="00F10554">
        <w:trPr>
          <w:trHeight w:val="315"/>
        </w:trPr>
        <w:tc>
          <w:tcPr>
            <w:tcW w:w="3852" w:type="dxa"/>
            <w:vMerge/>
            <w:noWrap/>
          </w:tcPr>
          <w:p w:rsidR="00AC0D18" w:rsidRPr="00D14CE9" w:rsidRDefault="00AC0D18" w:rsidP="00131A07">
            <w:pPr>
              <w:rPr>
                <w:sz w:val="16"/>
                <w:szCs w:val="16"/>
              </w:rPr>
            </w:pPr>
          </w:p>
        </w:tc>
        <w:tc>
          <w:tcPr>
            <w:tcW w:w="1350" w:type="dxa"/>
            <w:noWrap/>
          </w:tcPr>
          <w:p w:rsidR="00AC0D18" w:rsidRPr="00D14CE9" w:rsidRDefault="00AC0D18" w:rsidP="00131A07">
            <w:pPr>
              <w:jc w:val="center"/>
              <w:rPr>
                <w:sz w:val="16"/>
                <w:szCs w:val="16"/>
              </w:rPr>
            </w:pPr>
            <w:r w:rsidRPr="00D14CE9">
              <w:rPr>
                <w:rFonts w:cs="Calibri"/>
                <w:color w:val="000000"/>
                <w:sz w:val="16"/>
                <w:szCs w:val="16"/>
                <w:lang w:eastAsia="en-AU"/>
              </w:rPr>
              <w:t>Quantity per m2</w:t>
            </w:r>
          </w:p>
        </w:tc>
        <w:tc>
          <w:tcPr>
            <w:tcW w:w="1980" w:type="dxa"/>
            <w:noWrap/>
          </w:tcPr>
          <w:p w:rsidR="00AC0D18" w:rsidRPr="00D14CE9" w:rsidRDefault="00AC0D18" w:rsidP="00131A07">
            <w:pPr>
              <w:jc w:val="center"/>
              <w:rPr>
                <w:rFonts w:cs="Arial"/>
                <w:color w:val="000000"/>
                <w:sz w:val="16"/>
                <w:szCs w:val="16"/>
              </w:rPr>
            </w:pPr>
            <w:r w:rsidRPr="00D14CE9">
              <w:rPr>
                <w:rFonts w:cs="Calibri"/>
                <w:color w:val="000000"/>
                <w:sz w:val="16"/>
                <w:szCs w:val="16"/>
                <w:lang w:eastAsia="en-AU"/>
              </w:rPr>
              <w:t xml:space="preserve"> 0.298 </w:t>
            </w:r>
            <w:r w:rsidR="00131A07" w:rsidRPr="00D14CE9">
              <w:rPr>
                <w:rFonts w:cs="Calibri"/>
                <w:color w:val="000000"/>
                <w:sz w:val="16"/>
                <w:szCs w:val="16"/>
                <w:lang w:eastAsia="en-AU"/>
              </w:rPr>
              <w:t>m</w:t>
            </w:r>
            <w:r w:rsidR="00131A07" w:rsidRPr="00D14CE9">
              <w:rPr>
                <w:rFonts w:cs="Calibri"/>
                <w:color w:val="000000"/>
                <w:sz w:val="16"/>
                <w:szCs w:val="16"/>
                <w:vertAlign w:val="superscript"/>
                <w:lang w:eastAsia="en-AU"/>
              </w:rPr>
              <w:t>3</w:t>
            </w:r>
            <w:r w:rsidRPr="00D14CE9">
              <w:rPr>
                <w:rFonts w:cs="Calibri"/>
                <w:color w:val="000000"/>
                <w:sz w:val="16"/>
                <w:szCs w:val="16"/>
                <w:lang w:eastAsia="en-AU"/>
              </w:rPr>
              <w:t xml:space="preserve"> </w:t>
            </w:r>
          </w:p>
        </w:tc>
        <w:tc>
          <w:tcPr>
            <w:tcW w:w="1980" w:type="dxa"/>
            <w:noWrap/>
          </w:tcPr>
          <w:p w:rsidR="00AC0D18" w:rsidRPr="00D14CE9" w:rsidRDefault="00AC0D18" w:rsidP="00131A07">
            <w:pPr>
              <w:jc w:val="center"/>
              <w:rPr>
                <w:rFonts w:cs="Arial"/>
                <w:color w:val="000000"/>
                <w:sz w:val="16"/>
                <w:szCs w:val="16"/>
              </w:rPr>
            </w:pPr>
            <w:r w:rsidRPr="00D14CE9">
              <w:rPr>
                <w:rFonts w:cs="Calibri"/>
                <w:color w:val="000000"/>
                <w:sz w:val="16"/>
                <w:szCs w:val="16"/>
                <w:lang w:eastAsia="en-AU"/>
              </w:rPr>
              <w:t xml:space="preserve"> 0.33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p>
        </w:tc>
      </w:tr>
      <w:tr w:rsidR="00131A07" w:rsidRPr="00D14CE9" w:rsidTr="00F10554">
        <w:trPr>
          <w:trHeight w:val="315"/>
        </w:trPr>
        <w:tc>
          <w:tcPr>
            <w:tcW w:w="3852" w:type="dxa"/>
            <w:vMerge w:val="restart"/>
            <w:noWrap/>
          </w:tcPr>
          <w:p w:rsidR="00131A07" w:rsidRPr="00D14CE9" w:rsidRDefault="00131A07" w:rsidP="00131A07">
            <w:pPr>
              <w:rPr>
                <w:sz w:val="16"/>
                <w:szCs w:val="16"/>
              </w:rPr>
            </w:pPr>
            <w:r w:rsidRPr="00D14CE9">
              <w:rPr>
                <w:rFonts w:cs="Calibri"/>
                <w:color w:val="000000"/>
                <w:sz w:val="16"/>
                <w:szCs w:val="16"/>
                <w:lang w:eastAsia="en-AU"/>
              </w:rPr>
              <w:t>Chadstone</w:t>
            </w:r>
            <w:r w:rsidRPr="00D14CE9">
              <w:rPr>
                <w:rFonts w:cs="Calibri"/>
                <w:color w:val="000000"/>
                <w:sz w:val="16"/>
                <w:szCs w:val="16"/>
                <w:lang w:eastAsia="en-AU"/>
              </w:rPr>
              <w:br/>
              <w:t xml:space="preserve">GFA 81,424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p>
        </w:tc>
        <w:tc>
          <w:tcPr>
            <w:tcW w:w="1350" w:type="dxa"/>
            <w:noWrap/>
          </w:tcPr>
          <w:p w:rsidR="00131A07" w:rsidRPr="00D14CE9" w:rsidRDefault="00131A07" w:rsidP="00131A07">
            <w:pPr>
              <w:jc w:val="center"/>
              <w:rPr>
                <w:sz w:val="16"/>
                <w:szCs w:val="16"/>
              </w:rPr>
            </w:pPr>
            <w:r w:rsidRPr="00D14CE9">
              <w:rPr>
                <w:rFonts w:cs="Calibri"/>
                <w:color w:val="000000"/>
                <w:sz w:val="16"/>
                <w:szCs w:val="16"/>
                <w:lang w:eastAsia="en-AU"/>
              </w:rPr>
              <w:t>Total Quantity</w:t>
            </w:r>
          </w:p>
        </w:tc>
        <w:tc>
          <w:tcPr>
            <w:tcW w:w="1980" w:type="dxa"/>
            <w:noWrap/>
          </w:tcPr>
          <w:p w:rsidR="00131A07" w:rsidRPr="00D14CE9" w:rsidRDefault="00131A07" w:rsidP="00131A07">
            <w:pPr>
              <w:jc w:val="center"/>
              <w:rPr>
                <w:rFonts w:cs="Arial"/>
                <w:color w:val="000000"/>
                <w:sz w:val="16"/>
                <w:szCs w:val="16"/>
              </w:rPr>
            </w:pPr>
            <w:r w:rsidRPr="00D14CE9">
              <w:rPr>
                <w:rFonts w:cs="Calibri"/>
                <w:color w:val="000000"/>
                <w:sz w:val="16"/>
                <w:szCs w:val="16"/>
                <w:lang w:eastAsia="en-AU"/>
              </w:rPr>
              <w:t xml:space="preserve"> 20,150 m</w:t>
            </w:r>
            <w:r w:rsidRPr="00D14CE9">
              <w:rPr>
                <w:rFonts w:cs="Calibri"/>
                <w:color w:val="000000"/>
                <w:sz w:val="16"/>
                <w:szCs w:val="16"/>
                <w:vertAlign w:val="superscript"/>
                <w:lang w:eastAsia="en-AU"/>
              </w:rPr>
              <w:t>3</w:t>
            </w:r>
            <w:r w:rsidRPr="00D14CE9">
              <w:rPr>
                <w:rFonts w:cs="Calibri"/>
                <w:color w:val="000000"/>
                <w:sz w:val="16"/>
                <w:szCs w:val="16"/>
                <w:lang w:eastAsia="en-AU"/>
              </w:rPr>
              <w:t xml:space="preserve"> </w:t>
            </w:r>
          </w:p>
        </w:tc>
        <w:tc>
          <w:tcPr>
            <w:tcW w:w="1980" w:type="dxa"/>
            <w:noWrap/>
          </w:tcPr>
          <w:p w:rsidR="00131A07" w:rsidRPr="00D14CE9" w:rsidRDefault="00131A07" w:rsidP="00131A07">
            <w:pPr>
              <w:jc w:val="center"/>
              <w:rPr>
                <w:rFonts w:cs="Arial"/>
                <w:color w:val="000000"/>
                <w:sz w:val="16"/>
                <w:szCs w:val="16"/>
              </w:rPr>
            </w:pPr>
            <w:r w:rsidRPr="00D14CE9">
              <w:rPr>
                <w:rFonts w:cs="Calibri"/>
                <w:color w:val="000000"/>
                <w:sz w:val="16"/>
                <w:szCs w:val="16"/>
                <w:lang w:eastAsia="en-AU"/>
              </w:rPr>
              <w:t xml:space="preserve"> 36,133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p>
        </w:tc>
      </w:tr>
      <w:tr w:rsidR="00131A07" w:rsidRPr="00D14CE9" w:rsidTr="00F10554">
        <w:trPr>
          <w:trHeight w:val="315"/>
        </w:trPr>
        <w:tc>
          <w:tcPr>
            <w:tcW w:w="3852" w:type="dxa"/>
            <w:vMerge/>
            <w:noWrap/>
          </w:tcPr>
          <w:p w:rsidR="00131A07" w:rsidRPr="00D14CE9" w:rsidRDefault="00131A07" w:rsidP="00131A07">
            <w:pPr>
              <w:rPr>
                <w:sz w:val="16"/>
                <w:szCs w:val="16"/>
              </w:rPr>
            </w:pPr>
          </w:p>
        </w:tc>
        <w:tc>
          <w:tcPr>
            <w:tcW w:w="1350" w:type="dxa"/>
            <w:noWrap/>
          </w:tcPr>
          <w:p w:rsidR="00131A07" w:rsidRPr="00D14CE9" w:rsidRDefault="00131A07" w:rsidP="00131A07">
            <w:pPr>
              <w:jc w:val="center"/>
              <w:rPr>
                <w:rFonts w:cs="Calibri"/>
                <w:color w:val="000000"/>
                <w:sz w:val="16"/>
                <w:szCs w:val="16"/>
                <w:lang w:eastAsia="en-AU"/>
              </w:rPr>
            </w:pPr>
            <w:r w:rsidRPr="00D14CE9">
              <w:rPr>
                <w:rFonts w:cs="Calibri"/>
                <w:color w:val="000000"/>
                <w:sz w:val="16"/>
                <w:szCs w:val="16"/>
                <w:lang w:eastAsia="en-AU"/>
              </w:rPr>
              <w:t>Quantity per m2</w:t>
            </w:r>
          </w:p>
        </w:tc>
        <w:tc>
          <w:tcPr>
            <w:tcW w:w="1980" w:type="dxa"/>
            <w:noWrap/>
          </w:tcPr>
          <w:p w:rsidR="00131A07" w:rsidRPr="00D14CE9" w:rsidRDefault="00131A07" w:rsidP="00131A07">
            <w:pPr>
              <w:jc w:val="center"/>
              <w:rPr>
                <w:rFonts w:cs="Calibri"/>
                <w:color w:val="000000"/>
                <w:sz w:val="16"/>
                <w:szCs w:val="16"/>
                <w:lang w:eastAsia="en-AU"/>
              </w:rPr>
            </w:pPr>
            <w:r w:rsidRPr="00D14CE9">
              <w:rPr>
                <w:rFonts w:cs="Calibri"/>
                <w:color w:val="000000"/>
                <w:sz w:val="16"/>
                <w:szCs w:val="16"/>
                <w:lang w:eastAsia="en-AU"/>
              </w:rPr>
              <w:t xml:space="preserve"> 0.25 m</w:t>
            </w:r>
            <w:r w:rsidRPr="00D14CE9">
              <w:rPr>
                <w:rFonts w:cs="Calibri"/>
                <w:color w:val="000000"/>
                <w:sz w:val="16"/>
                <w:szCs w:val="16"/>
                <w:vertAlign w:val="superscript"/>
                <w:lang w:eastAsia="en-AU"/>
              </w:rPr>
              <w:t>3</w:t>
            </w:r>
            <w:r w:rsidRPr="00D14CE9">
              <w:rPr>
                <w:rFonts w:cs="Calibri"/>
                <w:color w:val="000000"/>
                <w:sz w:val="16"/>
                <w:szCs w:val="16"/>
                <w:lang w:eastAsia="en-AU"/>
              </w:rPr>
              <w:t xml:space="preserve"> </w:t>
            </w:r>
          </w:p>
        </w:tc>
        <w:tc>
          <w:tcPr>
            <w:tcW w:w="1980" w:type="dxa"/>
            <w:noWrap/>
          </w:tcPr>
          <w:p w:rsidR="00131A07" w:rsidRPr="00D14CE9" w:rsidRDefault="00131A07" w:rsidP="00131A07">
            <w:pPr>
              <w:jc w:val="center"/>
              <w:rPr>
                <w:rFonts w:cs="Calibri"/>
                <w:color w:val="000000"/>
                <w:sz w:val="16"/>
                <w:szCs w:val="16"/>
                <w:lang w:eastAsia="en-AU"/>
              </w:rPr>
            </w:pPr>
            <w:r w:rsidRPr="00D14CE9">
              <w:rPr>
                <w:rFonts w:cs="Calibri"/>
                <w:color w:val="000000"/>
                <w:sz w:val="16"/>
                <w:szCs w:val="16"/>
                <w:lang w:eastAsia="en-AU"/>
              </w:rPr>
              <w:t xml:space="preserve"> 0.44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r w:rsidRPr="00D14CE9">
              <w:rPr>
                <w:rFonts w:cs="Calibri"/>
                <w:color w:val="000000"/>
                <w:sz w:val="16"/>
                <w:szCs w:val="16"/>
                <w:lang w:eastAsia="en-AU"/>
              </w:rPr>
              <w:t xml:space="preserve"> </w:t>
            </w:r>
          </w:p>
        </w:tc>
      </w:tr>
      <w:tr w:rsidR="00131A07" w:rsidRPr="00D14CE9" w:rsidTr="00F10554">
        <w:trPr>
          <w:trHeight w:val="315"/>
        </w:trPr>
        <w:tc>
          <w:tcPr>
            <w:tcW w:w="5202" w:type="dxa"/>
            <w:gridSpan w:val="2"/>
            <w:shd w:val="clear" w:color="auto" w:fill="FFE600"/>
            <w:noWrap/>
          </w:tcPr>
          <w:p w:rsidR="00131A07" w:rsidRPr="00D14CE9" w:rsidRDefault="00131A07" w:rsidP="00131A07">
            <w:pPr>
              <w:rPr>
                <w:rFonts w:cs="Calibri"/>
                <w:color w:val="000000"/>
                <w:sz w:val="16"/>
                <w:szCs w:val="16"/>
                <w:lang w:eastAsia="en-AU"/>
              </w:rPr>
            </w:pPr>
            <w:r w:rsidRPr="00D14CE9">
              <w:rPr>
                <w:sz w:val="16"/>
                <w:szCs w:val="16"/>
              </w:rPr>
              <w:t>Average</w:t>
            </w:r>
          </w:p>
        </w:tc>
        <w:tc>
          <w:tcPr>
            <w:tcW w:w="1980" w:type="dxa"/>
            <w:shd w:val="clear" w:color="auto" w:fill="FFE600"/>
            <w:noWrap/>
          </w:tcPr>
          <w:p w:rsidR="00131A07" w:rsidRPr="00D14CE9" w:rsidRDefault="00131A07" w:rsidP="00131A07">
            <w:pPr>
              <w:jc w:val="center"/>
              <w:rPr>
                <w:rFonts w:cs="Calibri"/>
                <w:color w:val="000000"/>
                <w:sz w:val="16"/>
                <w:szCs w:val="16"/>
                <w:lang w:eastAsia="en-AU"/>
              </w:rPr>
            </w:pPr>
            <w:r w:rsidRPr="00D14CE9">
              <w:rPr>
                <w:rFonts w:cs="Calibri"/>
                <w:color w:val="000000"/>
                <w:sz w:val="16"/>
                <w:szCs w:val="16"/>
                <w:lang w:eastAsia="en-AU"/>
              </w:rPr>
              <w:t xml:space="preserve"> 0.28 m</w:t>
            </w:r>
            <w:r w:rsidRPr="00D14CE9">
              <w:rPr>
                <w:rFonts w:cs="Calibri"/>
                <w:color w:val="000000"/>
                <w:sz w:val="16"/>
                <w:szCs w:val="16"/>
                <w:vertAlign w:val="superscript"/>
                <w:lang w:eastAsia="en-AU"/>
              </w:rPr>
              <w:t>3</w:t>
            </w:r>
          </w:p>
        </w:tc>
        <w:tc>
          <w:tcPr>
            <w:tcW w:w="1980" w:type="dxa"/>
            <w:shd w:val="clear" w:color="auto" w:fill="FFE600"/>
            <w:noWrap/>
          </w:tcPr>
          <w:p w:rsidR="00131A07" w:rsidRPr="00D14CE9" w:rsidRDefault="00131A07" w:rsidP="00131A07">
            <w:pPr>
              <w:jc w:val="center"/>
              <w:rPr>
                <w:rFonts w:cs="Calibri"/>
                <w:color w:val="000000"/>
                <w:sz w:val="16"/>
                <w:szCs w:val="16"/>
                <w:lang w:eastAsia="en-AU"/>
              </w:rPr>
            </w:pPr>
            <w:r w:rsidRPr="00D14CE9">
              <w:rPr>
                <w:rFonts w:cs="Calibri"/>
                <w:color w:val="000000"/>
                <w:sz w:val="16"/>
                <w:szCs w:val="16"/>
                <w:lang w:eastAsia="en-AU"/>
              </w:rPr>
              <w:t xml:space="preserve">0.37 </w:t>
            </w:r>
            <w:r w:rsidR="009E0AEA" w:rsidRPr="00D14CE9">
              <w:rPr>
                <w:rFonts w:cs="Calibri"/>
                <w:color w:val="000000"/>
                <w:sz w:val="16"/>
                <w:szCs w:val="16"/>
                <w:lang w:eastAsia="en-AU"/>
              </w:rPr>
              <w:t>m</w:t>
            </w:r>
            <w:r w:rsidR="009E0AEA" w:rsidRPr="00D14CE9">
              <w:rPr>
                <w:rFonts w:cs="Calibri"/>
                <w:color w:val="000000"/>
                <w:sz w:val="16"/>
                <w:szCs w:val="16"/>
                <w:vertAlign w:val="superscript"/>
                <w:lang w:eastAsia="en-AU"/>
              </w:rPr>
              <w:t>2</w:t>
            </w:r>
          </w:p>
        </w:tc>
      </w:tr>
    </w:tbl>
    <w:p w:rsidR="00697103" w:rsidRPr="006B35A2" w:rsidRDefault="00697103" w:rsidP="00697103">
      <w:pPr>
        <w:pStyle w:val="ListParagraph"/>
        <w:ind w:left="0"/>
        <w:rPr>
          <w:rFonts w:ascii="EYInterstate Light" w:hAnsi="EYInterstate Light"/>
          <w:i/>
          <w:sz w:val="16"/>
          <w:szCs w:val="16"/>
        </w:rPr>
      </w:pPr>
      <w:r w:rsidRPr="006B35A2">
        <w:rPr>
          <w:rFonts w:ascii="EYInterstate Light" w:hAnsi="EYInterstate Light"/>
          <w:i/>
          <w:sz w:val="16"/>
          <w:szCs w:val="16"/>
        </w:rPr>
        <w:t>Source:</w:t>
      </w:r>
      <w:r w:rsidR="00486FB4">
        <w:rPr>
          <w:rFonts w:ascii="EYInterstate Light" w:hAnsi="EYInterstate Light"/>
          <w:i/>
          <w:sz w:val="16"/>
          <w:szCs w:val="16"/>
        </w:rPr>
        <w:t xml:space="preserve"> PROBUILD</w:t>
      </w:r>
    </w:p>
    <w:p w:rsidR="00E22DF2" w:rsidRPr="00D14CE9" w:rsidRDefault="00E22DF2" w:rsidP="00856574">
      <w:pPr>
        <w:pStyle w:val="ListParagraph"/>
        <w:numPr>
          <w:ilvl w:val="1"/>
          <w:numId w:val="28"/>
        </w:numPr>
        <w:ind w:left="720" w:hanging="720"/>
        <w:rPr>
          <w:rFonts w:ascii="EYInterstate Light" w:hAnsi="EYInterstate Light"/>
          <w:b/>
        </w:rPr>
      </w:pPr>
      <w:r w:rsidRPr="00D14CE9">
        <w:rPr>
          <w:rFonts w:ascii="EYInterstate Light" w:hAnsi="EYInterstate Light"/>
          <w:b/>
        </w:rPr>
        <w:t xml:space="preserve">VicRoads – Key </w:t>
      </w:r>
      <w:r w:rsidR="000C499E" w:rsidRPr="00D14CE9">
        <w:rPr>
          <w:rFonts w:ascii="EYInterstate Light" w:hAnsi="EYInterstate Light"/>
          <w:b/>
        </w:rPr>
        <w:t>findings</w:t>
      </w:r>
    </w:p>
    <w:p w:rsidR="00E22DF2" w:rsidRPr="00D14CE9" w:rsidRDefault="00E22DF2" w:rsidP="00E22DF2">
      <w:pPr>
        <w:pStyle w:val="ListParagraph"/>
        <w:widowControl/>
        <w:autoSpaceDE/>
        <w:adjustRightInd/>
        <w:spacing w:after="0"/>
        <w:ind w:left="0"/>
        <w:rPr>
          <w:rFonts w:ascii="EYInterstate Light" w:hAnsi="EYInterstate Light"/>
        </w:rPr>
      </w:pPr>
    </w:p>
    <w:p w:rsidR="00D077EE" w:rsidRPr="00D14CE9" w:rsidRDefault="00E22DF2" w:rsidP="00420C32">
      <w:pPr>
        <w:pStyle w:val="EYBodytextwithparaspace"/>
        <w:rPr>
          <w:lang w:val="en-AU"/>
        </w:rPr>
      </w:pPr>
      <w:r w:rsidRPr="00D14CE9">
        <w:rPr>
          <w:rFonts w:cstheme="majorHAnsi"/>
          <w:szCs w:val="20"/>
          <w:lang w:val="en-AU"/>
        </w:rPr>
        <w:t>The overview of VicRoads responses to the questionnaire is provided in the below table.</w:t>
      </w:r>
    </w:p>
    <w:tbl>
      <w:tblPr>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39 "/>
        <w:tblDescription w:val="Table 39 show key findings from consultation with Vicroads. It is extensive. "/>
      </w:tblPr>
      <w:tblGrid>
        <w:gridCol w:w="421"/>
        <w:gridCol w:w="2502"/>
        <w:gridCol w:w="6286"/>
      </w:tblGrid>
      <w:tr w:rsidR="00420C32" w:rsidRPr="00D14CE9" w:rsidTr="001476EB">
        <w:trPr>
          <w:trHeight w:val="315"/>
          <w:tblHeader/>
        </w:trPr>
        <w:tc>
          <w:tcPr>
            <w:tcW w:w="9209" w:type="dxa"/>
            <w:gridSpan w:val="3"/>
            <w:shd w:val="clear" w:color="auto" w:fill="808080"/>
            <w:noWrap/>
            <w:tcMar>
              <w:top w:w="11" w:type="dxa"/>
              <w:left w:w="11" w:type="dxa"/>
              <w:bottom w:w="11" w:type="dxa"/>
              <w:right w:w="11" w:type="dxa"/>
            </w:tcMar>
            <w:vAlign w:val="bottom"/>
          </w:tcPr>
          <w:p w:rsidR="00420C32" w:rsidRPr="00D14CE9" w:rsidRDefault="00420C32" w:rsidP="00802792">
            <w:pPr>
              <w:pStyle w:val="EYTableHeadingWhite"/>
              <w:rPr>
                <w:rFonts w:eastAsia="Arial Unicode MS"/>
              </w:rPr>
            </w:pPr>
            <w:bookmarkStart w:id="763" w:name="_Toc445240972"/>
            <w:bookmarkStart w:id="764" w:name="_Toc448914665"/>
            <w:bookmarkStart w:id="765" w:name="_Toc448920483"/>
            <w:r w:rsidRPr="00D14CE9">
              <w:lastRenderedPageBreak/>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39</w:t>
            </w:r>
            <w:r w:rsidR="00A9654D" w:rsidRPr="00802792">
              <w:fldChar w:fldCharType="end"/>
            </w:r>
            <w:r w:rsidRPr="00D14CE9">
              <w:t xml:space="preserve"> – Stakeholders Consultation – VicRoads Key Findings</w:t>
            </w:r>
            <w:bookmarkEnd w:id="763"/>
            <w:bookmarkEnd w:id="764"/>
            <w:bookmarkEnd w:id="765"/>
          </w:p>
        </w:tc>
      </w:tr>
      <w:tr w:rsidR="00A149C4" w:rsidRPr="00D14CE9" w:rsidTr="001476EB">
        <w:trPr>
          <w:tblHeader/>
        </w:trPr>
        <w:tc>
          <w:tcPr>
            <w:tcW w:w="421" w:type="dxa"/>
            <w:shd w:val="clear" w:color="auto" w:fill="F0F0F0"/>
            <w:tcMar>
              <w:top w:w="11" w:type="dxa"/>
              <w:left w:w="11" w:type="dxa"/>
              <w:bottom w:w="11" w:type="dxa"/>
              <w:right w:w="11" w:type="dxa"/>
            </w:tcMar>
            <w:vAlign w:val="center"/>
          </w:tcPr>
          <w:p w:rsidR="00A149C4" w:rsidRPr="00D14CE9" w:rsidRDefault="00A149C4" w:rsidP="00E65C9D">
            <w:pPr>
              <w:pStyle w:val="EYTableHeading"/>
              <w:rPr>
                <w:rFonts w:eastAsia="Arial Unicode MS"/>
              </w:rPr>
            </w:pPr>
            <w:r w:rsidRPr="00D14CE9">
              <w:t>#</w:t>
            </w:r>
          </w:p>
        </w:tc>
        <w:tc>
          <w:tcPr>
            <w:tcW w:w="2502" w:type="dxa"/>
            <w:shd w:val="clear" w:color="auto" w:fill="F0F0F0"/>
            <w:tcMar>
              <w:top w:w="11" w:type="dxa"/>
              <w:left w:w="11" w:type="dxa"/>
              <w:bottom w:w="11" w:type="dxa"/>
              <w:right w:w="11" w:type="dxa"/>
            </w:tcMar>
            <w:vAlign w:val="center"/>
          </w:tcPr>
          <w:p w:rsidR="00A149C4" w:rsidRPr="00D14CE9" w:rsidRDefault="00A149C4">
            <w:pPr>
              <w:pStyle w:val="EYTableHeading"/>
              <w:rPr>
                <w:rFonts w:eastAsia="Arial Unicode MS"/>
              </w:rPr>
            </w:pPr>
            <w:r w:rsidRPr="00D14CE9">
              <w:t>VicRoads questionnaire</w:t>
            </w:r>
          </w:p>
        </w:tc>
        <w:tc>
          <w:tcPr>
            <w:tcW w:w="6286" w:type="dxa"/>
            <w:shd w:val="clear" w:color="auto" w:fill="F0F0F0"/>
            <w:tcMar>
              <w:top w:w="11" w:type="dxa"/>
              <w:left w:w="11" w:type="dxa"/>
              <w:bottom w:w="11" w:type="dxa"/>
              <w:right w:w="11" w:type="dxa"/>
            </w:tcMar>
            <w:vAlign w:val="center"/>
          </w:tcPr>
          <w:p w:rsidR="00A149C4" w:rsidRPr="00D14CE9" w:rsidRDefault="00A149C4">
            <w:pPr>
              <w:pStyle w:val="EYTableHeading"/>
              <w:rPr>
                <w:rFonts w:eastAsia="Arial Unicode MS"/>
              </w:rPr>
            </w:pPr>
            <w:r w:rsidRPr="00D14CE9">
              <w:t>Responses</w:t>
            </w:r>
          </w:p>
        </w:tc>
      </w:tr>
      <w:tr w:rsidR="00A149C4" w:rsidRPr="00D14CE9" w:rsidTr="001476EB">
        <w:trPr>
          <w:trHeight w:val="315"/>
        </w:trPr>
        <w:tc>
          <w:tcPr>
            <w:tcW w:w="421" w:type="dxa"/>
            <w:noWrap/>
            <w:tcMar>
              <w:top w:w="11" w:type="dxa"/>
              <w:left w:w="11" w:type="dxa"/>
              <w:bottom w:w="11" w:type="dxa"/>
              <w:right w:w="11" w:type="dxa"/>
            </w:tcMar>
          </w:tcPr>
          <w:p w:rsidR="00A149C4" w:rsidRPr="00D14CE9" w:rsidRDefault="00A149C4" w:rsidP="002818A7">
            <w:pPr>
              <w:pStyle w:val="EYTableNormal"/>
              <w:numPr>
                <w:ilvl w:val="0"/>
                <w:numId w:val="31"/>
              </w:numPr>
            </w:pPr>
          </w:p>
        </w:tc>
        <w:tc>
          <w:tcPr>
            <w:tcW w:w="2502" w:type="dxa"/>
            <w:noWrap/>
            <w:tcMar>
              <w:top w:w="11" w:type="dxa"/>
              <w:left w:w="11" w:type="dxa"/>
              <w:bottom w:w="11" w:type="dxa"/>
              <w:right w:w="11" w:type="dxa"/>
            </w:tcMar>
          </w:tcPr>
          <w:p w:rsidR="00A149C4" w:rsidRPr="00D14CE9" w:rsidRDefault="00A149C4" w:rsidP="002F5255">
            <w:pPr>
              <w:rPr>
                <w:sz w:val="16"/>
                <w:szCs w:val="16"/>
              </w:rPr>
            </w:pPr>
            <w:r w:rsidRPr="00D14CE9">
              <w:rPr>
                <w:sz w:val="16"/>
                <w:szCs w:val="16"/>
              </w:rPr>
              <w:t>Please provide indicative estimates of new roads construction (in kilometres of road by road type) forecast for the period 2015 – 2025.  If possible, is this able to be forecast through to 2050?</w:t>
            </w:r>
          </w:p>
        </w:tc>
        <w:tc>
          <w:tcPr>
            <w:tcW w:w="6286" w:type="dxa"/>
            <w:noWrap/>
            <w:tcMar>
              <w:top w:w="11" w:type="dxa"/>
              <w:left w:w="11" w:type="dxa"/>
              <w:bottom w:w="11" w:type="dxa"/>
              <w:right w:w="11" w:type="dxa"/>
            </w:tcMar>
          </w:tcPr>
          <w:p w:rsidR="00A149C4" w:rsidRPr="00D14CE9" w:rsidRDefault="00A149C4"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The development of Metropolitan Melbourne and the transport network will vary depending upon rates of economic growth business requirements, population growth, government planning and housing demand.</w:t>
            </w:r>
          </w:p>
          <w:p w:rsidR="00A149C4" w:rsidRPr="00D14CE9" w:rsidRDefault="00A149C4"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Over the previous ten years, approximately 180 lane kilometres have been added per year to the transport network.</w:t>
            </w:r>
          </w:p>
          <w:p w:rsidR="00A149C4" w:rsidRPr="00D14CE9" w:rsidRDefault="00A149C4"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Economic and population growth over the last 10 years are in line with current expectations of growth for the next 20 years. As a result, an increase of the network by 180 lane kilometres on a yearly basis seems like a suitable baseline, subject to government funding and private </w:t>
            </w:r>
            <w:r w:rsidR="00046ADE" w:rsidRPr="00D14CE9">
              <w:rPr>
                <w:rFonts w:ascii="EYInterstate Light" w:hAnsi="EYInterstate Light"/>
                <w:sz w:val="16"/>
                <w:szCs w:val="16"/>
              </w:rPr>
              <w:t>developers’</w:t>
            </w:r>
            <w:r w:rsidRPr="00D14CE9">
              <w:rPr>
                <w:rFonts w:ascii="EYInterstate Light" w:hAnsi="EYInterstate Light"/>
                <w:sz w:val="16"/>
                <w:szCs w:val="16"/>
              </w:rPr>
              <w:t xml:space="preserve"> plans. </w:t>
            </w:r>
          </w:p>
          <w:p w:rsidR="00A149C4" w:rsidRPr="00D14CE9" w:rsidRDefault="00A149C4"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Historically, the spatial breakdown of urban growth contemplated within Metropolitan Melbourne has been 60% in growth areas and 40% in the rest of Melbourne.</w:t>
            </w:r>
          </w:p>
          <w:p w:rsidR="00A149C4" w:rsidRPr="00D14CE9" w:rsidRDefault="00A149C4"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Potential road development within Metropolitan Melbourne has been provided by VicRoads though, from 2015 to 2046.  Naturally these lengths are indicative only and subject to growth as previously discussed.</w:t>
            </w:r>
          </w:p>
          <w:p w:rsidR="00A149C4" w:rsidRPr="00D14CE9" w:rsidRDefault="00A149C4"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The Plan Melbourne Refresh Discussion Paper indicates that Melbourne’s population is expected to increase from 4.4 million to 7.7 million by 2051, requiring an additional 1.5 million homes to accommodate this growth. The Plan Melbourne refresh discussion paper also discusses establishing a 70/30 target where established areas will provide 70% of Melbourne new housing supply and Greenfield growth areas provide 30%.   This is slightly different to what has been identified by Victoria’s long term population projection in Victoria in Future which has previously envisaged established areas contributing 61% of new dwellings to 2051.</w:t>
            </w:r>
          </w:p>
          <w:p w:rsidR="00A149C4" w:rsidRPr="00D14CE9" w:rsidRDefault="00A149C4"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 The Melbourne Growth Corridor Plans are high level integrated land use and transport plans that provide a strategy for the development of Melbourne’s growth corridors over the coming decades. These plans will guide the delivery of key housing, employment and transport infrastructure in Melbourne’s new suburbs and provide a clear strategy for the development of the growth corridors over the next 30 to 40 years.</w:t>
            </w:r>
          </w:p>
          <w:p w:rsidR="00A149C4" w:rsidRPr="00D14CE9" w:rsidRDefault="00A149C4"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Precinct Structure Plans details the development of the transport network in outer Melbourne, including the location, length and width road and footpaths can been found in each of the precinct structure plans that have been formally adopted and incorporated in</w:t>
            </w:r>
            <w:r w:rsidR="00452C3E" w:rsidRPr="00D14CE9">
              <w:rPr>
                <w:rFonts w:ascii="EYInterstate Light" w:hAnsi="EYInterstate Light"/>
                <w:sz w:val="16"/>
                <w:szCs w:val="16"/>
              </w:rPr>
              <w:t xml:space="preserve"> the relevant planning schemes.</w:t>
            </w:r>
          </w:p>
        </w:tc>
      </w:tr>
      <w:tr w:rsidR="00452C3E" w:rsidRPr="00D14CE9" w:rsidTr="001476EB">
        <w:trPr>
          <w:trHeight w:val="315"/>
        </w:trPr>
        <w:tc>
          <w:tcPr>
            <w:tcW w:w="421" w:type="dxa"/>
            <w:noWrap/>
            <w:tcMar>
              <w:top w:w="11" w:type="dxa"/>
              <w:left w:w="11" w:type="dxa"/>
              <w:bottom w:w="11" w:type="dxa"/>
              <w:right w:w="11" w:type="dxa"/>
            </w:tcMar>
          </w:tcPr>
          <w:p w:rsidR="00452C3E" w:rsidRPr="00D14CE9" w:rsidRDefault="00452C3E" w:rsidP="002818A7">
            <w:pPr>
              <w:pStyle w:val="EYTableNormal"/>
              <w:numPr>
                <w:ilvl w:val="0"/>
                <w:numId w:val="31"/>
              </w:numPr>
            </w:pPr>
          </w:p>
        </w:tc>
        <w:tc>
          <w:tcPr>
            <w:tcW w:w="2502" w:type="dxa"/>
            <w:noWrap/>
            <w:tcMar>
              <w:top w:w="11" w:type="dxa"/>
              <w:left w:w="11" w:type="dxa"/>
              <w:bottom w:w="11" w:type="dxa"/>
              <w:right w:w="11" w:type="dxa"/>
            </w:tcMar>
          </w:tcPr>
          <w:p w:rsidR="00452C3E" w:rsidRPr="00D14CE9" w:rsidRDefault="00452C3E" w:rsidP="002F5255">
            <w:pPr>
              <w:rPr>
                <w:sz w:val="16"/>
                <w:szCs w:val="16"/>
              </w:rPr>
            </w:pPr>
            <w:r w:rsidRPr="00D14CE9">
              <w:rPr>
                <w:sz w:val="16"/>
                <w:szCs w:val="16"/>
              </w:rPr>
              <w:t>Please provide indicative estimates (in kilometres or road or % of total) of annual road maintenance activity covering periodic maintenance (covering resurfacing and resealing) and rehabilitation works (resheeting, reconstruction).</w:t>
            </w:r>
          </w:p>
        </w:tc>
        <w:tc>
          <w:tcPr>
            <w:tcW w:w="6286" w:type="dxa"/>
            <w:noWrap/>
            <w:tcMar>
              <w:top w:w="11" w:type="dxa"/>
              <w:left w:w="11" w:type="dxa"/>
              <w:bottom w:w="11" w:type="dxa"/>
              <w:right w:w="11" w:type="dxa"/>
            </w:tcMar>
          </w:tcPr>
          <w:p w:rsidR="00452C3E" w:rsidRPr="00D14CE9" w:rsidRDefault="00452C3E"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Over the last 4-5 years, the indicative estimate % coverage in future works in relation to periodic maintenance was 4% while the typical benchmark required ranges around 7%. It is noted that if this gap persists over a long period, the need to rebuild parts of the network will become increasingly likely</w:t>
            </w:r>
          </w:p>
          <w:p w:rsidR="00452C3E" w:rsidRPr="00D14CE9" w:rsidRDefault="00452C3E"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Typical benchmark in terms of rehabilitation works is </w:t>
            </w:r>
            <w:r w:rsidR="00833B09" w:rsidRPr="00D14CE9">
              <w:rPr>
                <w:rFonts w:ascii="EYInterstate Light" w:hAnsi="EYInterstate Light"/>
                <w:sz w:val="16"/>
                <w:szCs w:val="16"/>
              </w:rPr>
              <w:t>a 2</w:t>
            </w:r>
            <w:r w:rsidRPr="00D14CE9">
              <w:rPr>
                <w:rFonts w:ascii="EYInterstate Light" w:hAnsi="EYInterstate Light"/>
                <w:sz w:val="16"/>
                <w:szCs w:val="16"/>
              </w:rPr>
              <w:t xml:space="preserve">% coverage. </w:t>
            </w:r>
          </w:p>
          <w:p w:rsidR="00452C3E" w:rsidRPr="00D14CE9" w:rsidRDefault="00452C3E"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It is estimated that over 2m tons of asphalt are used within the State on a yearly basis for maintenance and rehabilitation works. However it is unclear what % of this amount is used by VicRoads, local council or private development roads.</w:t>
            </w:r>
          </w:p>
        </w:tc>
      </w:tr>
      <w:tr w:rsidR="00452C3E" w:rsidRPr="00D14CE9" w:rsidTr="001476EB">
        <w:trPr>
          <w:trHeight w:val="315"/>
        </w:trPr>
        <w:tc>
          <w:tcPr>
            <w:tcW w:w="421" w:type="dxa"/>
            <w:noWrap/>
            <w:tcMar>
              <w:top w:w="11" w:type="dxa"/>
              <w:left w:w="11" w:type="dxa"/>
              <w:bottom w:w="11" w:type="dxa"/>
              <w:right w:w="11" w:type="dxa"/>
            </w:tcMar>
          </w:tcPr>
          <w:p w:rsidR="00452C3E" w:rsidRPr="00D14CE9" w:rsidRDefault="00452C3E" w:rsidP="002818A7">
            <w:pPr>
              <w:pStyle w:val="EYTableNormal"/>
              <w:numPr>
                <w:ilvl w:val="0"/>
                <w:numId w:val="31"/>
              </w:numPr>
            </w:pPr>
          </w:p>
        </w:tc>
        <w:tc>
          <w:tcPr>
            <w:tcW w:w="2502" w:type="dxa"/>
            <w:noWrap/>
            <w:tcMar>
              <w:top w:w="11" w:type="dxa"/>
              <w:left w:w="11" w:type="dxa"/>
              <w:bottom w:w="11" w:type="dxa"/>
              <w:right w:w="11" w:type="dxa"/>
            </w:tcMar>
          </w:tcPr>
          <w:p w:rsidR="00452C3E" w:rsidRPr="00D14CE9" w:rsidRDefault="00452C3E" w:rsidP="002F5255">
            <w:pPr>
              <w:rPr>
                <w:sz w:val="16"/>
                <w:szCs w:val="16"/>
              </w:rPr>
            </w:pPr>
            <w:r w:rsidRPr="00D14CE9">
              <w:rPr>
                <w:sz w:val="16"/>
                <w:szCs w:val="16"/>
              </w:rPr>
              <w:t>Please identify the products that are used as key construction inputs and are important to VicRoads projects</w:t>
            </w:r>
          </w:p>
        </w:tc>
        <w:tc>
          <w:tcPr>
            <w:tcW w:w="6286" w:type="dxa"/>
            <w:noWrap/>
            <w:tcMar>
              <w:top w:w="11" w:type="dxa"/>
              <w:left w:w="11" w:type="dxa"/>
              <w:bottom w:w="11" w:type="dxa"/>
              <w:right w:w="11" w:type="dxa"/>
            </w:tcMar>
          </w:tcPr>
          <w:p w:rsidR="00452C3E" w:rsidRPr="00D14CE9" w:rsidRDefault="00452C3E"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Commodity Products used for a typical country two-lane highway (7m width – factoring shoulders as well), typically further than 50km from the CBD:</w:t>
            </w:r>
          </w:p>
          <w:p w:rsidR="00452C3E" w:rsidRPr="00D14CE9" w:rsidRDefault="00452C3E" w:rsidP="004839B9">
            <w:pPr>
              <w:pStyle w:val="ListParagraph"/>
              <w:numPr>
                <w:ilvl w:val="0"/>
                <w:numId w:val="22"/>
              </w:numPr>
              <w:spacing w:after="0"/>
              <w:ind w:left="338" w:hanging="183"/>
              <w:rPr>
                <w:sz w:val="16"/>
                <w:szCs w:val="16"/>
              </w:rPr>
            </w:pPr>
            <w:r w:rsidRPr="00E65C9D">
              <w:rPr>
                <w:rFonts w:ascii="EYInterstate Light" w:hAnsi="EYInterstate Light"/>
                <w:sz w:val="16"/>
                <w:szCs w:val="16"/>
              </w:rPr>
              <w:t>Pavement Layer:</w:t>
            </w:r>
          </w:p>
          <w:p w:rsidR="00452C3E" w:rsidRPr="00D14CE9" w:rsidRDefault="004839B9" w:rsidP="004839B9">
            <w:pPr>
              <w:ind w:left="338" w:hanging="183"/>
              <w:rPr>
                <w:sz w:val="16"/>
                <w:szCs w:val="16"/>
              </w:rPr>
            </w:pPr>
            <w:r>
              <w:rPr>
                <w:sz w:val="16"/>
                <w:szCs w:val="16"/>
              </w:rPr>
              <w:tab/>
            </w:r>
            <w:r w:rsidR="00452C3E" w:rsidRPr="00D14CE9">
              <w:rPr>
                <w:sz w:val="16"/>
                <w:szCs w:val="16"/>
              </w:rPr>
              <w:t>Surfacing: Spray Seal</w:t>
            </w:r>
          </w:p>
          <w:p w:rsidR="00452C3E" w:rsidRPr="00D14CE9" w:rsidRDefault="004839B9" w:rsidP="004839B9">
            <w:pPr>
              <w:ind w:left="338" w:hanging="183"/>
              <w:rPr>
                <w:sz w:val="16"/>
                <w:szCs w:val="16"/>
              </w:rPr>
            </w:pPr>
            <w:r>
              <w:rPr>
                <w:sz w:val="16"/>
                <w:szCs w:val="16"/>
              </w:rPr>
              <w:tab/>
            </w:r>
            <w:r w:rsidR="00452C3E" w:rsidRPr="00D14CE9">
              <w:rPr>
                <w:sz w:val="16"/>
                <w:szCs w:val="16"/>
              </w:rPr>
              <w:t>Base: Class 1 Crushed Rock (200mm thick layer)</w:t>
            </w:r>
          </w:p>
          <w:p w:rsidR="00452C3E" w:rsidRPr="00D14CE9" w:rsidRDefault="004839B9" w:rsidP="004839B9">
            <w:pPr>
              <w:ind w:left="338" w:hanging="183"/>
              <w:rPr>
                <w:sz w:val="16"/>
                <w:szCs w:val="16"/>
              </w:rPr>
            </w:pPr>
            <w:r>
              <w:rPr>
                <w:sz w:val="16"/>
                <w:szCs w:val="16"/>
              </w:rPr>
              <w:tab/>
            </w:r>
            <w:r w:rsidR="00452C3E" w:rsidRPr="00D14CE9">
              <w:rPr>
                <w:sz w:val="16"/>
                <w:szCs w:val="16"/>
              </w:rPr>
              <w:t>Upper Subbase: Class 3 Crushed Rock (200mm thick layer)</w:t>
            </w:r>
          </w:p>
          <w:p w:rsidR="00452C3E" w:rsidRPr="00D14CE9" w:rsidRDefault="004839B9" w:rsidP="004839B9">
            <w:pPr>
              <w:ind w:left="338" w:hanging="183"/>
              <w:rPr>
                <w:sz w:val="16"/>
                <w:szCs w:val="16"/>
              </w:rPr>
            </w:pPr>
            <w:r>
              <w:rPr>
                <w:sz w:val="16"/>
                <w:szCs w:val="16"/>
              </w:rPr>
              <w:tab/>
            </w:r>
            <w:r w:rsidR="00452C3E" w:rsidRPr="00D14CE9">
              <w:rPr>
                <w:sz w:val="16"/>
                <w:szCs w:val="16"/>
              </w:rPr>
              <w:t>Lower Subbase: Class 4 Crushed Rock (100mm thick layer)</w:t>
            </w:r>
          </w:p>
          <w:p w:rsidR="00452C3E" w:rsidRPr="00D14CE9" w:rsidRDefault="00452C3E" w:rsidP="004839B9">
            <w:pPr>
              <w:pStyle w:val="ListParagraph"/>
              <w:numPr>
                <w:ilvl w:val="0"/>
                <w:numId w:val="22"/>
              </w:numPr>
              <w:spacing w:after="0"/>
              <w:ind w:left="338" w:hanging="183"/>
              <w:rPr>
                <w:sz w:val="16"/>
                <w:szCs w:val="16"/>
              </w:rPr>
            </w:pPr>
            <w:r w:rsidRPr="00E65C9D">
              <w:rPr>
                <w:rFonts w:ascii="EYInterstate Light" w:hAnsi="EYInterstate Light"/>
                <w:sz w:val="16"/>
                <w:szCs w:val="16"/>
              </w:rPr>
              <w:t>Earthworks Layer:</w:t>
            </w:r>
          </w:p>
          <w:p w:rsidR="00452C3E" w:rsidRPr="00D14CE9" w:rsidRDefault="004839B9" w:rsidP="004839B9">
            <w:pPr>
              <w:ind w:left="338" w:hanging="183"/>
              <w:rPr>
                <w:sz w:val="16"/>
                <w:szCs w:val="16"/>
              </w:rPr>
            </w:pPr>
            <w:r>
              <w:rPr>
                <w:sz w:val="16"/>
                <w:szCs w:val="16"/>
              </w:rPr>
              <w:tab/>
            </w:r>
            <w:r w:rsidR="00452C3E" w:rsidRPr="00D14CE9">
              <w:rPr>
                <w:sz w:val="16"/>
                <w:szCs w:val="16"/>
              </w:rPr>
              <w:t>Fill: Type A Material (450mm thick layer)</w:t>
            </w:r>
          </w:p>
          <w:p w:rsidR="00452C3E" w:rsidRPr="00D14CE9" w:rsidRDefault="00452C3E"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Commodity Products used for a typical urban two-lane road (10m width- factoring shoulders as well):</w:t>
            </w:r>
          </w:p>
          <w:p w:rsidR="00452C3E" w:rsidRPr="001476EB" w:rsidRDefault="00452C3E" w:rsidP="001476EB">
            <w:pPr>
              <w:pStyle w:val="ListParagraph"/>
              <w:numPr>
                <w:ilvl w:val="0"/>
                <w:numId w:val="22"/>
              </w:numPr>
              <w:spacing w:after="0"/>
              <w:ind w:left="310" w:hanging="155"/>
              <w:rPr>
                <w:rFonts w:ascii="EYInterstate Light" w:hAnsi="EYInterstate Light"/>
                <w:sz w:val="16"/>
                <w:szCs w:val="16"/>
              </w:rPr>
            </w:pPr>
            <w:r w:rsidRPr="001476EB">
              <w:rPr>
                <w:rFonts w:ascii="EYInterstate Light" w:hAnsi="EYInterstate Light"/>
                <w:sz w:val="16"/>
                <w:szCs w:val="16"/>
              </w:rPr>
              <w:t>Pavement Layer:</w:t>
            </w:r>
          </w:p>
          <w:p w:rsidR="00452C3E" w:rsidRPr="001476EB" w:rsidRDefault="00452C3E" w:rsidP="001476EB">
            <w:pPr>
              <w:pStyle w:val="ListParagraph"/>
              <w:numPr>
                <w:ilvl w:val="0"/>
                <w:numId w:val="22"/>
              </w:numPr>
              <w:spacing w:after="0"/>
              <w:ind w:left="605" w:hanging="268"/>
              <w:rPr>
                <w:rFonts w:ascii="EYInterstate Light" w:hAnsi="EYInterstate Light"/>
                <w:sz w:val="16"/>
                <w:szCs w:val="16"/>
              </w:rPr>
            </w:pPr>
            <w:r w:rsidRPr="001476EB">
              <w:rPr>
                <w:rFonts w:ascii="EYInterstate Light" w:hAnsi="EYInterstate Light"/>
                <w:sz w:val="16"/>
                <w:szCs w:val="16"/>
              </w:rPr>
              <w:t>Wearing  Course:  Asphalt (Type H Size 14 -  40mm thick layer)</w:t>
            </w:r>
          </w:p>
          <w:p w:rsidR="00452C3E" w:rsidRPr="001476EB" w:rsidRDefault="00452C3E" w:rsidP="001476EB">
            <w:pPr>
              <w:pStyle w:val="ListParagraph"/>
              <w:numPr>
                <w:ilvl w:val="0"/>
                <w:numId w:val="22"/>
              </w:numPr>
              <w:spacing w:after="0"/>
              <w:ind w:left="605" w:hanging="268"/>
              <w:rPr>
                <w:rFonts w:ascii="EYInterstate Light" w:hAnsi="EYInterstate Light"/>
                <w:sz w:val="16"/>
                <w:szCs w:val="16"/>
              </w:rPr>
            </w:pPr>
            <w:r w:rsidRPr="001476EB">
              <w:rPr>
                <w:rFonts w:ascii="EYInterstate Light" w:hAnsi="EYInterstate Light"/>
                <w:sz w:val="16"/>
                <w:szCs w:val="16"/>
              </w:rPr>
              <w:t>Intermediate Course: Asphalt (Type SI Size 20 – 80mm thick layer)</w:t>
            </w:r>
          </w:p>
          <w:p w:rsidR="00452C3E" w:rsidRPr="001476EB" w:rsidRDefault="00452C3E" w:rsidP="001476EB">
            <w:pPr>
              <w:pStyle w:val="ListParagraph"/>
              <w:numPr>
                <w:ilvl w:val="0"/>
                <w:numId w:val="22"/>
              </w:numPr>
              <w:spacing w:after="0"/>
              <w:ind w:left="605" w:hanging="268"/>
              <w:rPr>
                <w:rFonts w:ascii="EYInterstate Light" w:hAnsi="EYInterstate Light"/>
                <w:sz w:val="16"/>
                <w:szCs w:val="16"/>
              </w:rPr>
            </w:pPr>
            <w:r w:rsidRPr="001476EB">
              <w:rPr>
                <w:rFonts w:ascii="EYInterstate Light" w:hAnsi="EYInterstate Light"/>
                <w:sz w:val="16"/>
                <w:szCs w:val="16"/>
              </w:rPr>
              <w:t>Base Course: Asphalt (Type SF Size 20 – 75mm thick layer)</w:t>
            </w:r>
          </w:p>
          <w:p w:rsidR="00452C3E" w:rsidRPr="001476EB" w:rsidRDefault="00452C3E" w:rsidP="001476EB">
            <w:pPr>
              <w:pStyle w:val="ListParagraph"/>
              <w:numPr>
                <w:ilvl w:val="0"/>
                <w:numId w:val="22"/>
              </w:numPr>
              <w:spacing w:after="0"/>
              <w:ind w:left="605" w:hanging="268"/>
              <w:rPr>
                <w:rFonts w:ascii="EYInterstate Light" w:hAnsi="EYInterstate Light"/>
                <w:sz w:val="16"/>
                <w:szCs w:val="16"/>
              </w:rPr>
            </w:pPr>
            <w:r w:rsidRPr="001476EB">
              <w:rPr>
                <w:rFonts w:ascii="EYInterstate Light" w:hAnsi="EYInterstate Light"/>
                <w:sz w:val="16"/>
                <w:szCs w:val="16"/>
              </w:rPr>
              <w:t>Upper Subbase: Cement Treated Crushed Rock/Concrete (500</w:t>
            </w:r>
            <w:r w:rsidR="00833B09" w:rsidRPr="001476EB">
              <w:rPr>
                <w:rFonts w:ascii="EYInterstate Light" w:hAnsi="EYInterstate Light"/>
                <w:sz w:val="16"/>
                <w:szCs w:val="16"/>
              </w:rPr>
              <w:t> </w:t>
            </w:r>
            <w:r w:rsidRPr="001476EB">
              <w:rPr>
                <w:rFonts w:ascii="EYInterstate Light" w:hAnsi="EYInterstate Light"/>
                <w:sz w:val="16"/>
                <w:szCs w:val="16"/>
              </w:rPr>
              <w:t xml:space="preserve">Mpa – 180mm thick layer) </w:t>
            </w:r>
          </w:p>
          <w:p w:rsidR="00452C3E" w:rsidRPr="001476EB" w:rsidRDefault="00452C3E" w:rsidP="001476EB">
            <w:pPr>
              <w:pStyle w:val="ListParagraph"/>
              <w:numPr>
                <w:ilvl w:val="0"/>
                <w:numId w:val="22"/>
              </w:numPr>
              <w:spacing w:after="0"/>
              <w:ind w:left="605" w:hanging="268"/>
              <w:rPr>
                <w:rFonts w:ascii="EYInterstate Light" w:hAnsi="EYInterstate Light"/>
                <w:sz w:val="16"/>
                <w:szCs w:val="16"/>
              </w:rPr>
            </w:pPr>
            <w:r w:rsidRPr="001476EB">
              <w:rPr>
                <w:rFonts w:ascii="EYInterstate Light" w:hAnsi="EYInterstate Light"/>
                <w:sz w:val="16"/>
                <w:szCs w:val="16"/>
              </w:rPr>
              <w:t>Lower Subbase: Class 4 Crushed Rock (230mm thick layer)</w:t>
            </w:r>
          </w:p>
          <w:p w:rsidR="00452C3E" w:rsidRPr="001476EB" w:rsidRDefault="00452C3E" w:rsidP="001476EB">
            <w:pPr>
              <w:pStyle w:val="ListParagraph"/>
              <w:numPr>
                <w:ilvl w:val="0"/>
                <w:numId w:val="22"/>
              </w:numPr>
              <w:spacing w:after="0"/>
              <w:ind w:left="310" w:hanging="155"/>
              <w:rPr>
                <w:rFonts w:ascii="EYInterstate Light" w:hAnsi="EYInterstate Light"/>
                <w:sz w:val="16"/>
                <w:szCs w:val="16"/>
              </w:rPr>
            </w:pPr>
            <w:r w:rsidRPr="001476EB">
              <w:rPr>
                <w:rFonts w:ascii="EYInterstate Light" w:hAnsi="EYInterstate Light"/>
                <w:sz w:val="16"/>
                <w:szCs w:val="16"/>
              </w:rPr>
              <w:t>Earthworks Layer:</w:t>
            </w:r>
          </w:p>
          <w:p w:rsidR="00452C3E" w:rsidRPr="001476EB" w:rsidRDefault="00452C3E" w:rsidP="001476EB">
            <w:pPr>
              <w:pStyle w:val="ListParagraph"/>
              <w:numPr>
                <w:ilvl w:val="0"/>
                <w:numId w:val="22"/>
              </w:numPr>
              <w:spacing w:after="0"/>
              <w:ind w:left="605" w:hanging="268"/>
              <w:rPr>
                <w:rFonts w:ascii="EYInterstate Light" w:hAnsi="EYInterstate Light"/>
                <w:sz w:val="16"/>
                <w:szCs w:val="16"/>
              </w:rPr>
            </w:pPr>
            <w:r w:rsidRPr="001476EB">
              <w:rPr>
                <w:rFonts w:ascii="EYInterstate Light" w:hAnsi="EYInterstate Light"/>
                <w:sz w:val="16"/>
                <w:szCs w:val="16"/>
              </w:rPr>
              <w:t>Fill: Type A Material (250mm thick layer)</w:t>
            </w:r>
          </w:p>
          <w:p w:rsidR="00452C3E" w:rsidRPr="00D14CE9" w:rsidRDefault="00452C3E"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Concrete is infrequently used in road pavement construction due to its higher cost, and is used in far lesser quantities. It is however used extensively in road structures, such as: roadside barriers, retaining walls, </w:t>
            </w:r>
            <w:r w:rsidR="00E65E06" w:rsidRPr="00D14CE9">
              <w:rPr>
                <w:rFonts w:ascii="EYInterstate Light" w:hAnsi="EYInterstate Light"/>
                <w:sz w:val="16"/>
                <w:szCs w:val="16"/>
              </w:rPr>
              <w:t>parapets, kerb</w:t>
            </w:r>
            <w:r w:rsidRPr="00D14CE9">
              <w:rPr>
                <w:rFonts w:ascii="EYInterstate Light" w:hAnsi="EYInterstate Light"/>
                <w:sz w:val="16"/>
                <w:szCs w:val="16"/>
              </w:rPr>
              <w:t xml:space="preserve"> and channel, pedestrian footpath and road structures (e.g. bridge superstructure e.g. beams, piles, decks </w:t>
            </w:r>
            <w:r w:rsidR="00E65E06" w:rsidRPr="00D14CE9">
              <w:rPr>
                <w:rFonts w:ascii="EYInterstate Light" w:hAnsi="EYInterstate Light"/>
                <w:sz w:val="16"/>
                <w:szCs w:val="16"/>
              </w:rPr>
              <w:t>etc)</w:t>
            </w:r>
            <w:r w:rsidRPr="00D14CE9">
              <w:rPr>
                <w:rFonts w:ascii="EYInterstate Light" w:hAnsi="EYInterstate Light"/>
                <w:sz w:val="16"/>
                <w:szCs w:val="16"/>
              </w:rPr>
              <w:t xml:space="preserve">. VicRoads confirms it is no longer viable to use concrete pavement across the </w:t>
            </w:r>
            <w:r w:rsidR="00E65E06" w:rsidRPr="00D14CE9">
              <w:rPr>
                <w:rFonts w:ascii="EYInterstate Light" w:hAnsi="EYInterstate Light"/>
                <w:sz w:val="16"/>
                <w:szCs w:val="16"/>
              </w:rPr>
              <w:t>metropolitan</w:t>
            </w:r>
            <w:r w:rsidRPr="00D14CE9">
              <w:rPr>
                <w:rFonts w:ascii="EYInterstate Light" w:hAnsi="EYInterstate Light"/>
                <w:sz w:val="16"/>
                <w:szCs w:val="16"/>
              </w:rPr>
              <w:t xml:space="preserve"> or rural road network.  In terms of concrete mix, basalt represents the highest portion of aggregates used. Other products will be used depending on costs (i.e. products will be used depending on supply available and shortest distance to site), as long as the suitable mix is provided. Various companies have registered suitable mixes with </w:t>
            </w:r>
            <w:r w:rsidR="00E65E06" w:rsidRPr="00D14CE9">
              <w:rPr>
                <w:rFonts w:ascii="EYInterstate Light" w:hAnsi="EYInterstate Light"/>
                <w:sz w:val="16"/>
                <w:szCs w:val="16"/>
              </w:rPr>
              <w:t>VicRoads</w:t>
            </w:r>
            <w:r w:rsidRPr="00D14CE9">
              <w:rPr>
                <w:rFonts w:ascii="EYInterstate Light" w:hAnsi="EYInterstate Light"/>
                <w:sz w:val="16"/>
                <w:szCs w:val="16"/>
              </w:rPr>
              <w:t>. 20 to 40 different concrete mixes are used for road works in a variety of special applications. It is difficult to know which types of mixes have actually been more or less used in the past, and these registered mixes are only valid for a maximum of 1-2 years.  32 MPa is generally targeted for road construction. 50 MPa+ for bridge related works.</w:t>
            </w:r>
          </w:p>
          <w:p w:rsidR="00452C3E" w:rsidRPr="00D14CE9" w:rsidRDefault="00452C3E"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Types of hard rocks used on VicRoads projects: </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Basalt: highest use in terms of hard rocks. Old basalt is used for a wider range of products. New basalt is mainly used for crushed rocks, concrete and asphalt. Generally only suitable for spray seal on lower classification roads.</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lastRenderedPageBreak/>
              <w:t xml:space="preserve">Trachyte: probably 20,000 tonnes used a year. Not common in Victoria as there is only one supplying quarry. </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Dolerite: few quarries providing this resource but not used on VicRoads projects.</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 xml:space="preserve">Granite: reasonably frequently used as a crushed rock making up asphalt and concrete to some extent, but in small quantities. However, generally not used for high end products and used as spray seal in small quantities. </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Rhyodacite: only a couple of quarries in Victoria</w:t>
            </w:r>
            <w:r w:rsidR="00E65E06">
              <w:rPr>
                <w:rFonts w:ascii="EYInterstate Light" w:hAnsi="EYInterstate Light"/>
                <w:sz w:val="16"/>
                <w:szCs w:val="16"/>
              </w:rPr>
              <w:t xml:space="preserve">, </w:t>
            </w:r>
            <w:r w:rsidRPr="00D14CE9">
              <w:rPr>
                <w:rFonts w:ascii="EYInterstate Light" w:hAnsi="EYInterstate Light"/>
                <w:sz w:val="16"/>
                <w:szCs w:val="16"/>
              </w:rPr>
              <w:t xml:space="preserve"> used extensively on road network.</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Scoria: no longer used on VicRoads network</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 xml:space="preserve">Tuff: available in South West of Victoria. However, due to </w:t>
            </w:r>
            <w:r w:rsidR="00E65E06" w:rsidRPr="00D14CE9">
              <w:rPr>
                <w:rFonts w:ascii="EYInterstate Light" w:hAnsi="EYInterstate Light"/>
                <w:sz w:val="16"/>
                <w:szCs w:val="16"/>
              </w:rPr>
              <w:t>its poor</w:t>
            </w:r>
            <w:r w:rsidRPr="00D14CE9">
              <w:rPr>
                <w:rFonts w:ascii="EYInterstate Light" w:hAnsi="EYInterstate Light"/>
                <w:sz w:val="16"/>
                <w:szCs w:val="16"/>
              </w:rPr>
              <w:t xml:space="preserve"> performance, it is only used as a subbase on road network.</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Gneiss: not used on road network.</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Hornfels: used quite extensively as four significant quarries are currently supplying this material. Generally used for premium products (i.e. in line with the use of old basalt).</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Marble: not significantly used on road network.</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Quartzite: not significantly used on road network.</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Schist: not significantly used on road network.</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Sedimentary: not significantly used on road network (&lt;5% of total hard rock used).</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Limestone: main uses for cement (mainly 100% limestone) in relation to the stabilisation of earthworks. Cement as a manufactured product is mainly procured overseas (e.g. coming through Port of Geelong) due to the cheaper cost.</w:t>
            </w:r>
          </w:p>
          <w:p w:rsidR="00452C3E" w:rsidRPr="00D14CE9" w:rsidRDefault="00452C3E"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Sand and Gravel: extensive use in more rural areas. Generally not used as pavement materials as their properties fluctuates too much.</w:t>
            </w:r>
          </w:p>
          <w:p w:rsidR="00452C3E" w:rsidRPr="00D14CE9" w:rsidRDefault="00452C3E" w:rsidP="00046ADE">
            <w:pPr>
              <w:pStyle w:val="ListParagraph"/>
              <w:numPr>
                <w:ilvl w:val="0"/>
                <w:numId w:val="22"/>
              </w:numPr>
              <w:spacing w:after="0"/>
              <w:ind w:left="306" w:hanging="153"/>
              <w:rPr>
                <w:rFonts w:cstheme="minorHAnsi"/>
              </w:rPr>
            </w:pPr>
            <w:r w:rsidRPr="00D14CE9">
              <w:rPr>
                <w:rFonts w:ascii="EYInterstate Light" w:hAnsi="EYInterstate Light"/>
                <w:sz w:val="16"/>
                <w:szCs w:val="16"/>
              </w:rPr>
              <w:t xml:space="preserve">Clay and clay shale:  only related to </w:t>
            </w:r>
            <w:r w:rsidR="00F63AE4" w:rsidRPr="00D14CE9">
              <w:rPr>
                <w:rFonts w:ascii="EYInterstate Light" w:hAnsi="EYInterstate Light"/>
                <w:sz w:val="16"/>
                <w:szCs w:val="16"/>
              </w:rPr>
              <w:t>firebricks – which are</w:t>
            </w:r>
            <w:r w:rsidRPr="00D14CE9">
              <w:rPr>
                <w:rFonts w:ascii="EYInterstate Light" w:hAnsi="EYInterstate Light"/>
                <w:sz w:val="16"/>
                <w:szCs w:val="16"/>
              </w:rPr>
              <w:t xml:space="preserve"> used significantly as a recycled component. Not largely used.</w:t>
            </w:r>
          </w:p>
          <w:p w:rsidR="00452C3E" w:rsidRPr="00D14CE9" w:rsidRDefault="00452C3E" w:rsidP="00046ADE">
            <w:pPr>
              <w:pStyle w:val="ListParagraph"/>
              <w:numPr>
                <w:ilvl w:val="0"/>
                <w:numId w:val="22"/>
              </w:numPr>
              <w:spacing w:after="0"/>
              <w:ind w:left="306" w:hanging="153"/>
              <w:rPr>
                <w:rFonts w:ascii="EYInterstate Light" w:hAnsi="EYInterstate Light"/>
                <w:sz w:val="16"/>
                <w:szCs w:val="16"/>
              </w:rPr>
            </w:pPr>
            <w:r w:rsidRPr="00D14CE9">
              <w:rPr>
                <w:rFonts w:ascii="EYInterstate Light" w:hAnsi="EYInterstate Light"/>
                <w:sz w:val="16"/>
                <w:szCs w:val="16"/>
              </w:rPr>
              <w:t>Soil: not used</w:t>
            </w:r>
          </w:p>
          <w:p w:rsidR="00452C3E" w:rsidRPr="00D14CE9" w:rsidRDefault="00452C3E" w:rsidP="00046ADE">
            <w:pPr>
              <w:pStyle w:val="ListParagraph"/>
              <w:numPr>
                <w:ilvl w:val="0"/>
                <w:numId w:val="22"/>
              </w:numPr>
              <w:spacing w:after="0"/>
              <w:ind w:left="306" w:hanging="153"/>
              <w:rPr>
                <w:rFonts w:ascii="EYInterstate Light" w:hAnsi="EYInterstate Light"/>
                <w:sz w:val="16"/>
                <w:szCs w:val="16"/>
              </w:rPr>
            </w:pPr>
            <w:r w:rsidRPr="00D14CE9">
              <w:rPr>
                <w:rFonts w:ascii="EYInterstate Light" w:hAnsi="EYInterstate Light"/>
                <w:sz w:val="16"/>
                <w:szCs w:val="16"/>
              </w:rPr>
              <w:t>Peat: not used</w:t>
            </w:r>
          </w:p>
          <w:p w:rsidR="00046ADE" w:rsidRPr="00D14CE9" w:rsidRDefault="00046ADE" w:rsidP="00046ADE">
            <w:pPr>
              <w:pStyle w:val="ListParagraph"/>
              <w:spacing w:after="0"/>
              <w:ind w:left="0"/>
              <w:rPr>
                <w:rFonts w:ascii="EYInterstate Light" w:hAnsi="EYInterstate Light"/>
                <w:sz w:val="16"/>
                <w:szCs w:val="16"/>
              </w:rPr>
            </w:pPr>
            <w:r w:rsidRPr="00D14CE9">
              <w:rPr>
                <w:rFonts w:ascii="EYInterstate Light" w:hAnsi="EYInterstate Light"/>
                <w:sz w:val="16"/>
                <w:szCs w:val="16"/>
              </w:rPr>
              <w:t xml:space="preserve">Overall, in relation to type A material, local sand is also used as substitute to reduce the amount of higher quality materials to be used. </w:t>
            </w:r>
          </w:p>
          <w:p w:rsidR="00046ADE" w:rsidRPr="00D14CE9" w:rsidRDefault="00046ADE" w:rsidP="00046ADE">
            <w:pPr>
              <w:pStyle w:val="ListParagraph"/>
              <w:spacing w:after="0"/>
              <w:ind w:left="0"/>
              <w:rPr>
                <w:rFonts w:ascii="EYInterstate Light" w:hAnsi="EYInterstate Light"/>
                <w:sz w:val="16"/>
                <w:szCs w:val="16"/>
              </w:rPr>
            </w:pPr>
            <w:r w:rsidRPr="00D14CE9">
              <w:rPr>
                <w:rFonts w:ascii="EYInterstate Light" w:hAnsi="EYInterstate Light"/>
                <w:sz w:val="16"/>
                <w:szCs w:val="16"/>
              </w:rPr>
              <w:t xml:space="preserve">Asphalt is a far superior pavement surfacing product in urban areas to spray seal across many different aspects (e.g. lower traffic noise, longer life, and superior ride quality) but spray seal is much more economical and used extensively in rural areas. On spray seal, mainly used in rural areas as asphalt better performs and is therefore used in more metropolitan / growth areas. In Geelong however, although located in a growth area, spray seal is used and will remain in the future. </w:t>
            </w:r>
          </w:p>
          <w:p w:rsidR="00046ADE" w:rsidRPr="00D14CE9" w:rsidRDefault="00046ADE" w:rsidP="00046ADE">
            <w:pPr>
              <w:pStyle w:val="ListParagraph"/>
              <w:spacing w:after="0"/>
              <w:ind w:left="0"/>
              <w:rPr>
                <w:rFonts w:ascii="EYInterstate Light" w:hAnsi="EYInterstate Light"/>
                <w:sz w:val="16"/>
                <w:szCs w:val="16"/>
              </w:rPr>
            </w:pPr>
          </w:p>
          <w:p w:rsidR="00046ADE" w:rsidRPr="00D14CE9" w:rsidRDefault="00046ADE" w:rsidP="00046ADE">
            <w:pPr>
              <w:pStyle w:val="ListParagraph"/>
              <w:spacing w:after="0"/>
              <w:ind w:left="0"/>
              <w:rPr>
                <w:rFonts w:ascii="EYInterstate Light" w:hAnsi="EYInterstate Light"/>
                <w:sz w:val="16"/>
                <w:szCs w:val="16"/>
              </w:rPr>
            </w:pPr>
            <w:r w:rsidRPr="00D14CE9">
              <w:rPr>
                <w:rFonts w:ascii="EYInterstate Light" w:hAnsi="EYInterstate Light"/>
                <w:sz w:val="16"/>
                <w:szCs w:val="16"/>
              </w:rPr>
              <w:t>Regarding wind farm projects, thicker pavement needed (up to 1m thick) which therefore implies the use of more material. Besides, wind farm projects being most of the time located up hills, a great deal of internal roads networks need to be built depending on the number of turbines. However, wind farm are usually not using materials from nearby quarries.</w:t>
            </w:r>
          </w:p>
        </w:tc>
      </w:tr>
      <w:tr w:rsidR="00653EF0" w:rsidRPr="00D14CE9" w:rsidTr="001476EB">
        <w:trPr>
          <w:trHeight w:val="315"/>
        </w:trPr>
        <w:tc>
          <w:tcPr>
            <w:tcW w:w="421" w:type="dxa"/>
            <w:noWrap/>
            <w:tcMar>
              <w:top w:w="11" w:type="dxa"/>
              <w:left w:w="11" w:type="dxa"/>
              <w:bottom w:w="11" w:type="dxa"/>
              <w:right w:w="11" w:type="dxa"/>
            </w:tcMar>
          </w:tcPr>
          <w:p w:rsidR="00653EF0" w:rsidRPr="00D14CE9" w:rsidRDefault="00653EF0" w:rsidP="002818A7">
            <w:pPr>
              <w:pStyle w:val="EYTableNormal"/>
              <w:numPr>
                <w:ilvl w:val="0"/>
                <w:numId w:val="31"/>
              </w:numPr>
            </w:pPr>
          </w:p>
        </w:tc>
        <w:tc>
          <w:tcPr>
            <w:tcW w:w="2502" w:type="dxa"/>
            <w:noWrap/>
            <w:tcMar>
              <w:top w:w="11" w:type="dxa"/>
              <w:left w:w="11" w:type="dxa"/>
              <w:bottom w:w="11" w:type="dxa"/>
              <w:right w:w="11" w:type="dxa"/>
            </w:tcMar>
          </w:tcPr>
          <w:p w:rsidR="00653EF0" w:rsidRPr="00D14CE9" w:rsidRDefault="00653EF0" w:rsidP="002F5255">
            <w:pPr>
              <w:rPr>
                <w:sz w:val="16"/>
                <w:szCs w:val="16"/>
              </w:rPr>
            </w:pPr>
            <w:r w:rsidRPr="00D14CE9">
              <w:rPr>
                <w:sz w:val="16"/>
                <w:szCs w:val="16"/>
              </w:rPr>
              <w:t>Are there general rules of thumb (conversion factors) used in VicRoads for extractive resources? If yes, can you please describe the type of projects and provide indicative estimates of quantity required per unit. (e.g.  an average four-lane highway requires x tonnes of Class 2 crushed rock)</w:t>
            </w:r>
          </w:p>
        </w:tc>
        <w:tc>
          <w:tcPr>
            <w:tcW w:w="6286" w:type="dxa"/>
            <w:noWrap/>
            <w:tcMar>
              <w:top w:w="11" w:type="dxa"/>
              <w:left w:w="11" w:type="dxa"/>
              <w:bottom w:w="11" w:type="dxa"/>
              <w:right w:w="11" w:type="dxa"/>
            </w:tcMar>
          </w:tcPr>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For the construction of 1km of road (typical two lane), a total of 11,000 tonnes of commodity products is required (4,400 tonnes of Class 1 and 3, 2,200 tonnes of Class 4, remainder being Type A material, whose nature depends strength and properties of existing subgrade).</w:t>
            </w:r>
          </w:p>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These figures would have to be doubled if a four lane road is considered and are based on a nominal density of 2.2t/m</w:t>
            </w:r>
            <w:r w:rsidRPr="00D14CE9">
              <w:rPr>
                <w:rFonts w:ascii="EYInterstate Light" w:hAnsi="EYInterstate Light"/>
                <w:sz w:val="16"/>
                <w:szCs w:val="16"/>
                <w:vertAlign w:val="superscript"/>
              </w:rPr>
              <w:t>3</w:t>
            </w:r>
            <w:r w:rsidRPr="00D14CE9">
              <w:rPr>
                <w:rFonts w:ascii="EYInterstate Light" w:hAnsi="EYInterstate Light"/>
                <w:sz w:val="16"/>
                <w:szCs w:val="16"/>
              </w:rPr>
              <w:t>.</w:t>
            </w:r>
          </w:p>
        </w:tc>
      </w:tr>
      <w:tr w:rsidR="00653EF0" w:rsidRPr="00D14CE9" w:rsidTr="001476EB">
        <w:trPr>
          <w:trHeight w:val="315"/>
        </w:trPr>
        <w:tc>
          <w:tcPr>
            <w:tcW w:w="421" w:type="dxa"/>
            <w:noWrap/>
            <w:tcMar>
              <w:top w:w="11" w:type="dxa"/>
              <w:left w:w="11" w:type="dxa"/>
              <w:bottom w:w="11" w:type="dxa"/>
              <w:right w:w="11" w:type="dxa"/>
            </w:tcMar>
          </w:tcPr>
          <w:p w:rsidR="00653EF0" w:rsidRPr="00D14CE9" w:rsidRDefault="00653EF0" w:rsidP="002818A7">
            <w:pPr>
              <w:pStyle w:val="EYTableNormal"/>
              <w:numPr>
                <w:ilvl w:val="0"/>
                <w:numId w:val="31"/>
              </w:numPr>
            </w:pPr>
          </w:p>
        </w:tc>
        <w:tc>
          <w:tcPr>
            <w:tcW w:w="2502" w:type="dxa"/>
            <w:noWrap/>
            <w:tcMar>
              <w:top w:w="11" w:type="dxa"/>
              <w:left w:w="11" w:type="dxa"/>
              <w:bottom w:w="11" w:type="dxa"/>
              <w:right w:w="11" w:type="dxa"/>
            </w:tcMar>
          </w:tcPr>
          <w:p w:rsidR="00653EF0" w:rsidRPr="00D14CE9" w:rsidRDefault="00653EF0" w:rsidP="002F5255">
            <w:pPr>
              <w:rPr>
                <w:sz w:val="16"/>
                <w:szCs w:val="16"/>
              </w:rPr>
            </w:pPr>
            <w:r w:rsidRPr="00D14CE9">
              <w:rPr>
                <w:sz w:val="16"/>
                <w:szCs w:val="16"/>
              </w:rPr>
              <w:t>What proportion of the cost of the following construction types is comprised of extractive resources costs:</w:t>
            </w:r>
          </w:p>
          <w:p w:rsidR="00653EF0" w:rsidRPr="00D14CE9" w:rsidRDefault="00653EF0" w:rsidP="002F5255">
            <w:pPr>
              <w:rPr>
                <w:sz w:val="16"/>
                <w:szCs w:val="16"/>
              </w:rPr>
            </w:pPr>
            <w:r w:rsidRPr="00D14CE9">
              <w:rPr>
                <w:sz w:val="16"/>
                <w:szCs w:val="16"/>
              </w:rPr>
              <w:t>a. Four-lane highway</w:t>
            </w:r>
          </w:p>
          <w:p w:rsidR="00653EF0" w:rsidRPr="00D14CE9" w:rsidRDefault="00653EF0" w:rsidP="002F5255">
            <w:pPr>
              <w:rPr>
                <w:sz w:val="16"/>
                <w:szCs w:val="16"/>
              </w:rPr>
            </w:pPr>
            <w:r w:rsidRPr="00D14CE9">
              <w:rPr>
                <w:sz w:val="16"/>
                <w:szCs w:val="16"/>
              </w:rPr>
              <w:t>b. Urban two-lane road</w:t>
            </w:r>
          </w:p>
          <w:p w:rsidR="00653EF0" w:rsidRPr="00D14CE9" w:rsidRDefault="00653EF0" w:rsidP="002F5255">
            <w:pPr>
              <w:rPr>
                <w:sz w:val="16"/>
                <w:szCs w:val="16"/>
              </w:rPr>
            </w:pPr>
            <w:r w:rsidRPr="00D14CE9">
              <w:rPr>
                <w:sz w:val="16"/>
                <w:szCs w:val="16"/>
              </w:rPr>
              <w:t>c. Country sealed road</w:t>
            </w:r>
          </w:p>
          <w:p w:rsidR="00653EF0" w:rsidRPr="00D14CE9" w:rsidRDefault="00653EF0" w:rsidP="002F5255">
            <w:pPr>
              <w:rPr>
                <w:sz w:val="16"/>
                <w:szCs w:val="16"/>
              </w:rPr>
            </w:pPr>
            <w:r w:rsidRPr="00D14CE9">
              <w:rPr>
                <w:sz w:val="16"/>
                <w:szCs w:val="16"/>
              </w:rPr>
              <w:t>d. Country unsealed road</w:t>
            </w:r>
          </w:p>
        </w:tc>
        <w:tc>
          <w:tcPr>
            <w:tcW w:w="6286" w:type="dxa"/>
            <w:noWrap/>
            <w:tcMar>
              <w:top w:w="11" w:type="dxa"/>
              <w:left w:w="11" w:type="dxa"/>
              <w:bottom w:w="11" w:type="dxa"/>
              <w:right w:w="11" w:type="dxa"/>
            </w:tcMar>
          </w:tcPr>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In terms of % of project costs:</w:t>
            </w:r>
          </w:p>
          <w:p w:rsidR="00653EF0" w:rsidRPr="00D14CE9" w:rsidRDefault="00653EF0"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Hard Rock would represent 30-35% in rural areas. Less in urban areas.</w:t>
            </w:r>
          </w:p>
          <w:p w:rsidR="00653EF0" w:rsidRPr="00D14CE9" w:rsidRDefault="00653EF0"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Clay would represent 5-10% (often imported).</w:t>
            </w:r>
          </w:p>
          <w:p w:rsidR="00653EF0" w:rsidRPr="00D14CE9" w:rsidRDefault="00653EF0"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Limestone would represent 5-10%.</w:t>
            </w:r>
          </w:p>
          <w:p w:rsidR="00653EF0" w:rsidRPr="00D14CE9" w:rsidRDefault="00653EF0" w:rsidP="00856574">
            <w:pPr>
              <w:pStyle w:val="ListParagraph"/>
              <w:numPr>
                <w:ilvl w:val="0"/>
                <w:numId w:val="22"/>
              </w:numPr>
              <w:spacing w:after="0"/>
              <w:ind w:left="310" w:hanging="155"/>
              <w:rPr>
                <w:rFonts w:ascii="EYInterstate Light" w:hAnsi="EYInterstate Light"/>
                <w:sz w:val="16"/>
                <w:szCs w:val="16"/>
              </w:rPr>
            </w:pPr>
            <w:r w:rsidRPr="00D14CE9">
              <w:rPr>
                <w:rFonts w:ascii="EYInterstate Light" w:hAnsi="EYInterstate Light"/>
                <w:sz w:val="16"/>
                <w:szCs w:val="16"/>
              </w:rPr>
              <w:t>Sand and Gravel would represent 5-10% in rural areas.</w:t>
            </w:r>
          </w:p>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Prices for each rock type are governed by processing costs to some extent but primarily based on local competitor’s cost and cartage costs.</w:t>
            </w:r>
          </w:p>
        </w:tc>
      </w:tr>
      <w:tr w:rsidR="00653EF0" w:rsidRPr="00D14CE9" w:rsidTr="001476EB">
        <w:trPr>
          <w:trHeight w:val="315"/>
        </w:trPr>
        <w:tc>
          <w:tcPr>
            <w:tcW w:w="421" w:type="dxa"/>
            <w:noWrap/>
            <w:tcMar>
              <w:top w:w="11" w:type="dxa"/>
              <w:left w:w="11" w:type="dxa"/>
              <w:bottom w:w="11" w:type="dxa"/>
              <w:right w:w="11" w:type="dxa"/>
            </w:tcMar>
          </w:tcPr>
          <w:p w:rsidR="00653EF0" w:rsidRPr="00D14CE9" w:rsidRDefault="00653EF0" w:rsidP="002818A7">
            <w:pPr>
              <w:pStyle w:val="EYTableNormal"/>
              <w:numPr>
                <w:ilvl w:val="0"/>
                <w:numId w:val="31"/>
              </w:numPr>
            </w:pPr>
          </w:p>
        </w:tc>
        <w:tc>
          <w:tcPr>
            <w:tcW w:w="2502" w:type="dxa"/>
            <w:noWrap/>
            <w:tcMar>
              <w:top w:w="11" w:type="dxa"/>
              <w:left w:w="11" w:type="dxa"/>
              <w:bottom w:w="11" w:type="dxa"/>
              <w:right w:w="11" w:type="dxa"/>
            </w:tcMar>
          </w:tcPr>
          <w:p w:rsidR="00653EF0" w:rsidRPr="00D14CE9" w:rsidRDefault="00653EF0" w:rsidP="002F5255">
            <w:pPr>
              <w:rPr>
                <w:sz w:val="16"/>
                <w:szCs w:val="16"/>
              </w:rPr>
            </w:pPr>
            <w:r w:rsidRPr="00D14CE9">
              <w:rPr>
                <w:sz w:val="16"/>
                <w:szCs w:val="16"/>
              </w:rPr>
              <w:t xml:space="preserve">Which rock type contributes the most to the cost of road building? Is this on a volume or price basis? Given this, which rock types do you think have the potential to greatly influence road construction costs looking forward to 2050?  </w:t>
            </w:r>
          </w:p>
        </w:tc>
        <w:tc>
          <w:tcPr>
            <w:tcW w:w="6286" w:type="dxa"/>
            <w:noWrap/>
            <w:tcMar>
              <w:top w:w="11" w:type="dxa"/>
              <w:left w:w="11" w:type="dxa"/>
              <w:bottom w:w="11" w:type="dxa"/>
              <w:right w:w="11" w:type="dxa"/>
            </w:tcMar>
          </w:tcPr>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Cost is on a mass basis in most instances, rock type is generally not considered, provided it is a conforming source. However, those with higher compacted densities (i.e. closer to 2.4t/m</w:t>
            </w:r>
            <w:r w:rsidRPr="00D14CE9">
              <w:rPr>
                <w:rFonts w:ascii="EYInterstate Light" w:hAnsi="EYInterstate Light"/>
                <w:sz w:val="16"/>
                <w:szCs w:val="16"/>
                <w:vertAlign w:val="superscript"/>
              </w:rPr>
              <w:t>3</w:t>
            </w:r>
            <w:r w:rsidRPr="00D14CE9">
              <w:rPr>
                <w:rFonts w:ascii="EYInterstate Light" w:hAnsi="EYInterstate Light"/>
                <w:sz w:val="16"/>
                <w:szCs w:val="16"/>
              </w:rPr>
              <w:t>) require more material and are potentially more costly to use.</w:t>
            </w:r>
          </w:p>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Increase costs will likely be generated by supply/demand and additional cartage, and therefore not by rock types.  As quarry reserves become largely depleted (which is likely given current trends), the cost of quarry products will likely increase substantially.</w:t>
            </w:r>
          </w:p>
        </w:tc>
      </w:tr>
      <w:tr w:rsidR="00653EF0" w:rsidRPr="00D14CE9" w:rsidTr="001476EB">
        <w:trPr>
          <w:trHeight w:val="315"/>
        </w:trPr>
        <w:tc>
          <w:tcPr>
            <w:tcW w:w="421" w:type="dxa"/>
            <w:noWrap/>
            <w:tcMar>
              <w:top w:w="11" w:type="dxa"/>
              <w:left w:w="11" w:type="dxa"/>
              <w:bottom w:w="11" w:type="dxa"/>
              <w:right w:w="11" w:type="dxa"/>
            </w:tcMar>
          </w:tcPr>
          <w:p w:rsidR="00653EF0" w:rsidRPr="00D14CE9" w:rsidRDefault="00653EF0" w:rsidP="002818A7">
            <w:pPr>
              <w:pStyle w:val="EYTableNormal"/>
              <w:numPr>
                <w:ilvl w:val="0"/>
                <w:numId w:val="31"/>
              </w:numPr>
            </w:pPr>
          </w:p>
        </w:tc>
        <w:tc>
          <w:tcPr>
            <w:tcW w:w="2502" w:type="dxa"/>
            <w:noWrap/>
            <w:tcMar>
              <w:top w:w="11" w:type="dxa"/>
              <w:left w:w="11" w:type="dxa"/>
              <w:bottom w:w="11" w:type="dxa"/>
              <w:right w:w="11" w:type="dxa"/>
            </w:tcMar>
          </w:tcPr>
          <w:p w:rsidR="00653EF0" w:rsidRPr="00D14CE9" w:rsidRDefault="00653EF0" w:rsidP="002F5255">
            <w:pPr>
              <w:rPr>
                <w:sz w:val="16"/>
                <w:szCs w:val="16"/>
              </w:rPr>
            </w:pPr>
            <w:r w:rsidRPr="00D14CE9">
              <w:rPr>
                <w:sz w:val="16"/>
                <w:szCs w:val="16"/>
              </w:rPr>
              <w:t>Given your responses to Question 6, would a general increase (say 10%) in the price of the resources identified as important to your projects generate a proportionate increase in construction costs? Or:</w:t>
            </w:r>
          </w:p>
          <w:p w:rsidR="00653EF0" w:rsidRPr="00D14CE9" w:rsidRDefault="00653EF0" w:rsidP="002F5255">
            <w:pPr>
              <w:rPr>
                <w:sz w:val="16"/>
                <w:szCs w:val="16"/>
              </w:rPr>
            </w:pPr>
            <w:r w:rsidRPr="00D14CE9">
              <w:rPr>
                <w:sz w:val="16"/>
                <w:szCs w:val="16"/>
              </w:rPr>
              <w:t xml:space="preserve">a. Would there be other indirect cost increases that would occur? (for instance, </w:t>
            </w:r>
            <w:r w:rsidRPr="00D14CE9">
              <w:rPr>
                <w:sz w:val="16"/>
                <w:szCs w:val="16"/>
              </w:rPr>
              <w:lastRenderedPageBreak/>
              <w:t>the costs of other non-extractive inputs could also increase)</w:t>
            </w:r>
          </w:p>
          <w:p w:rsidR="00653EF0" w:rsidRPr="00D14CE9" w:rsidRDefault="00653EF0" w:rsidP="002F5255">
            <w:pPr>
              <w:rPr>
                <w:sz w:val="16"/>
                <w:szCs w:val="16"/>
              </w:rPr>
            </w:pPr>
            <w:r w:rsidRPr="00D14CE9">
              <w:rPr>
                <w:sz w:val="16"/>
                <w:szCs w:val="16"/>
              </w:rPr>
              <w:t>b. Would there be a substitution away from these resources to other options?</w:t>
            </w:r>
          </w:p>
        </w:tc>
        <w:tc>
          <w:tcPr>
            <w:tcW w:w="6286" w:type="dxa"/>
            <w:noWrap/>
            <w:tcMar>
              <w:top w:w="11" w:type="dxa"/>
              <w:left w:w="11" w:type="dxa"/>
              <w:bottom w:w="11" w:type="dxa"/>
              <w:right w:w="11" w:type="dxa"/>
            </w:tcMar>
          </w:tcPr>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lastRenderedPageBreak/>
              <w:t>An increase by 10% would lead to an actual 3.5% increase in road construction costs, excluding the cost of cartage that may increase as well should there be a shortage in supply (most likely scenario in the East of Victoria, therefore leading to an increase in transport costs from West to East to meet the demand).</w:t>
            </w:r>
          </w:p>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Indicative cartage cost (raw cost in getting quarry products from one location to the other) provided: 20c/t/km. Same price is to be considered to the transport of all kinds of materials, considering an average payload of 40t/load. This cost includes driver and vehicle cost but exclude any externalities. </w:t>
            </w:r>
          </w:p>
        </w:tc>
      </w:tr>
      <w:tr w:rsidR="00653EF0" w:rsidRPr="00D14CE9" w:rsidTr="001476EB">
        <w:trPr>
          <w:trHeight w:val="315"/>
        </w:trPr>
        <w:tc>
          <w:tcPr>
            <w:tcW w:w="421" w:type="dxa"/>
            <w:noWrap/>
            <w:tcMar>
              <w:top w:w="11" w:type="dxa"/>
              <w:left w:w="11" w:type="dxa"/>
              <w:bottom w:w="11" w:type="dxa"/>
              <w:right w:w="11" w:type="dxa"/>
            </w:tcMar>
          </w:tcPr>
          <w:p w:rsidR="00653EF0" w:rsidRPr="00D14CE9" w:rsidRDefault="00653EF0" w:rsidP="002818A7">
            <w:pPr>
              <w:pStyle w:val="EYTableNormal"/>
              <w:numPr>
                <w:ilvl w:val="0"/>
                <w:numId w:val="31"/>
              </w:numPr>
            </w:pPr>
          </w:p>
        </w:tc>
        <w:tc>
          <w:tcPr>
            <w:tcW w:w="2502" w:type="dxa"/>
            <w:noWrap/>
            <w:tcMar>
              <w:top w:w="11" w:type="dxa"/>
              <w:left w:w="11" w:type="dxa"/>
              <w:bottom w:w="11" w:type="dxa"/>
              <w:right w:w="11" w:type="dxa"/>
            </w:tcMar>
          </w:tcPr>
          <w:p w:rsidR="00653EF0" w:rsidRPr="00D14CE9" w:rsidRDefault="00653EF0" w:rsidP="002F5255">
            <w:pPr>
              <w:rPr>
                <w:sz w:val="16"/>
                <w:szCs w:val="16"/>
              </w:rPr>
            </w:pPr>
            <w:r w:rsidRPr="00D14CE9">
              <w:rPr>
                <w:sz w:val="16"/>
                <w:szCs w:val="16"/>
              </w:rPr>
              <w:t>Are there substitution factors between extractive resources? (e.g. limestone and sand/gravel can both be used for roads categorised under Road Base Class 1 and 2 crushed rock)</w:t>
            </w:r>
          </w:p>
        </w:tc>
        <w:tc>
          <w:tcPr>
            <w:tcW w:w="6286" w:type="dxa"/>
            <w:noWrap/>
            <w:tcMar>
              <w:top w:w="11" w:type="dxa"/>
              <w:left w:w="11" w:type="dxa"/>
              <w:bottom w:w="11" w:type="dxa"/>
              <w:right w:w="11" w:type="dxa"/>
            </w:tcMar>
          </w:tcPr>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Cement is not interchangeable.</w:t>
            </w:r>
          </w:p>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Sand and gravel within a reasonable distance from Melbourne are more and more difficult to secure (with quarries either exhausted or closing). Therefore, the use of sand and gravel greatly depends on location of quarries where those resources are available.</w:t>
            </w:r>
          </w:p>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Recycling is a burgeoning industry, representing 10-15% of the total quantity of materials used on the road construction (crushed concrete class 3). The availability of recycling materials is highly dependent on demolition activities. Currently use of 3.5 t to 4m tonnes per year of recycled materials. These materials can be 15% cheaper than other materials but their use is not expected to increase substantially unless a higher amount of materials from demolition is available in the next years.</w:t>
            </w:r>
          </w:p>
        </w:tc>
      </w:tr>
      <w:tr w:rsidR="00653EF0" w:rsidRPr="00D14CE9" w:rsidTr="001476EB">
        <w:trPr>
          <w:trHeight w:val="315"/>
        </w:trPr>
        <w:tc>
          <w:tcPr>
            <w:tcW w:w="421" w:type="dxa"/>
            <w:noWrap/>
            <w:tcMar>
              <w:top w:w="11" w:type="dxa"/>
              <w:left w:w="11" w:type="dxa"/>
              <w:bottom w:w="11" w:type="dxa"/>
              <w:right w:w="11" w:type="dxa"/>
            </w:tcMar>
          </w:tcPr>
          <w:p w:rsidR="00653EF0" w:rsidRPr="00D14CE9" w:rsidRDefault="00653EF0" w:rsidP="002818A7">
            <w:pPr>
              <w:pStyle w:val="EYTableNormal"/>
              <w:numPr>
                <w:ilvl w:val="0"/>
                <w:numId w:val="31"/>
              </w:numPr>
            </w:pPr>
          </w:p>
        </w:tc>
        <w:tc>
          <w:tcPr>
            <w:tcW w:w="2502" w:type="dxa"/>
            <w:noWrap/>
            <w:tcMar>
              <w:top w:w="11" w:type="dxa"/>
              <w:left w:w="11" w:type="dxa"/>
              <w:bottom w:w="11" w:type="dxa"/>
              <w:right w:w="11" w:type="dxa"/>
            </w:tcMar>
          </w:tcPr>
          <w:p w:rsidR="00653EF0" w:rsidRPr="00D14CE9" w:rsidRDefault="00653EF0" w:rsidP="002F5255">
            <w:pPr>
              <w:rPr>
                <w:sz w:val="16"/>
                <w:szCs w:val="16"/>
              </w:rPr>
            </w:pPr>
            <w:r w:rsidRPr="00D14CE9">
              <w:rPr>
                <w:sz w:val="16"/>
                <w:szCs w:val="16"/>
              </w:rPr>
              <w:t>Of the resources/products identified as important to your projects, is there a specific grade/quality that you require for your projects or is there a degree of substitution that is possible?  Which resources lack substitute and which products are easily</w:t>
            </w:r>
            <w:r w:rsidRPr="00D14CE9">
              <w:t xml:space="preserve"> </w:t>
            </w:r>
            <w:r w:rsidRPr="00D14CE9">
              <w:rPr>
                <w:sz w:val="16"/>
                <w:szCs w:val="16"/>
              </w:rPr>
              <w:t>substitutable?</w:t>
            </w:r>
          </w:p>
        </w:tc>
        <w:tc>
          <w:tcPr>
            <w:tcW w:w="6286" w:type="dxa"/>
            <w:noWrap/>
            <w:tcMar>
              <w:top w:w="11" w:type="dxa"/>
              <w:left w:w="11" w:type="dxa"/>
              <w:bottom w:w="11" w:type="dxa"/>
              <w:right w:w="11" w:type="dxa"/>
            </w:tcMar>
          </w:tcPr>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Depends on the kind of projects as the scope and specification would vary between different types of project. Pavement design is predominately governed by: road classification, expected traffic volume, commercial vehicle % or other service requirements (e.g. bus lane).</w:t>
            </w:r>
          </w:p>
        </w:tc>
      </w:tr>
      <w:tr w:rsidR="00653EF0" w:rsidRPr="00D14CE9" w:rsidTr="001476EB">
        <w:trPr>
          <w:trHeight w:val="315"/>
        </w:trPr>
        <w:tc>
          <w:tcPr>
            <w:tcW w:w="421" w:type="dxa"/>
            <w:noWrap/>
            <w:tcMar>
              <w:top w:w="11" w:type="dxa"/>
              <w:left w:w="11" w:type="dxa"/>
              <w:bottom w:w="11" w:type="dxa"/>
              <w:right w:w="11" w:type="dxa"/>
            </w:tcMar>
          </w:tcPr>
          <w:p w:rsidR="00653EF0" w:rsidRPr="00D14CE9" w:rsidRDefault="00653EF0" w:rsidP="002818A7">
            <w:pPr>
              <w:pStyle w:val="EYTableNormal"/>
              <w:numPr>
                <w:ilvl w:val="0"/>
                <w:numId w:val="31"/>
              </w:numPr>
            </w:pPr>
          </w:p>
        </w:tc>
        <w:tc>
          <w:tcPr>
            <w:tcW w:w="2502" w:type="dxa"/>
            <w:noWrap/>
            <w:tcMar>
              <w:top w:w="11" w:type="dxa"/>
              <w:left w:w="11" w:type="dxa"/>
              <w:bottom w:w="11" w:type="dxa"/>
              <w:right w:w="11" w:type="dxa"/>
            </w:tcMar>
          </w:tcPr>
          <w:p w:rsidR="00653EF0" w:rsidRPr="00D14CE9" w:rsidRDefault="00653EF0" w:rsidP="002F5255">
            <w:pPr>
              <w:rPr>
                <w:sz w:val="16"/>
                <w:szCs w:val="16"/>
              </w:rPr>
            </w:pPr>
            <w:r w:rsidRPr="00D14CE9">
              <w:rPr>
                <w:sz w:val="16"/>
                <w:szCs w:val="16"/>
              </w:rPr>
              <w:t>Are there existing locations where construction is already threatened due to supply sterilization/shortages? If so, which locations does this relate to?</w:t>
            </w:r>
          </w:p>
        </w:tc>
        <w:tc>
          <w:tcPr>
            <w:tcW w:w="6286" w:type="dxa"/>
            <w:noWrap/>
            <w:tcMar>
              <w:top w:w="11" w:type="dxa"/>
              <w:left w:w="11" w:type="dxa"/>
              <w:bottom w:w="11" w:type="dxa"/>
              <w:right w:w="11" w:type="dxa"/>
            </w:tcMar>
          </w:tcPr>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Most quarries in Growth Areas (namely in the North and East of Melbourne) do not have long life expectancies. Situation in the South West Victoria</w:t>
            </w:r>
            <w:r w:rsidR="00046ADE" w:rsidRPr="00D14CE9">
              <w:rPr>
                <w:rFonts w:ascii="EYInterstate Light" w:hAnsi="EYInterstate Light"/>
                <w:sz w:val="16"/>
                <w:szCs w:val="16"/>
              </w:rPr>
              <w:t xml:space="preserve"> </w:t>
            </w:r>
            <w:r w:rsidRPr="00D14CE9">
              <w:rPr>
                <w:rFonts w:ascii="EYInterstate Light" w:hAnsi="EYInterstate Light"/>
                <w:sz w:val="16"/>
                <w:szCs w:val="16"/>
              </w:rPr>
              <w:t>(West of Geelong) is a concern for VicRoads, especially if wind farms projects re-energize again. This will further shorten the life expectancies of many quarries in this area. Hence the recent proposals to create quarries on site in relation to wind farm projects. This could be however a very expensive and a lengthy process (time to get approvals from Works Authority). East in the Metropolitan area is also a concern where the quarries will close in 5 to 10 years (e.g. Montrose quarry which is currently supplying 1.2m tons of materials). Basalt supply will especially be a concern in the east side of Melbourne.</w:t>
            </w:r>
          </w:p>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Northern and Western Regions in rural Victoria would seem to be adequate at this stages fine in terms of supply resources.</w:t>
            </w:r>
          </w:p>
        </w:tc>
      </w:tr>
      <w:tr w:rsidR="00653EF0" w:rsidRPr="00D14CE9" w:rsidTr="001476EB">
        <w:trPr>
          <w:trHeight w:val="315"/>
        </w:trPr>
        <w:tc>
          <w:tcPr>
            <w:tcW w:w="421" w:type="dxa"/>
            <w:noWrap/>
            <w:tcMar>
              <w:top w:w="11" w:type="dxa"/>
              <w:left w:w="11" w:type="dxa"/>
              <w:bottom w:w="11" w:type="dxa"/>
              <w:right w:w="11" w:type="dxa"/>
            </w:tcMar>
          </w:tcPr>
          <w:p w:rsidR="00653EF0" w:rsidRPr="00D14CE9" w:rsidRDefault="00653EF0" w:rsidP="002818A7">
            <w:pPr>
              <w:pStyle w:val="EYTableNormal"/>
              <w:numPr>
                <w:ilvl w:val="0"/>
                <w:numId w:val="31"/>
              </w:numPr>
            </w:pPr>
          </w:p>
        </w:tc>
        <w:tc>
          <w:tcPr>
            <w:tcW w:w="2502" w:type="dxa"/>
            <w:noWrap/>
            <w:tcMar>
              <w:top w:w="11" w:type="dxa"/>
              <w:left w:w="11" w:type="dxa"/>
              <w:bottom w:w="11" w:type="dxa"/>
              <w:right w:w="11" w:type="dxa"/>
            </w:tcMar>
          </w:tcPr>
          <w:p w:rsidR="00653EF0" w:rsidRPr="00D14CE9" w:rsidRDefault="00653EF0" w:rsidP="002F5255">
            <w:pPr>
              <w:rPr>
                <w:sz w:val="16"/>
                <w:szCs w:val="16"/>
              </w:rPr>
            </w:pPr>
            <w:r w:rsidRPr="00D14CE9">
              <w:rPr>
                <w:sz w:val="16"/>
                <w:szCs w:val="16"/>
              </w:rPr>
              <w:t xml:space="preserve">Do you source any extractive resources from interstate?  If yes, please provide indicative estimates of how much (% of total) and the reasons for sourcing from other locations. </w:t>
            </w:r>
          </w:p>
          <w:p w:rsidR="00653EF0" w:rsidRPr="00D14CE9" w:rsidRDefault="00653EF0" w:rsidP="002F5255">
            <w:pPr>
              <w:rPr>
                <w:sz w:val="16"/>
                <w:szCs w:val="16"/>
              </w:rPr>
            </w:pPr>
            <w:r w:rsidRPr="00D14CE9">
              <w:rPr>
                <w:sz w:val="16"/>
                <w:szCs w:val="16"/>
              </w:rPr>
              <w:t>Are there specialty materials that you can’t get in Victoria?</w:t>
            </w:r>
          </w:p>
        </w:tc>
        <w:tc>
          <w:tcPr>
            <w:tcW w:w="6286" w:type="dxa"/>
            <w:noWrap/>
            <w:tcMar>
              <w:top w:w="11" w:type="dxa"/>
              <w:left w:w="11" w:type="dxa"/>
              <w:bottom w:w="11" w:type="dxa"/>
              <w:right w:w="11" w:type="dxa"/>
            </w:tcMar>
          </w:tcPr>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Would be below 2% of the total. These are sourced from time to time but it really depends on cost and availability or whether there is a need for a very specific type of source. VicRoads would typically refrain from specifying a concrete mix or pavement design that specifically requires resources interstate. However from time to time contractors may seek permission from VicRoads to use non-standard designs due to availability and cost of sourcing a particular resource. Generally interstate imports are in very small quantities.</w:t>
            </w:r>
          </w:p>
        </w:tc>
      </w:tr>
      <w:tr w:rsidR="00653EF0" w:rsidRPr="00D14CE9" w:rsidTr="001476EB">
        <w:trPr>
          <w:trHeight w:val="315"/>
        </w:trPr>
        <w:tc>
          <w:tcPr>
            <w:tcW w:w="421" w:type="dxa"/>
            <w:noWrap/>
            <w:tcMar>
              <w:top w:w="11" w:type="dxa"/>
              <w:left w:w="11" w:type="dxa"/>
              <w:bottom w:w="11" w:type="dxa"/>
              <w:right w:w="11" w:type="dxa"/>
            </w:tcMar>
          </w:tcPr>
          <w:p w:rsidR="00653EF0" w:rsidRPr="00D14CE9" w:rsidRDefault="00653EF0" w:rsidP="002818A7">
            <w:pPr>
              <w:pStyle w:val="EYTableNormal"/>
              <w:numPr>
                <w:ilvl w:val="0"/>
                <w:numId w:val="31"/>
              </w:numPr>
            </w:pPr>
          </w:p>
        </w:tc>
        <w:tc>
          <w:tcPr>
            <w:tcW w:w="2502" w:type="dxa"/>
            <w:noWrap/>
            <w:tcMar>
              <w:top w:w="11" w:type="dxa"/>
              <w:left w:w="11" w:type="dxa"/>
              <w:bottom w:w="11" w:type="dxa"/>
              <w:right w:w="11" w:type="dxa"/>
            </w:tcMar>
          </w:tcPr>
          <w:p w:rsidR="00653EF0" w:rsidRPr="00D14CE9" w:rsidRDefault="00653EF0" w:rsidP="002F5255">
            <w:pPr>
              <w:rPr>
                <w:sz w:val="16"/>
                <w:szCs w:val="16"/>
              </w:rPr>
            </w:pPr>
            <w:r w:rsidRPr="00D14CE9">
              <w:rPr>
                <w:sz w:val="16"/>
                <w:szCs w:val="16"/>
              </w:rPr>
              <w:t xml:space="preserve">Are there other alternatives to extractive resources that could be used in infrastructure projects? What products have been substituted for others in recent times (e.g. recycled concrete as road base, recycled asphalt product etc).  Is VicRoads considering updating specifications to include further alternative products?   </w:t>
            </w:r>
          </w:p>
        </w:tc>
        <w:tc>
          <w:tcPr>
            <w:tcW w:w="6286" w:type="dxa"/>
            <w:noWrap/>
            <w:tcMar>
              <w:top w:w="11" w:type="dxa"/>
              <w:left w:w="11" w:type="dxa"/>
              <w:bottom w:w="11" w:type="dxa"/>
              <w:right w:w="11" w:type="dxa"/>
            </w:tcMar>
          </w:tcPr>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 xml:space="preserve">The specifications in the latest years have been modified to accommodate the use of recycled materials (i.e. use of fit for purpose instead of premium for class 3 and 4). However, base course for pavements on rural/urban freeways/highways and major arterial roads require Class 1 materials and can’t be substituted. The use of recycled materials from construction or demolition waste has steadily increased as an initiative to reduce cost and improve environmental sustainability. Recycle material can generally be used in the lower class sub grade (e.g. class 3, class 4 and Type A) depending on the suitability of the material. Recycled materials are also commonly used to fill batters and other landscaping purposes where the properties required (e.g. strength, permeability) are different to road construction and structure. </w:t>
            </w:r>
          </w:p>
          <w:p w:rsidR="00653EF0" w:rsidRPr="00D14CE9" w:rsidRDefault="00653EF0" w:rsidP="00856574">
            <w:pPr>
              <w:pStyle w:val="ListParagraph"/>
              <w:numPr>
                <w:ilvl w:val="0"/>
                <w:numId w:val="22"/>
              </w:numPr>
              <w:spacing w:after="0"/>
              <w:ind w:left="155" w:hanging="155"/>
              <w:rPr>
                <w:rFonts w:ascii="EYInterstate Light" w:hAnsi="EYInterstate Light"/>
                <w:sz w:val="16"/>
                <w:szCs w:val="16"/>
              </w:rPr>
            </w:pPr>
            <w:r w:rsidRPr="00D14CE9">
              <w:rPr>
                <w:rFonts w:ascii="EYInterstate Light" w:hAnsi="EYInterstate Light"/>
                <w:sz w:val="16"/>
                <w:szCs w:val="16"/>
              </w:rPr>
              <w:t>Plastic roads are also looked at in Europe. It has been used as a replacement to concrete as an innovative solution due to its feasibility in both material and construction cost. Plastic roads are mainly considered for non- vehicle access surface (e.g. bike lanes, footpath or shared user path).</w:t>
            </w:r>
          </w:p>
        </w:tc>
      </w:tr>
    </w:tbl>
    <w:p w:rsidR="00697103" w:rsidRDefault="00697103" w:rsidP="00697103">
      <w:pPr>
        <w:pStyle w:val="ListParagraph"/>
        <w:ind w:left="0"/>
        <w:rPr>
          <w:rFonts w:ascii="EYInterstate Light" w:hAnsi="EYInterstate Light"/>
          <w:i/>
          <w:sz w:val="16"/>
          <w:szCs w:val="16"/>
        </w:rPr>
      </w:pPr>
      <w:r w:rsidRPr="006B35A2">
        <w:rPr>
          <w:rFonts w:ascii="EYInterstate Light" w:hAnsi="EYInterstate Light"/>
          <w:i/>
          <w:sz w:val="16"/>
          <w:szCs w:val="16"/>
        </w:rPr>
        <w:t>Source:</w:t>
      </w:r>
      <w:r w:rsidR="00486FB4">
        <w:rPr>
          <w:rFonts w:ascii="EYInterstate Light" w:hAnsi="EYInterstate Light"/>
          <w:i/>
          <w:sz w:val="16"/>
          <w:szCs w:val="16"/>
        </w:rPr>
        <w:t xml:space="preserve"> EY data</w:t>
      </w:r>
    </w:p>
    <w:p w:rsidR="00486FB4" w:rsidRPr="006B35A2" w:rsidRDefault="00486FB4" w:rsidP="00697103">
      <w:pPr>
        <w:pStyle w:val="ListParagraph"/>
        <w:ind w:left="0"/>
        <w:rPr>
          <w:rFonts w:ascii="EYInterstate Light" w:hAnsi="EYInterstate Light"/>
          <w:i/>
          <w:sz w:val="16"/>
          <w:szCs w:val="16"/>
        </w:rPr>
      </w:pPr>
    </w:p>
    <w:p w:rsidR="00857B09" w:rsidRPr="00D14CE9" w:rsidRDefault="00857B09" w:rsidP="00856574">
      <w:pPr>
        <w:pStyle w:val="ListParagraph"/>
        <w:numPr>
          <w:ilvl w:val="1"/>
          <w:numId w:val="28"/>
        </w:numPr>
        <w:ind w:left="720" w:hanging="720"/>
        <w:rPr>
          <w:rFonts w:ascii="EYInterstate Light" w:hAnsi="EYInterstate Light"/>
          <w:b/>
        </w:rPr>
      </w:pPr>
      <w:r w:rsidRPr="00D14CE9">
        <w:rPr>
          <w:rFonts w:ascii="EYInterstate Light" w:hAnsi="EYInterstate Light"/>
          <w:b/>
        </w:rPr>
        <w:t xml:space="preserve">Boral – Key </w:t>
      </w:r>
      <w:r w:rsidR="000C499E" w:rsidRPr="00D14CE9">
        <w:rPr>
          <w:rFonts w:ascii="EYInterstate Light" w:hAnsi="EYInterstate Light"/>
          <w:b/>
        </w:rPr>
        <w:t>findings</w:t>
      </w:r>
    </w:p>
    <w:p w:rsidR="00857B09" w:rsidRPr="00D14CE9" w:rsidRDefault="00857B09" w:rsidP="00857B09">
      <w:pPr>
        <w:pStyle w:val="EYBodytextwithparaspace"/>
        <w:rPr>
          <w:rFonts w:cstheme="majorHAnsi"/>
          <w:szCs w:val="20"/>
          <w:lang w:val="en-AU"/>
        </w:rPr>
      </w:pPr>
      <w:r w:rsidRPr="00D14CE9">
        <w:rPr>
          <w:rFonts w:cstheme="majorHAnsi"/>
          <w:szCs w:val="20"/>
          <w:lang w:val="en-AU"/>
        </w:rPr>
        <w:t xml:space="preserve">Representatives from Boral were consulted on 23 and 30 November 2015 so as to help inform each extractive resource’s role in a standard construction process and help identify the main components of the concrete mix, outlined by the construction companies consulted as the main commodity product used for their constructions. </w:t>
      </w:r>
    </w:p>
    <w:p w:rsidR="00857B09" w:rsidRPr="00D14CE9" w:rsidRDefault="00857B09" w:rsidP="00C01354">
      <w:pPr>
        <w:pStyle w:val="EYBodytextwithparaspace"/>
        <w:rPr>
          <w:rFonts w:cstheme="majorHAnsi"/>
          <w:szCs w:val="20"/>
          <w:lang w:val="en-AU"/>
        </w:rPr>
      </w:pPr>
      <w:r w:rsidRPr="00D14CE9">
        <w:rPr>
          <w:rFonts w:cstheme="majorHAnsi"/>
          <w:szCs w:val="20"/>
          <w:lang w:val="en-AU"/>
        </w:rPr>
        <w:t xml:space="preserve">The overview of Boral insights is provided in the below table. </w:t>
      </w:r>
    </w:p>
    <w:p w:rsidR="00857B09" w:rsidRPr="00D14CE9" w:rsidRDefault="00857B09" w:rsidP="000E1164">
      <w:pPr>
        <w:pStyle w:val="EYBodytextwithparaspace"/>
        <w:rPr>
          <w:rFonts w:cstheme="majorHAnsi"/>
          <w:b/>
          <w:szCs w:val="20"/>
          <w:lang w:val="en-AU"/>
        </w:rPr>
      </w:pPr>
      <w:r w:rsidRPr="00D14CE9">
        <w:rPr>
          <w:rFonts w:cstheme="majorHAnsi"/>
          <w:b/>
          <w:szCs w:val="20"/>
          <w:lang w:val="en-AU"/>
        </w:rPr>
        <w:t>Concrete Mix</w:t>
      </w:r>
    </w:p>
    <w:p w:rsidR="00857B09" w:rsidRPr="00D14CE9" w:rsidRDefault="00857B09" w:rsidP="000E1164">
      <w:pPr>
        <w:pStyle w:val="EYBodytextwithparaspace"/>
        <w:rPr>
          <w:rFonts w:cstheme="majorHAnsi"/>
          <w:szCs w:val="20"/>
          <w:lang w:val="en-AU"/>
        </w:rPr>
      </w:pPr>
      <w:r w:rsidRPr="00D14CE9">
        <w:rPr>
          <w:rFonts w:cstheme="majorHAnsi"/>
          <w:szCs w:val="20"/>
          <w:lang w:val="en-AU"/>
        </w:rPr>
        <w:t>The common mix used to manufacture 1</w:t>
      </w:r>
      <w:r w:rsidR="004F0510" w:rsidRPr="00D14CE9">
        <w:rPr>
          <w:rFonts w:cstheme="majorHAnsi"/>
          <w:szCs w:val="20"/>
          <w:lang w:val="en-AU"/>
        </w:rPr>
        <w:t xml:space="preserve"> m</w:t>
      </w:r>
      <w:r w:rsidR="004F0510" w:rsidRPr="00D14CE9">
        <w:rPr>
          <w:rFonts w:cstheme="majorHAnsi"/>
          <w:szCs w:val="20"/>
          <w:vertAlign w:val="superscript"/>
          <w:lang w:val="en-AU"/>
        </w:rPr>
        <w:t>3</w:t>
      </w:r>
      <w:r w:rsidRPr="00D14CE9">
        <w:rPr>
          <w:rFonts w:cstheme="majorHAnsi"/>
          <w:szCs w:val="20"/>
          <w:lang w:val="en-AU"/>
        </w:rPr>
        <w:t xml:space="preserve"> of concrete (standard 32 mpa strength) is presented as follows:</w:t>
      </w:r>
    </w:p>
    <w:p w:rsidR="00857B09" w:rsidRPr="00D14CE9" w:rsidRDefault="00857B09" w:rsidP="000E1164">
      <w:pPr>
        <w:pStyle w:val="EYBulletedList1"/>
        <w:tabs>
          <w:tab w:val="clear" w:pos="288"/>
          <w:tab w:val="num" w:pos="576"/>
        </w:tabs>
        <w:spacing w:after="120"/>
        <w:rPr>
          <w:rFonts w:cstheme="majorHAnsi"/>
          <w:szCs w:val="20"/>
          <w:lang w:val="en-AU"/>
        </w:rPr>
      </w:pPr>
      <w:r w:rsidRPr="00D14CE9">
        <w:rPr>
          <w:rFonts w:cstheme="majorHAnsi"/>
          <w:szCs w:val="20"/>
          <w:lang w:val="en-AU"/>
        </w:rPr>
        <w:t xml:space="preserve">Water: 180 </w:t>
      </w:r>
      <w:r w:rsidR="00E65E06" w:rsidRPr="00D14CE9">
        <w:rPr>
          <w:rFonts w:cstheme="majorHAnsi"/>
          <w:szCs w:val="20"/>
          <w:lang w:val="en-AU"/>
        </w:rPr>
        <w:t>litres</w:t>
      </w:r>
      <w:r w:rsidRPr="00D14CE9">
        <w:rPr>
          <w:rFonts w:cstheme="majorHAnsi"/>
          <w:szCs w:val="20"/>
          <w:lang w:val="en-AU"/>
        </w:rPr>
        <w:t>/m</w:t>
      </w:r>
      <w:r w:rsidRPr="00D14CE9">
        <w:rPr>
          <w:rFonts w:cstheme="majorHAnsi"/>
          <w:szCs w:val="20"/>
          <w:vertAlign w:val="superscript"/>
          <w:lang w:val="en-AU"/>
        </w:rPr>
        <w:t>3</w:t>
      </w:r>
    </w:p>
    <w:p w:rsidR="00857B09" w:rsidRPr="00D14CE9" w:rsidRDefault="00857B09" w:rsidP="000E1164">
      <w:pPr>
        <w:pStyle w:val="EYBulletedList1"/>
        <w:tabs>
          <w:tab w:val="clear" w:pos="288"/>
          <w:tab w:val="num" w:pos="576"/>
        </w:tabs>
        <w:spacing w:after="120"/>
        <w:rPr>
          <w:rFonts w:cstheme="majorHAnsi"/>
          <w:szCs w:val="20"/>
          <w:lang w:val="en-AU"/>
        </w:rPr>
      </w:pPr>
      <w:r w:rsidRPr="00D14CE9">
        <w:rPr>
          <w:rFonts w:cstheme="majorHAnsi"/>
          <w:szCs w:val="20"/>
          <w:lang w:val="en-AU"/>
        </w:rPr>
        <w:t>Water Reducer: 1.2l/</w:t>
      </w:r>
      <w:r w:rsidR="000E1164" w:rsidRPr="00D14CE9">
        <w:rPr>
          <w:rFonts w:cstheme="majorHAnsi"/>
          <w:szCs w:val="20"/>
          <w:lang w:val="en-AU"/>
        </w:rPr>
        <w:t xml:space="preserve"> m</w:t>
      </w:r>
      <w:r w:rsidR="000E1164" w:rsidRPr="00D14CE9">
        <w:rPr>
          <w:rFonts w:cstheme="majorHAnsi"/>
          <w:szCs w:val="20"/>
          <w:vertAlign w:val="superscript"/>
          <w:lang w:val="en-AU"/>
        </w:rPr>
        <w:t>3</w:t>
      </w:r>
    </w:p>
    <w:p w:rsidR="00857B09" w:rsidRPr="00D14CE9" w:rsidRDefault="00857B09" w:rsidP="000E1164">
      <w:pPr>
        <w:pStyle w:val="EYBulletedList1"/>
        <w:tabs>
          <w:tab w:val="clear" w:pos="288"/>
          <w:tab w:val="num" w:pos="576"/>
        </w:tabs>
        <w:spacing w:after="120"/>
        <w:rPr>
          <w:rFonts w:cstheme="majorHAnsi"/>
          <w:szCs w:val="20"/>
          <w:lang w:val="en-AU"/>
        </w:rPr>
      </w:pPr>
      <w:r w:rsidRPr="00D14CE9">
        <w:rPr>
          <w:rFonts w:cstheme="majorHAnsi"/>
          <w:szCs w:val="20"/>
          <w:lang w:val="en-AU"/>
        </w:rPr>
        <w:lastRenderedPageBreak/>
        <w:t>Cement: 300kg/</w:t>
      </w:r>
      <w:r w:rsidR="000E1164" w:rsidRPr="00D14CE9">
        <w:rPr>
          <w:rFonts w:cstheme="majorHAnsi"/>
          <w:szCs w:val="20"/>
          <w:lang w:val="en-AU"/>
        </w:rPr>
        <w:t xml:space="preserve"> m</w:t>
      </w:r>
      <w:r w:rsidR="000E1164" w:rsidRPr="00D14CE9">
        <w:rPr>
          <w:rFonts w:cstheme="majorHAnsi"/>
          <w:szCs w:val="20"/>
          <w:vertAlign w:val="superscript"/>
          <w:lang w:val="en-AU"/>
        </w:rPr>
        <w:t>3</w:t>
      </w:r>
    </w:p>
    <w:p w:rsidR="00857B09" w:rsidRPr="00D14CE9" w:rsidRDefault="00857B09" w:rsidP="000E1164">
      <w:pPr>
        <w:pStyle w:val="EYBulletedList1"/>
        <w:tabs>
          <w:tab w:val="clear" w:pos="288"/>
          <w:tab w:val="num" w:pos="576"/>
        </w:tabs>
        <w:spacing w:after="120"/>
        <w:rPr>
          <w:rFonts w:cstheme="majorHAnsi"/>
          <w:szCs w:val="20"/>
          <w:lang w:val="en-AU"/>
        </w:rPr>
      </w:pPr>
      <w:r w:rsidRPr="00D14CE9">
        <w:rPr>
          <w:rFonts w:cstheme="majorHAnsi"/>
          <w:szCs w:val="20"/>
          <w:lang w:val="en-AU"/>
        </w:rPr>
        <w:t>Coarse aggregate (14mm and 20mm): 1065 kg/</w:t>
      </w:r>
      <w:r w:rsidR="000E1164" w:rsidRPr="00D14CE9">
        <w:rPr>
          <w:rFonts w:cstheme="majorHAnsi"/>
          <w:szCs w:val="20"/>
          <w:lang w:val="en-AU"/>
        </w:rPr>
        <w:t xml:space="preserve"> m</w:t>
      </w:r>
      <w:r w:rsidR="000E1164" w:rsidRPr="00D14CE9">
        <w:rPr>
          <w:rFonts w:cstheme="majorHAnsi"/>
          <w:szCs w:val="20"/>
          <w:vertAlign w:val="superscript"/>
          <w:lang w:val="en-AU"/>
        </w:rPr>
        <w:t>3</w:t>
      </w:r>
      <w:r w:rsidRPr="00D14CE9">
        <w:rPr>
          <w:rFonts w:cstheme="majorHAnsi"/>
          <w:szCs w:val="20"/>
          <w:lang w:val="en-AU"/>
        </w:rPr>
        <w:t xml:space="preserve">, commonly using, depending on the availability of rocks, basalt, hornfels, quartzite, </w:t>
      </w:r>
      <w:r w:rsidR="00E65E06" w:rsidRPr="00D14CE9">
        <w:rPr>
          <w:rFonts w:cstheme="majorHAnsi"/>
          <w:szCs w:val="20"/>
          <w:lang w:val="en-AU"/>
        </w:rPr>
        <w:t>and rhyolite</w:t>
      </w:r>
      <w:r w:rsidRPr="00D14CE9">
        <w:rPr>
          <w:rFonts w:cstheme="majorHAnsi"/>
          <w:szCs w:val="20"/>
          <w:lang w:val="en-AU"/>
        </w:rPr>
        <w:t>.</w:t>
      </w:r>
    </w:p>
    <w:p w:rsidR="00857B09" w:rsidRPr="00D14CE9" w:rsidRDefault="00857B09" w:rsidP="000E1164">
      <w:pPr>
        <w:pStyle w:val="EYBulletedList1"/>
        <w:tabs>
          <w:tab w:val="clear" w:pos="288"/>
          <w:tab w:val="num" w:pos="576"/>
        </w:tabs>
        <w:spacing w:after="120"/>
        <w:rPr>
          <w:rFonts w:cstheme="majorHAnsi"/>
          <w:szCs w:val="20"/>
          <w:lang w:val="en-AU"/>
        </w:rPr>
      </w:pPr>
      <w:r w:rsidRPr="00D14CE9">
        <w:rPr>
          <w:rFonts w:cstheme="majorHAnsi"/>
          <w:szCs w:val="20"/>
          <w:lang w:val="en-AU"/>
        </w:rPr>
        <w:t>Sand: 860 kg/</w:t>
      </w:r>
      <w:r w:rsidR="000E1164" w:rsidRPr="00D14CE9">
        <w:rPr>
          <w:rFonts w:cstheme="majorHAnsi"/>
          <w:szCs w:val="20"/>
          <w:lang w:val="en-AU"/>
        </w:rPr>
        <w:t xml:space="preserve"> m</w:t>
      </w:r>
      <w:r w:rsidR="000E1164" w:rsidRPr="00D14CE9">
        <w:rPr>
          <w:rFonts w:cstheme="majorHAnsi"/>
          <w:szCs w:val="20"/>
          <w:vertAlign w:val="superscript"/>
          <w:lang w:val="en-AU"/>
        </w:rPr>
        <w:t>3</w:t>
      </w:r>
      <w:r w:rsidRPr="00D14CE9">
        <w:rPr>
          <w:rFonts w:cstheme="majorHAnsi"/>
          <w:szCs w:val="20"/>
          <w:lang w:val="en-AU"/>
        </w:rPr>
        <w:t xml:space="preserve"> of concrete sand. If manufactured sand is consumed however (as an alternative to natural sand), 100kg/</w:t>
      </w:r>
      <w:r w:rsidR="000E1164" w:rsidRPr="00D14CE9">
        <w:rPr>
          <w:rFonts w:cstheme="majorHAnsi"/>
          <w:szCs w:val="20"/>
          <w:lang w:val="en-AU"/>
        </w:rPr>
        <w:t>m</w:t>
      </w:r>
      <w:r w:rsidR="000E1164" w:rsidRPr="00D14CE9">
        <w:rPr>
          <w:rFonts w:cstheme="majorHAnsi"/>
          <w:szCs w:val="20"/>
          <w:vertAlign w:val="superscript"/>
          <w:lang w:val="en-AU"/>
        </w:rPr>
        <w:t>3</w:t>
      </w:r>
      <w:r w:rsidRPr="00D14CE9">
        <w:rPr>
          <w:rFonts w:cstheme="majorHAnsi"/>
          <w:szCs w:val="20"/>
          <w:lang w:val="en-AU"/>
        </w:rPr>
        <w:t xml:space="preserve"> of manufactured sand would be typically required and 760 kg/</w:t>
      </w:r>
      <w:r w:rsidR="000E1164" w:rsidRPr="00D14CE9">
        <w:rPr>
          <w:rFonts w:cstheme="majorHAnsi"/>
          <w:szCs w:val="20"/>
          <w:lang w:val="en-AU"/>
        </w:rPr>
        <w:t xml:space="preserve"> m</w:t>
      </w:r>
      <w:r w:rsidR="000E1164" w:rsidRPr="00D14CE9">
        <w:rPr>
          <w:rFonts w:cstheme="majorHAnsi"/>
          <w:szCs w:val="20"/>
          <w:vertAlign w:val="superscript"/>
          <w:lang w:val="en-AU"/>
        </w:rPr>
        <w:t>3</w:t>
      </w:r>
      <w:r w:rsidRPr="00D14CE9">
        <w:rPr>
          <w:rFonts w:cstheme="majorHAnsi"/>
          <w:szCs w:val="20"/>
          <w:lang w:val="en-AU"/>
        </w:rPr>
        <w:t xml:space="preserve"> of concrete sand. The use of manufactured sand in the concrete mix will depend on required technical specifications (for example, a highest strength of concrete of 40mpa would limit the use of manufactured sand to a maximum of 20%). Note that the use of reclaimed sand is not always beneficial from a cost point of view. Natural available resources are declining in metropolitan Melbourne.</w:t>
      </w:r>
    </w:p>
    <w:p w:rsidR="00857B09" w:rsidRPr="00D14CE9" w:rsidRDefault="00857B09" w:rsidP="00857B09">
      <w:pPr>
        <w:pStyle w:val="ListParagraph"/>
        <w:widowControl/>
        <w:autoSpaceDE/>
        <w:adjustRightInd/>
        <w:spacing w:after="0"/>
        <w:rPr>
          <w:rFonts w:ascii="EYInterstate Light" w:hAnsi="EYInterstate Light"/>
        </w:rPr>
      </w:pPr>
      <w:r w:rsidRPr="00D14CE9">
        <w:rPr>
          <w:rFonts w:ascii="EYInterstate Light" w:hAnsi="EYInterstate Light"/>
        </w:rPr>
        <w:tab/>
      </w:r>
    </w:p>
    <w:p w:rsidR="00857B09" w:rsidRPr="00D14CE9" w:rsidRDefault="00857B09" w:rsidP="000E1164">
      <w:pPr>
        <w:pStyle w:val="EYBodytextwithparaspace"/>
        <w:rPr>
          <w:rFonts w:cstheme="majorHAnsi"/>
          <w:szCs w:val="20"/>
          <w:lang w:val="en-AU"/>
        </w:rPr>
      </w:pPr>
      <w:r w:rsidRPr="00D14CE9">
        <w:rPr>
          <w:rFonts w:cstheme="majorHAnsi"/>
          <w:szCs w:val="20"/>
          <w:lang w:val="en-AU"/>
        </w:rPr>
        <w:t>As a result, based on those metrics, the key components of concrete (1</w:t>
      </w:r>
      <w:r w:rsidR="000E1164" w:rsidRPr="00D14CE9">
        <w:rPr>
          <w:rFonts w:cstheme="majorHAnsi"/>
          <w:szCs w:val="20"/>
          <w:lang w:val="en-AU"/>
        </w:rPr>
        <w:t xml:space="preserve"> m</w:t>
      </w:r>
      <w:r w:rsidR="000E1164" w:rsidRPr="00D14CE9">
        <w:rPr>
          <w:rFonts w:cstheme="majorHAnsi"/>
          <w:szCs w:val="20"/>
          <w:vertAlign w:val="superscript"/>
          <w:lang w:val="en-AU"/>
        </w:rPr>
        <w:t>3</w:t>
      </w:r>
      <w:r w:rsidRPr="00D14CE9">
        <w:rPr>
          <w:rFonts w:cstheme="majorHAnsi"/>
          <w:szCs w:val="20"/>
          <w:lang w:val="en-AU"/>
        </w:rPr>
        <w:t>) made out of extractive resources could be weighted as follows:</w:t>
      </w:r>
    </w:p>
    <w:p w:rsidR="00857B09" w:rsidRPr="00D14CE9" w:rsidRDefault="00857B09" w:rsidP="000E1164">
      <w:pPr>
        <w:pStyle w:val="EYBulletedList1"/>
        <w:tabs>
          <w:tab w:val="clear" w:pos="288"/>
          <w:tab w:val="num" w:pos="576"/>
        </w:tabs>
        <w:spacing w:after="120"/>
        <w:rPr>
          <w:rFonts w:cstheme="majorHAnsi"/>
          <w:szCs w:val="20"/>
          <w:lang w:val="en-AU"/>
        </w:rPr>
      </w:pPr>
      <w:r w:rsidRPr="00D14CE9">
        <w:rPr>
          <w:rFonts w:cstheme="majorHAnsi"/>
          <w:szCs w:val="20"/>
          <w:lang w:val="en-AU"/>
        </w:rPr>
        <w:t>Cement: 13%. Clinker, which is the raw material to produce cement for Boral, is imported by from China, while cement is produced in Australian.</w:t>
      </w:r>
      <w:r w:rsidRPr="00D14CE9">
        <w:rPr>
          <w:rFonts w:cstheme="majorHAnsi"/>
          <w:szCs w:val="20"/>
          <w:lang w:val="en-AU"/>
        </w:rPr>
        <w:tab/>
      </w:r>
    </w:p>
    <w:p w:rsidR="00857B09" w:rsidRPr="00D14CE9" w:rsidRDefault="00857B09" w:rsidP="000E1164">
      <w:pPr>
        <w:pStyle w:val="EYBulletedList1"/>
        <w:tabs>
          <w:tab w:val="clear" w:pos="288"/>
          <w:tab w:val="num" w:pos="576"/>
        </w:tabs>
        <w:spacing w:after="120"/>
        <w:rPr>
          <w:rFonts w:cstheme="majorHAnsi"/>
          <w:szCs w:val="20"/>
          <w:lang w:val="en-AU"/>
        </w:rPr>
      </w:pPr>
      <w:r w:rsidRPr="00D14CE9">
        <w:rPr>
          <w:rFonts w:cstheme="majorHAnsi"/>
          <w:szCs w:val="20"/>
          <w:lang w:val="en-AU"/>
        </w:rPr>
        <w:t>Sand: 39%</w:t>
      </w:r>
    </w:p>
    <w:p w:rsidR="00857B09" w:rsidRPr="00D14CE9" w:rsidRDefault="00857B09" w:rsidP="000E1164">
      <w:pPr>
        <w:pStyle w:val="EYBulletedList1"/>
        <w:tabs>
          <w:tab w:val="clear" w:pos="288"/>
          <w:tab w:val="num" w:pos="576"/>
        </w:tabs>
        <w:spacing w:after="120"/>
        <w:rPr>
          <w:rFonts w:cstheme="majorHAnsi"/>
          <w:szCs w:val="20"/>
          <w:lang w:val="en-AU"/>
        </w:rPr>
      </w:pPr>
      <w:r w:rsidRPr="00D14CE9">
        <w:rPr>
          <w:rFonts w:cstheme="majorHAnsi"/>
          <w:szCs w:val="20"/>
          <w:lang w:val="en-AU"/>
        </w:rPr>
        <w:t>Aggregate: 48%</w:t>
      </w:r>
    </w:p>
    <w:p w:rsidR="00857B09" w:rsidRPr="00D14CE9" w:rsidRDefault="00857B09" w:rsidP="00857B09">
      <w:pPr>
        <w:widowControl/>
        <w:autoSpaceDE/>
        <w:adjustRightInd/>
      </w:pPr>
    </w:p>
    <w:p w:rsidR="00857B09" w:rsidRPr="00D14CE9" w:rsidRDefault="00857B09" w:rsidP="000E1164">
      <w:pPr>
        <w:pStyle w:val="EYBodytextwithparaspace"/>
        <w:rPr>
          <w:rFonts w:cstheme="majorHAnsi"/>
          <w:szCs w:val="20"/>
          <w:lang w:val="en-AU"/>
        </w:rPr>
      </w:pPr>
      <w:r w:rsidRPr="00D14CE9">
        <w:rPr>
          <w:rFonts w:cstheme="majorHAnsi"/>
          <w:szCs w:val="20"/>
          <w:lang w:val="en-AU"/>
        </w:rPr>
        <w:t>The concrete mix obviously varies depending on the building specifications and customers’ requirements.</w:t>
      </w:r>
    </w:p>
    <w:p w:rsidR="00857B09" w:rsidRPr="00D14CE9" w:rsidRDefault="00857B09" w:rsidP="000E1164">
      <w:pPr>
        <w:pStyle w:val="EYBodytextwithparaspace"/>
        <w:rPr>
          <w:rFonts w:cstheme="majorHAnsi"/>
          <w:b/>
          <w:szCs w:val="20"/>
          <w:lang w:val="en-AU"/>
        </w:rPr>
      </w:pPr>
      <w:r w:rsidRPr="00D14CE9">
        <w:rPr>
          <w:rFonts w:cstheme="majorHAnsi"/>
          <w:b/>
          <w:szCs w:val="20"/>
          <w:lang w:val="en-AU"/>
        </w:rPr>
        <w:t>General insights – Hard Rock Uses</w:t>
      </w:r>
    </w:p>
    <w:p w:rsidR="00857B09" w:rsidRPr="00D14CE9" w:rsidRDefault="00857B09" w:rsidP="000E1164">
      <w:pPr>
        <w:pStyle w:val="EYBodytextwithparaspace"/>
        <w:rPr>
          <w:rFonts w:cstheme="majorHAnsi"/>
          <w:szCs w:val="20"/>
          <w:lang w:val="en-AU"/>
        </w:rPr>
      </w:pPr>
      <w:r w:rsidRPr="00D14CE9">
        <w:rPr>
          <w:rFonts w:cstheme="majorHAnsi"/>
          <w:szCs w:val="20"/>
          <w:lang w:val="en-AU"/>
        </w:rPr>
        <w:t xml:space="preserve">The use of certain types of hard rocks is subject to the geological variety in Victoria and therefore the availability of rocks in specific areas. For instance, basalt being widely available in the western areas of Melbourne), this type of hard rock will be generally used in the corresponding LGAs. </w:t>
      </w:r>
    </w:p>
    <w:p w:rsidR="00857B09" w:rsidRPr="00D14CE9" w:rsidRDefault="00857B09" w:rsidP="000E1164">
      <w:pPr>
        <w:pStyle w:val="EYBodytextwithparaspace"/>
        <w:rPr>
          <w:rFonts w:cstheme="majorHAnsi"/>
          <w:szCs w:val="20"/>
          <w:lang w:val="en-AU"/>
        </w:rPr>
      </w:pPr>
      <w:r w:rsidRPr="00D14CE9">
        <w:rPr>
          <w:rFonts w:cstheme="majorHAnsi"/>
          <w:szCs w:val="20"/>
          <w:lang w:val="en-AU"/>
        </w:rPr>
        <w:t xml:space="preserve">The use of certain types of hard rocks and their substitutions’ ability is highly dependent as well on the engineering properties required by technical specifications defined on a project by project basis, therefore driving the ability of hard rocks to suit applications. </w:t>
      </w:r>
    </w:p>
    <w:p w:rsidR="00857B09" w:rsidRDefault="00857B09" w:rsidP="000E1164">
      <w:pPr>
        <w:pStyle w:val="EYBodytextwithparaspace"/>
        <w:rPr>
          <w:rFonts w:cstheme="majorHAnsi"/>
          <w:szCs w:val="20"/>
          <w:lang w:val="en-AU"/>
        </w:rPr>
      </w:pPr>
      <w:r w:rsidRPr="00D14CE9">
        <w:rPr>
          <w:rFonts w:cstheme="majorHAnsi"/>
          <w:szCs w:val="20"/>
          <w:lang w:val="en-AU"/>
        </w:rPr>
        <w:t>The below table summarizes the general uses of hard rocks by Boral, subject to regional variations in terms of availability:</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000" w:firstRow="0" w:lastRow="0" w:firstColumn="0" w:lastColumn="0" w:noHBand="0" w:noVBand="0"/>
        <w:tblCaption w:val="Table 40 "/>
        <w:tblDescription w:val="Table 40 shows use of hard rocks by Boral. Basalt old, basalt new, rhyodacite and hornfels are predominantly used. "/>
      </w:tblPr>
      <w:tblGrid>
        <w:gridCol w:w="2455"/>
        <w:gridCol w:w="442"/>
        <w:gridCol w:w="442"/>
        <w:gridCol w:w="443"/>
        <w:gridCol w:w="443"/>
        <w:gridCol w:w="443"/>
        <w:gridCol w:w="443"/>
        <w:gridCol w:w="443"/>
        <w:gridCol w:w="443"/>
        <w:gridCol w:w="443"/>
        <w:gridCol w:w="443"/>
        <w:gridCol w:w="443"/>
        <w:gridCol w:w="443"/>
        <w:gridCol w:w="443"/>
        <w:gridCol w:w="443"/>
        <w:gridCol w:w="430"/>
      </w:tblGrid>
      <w:tr w:rsidR="00720FBA" w:rsidRPr="00D14CE9" w:rsidTr="00F10554">
        <w:trPr>
          <w:trHeight w:val="20"/>
        </w:trPr>
        <w:tc>
          <w:tcPr>
            <w:tcW w:w="5000" w:type="pct"/>
            <w:gridSpan w:val="16"/>
            <w:shd w:val="clear" w:color="auto" w:fill="808080"/>
            <w:noWrap/>
            <w:tcMar>
              <w:top w:w="28" w:type="dxa"/>
              <w:left w:w="28" w:type="dxa"/>
              <w:bottom w:w="28" w:type="dxa"/>
              <w:right w:w="28" w:type="dxa"/>
            </w:tcMar>
            <w:vAlign w:val="bottom"/>
          </w:tcPr>
          <w:p w:rsidR="00720FBA" w:rsidRPr="00D14CE9" w:rsidRDefault="00720FBA" w:rsidP="00802792">
            <w:pPr>
              <w:pStyle w:val="EYTableHeadingWhite"/>
              <w:rPr>
                <w:rFonts w:eastAsia="Arial Unicode MS"/>
              </w:rPr>
            </w:pPr>
            <w:bookmarkStart w:id="766" w:name="_Toc445240973"/>
            <w:bookmarkStart w:id="767" w:name="_Toc448914666"/>
            <w:bookmarkStart w:id="768" w:name="_Toc448920484"/>
            <w:r w:rsidRPr="00D14CE9">
              <w:t xml:space="preserve">Table </w:t>
            </w:r>
            <w:r w:rsidR="00A9654D" w:rsidRPr="00802792">
              <w:fldChar w:fldCharType="begin"/>
            </w:r>
            <w:r w:rsidR="00A9654D" w:rsidRPr="00D14CE9">
              <w:instrText xml:space="preserve"> SEQ Table \* ARABIC </w:instrText>
            </w:r>
            <w:r w:rsidR="00A9654D" w:rsidRPr="00802792">
              <w:fldChar w:fldCharType="separate"/>
            </w:r>
            <w:r w:rsidR="00525C82">
              <w:rPr>
                <w:noProof/>
              </w:rPr>
              <w:t>40</w:t>
            </w:r>
            <w:r w:rsidR="00A9654D" w:rsidRPr="00802792">
              <w:fldChar w:fldCharType="end"/>
            </w:r>
            <w:r w:rsidRPr="00D14CE9">
              <w:t xml:space="preserve"> – Boral use of hard rocks</w:t>
            </w:r>
            <w:bookmarkEnd w:id="766"/>
            <w:bookmarkEnd w:id="767"/>
            <w:bookmarkEnd w:id="768"/>
            <w:r w:rsidRPr="00D14CE9">
              <w:rPr>
                <w:b w:val="0"/>
                <w:sz w:val="18"/>
                <w:szCs w:val="18"/>
              </w:rPr>
              <w:t xml:space="preserve"> </w:t>
            </w:r>
          </w:p>
        </w:tc>
      </w:tr>
      <w:tr w:rsidR="00E65C9D" w:rsidRPr="00D14CE9" w:rsidTr="001476EB">
        <w:trPr>
          <w:cantSplit/>
          <w:trHeight w:val="1287"/>
        </w:trPr>
        <w:tc>
          <w:tcPr>
            <w:tcW w:w="582" w:type="pct"/>
            <w:shd w:val="clear" w:color="auto" w:fill="F0F0F0"/>
            <w:tcMar>
              <w:top w:w="28" w:type="dxa"/>
              <w:left w:w="28" w:type="dxa"/>
              <w:bottom w:w="28" w:type="dxa"/>
              <w:right w:w="28" w:type="dxa"/>
            </w:tcMar>
            <w:vAlign w:val="bottom"/>
          </w:tcPr>
          <w:p w:rsidR="00720FBA" w:rsidRPr="00D14CE9" w:rsidRDefault="00720FBA" w:rsidP="00E65C9D">
            <w:pPr>
              <w:pStyle w:val="EYTableHeading"/>
              <w:rPr>
                <w:rFonts w:eastAsia="Arial Unicode MS"/>
              </w:rPr>
            </w:pPr>
          </w:p>
        </w:tc>
        <w:tc>
          <w:tcPr>
            <w:tcW w:w="295" w:type="pct"/>
            <w:shd w:val="clear" w:color="auto" w:fill="F0F0F0"/>
            <w:tcMar>
              <w:top w:w="0" w:type="dxa"/>
              <w:left w:w="0" w:type="dxa"/>
              <w:bottom w:w="0" w:type="dxa"/>
              <w:right w:w="0" w:type="dxa"/>
            </w:tcMar>
            <w:textDirection w:val="tbRl"/>
            <w:vAlign w:val="bottom"/>
          </w:tcPr>
          <w:p w:rsidR="00720FBA" w:rsidRPr="00D14CE9" w:rsidRDefault="004F44B4" w:rsidP="001476EB">
            <w:pPr>
              <w:pStyle w:val="EYTableHeading"/>
              <w:ind w:left="113" w:right="113"/>
              <w:jc w:val="both"/>
              <w:rPr>
                <w:rFonts w:eastAsia="Arial Unicode MS"/>
              </w:rPr>
            </w:pPr>
            <w:r w:rsidRPr="00D14CE9">
              <w:rPr>
                <w:rFonts w:eastAsia="Arial Unicode MS"/>
              </w:rPr>
              <w:t>Basalt Old</w:t>
            </w:r>
          </w:p>
        </w:tc>
        <w:tc>
          <w:tcPr>
            <w:tcW w:w="295" w:type="pct"/>
            <w:shd w:val="clear" w:color="auto" w:fill="F0F0F0"/>
            <w:tcMar>
              <w:top w:w="0" w:type="dxa"/>
              <w:left w:w="0" w:type="dxa"/>
              <w:bottom w:w="0" w:type="dxa"/>
              <w:right w:w="0" w:type="dxa"/>
            </w:tcMar>
            <w:textDirection w:val="tbRl"/>
            <w:vAlign w:val="bottom"/>
          </w:tcPr>
          <w:p w:rsidR="00720FBA" w:rsidRPr="00D14CE9" w:rsidRDefault="004F44B4" w:rsidP="001476EB">
            <w:pPr>
              <w:pStyle w:val="EYTableHeading"/>
              <w:ind w:left="113" w:right="113"/>
              <w:jc w:val="both"/>
              <w:rPr>
                <w:rFonts w:eastAsia="Arial Unicode MS"/>
              </w:rPr>
            </w:pPr>
            <w:r w:rsidRPr="00D14CE9">
              <w:rPr>
                <w:rFonts w:eastAsia="Arial Unicode MS"/>
              </w:rPr>
              <w:t>Basalt New</w:t>
            </w:r>
          </w:p>
        </w:tc>
        <w:tc>
          <w:tcPr>
            <w:tcW w:w="295" w:type="pct"/>
            <w:shd w:val="clear" w:color="auto" w:fill="F0F0F0"/>
            <w:tcMar>
              <w:top w:w="0" w:type="dxa"/>
              <w:left w:w="0" w:type="dxa"/>
              <w:bottom w:w="0" w:type="dxa"/>
              <w:right w:w="0" w:type="dxa"/>
            </w:tcMar>
            <w:textDirection w:val="tbRl"/>
          </w:tcPr>
          <w:p w:rsidR="00720FBA" w:rsidRPr="00D14CE9" w:rsidRDefault="004F44B4" w:rsidP="001476EB">
            <w:pPr>
              <w:pStyle w:val="EYTableHeading"/>
              <w:ind w:left="113" w:right="113"/>
              <w:jc w:val="both"/>
              <w:rPr>
                <w:rFonts w:eastAsia="Arial Unicode MS"/>
              </w:rPr>
            </w:pPr>
            <w:r w:rsidRPr="003637FD">
              <w:rPr>
                <w:rFonts w:eastAsia="Arial Unicode MS"/>
              </w:rPr>
              <w:t>Trachyte</w:t>
            </w:r>
          </w:p>
        </w:tc>
        <w:tc>
          <w:tcPr>
            <w:tcW w:w="295" w:type="pct"/>
            <w:shd w:val="clear" w:color="auto" w:fill="F0F0F0"/>
            <w:tcMar>
              <w:top w:w="0" w:type="dxa"/>
              <w:left w:w="0" w:type="dxa"/>
              <w:bottom w:w="0" w:type="dxa"/>
              <w:right w:w="0" w:type="dxa"/>
            </w:tcMar>
            <w:textDirection w:val="tbRl"/>
          </w:tcPr>
          <w:p w:rsidR="00720FBA" w:rsidRPr="00D14CE9" w:rsidRDefault="004F44B4" w:rsidP="001476EB">
            <w:pPr>
              <w:pStyle w:val="EYTableHeading"/>
              <w:ind w:left="113" w:right="113"/>
              <w:jc w:val="both"/>
              <w:rPr>
                <w:rFonts w:eastAsia="Arial Unicode MS"/>
              </w:rPr>
            </w:pPr>
            <w:r w:rsidRPr="003637FD">
              <w:rPr>
                <w:rFonts w:eastAsia="Arial Unicode MS"/>
              </w:rPr>
              <w:t>Dolerite</w:t>
            </w:r>
          </w:p>
        </w:tc>
        <w:tc>
          <w:tcPr>
            <w:tcW w:w="295" w:type="pct"/>
            <w:shd w:val="clear" w:color="auto" w:fill="F0F0F0"/>
            <w:tcMar>
              <w:top w:w="0" w:type="dxa"/>
              <w:left w:w="0" w:type="dxa"/>
              <w:bottom w:w="0" w:type="dxa"/>
              <w:right w:w="0" w:type="dxa"/>
            </w:tcMar>
            <w:textDirection w:val="tbRl"/>
          </w:tcPr>
          <w:p w:rsidR="00720FBA" w:rsidRPr="00D14CE9" w:rsidRDefault="004F44B4" w:rsidP="001476EB">
            <w:pPr>
              <w:pStyle w:val="EYTableHeading"/>
              <w:ind w:left="113" w:right="113"/>
              <w:jc w:val="both"/>
              <w:rPr>
                <w:rFonts w:eastAsia="Arial Unicode MS"/>
              </w:rPr>
            </w:pPr>
            <w:r w:rsidRPr="00D14CE9">
              <w:rPr>
                <w:rFonts w:eastAsia="Arial Unicode MS"/>
              </w:rPr>
              <w:t>Scoria</w:t>
            </w:r>
          </w:p>
        </w:tc>
        <w:tc>
          <w:tcPr>
            <w:tcW w:w="295" w:type="pct"/>
            <w:shd w:val="clear" w:color="auto" w:fill="F0F0F0"/>
            <w:tcMar>
              <w:top w:w="0" w:type="dxa"/>
              <w:left w:w="0" w:type="dxa"/>
              <w:bottom w:w="0" w:type="dxa"/>
              <w:right w:w="0" w:type="dxa"/>
            </w:tcMar>
            <w:textDirection w:val="tbRl"/>
          </w:tcPr>
          <w:p w:rsidR="00720FBA" w:rsidRPr="00D14CE9" w:rsidRDefault="004F44B4" w:rsidP="001476EB">
            <w:pPr>
              <w:pStyle w:val="EYTableHeading"/>
              <w:ind w:left="113" w:right="113"/>
              <w:jc w:val="both"/>
              <w:rPr>
                <w:rFonts w:eastAsia="Arial Unicode MS"/>
              </w:rPr>
            </w:pPr>
            <w:r w:rsidRPr="00D14CE9">
              <w:rPr>
                <w:rFonts w:eastAsia="Arial Unicode MS"/>
              </w:rPr>
              <w:t>Tuff</w:t>
            </w:r>
          </w:p>
        </w:tc>
        <w:tc>
          <w:tcPr>
            <w:tcW w:w="295" w:type="pct"/>
            <w:shd w:val="clear" w:color="auto" w:fill="F0F0F0"/>
            <w:tcMar>
              <w:top w:w="0" w:type="dxa"/>
              <w:left w:w="0" w:type="dxa"/>
              <w:bottom w:w="0" w:type="dxa"/>
              <w:right w:w="0" w:type="dxa"/>
            </w:tcMar>
            <w:textDirection w:val="tbRl"/>
          </w:tcPr>
          <w:p w:rsidR="00720FBA" w:rsidRPr="00D14CE9" w:rsidRDefault="004F44B4" w:rsidP="001476EB">
            <w:pPr>
              <w:pStyle w:val="EYTableHeading"/>
              <w:ind w:left="113" w:right="113"/>
              <w:jc w:val="both"/>
              <w:rPr>
                <w:rFonts w:eastAsia="Arial Unicode MS"/>
              </w:rPr>
            </w:pPr>
            <w:r w:rsidRPr="00D14CE9">
              <w:rPr>
                <w:rFonts w:eastAsia="Arial Unicode MS"/>
              </w:rPr>
              <w:t>Granite</w:t>
            </w:r>
          </w:p>
        </w:tc>
        <w:tc>
          <w:tcPr>
            <w:tcW w:w="295" w:type="pct"/>
            <w:shd w:val="clear" w:color="auto" w:fill="F0F0F0"/>
            <w:tcMar>
              <w:top w:w="0" w:type="dxa"/>
              <w:left w:w="0" w:type="dxa"/>
              <w:bottom w:w="0" w:type="dxa"/>
              <w:right w:w="0" w:type="dxa"/>
            </w:tcMar>
            <w:textDirection w:val="tbRl"/>
          </w:tcPr>
          <w:p w:rsidR="00720FBA" w:rsidRPr="00D14CE9" w:rsidRDefault="004F44B4" w:rsidP="001476EB">
            <w:pPr>
              <w:pStyle w:val="EYTableHeading"/>
              <w:ind w:left="113" w:right="113"/>
              <w:jc w:val="both"/>
              <w:rPr>
                <w:rFonts w:eastAsia="Arial Unicode MS"/>
              </w:rPr>
            </w:pPr>
            <w:r w:rsidRPr="00D14CE9">
              <w:rPr>
                <w:rFonts w:eastAsia="Arial Unicode MS"/>
              </w:rPr>
              <w:t>Rhyodacite</w:t>
            </w:r>
          </w:p>
        </w:tc>
        <w:tc>
          <w:tcPr>
            <w:tcW w:w="295" w:type="pct"/>
            <w:shd w:val="clear" w:color="auto" w:fill="F0F0F0"/>
            <w:tcMar>
              <w:top w:w="0" w:type="dxa"/>
              <w:left w:w="0" w:type="dxa"/>
              <w:bottom w:w="0" w:type="dxa"/>
              <w:right w:w="0" w:type="dxa"/>
            </w:tcMar>
            <w:textDirection w:val="tbRl"/>
          </w:tcPr>
          <w:p w:rsidR="00720FBA" w:rsidRPr="00D14CE9" w:rsidRDefault="004F44B4" w:rsidP="001476EB">
            <w:pPr>
              <w:pStyle w:val="EYTableHeading"/>
              <w:ind w:left="113" w:right="113"/>
              <w:jc w:val="both"/>
              <w:rPr>
                <w:rFonts w:eastAsia="Arial Unicode MS"/>
              </w:rPr>
            </w:pPr>
            <w:r w:rsidRPr="00D14CE9">
              <w:rPr>
                <w:rFonts w:eastAsia="Arial Unicode MS"/>
              </w:rPr>
              <w:t>Gneiss</w:t>
            </w:r>
          </w:p>
        </w:tc>
        <w:tc>
          <w:tcPr>
            <w:tcW w:w="295" w:type="pct"/>
            <w:shd w:val="clear" w:color="auto" w:fill="F0F0F0"/>
            <w:tcMar>
              <w:top w:w="0" w:type="dxa"/>
              <w:left w:w="0" w:type="dxa"/>
              <w:bottom w:w="0" w:type="dxa"/>
              <w:right w:w="0" w:type="dxa"/>
            </w:tcMar>
            <w:textDirection w:val="tbRl"/>
          </w:tcPr>
          <w:p w:rsidR="00720FBA" w:rsidRPr="00E3712F" w:rsidRDefault="004F44B4" w:rsidP="001476EB">
            <w:pPr>
              <w:pStyle w:val="EYTableHeading"/>
              <w:ind w:left="113" w:right="113"/>
              <w:jc w:val="both"/>
              <w:rPr>
                <w:rFonts w:eastAsia="Arial Unicode MS"/>
              </w:rPr>
            </w:pPr>
            <w:r w:rsidRPr="003637FD">
              <w:rPr>
                <w:rFonts w:eastAsia="Arial Unicode MS"/>
              </w:rPr>
              <w:t>Hornfels</w:t>
            </w:r>
          </w:p>
        </w:tc>
        <w:tc>
          <w:tcPr>
            <w:tcW w:w="295" w:type="pct"/>
            <w:shd w:val="clear" w:color="auto" w:fill="F0F0F0"/>
            <w:tcMar>
              <w:top w:w="0" w:type="dxa"/>
              <w:left w:w="0" w:type="dxa"/>
              <w:bottom w:w="0" w:type="dxa"/>
              <w:right w:w="0" w:type="dxa"/>
            </w:tcMar>
            <w:textDirection w:val="tbRl"/>
          </w:tcPr>
          <w:p w:rsidR="00720FBA" w:rsidRPr="00D14CE9" w:rsidRDefault="004F44B4" w:rsidP="001476EB">
            <w:pPr>
              <w:pStyle w:val="EYTableHeading"/>
              <w:ind w:left="113" w:right="113"/>
              <w:jc w:val="both"/>
              <w:rPr>
                <w:rFonts w:eastAsia="Arial Unicode MS"/>
              </w:rPr>
            </w:pPr>
            <w:r w:rsidRPr="00D14CE9">
              <w:rPr>
                <w:rFonts w:eastAsia="Arial Unicode MS"/>
              </w:rPr>
              <w:t>Marble</w:t>
            </w:r>
          </w:p>
        </w:tc>
        <w:tc>
          <w:tcPr>
            <w:tcW w:w="295" w:type="pct"/>
            <w:shd w:val="clear" w:color="auto" w:fill="F0F0F0"/>
            <w:tcMar>
              <w:top w:w="0" w:type="dxa"/>
              <w:left w:w="0" w:type="dxa"/>
              <w:bottom w:w="0" w:type="dxa"/>
              <w:right w:w="0" w:type="dxa"/>
            </w:tcMar>
            <w:textDirection w:val="tbRl"/>
          </w:tcPr>
          <w:p w:rsidR="00720FBA" w:rsidRPr="00FB40A5" w:rsidRDefault="004F44B4" w:rsidP="001476EB">
            <w:pPr>
              <w:pStyle w:val="EYTableHeading"/>
              <w:ind w:left="113" w:right="113"/>
              <w:jc w:val="both"/>
              <w:rPr>
                <w:rFonts w:eastAsia="Arial Unicode MS"/>
              </w:rPr>
            </w:pPr>
            <w:r w:rsidRPr="003637FD">
              <w:rPr>
                <w:rFonts w:eastAsia="Arial Unicode MS"/>
              </w:rPr>
              <w:t>Quartzite</w:t>
            </w:r>
          </w:p>
        </w:tc>
        <w:tc>
          <w:tcPr>
            <w:tcW w:w="295" w:type="pct"/>
            <w:shd w:val="clear" w:color="auto" w:fill="F0F0F0"/>
            <w:tcMar>
              <w:top w:w="0" w:type="dxa"/>
              <w:left w:w="0" w:type="dxa"/>
              <w:bottom w:w="0" w:type="dxa"/>
              <w:right w:w="0" w:type="dxa"/>
            </w:tcMar>
            <w:textDirection w:val="tbRl"/>
          </w:tcPr>
          <w:p w:rsidR="00720FBA" w:rsidRPr="00D14CE9" w:rsidRDefault="004F44B4" w:rsidP="001476EB">
            <w:pPr>
              <w:pStyle w:val="EYTableHeading"/>
              <w:ind w:left="113" w:right="113"/>
              <w:jc w:val="both"/>
              <w:rPr>
                <w:rFonts w:eastAsia="Arial Unicode MS"/>
              </w:rPr>
            </w:pPr>
            <w:r w:rsidRPr="00D14CE9">
              <w:rPr>
                <w:rFonts w:eastAsia="Arial Unicode MS"/>
              </w:rPr>
              <w:t>Schist</w:t>
            </w:r>
          </w:p>
        </w:tc>
        <w:tc>
          <w:tcPr>
            <w:tcW w:w="295" w:type="pct"/>
            <w:shd w:val="clear" w:color="auto" w:fill="F0F0F0"/>
            <w:tcMar>
              <w:top w:w="0" w:type="dxa"/>
              <w:left w:w="0" w:type="dxa"/>
              <w:bottom w:w="0" w:type="dxa"/>
              <w:right w:w="0" w:type="dxa"/>
            </w:tcMar>
            <w:textDirection w:val="tbRl"/>
          </w:tcPr>
          <w:p w:rsidR="00720FBA" w:rsidRPr="00D14CE9" w:rsidRDefault="004F44B4" w:rsidP="001476EB">
            <w:pPr>
              <w:pStyle w:val="EYTableHeading"/>
              <w:ind w:left="113" w:right="113"/>
              <w:jc w:val="both"/>
              <w:rPr>
                <w:rFonts w:eastAsia="Arial Unicode MS"/>
              </w:rPr>
            </w:pPr>
            <w:r w:rsidRPr="00D14CE9">
              <w:rPr>
                <w:rFonts w:eastAsia="Arial Unicode MS"/>
              </w:rPr>
              <w:t>Slate</w:t>
            </w:r>
          </w:p>
        </w:tc>
        <w:tc>
          <w:tcPr>
            <w:tcW w:w="295" w:type="pct"/>
            <w:shd w:val="clear" w:color="auto" w:fill="F0F0F0"/>
            <w:tcMar>
              <w:top w:w="0" w:type="dxa"/>
              <w:left w:w="0" w:type="dxa"/>
              <w:bottom w:w="0" w:type="dxa"/>
              <w:right w:w="0" w:type="dxa"/>
            </w:tcMar>
            <w:textDirection w:val="tbRl"/>
          </w:tcPr>
          <w:p w:rsidR="00720FBA" w:rsidRPr="00D14CE9" w:rsidRDefault="004F44B4" w:rsidP="001476EB">
            <w:pPr>
              <w:pStyle w:val="EYTableHeading"/>
              <w:ind w:left="113" w:right="113"/>
              <w:jc w:val="both"/>
              <w:rPr>
                <w:rFonts w:eastAsia="Arial Unicode MS"/>
              </w:rPr>
            </w:pPr>
            <w:r w:rsidRPr="00D14CE9">
              <w:rPr>
                <w:rFonts w:eastAsia="Arial Unicode MS"/>
              </w:rPr>
              <w:t>Sedimentary</w:t>
            </w:r>
          </w:p>
        </w:tc>
      </w:tr>
      <w:tr w:rsidR="000C499E" w:rsidRPr="00D14CE9" w:rsidTr="00F10554">
        <w:trPr>
          <w:trHeight w:val="20"/>
        </w:trPr>
        <w:tc>
          <w:tcPr>
            <w:tcW w:w="582" w:type="pct"/>
            <w:noWrap/>
            <w:tcMar>
              <w:top w:w="28" w:type="dxa"/>
              <w:left w:w="28" w:type="dxa"/>
              <w:bottom w:w="28" w:type="dxa"/>
              <w:right w:w="28" w:type="dxa"/>
            </w:tcMar>
            <w:vAlign w:val="center"/>
          </w:tcPr>
          <w:p w:rsidR="007120A8" w:rsidRPr="00D14CE9" w:rsidRDefault="007120A8" w:rsidP="007120A8">
            <w:pPr>
              <w:rPr>
                <w:sz w:val="16"/>
                <w:szCs w:val="16"/>
              </w:rPr>
            </w:pPr>
            <w:r w:rsidRPr="00D14CE9">
              <w:rPr>
                <w:sz w:val="16"/>
                <w:szCs w:val="16"/>
              </w:rPr>
              <w:t>Predominantly used</w:t>
            </w:r>
          </w:p>
        </w:tc>
        <w:tc>
          <w:tcPr>
            <w:tcW w:w="295" w:type="pct"/>
            <w:noWrap/>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noWrap/>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noWrap/>
            <w:tcMar>
              <w:top w:w="28" w:type="dxa"/>
              <w:left w:w="28" w:type="dxa"/>
              <w:bottom w:w="28" w:type="dxa"/>
              <w:right w:w="28" w:type="dxa"/>
            </w:tcMar>
            <w:vAlign w:val="center"/>
          </w:tcPr>
          <w:p w:rsidR="007120A8" w:rsidRPr="00D14CE9" w:rsidRDefault="007120A8" w:rsidP="007120A8">
            <w:pPr>
              <w:jc w:val="center"/>
              <w:rPr>
                <w:sz w:val="16"/>
                <w:szCs w:val="16"/>
              </w:rPr>
            </w:pP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tcPr>
          <w:p w:rsidR="007120A8" w:rsidRPr="00D14CE9" w:rsidRDefault="007120A8" w:rsidP="007120A8">
            <w:pPr>
              <w:jc w:val="center"/>
              <w:rPr>
                <w:sz w:val="16"/>
                <w:szCs w:val="16"/>
              </w:rPr>
            </w:pPr>
          </w:p>
        </w:tc>
        <w:tc>
          <w:tcPr>
            <w:tcW w:w="295" w:type="pct"/>
            <w:tcMar>
              <w:top w:w="28" w:type="dxa"/>
              <w:left w:w="28" w:type="dxa"/>
              <w:bottom w:w="28" w:type="dxa"/>
              <w:right w:w="28" w:type="dxa"/>
            </w:tcMar>
          </w:tcPr>
          <w:p w:rsidR="007120A8" w:rsidRPr="00D14CE9" w:rsidRDefault="007120A8" w:rsidP="007120A8">
            <w:pPr>
              <w:jc w:val="center"/>
              <w:rPr>
                <w:sz w:val="16"/>
                <w:szCs w:val="16"/>
              </w:rPr>
            </w:pPr>
          </w:p>
        </w:tc>
        <w:tc>
          <w:tcPr>
            <w:tcW w:w="295" w:type="pct"/>
            <w:tcMar>
              <w:top w:w="28" w:type="dxa"/>
              <w:left w:w="28" w:type="dxa"/>
              <w:bottom w:w="28" w:type="dxa"/>
              <w:right w:w="28" w:type="dxa"/>
            </w:tcMar>
          </w:tcPr>
          <w:p w:rsidR="007120A8" w:rsidRPr="00D14CE9" w:rsidRDefault="007120A8" w:rsidP="007120A8">
            <w:pPr>
              <w:jc w:val="center"/>
              <w:rPr>
                <w:sz w:val="16"/>
                <w:szCs w:val="16"/>
              </w:rPr>
            </w:pPr>
          </w:p>
        </w:tc>
        <w:tc>
          <w:tcPr>
            <w:tcW w:w="295" w:type="pct"/>
            <w:tcMar>
              <w:top w:w="28" w:type="dxa"/>
              <w:left w:w="28" w:type="dxa"/>
              <w:bottom w:w="28" w:type="dxa"/>
              <w:right w:w="28" w:type="dxa"/>
            </w:tcMar>
          </w:tcPr>
          <w:p w:rsidR="007120A8" w:rsidRPr="00D14CE9" w:rsidRDefault="007120A8" w:rsidP="007120A8">
            <w:pPr>
              <w:jc w:val="center"/>
              <w:rPr>
                <w:sz w:val="16"/>
                <w:szCs w:val="16"/>
              </w:rPr>
            </w:pPr>
          </w:p>
        </w:tc>
        <w:tc>
          <w:tcPr>
            <w:tcW w:w="295" w:type="pct"/>
            <w:tcMar>
              <w:top w:w="28" w:type="dxa"/>
              <w:left w:w="28" w:type="dxa"/>
              <w:bottom w:w="28" w:type="dxa"/>
              <w:right w:w="28" w:type="dxa"/>
            </w:tcMar>
          </w:tcPr>
          <w:p w:rsidR="007120A8" w:rsidRPr="00D14CE9" w:rsidRDefault="007120A8" w:rsidP="007120A8">
            <w:pPr>
              <w:jc w:val="center"/>
              <w:rPr>
                <w:sz w:val="16"/>
                <w:szCs w:val="16"/>
              </w:rPr>
            </w:pPr>
          </w:p>
        </w:tc>
      </w:tr>
      <w:tr w:rsidR="000C499E" w:rsidRPr="00D14CE9" w:rsidTr="00F10554">
        <w:trPr>
          <w:trHeight w:val="20"/>
        </w:trPr>
        <w:tc>
          <w:tcPr>
            <w:tcW w:w="582" w:type="pct"/>
            <w:noWrap/>
            <w:tcMar>
              <w:top w:w="28" w:type="dxa"/>
              <w:left w:w="28" w:type="dxa"/>
              <w:bottom w:w="28" w:type="dxa"/>
              <w:right w:w="28" w:type="dxa"/>
            </w:tcMar>
            <w:vAlign w:val="center"/>
          </w:tcPr>
          <w:p w:rsidR="007120A8" w:rsidRPr="00D14CE9" w:rsidRDefault="007120A8" w:rsidP="007120A8">
            <w:pPr>
              <w:rPr>
                <w:sz w:val="16"/>
                <w:szCs w:val="16"/>
              </w:rPr>
            </w:pPr>
            <w:r w:rsidRPr="00D14CE9">
              <w:rPr>
                <w:sz w:val="16"/>
                <w:szCs w:val="16"/>
              </w:rPr>
              <w:t>Not much used (e.g. limited applications)</w:t>
            </w:r>
          </w:p>
        </w:tc>
        <w:tc>
          <w:tcPr>
            <w:tcW w:w="295" w:type="pct"/>
            <w:noWrap/>
            <w:tcMar>
              <w:top w:w="28" w:type="dxa"/>
              <w:left w:w="28" w:type="dxa"/>
              <w:bottom w:w="28" w:type="dxa"/>
              <w:right w:w="28" w:type="dxa"/>
            </w:tcMar>
            <w:vAlign w:val="center"/>
          </w:tcPr>
          <w:p w:rsidR="007120A8" w:rsidRPr="00D14CE9" w:rsidRDefault="007120A8" w:rsidP="007120A8">
            <w:pPr>
              <w:jc w:val="center"/>
              <w:rPr>
                <w:sz w:val="16"/>
                <w:szCs w:val="16"/>
              </w:rPr>
            </w:pPr>
          </w:p>
        </w:tc>
        <w:tc>
          <w:tcPr>
            <w:tcW w:w="295" w:type="pct"/>
            <w:noWrap/>
            <w:tcMar>
              <w:top w:w="28" w:type="dxa"/>
              <w:left w:w="28" w:type="dxa"/>
              <w:bottom w:w="28" w:type="dxa"/>
              <w:right w:w="28" w:type="dxa"/>
            </w:tcMar>
            <w:vAlign w:val="center"/>
          </w:tcPr>
          <w:p w:rsidR="007120A8" w:rsidRPr="00D14CE9" w:rsidRDefault="007120A8" w:rsidP="007120A8">
            <w:pPr>
              <w:jc w:val="center"/>
              <w:rPr>
                <w:sz w:val="16"/>
                <w:szCs w:val="16"/>
              </w:rPr>
            </w:pPr>
          </w:p>
        </w:tc>
        <w:tc>
          <w:tcPr>
            <w:tcW w:w="295" w:type="pct"/>
            <w:noWrap/>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c>
          <w:tcPr>
            <w:tcW w:w="295" w:type="pct"/>
            <w:tcMar>
              <w:top w:w="28" w:type="dxa"/>
              <w:left w:w="28" w:type="dxa"/>
              <w:bottom w:w="28" w:type="dxa"/>
              <w:right w:w="28" w:type="dxa"/>
            </w:tcMar>
            <w:vAlign w:val="center"/>
          </w:tcPr>
          <w:p w:rsidR="007120A8" w:rsidRPr="00D14CE9" w:rsidRDefault="007120A8" w:rsidP="007120A8">
            <w:pPr>
              <w:jc w:val="center"/>
              <w:rPr>
                <w:sz w:val="16"/>
                <w:szCs w:val="16"/>
              </w:rPr>
            </w:pPr>
            <w:r w:rsidRPr="00D14CE9">
              <w:rPr>
                <w:sz w:val="16"/>
                <w:szCs w:val="16"/>
              </w:rPr>
              <w:sym w:font="Wingdings" w:char="F0FC"/>
            </w:r>
          </w:p>
        </w:tc>
      </w:tr>
    </w:tbl>
    <w:p w:rsidR="006B034E" w:rsidRPr="003637FD" w:rsidRDefault="00697103" w:rsidP="00B264BF">
      <w:pPr>
        <w:pStyle w:val="EYNormal"/>
        <w:rPr>
          <w:i/>
          <w:sz w:val="16"/>
          <w:szCs w:val="16"/>
          <w:lang w:val="en-AU"/>
        </w:rPr>
      </w:pPr>
      <w:r w:rsidRPr="003637FD">
        <w:rPr>
          <w:i/>
          <w:sz w:val="16"/>
          <w:szCs w:val="16"/>
          <w:lang w:val="en-AU"/>
        </w:rPr>
        <w:t xml:space="preserve">Source: </w:t>
      </w:r>
      <w:r w:rsidR="00486FB4">
        <w:rPr>
          <w:i/>
          <w:sz w:val="16"/>
          <w:szCs w:val="16"/>
          <w:lang w:val="en-AU"/>
        </w:rPr>
        <w:t>EY data</w:t>
      </w:r>
    </w:p>
    <w:p w:rsidR="00697103" w:rsidRPr="00D14CE9" w:rsidRDefault="00697103" w:rsidP="00B264BF">
      <w:pPr>
        <w:pStyle w:val="EYNormal"/>
        <w:rPr>
          <w:lang w:val="en-AU"/>
        </w:rPr>
      </w:pPr>
    </w:p>
    <w:p w:rsidR="006B034E" w:rsidRPr="00D14CE9" w:rsidRDefault="004F0510" w:rsidP="004F0510">
      <w:pPr>
        <w:pStyle w:val="EYNormal"/>
        <w:rPr>
          <w:lang w:val="en-AU"/>
        </w:rPr>
      </w:pPr>
      <w:r w:rsidRPr="00D14CE9">
        <w:rPr>
          <w:lang w:val="en-AU"/>
        </w:rPr>
        <w:t>During the last 10-15 years, recycled aggregates have been predominantly used for road base commodity products, whose specifications are made available by VicRoads. The use of recycled concrete aggregate is generally limited though as its particular properties tend to limit its use (for instance in relation to the need to remove steel and fire materials such as plastic and timber from the demolition products</w:t>
      </w:r>
    </w:p>
    <w:p w:rsidR="006B034E" w:rsidRPr="00D14CE9" w:rsidRDefault="006B034E" w:rsidP="00B264BF">
      <w:pPr>
        <w:pStyle w:val="EYNormal"/>
        <w:rPr>
          <w:lang w:val="en-AU"/>
        </w:rPr>
      </w:pPr>
    </w:p>
    <w:p w:rsidR="006B034E" w:rsidRPr="00D14CE9" w:rsidRDefault="006B034E" w:rsidP="00B264BF">
      <w:pPr>
        <w:pStyle w:val="EYNormal"/>
        <w:rPr>
          <w:lang w:val="en-AU"/>
        </w:rPr>
      </w:pPr>
    </w:p>
    <w:p w:rsidR="002B448C" w:rsidRPr="00D14CE9" w:rsidRDefault="002B448C" w:rsidP="00B264BF">
      <w:pPr>
        <w:pStyle w:val="EYNormal"/>
        <w:rPr>
          <w:lang w:val="en-AU"/>
        </w:rPr>
      </w:pPr>
    </w:p>
    <w:p w:rsidR="007120A8" w:rsidRPr="00D14CE9" w:rsidRDefault="007120A8" w:rsidP="00B264BF">
      <w:pPr>
        <w:pStyle w:val="EYNormal"/>
        <w:rPr>
          <w:lang w:val="en-AU"/>
        </w:rPr>
        <w:sectPr w:rsidR="007120A8" w:rsidRPr="00D14CE9" w:rsidSect="000B6297">
          <w:footerReference w:type="default" r:id="rId65"/>
          <w:pgSz w:w="11909" w:h="16834" w:code="9"/>
          <w:pgMar w:top="1440" w:right="1440" w:bottom="1440" w:left="1440" w:header="720" w:footer="567" w:gutter="0"/>
          <w:cols w:space="720"/>
          <w:docGrid w:linePitch="360"/>
        </w:sectPr>
      </w:pPr>
    </w:p>
    <w:p w:rsidR="00C7438D" w:rsidRPr="00D14CE9" w:rsidRDefault="00C7438D" w:rsidP="00C7438D">
      <w:pPr>
        <w:pStyle w:val="EYAppendix"/>
        <w:rPr>
          <w:lang w:val="en-AU"/>
        </w:rPr>
      </w:pPr>
      <w:bookmarkStart w:id="769" w:name="_Ref441154711"/>
      <w:bookmarkStart w:id="770" w:name="_Ref441226399"/>
      <w:bookmarkStart w:id="771" w:name="_Toc441435362"/>
      <w:bookmarkStart w:id="772" w:name="_Toc451847098"/>
      <w:r w:rsidRPr="00D14CE9">
        <w:rPr>
          <w:lang w:val="en-AU"/>
        </w:rPr>
        <w:lastRenderedPageBreak/>
        <w:t>Demand Forecast Data</w:t>
      </w:r>
      <w:bookmarkEnd w:id="769"/>
      <w:bookmarkEnd w:id="770"/>
      <w:bookmarkEnd w:id="771"/>
      <w:bookmarkEnd w:id="772"/>
    </w:p>
    <w:p w:rsidR="00C7438D" w:rsidRPr="00D14CE9" w:rsidRDefault="00C7438D" w:rsidP="00C7438D">
      <w:pPr>
        <w:pStyle w:val="EYBodytextwithparaspace"/>
        <w:rPr>
          <w:rFonts w:cstheme="majorHAnsi"/>
          <w:szCs w:val="20"/>
          <w:lang w:val="en-AU"/>
        </w:rPr>
      </w:pPr>
      <w:bookmarkStart w:id="773" w:name="_Toc441435363"/>
      <w:r w:rsidRPr="00D14CE9">
        <w:rPr>
          <w:rFonts w:cstheme="majorHAnsi"/>
          <w:szCs w:val="20"/>
          <w:lang w:val="en-AU"/>
        </w:rPr>
        <w:t xml:space="preserve">The </w:t>
      </w:r>
      <w:r w:rsidR="00855A0C">
        <w:rPr>
          <w:rFonts w:cstheme="majorHAnsi"/>
          <w:szCs w:val="20"/>
          <w:lang w:val="en-AU"/>
        </w:rPr>
        <w:t>table</w:t>
      </w:r>
      <w:r w:rsidR="001E4FD3">
        <w:rPr>
          <w:rFonts w:cstheme="majorHAnsi"/>
          <w:szCs w:val="20"/>
          <w:lang w:val="en-AU"/>
        </w:rPr>
        <w:t>s</w:t>
      </w:r>
      <w:r w:rsidR="00855A0C">
        <w:rPr>
          <w:rFonts w:cstheme="majorHAnsi"/>
          <w:szCs w:val="20"/>
          <w:lang w:val="en-AU"/>
        </w:rPr>
        <w:t xml:space="preserve"> below</w:t>
      </w:r>
      <w:r w:rsidRPr="00D14CE9">
        <w:rPr>
          <w:rFonts w:cstheme="majorHAnsi"/>
          <w:szCs w:val="20"/>
          <w:lang w:val="en-AU"/>
        </w:rPr>
        <w:t xml:space="preserve"> reflect </w:t>
      </w:r>
      <w:r w:rsidR="00855A0C">
        <w:rPr>
          <w:rFonts w:cstheme="majorHAnsi"/>
          <w:szCs w:val="20"/>
          <w:lang w:val="en-AU"/>
        </w:rPr>
        <w:t xml:space="preserve">key aggregated outputs from </w:t>
      </w:r>
      <w:r w:rsidRPr="00D14CE9">
        <w:rPr>
          <w:rFonts w:cstheme="majorHAnsi"/>
          <w:szCs w:val="20"/>
          <w:lang w:val="en-AU"/>
        </w:rPr>
        <w:t xml:space="preserve">the </w:t>
      </w:r>
      <w:r w:rsidR="00A35D3E" w:rsidRPr="00D14CE9">
        <w:rPr>
          <w:rFonts w:cstheme="majorHAnsi"/>
          <w:szCs w:val="20"/>
          <w:lang w:val="en-AU"/>
        </w:rPr>
        <w:t xml:space="preserve">final </w:t>
      </w:r>
      <w:r w:rsidRPr="00D14CE9">
        <w:rPr>
          <w:rFonts w:cstheme="majorHAnsi"/>
          <w:szCs w:val="20"/>
          <w:lang w:val="en-AU"/>
        </w:rPr>
        <w:t xml:space="preserve">demand data set provided </w:t>
      </w:r>
      <w:r w:rsidR="005264FD">
        <w:rPr>
          <w:rFonts w:cstheme="majorHAnsi"/>
          <w:szCs w:val="20"/>
          <w:lang w:val="en-AU"/>
        </w:rPr>
        <w:t>to</w:t>
      </w:r>
      <w:r w:rsidR="005264FD" w:rsidRPr="00D14CE9">
        <w:rPr>
          <w:rFonts w:cstheme="majorHAnsi"/>
          <w:szCs w:val="20"/>
          <w:lang w:val="en-AU"/>
        </w:rPr>
        <w:t xml:space="preserve"> </w:t>
      </w:r>
      <w:r w:rsidR="00855A0C">
        <w:rPr>
          <w:rFonts w:cstheme="majorHAnsi"/>
          <w:szCs w:val="20"/>
          <w:lang w:val="en-AU"/>
        </w:rPr>
        <w:t>PwC and the DEDJTR on 15 February 2016</w:t>
      </w:r>
      <w:r w:rsidRPr="00D14CE9">
        <w:rPr>
          <w:rFonts w:cstheme="majorHAnsi"/>
          <w:szCs w:val="20"/>
          <w:lang w:val="en-AU"/>
        </w:rPr>
        <w:t>.</w:t>
      </w:r>
      <w:bookmarkEnd w:id="773"/>
      <w:r w:rsidR="001E4FD3">
        <w:rPr>
          <w:rFonts w:cstheme="majorHAnsi"/>
          <w:szCs w:val="20"/>
          <w:lang w:val="en-AU"/>
        </w:rPr>
        <w:t xml:space="preserve"> </w:t>
      </w:r>
      <w:r w:rsidRPr="00D14CE9">
        <w:rPr>
          <w:rFonts w:cstheme="majorHAnsi"/>
          <w:szCs w:val="20"/>
          <w:lang w:val="en-AU"/>
        </w:rPr>
        <w:t xml:space="preserve"> </w:t>
      </w:r>
    </w:p>
    <w:p w:rsidR="00C7438D" w:rsidRPr="00D14CE9" w:rsidRDefault="001E4FD3" w:rsidP="00C7438D">
      <w:pPr>
        <w:pStyle w:val="EYBodytextwithparaspace"/>
        <w:rPr>
          <w:rFonts w:cstheme="majorHAnsi"/>
          <w:szCs w:val="20"/>
          <w:lang w:val="en-AU"/>
        </w:rPr>
      </w:pPr>
      <w:r w:rsidRPr="00D14CE9">
        <w:rPr>
          <w:rFonts w:cstheme="majorHAnsi"/>
          <w:szCs w:val="20"/>
          <w:lang w:val="en-AU"/>
        </w:rPr>
        <w:t>Th</w:t>
      </w:r>
      <w:r>
        <w:rPr>
          <w:rFonts w:cstheme="majorHAnsi"/>
          <w:szCs w:val="20"/>
          <w:lang w:val="en-AU"/>
        </w:rPr>
        <w:t>e</w:t>
      </w:r>
      <w:r w:rsidRPr="00D14CE9">
        <w:rPr>
          <w:rFonts w:cstheme="majorHAnsi"/>
          <w:szCs w:val="20"/>
          <w:lang w:val="en-AU"/>
        </w:rPr>
        <w:t xml:space="preserve"> </w:t>
      </w:r>
      <w:r w:rsidR="00855A0C">
        <w:rPr>
          <w:rFonts w:cstheme="majorHAnsi"/>
          <w:szCs w:val="20"/>
          <w:lang w:val="en-AU"/>
        </w:rPr>
        <w:t>table</w:t>
      </w:r>
      <w:r>
        <w:rPr>
          <w:rFonts w:cstheme="majorHAnsi"/>
          <w:szCs w:val="20"/>
          <w:lang w:val="en-AU"/>
        </w:rPr>
        <w:t>s</w:t>
      </w:r>
      <w:r w:rsidR="00855A0C" w:rsidRPr="00D14CE9">
        <w:rPr>
          <w:rFonts w:cstheme="majorHAnsi"/>
          <w:szCs w:val="20"/>
          <w:lang w:val="en-AU"/>
        </w:rPr>
        <w:t xml:space="preserve"> </w:t>
      </w:r>
      <w:r>
        <w:rPr>
          <w:rFonts w:cstheme="majorHAnsi"/>
          <w:szCs w:val="20"/>
          <w:lang w:val="en-AU"/>
        </w:rPr>
        <w:t xml:space="preserve">present </w:t>
      </w:r>
      <w:r w:rsidR="00855A0C">
        <w:rPr>
          <w:rFonts w:cstheme="majorHAnsi"/>
          <w:szCs w:val="20"/>
          <w:lang w:val="en-AU"/>
        </w:rPr>
        <w:t>key aggregated outputs</w:t>
      </w:r>
      <w:r w:rsidR="00715DB8">
        <w:rPr>
          <w:rFonts w:cstheme="majorHAnsi"/>
          <w:szCs w:val="20"/>
          <w:lang w:val="en-AU"/>
        </w:rPr>
        <w:t xml:space="preserve"> from 2015 to 2030 and in 2035, 2040, 2045 and 2050,</w:t>
      </w:r>
      <w:r w:rsidR="00855A0C">
        <w:rPr>
          <w:rFonts w:cstheme="majorHAnsi"/>
          <w:szCs w:val="20"/>
          <w:lang w:val="en-AU"/>
        </w:rPr>
        <w:t xml:space="preserve"> in relation to</w:t>
      </w:r>
      <w:r w:rsidR="00C7438D" w:rsidRPr="00D14CE9">
        <w:rPr>
          <w:rFonts w:cstheme="majorHAnsi"/>
          <w:szCs w:val="20"/>
          <w:lang w:val="en-AU"/>
        </w:rPr>
        <w:t>:</w:t>
      </w:r>
    </w:p>
    <w:p w:rsidR="00855A0C" w:rsidRDefault="00855A0C" w:rsidP="00856574">
      <w:pPr>
        <w:pStyle w:val="ListParagraph"/>
        <w:numPr>
          <w:ilvl w:val="0"/>
          <w:numId w:val="11"/>
        </w:numPr>
        <w:rPr>
          <w:rFonts w:ascii="EYInterstate Light" w:hAnsi="EYInterstate Light"/>
        </w:rPr>
      </w:pPr>
      <w:r>
        <w:rPr>
          <w:rFonts w:ascii="EYInterstate Light" w:hAnsi="EYInterstate Light"/>
        </w:rPr>
        <w:t>Baseline</w:t>
      </w:r>
      <w:r w:rsidR="001E4FD3">
        <w:rPr>
          <w:rFonts w:ascii="EYInterstate Light" w:hAnsi="EYInterstate Light"/>
        </w:rPr>
        <w:t xml:space="preserve"> demand data set.</w:t>
      </w:r>
    </w:p>
    <w:p w:rsidR="00C7438D" w:rsidRPr="00D14CE9" w:rsidRDefault="00C7438D" w:rsidP="00856574">
      <w:pPr>
        <w:pStyle w:val="ListParagraph"/>
        <w:numPr>
          <w:ilvl w:val="0"/>
          <w:numId w:val="11"/>
        </w:numPr>
        <w:rPr>
          <w:rFonts w:ascii="EYInterstate Light" w:hAnsi="EYInterstate Light"/>
        </w:rPr>
      </w:pPr>
      <w:r w:rsidRPr="00D14CE9">
        <w:rPr>
          <w:rFonts w:ascii="EYInterstate Light" w:hAnsi="EYInterstate Light"/>
        </w:rPr>
        <w:t xml:space="preserve">Scenario 1A: </w:t>
      </w:r>
      <w:r w:rsidR="005264FD">
        <w:rPr>
          <w:rFonts w:ascii="EYInterstate Light" w:hAnsi="EYInterstate Light"/>
        </w:rPr>
        <w:t>p</w:t>
      </w:r>
      <w:r w:rsidRPr="00D14CE9">
        <w:rPr>
          <w:rFonts w:ascii="EYInterstate Light" w:hAnsi="EYInterstate Light"/>
        </w:rPr>
        <w:t>opulation and employment growth ahead of government projections</w:t>
      </w:r>
      <w:r w:rsidR="005264FD">
        <w:rPr>
          <w:rFonts w:ascii="EYInterstate Light" w:hAnsi="EYInterstate Light"/>
        </w:rPr>
        <w:t xml:space="preserve"> in Victoria</w:t>
      </w:r>
      <w:r w:rsidRPr="00D14CE9">
        <w:rPr>
          <w:rFonts w:ascii="EYInterstate Light" w:hAnsi="EYInterstate Light"/>
        </w:rPr>
        <w:t xml:space="preserve"> </w:t>
      </w:r>
      <w:r w:rsidR="00C27E63">
        <w:rPr>
          <w:rFonts w:ascii="EYInterstate Light" w:hAnsi="EYInterstate Light"/>
        </w:rPr>
        <w:t>–</w:t>
      </w:r>
      <w:r w:rsidRPr="00D14CE9">
        <w:rPr>
          <w:rFonts w:ascii="EYInterstate Light" w:hAnsi="EYInterstate Light"/>
        </w:rPr>
        <w:t xml:space="preserve"> </w:t>
      </w:r>
      <w:r w:rsidR="00C27E63">
        <w:rPr>
          <w:rFonts w:ascii="EYInterstate Light" w:hAnsi="EYInterstate Light"/>
        </w:rPr>
        <w:t>(</w:t>
      </w:r>
      <w:r w:rsidRPr="00D14CE9">
        <w:rPr>
          <w:rFonts w:ascii="EYInterstate Light" w:hAnsi="EYInterstate Light"/>
        </w:rPr>
        <w:t>20% increase)</w:t>
      </w:r>
      <w:r w:rsidR="001E4FD3">
        <w:rPr>
          <w:rFonts w:ascii="EYInterstate Light" w:hAnsi="EYInterstate Light"/>
        </w:rPr>
        <w:t>.</w:t>
      </w:r>
    </w:p>
    <w:p w:rsidR="00C7438D" w:rsidRPr="00D14CE9" w:rsidRDefault="00C7438D" w:rsidP="00856574">
      <w:pPr>
        <w:pStyle w:val="ListParagraph"/>
        <w:numPr>
          <w:ilvl w:val="0"/>
          <w:numId w:val="11"/>
        </w:numPr>
        <w:rPr>
          <w:rFonts w:ascii="EYInterstate Light" w:hAnsi="EYInterstate Light"/>
        </w:rPr>
      </w:pPr>
      <w:r w:rsidRPr="00D14CE9">
        <w:rPr>
          <w:rFonts w:ascii="EYInterstate Light" w:hAnsi="EYInterstate Light"/>
        </w:rPr>
        <w:t xml:space="preserve">Scenario 1B: </w:t>
      </w:r>
      <w:r w:rsidR="005264FD">
        <w:rPr>
          <w:rFonts w:ascii="EYInterstate Light" w:hAnsi="EYInterstate Light"/>
        </w:rPr>
        <w:t>p</w:t>
      </w:r>
      <w:r w:rsidR="005264FD" w:rsidRPr="00D14CE9">
        <w:rPr>
          <w:rFonts w:ascii="EYInterstate Light" w:hAnsi="EYInterstate Light"/>
        </w:rPr>
        <w:t xml:space="preserve">opulation and employment growth ahead of government projections </w:t>
      </w:r>
      <w:r w:rsidR="005264FD">
        <w:rPr>
          <w:rFonts w:ascii="EYInterstate Light" w:hAnsi="EYInterstate Light"/>
        </w:rPr>
        <w:t>–</w:t>
      </w:r>
      <w:r w:rsidR="005264FD" w:rsidRPr="00D14CE9">
        <w:rPr>
          <w:rFonts w:ascii="EYInterstate Light" w:hAnsi="EYInterstate Light"/>
        </w:rPr>
        <w:t xml:space="preserve"> </w:t>
      </w:r>
      <w:r w:rsidR="005264FD">
        <w:rPr>
          <w:rFonts w:ascii="EYInterstate Light" w:hAnsi="EYInterstate Light"/>
        </w:rPr>
        <w:t>(</w:t>
      </w:r>
      <w:r w:rsidR="005264FD" w:rsidRPr="00D14CE9">
        <w:rPr>
          <w:rFonts w:ascii="EYInterstate Light" w:hAnsi="EYInterstate Light"/>
        </w:rPr>
        <w:t>20% increase</w:t>
      </w:r>
      <w:r w:rsidR="005264FD">
        <w:rPr>
          <w:rFonts w:ascii="EYInterstate Light" w:hAnsi="EYInterstate Light"/>
        </w:rPr>
        <w:t>)</w:t>
      </w:r>
      <w:r w:rsidRPr="00D14CE9">
        <w:rPr>
          <w:rFonts w:ascii="EYInterstate Light" w:hAnsi="EYInterstate Light"/>
        </w:rPr>
        <w:t xml:space="preserve"> in Wyndham LGA only</w:t>
      </w:r>
      <w:r w:rsidR="001E4FD3">
        <w:rPr>
          <w:rFonts w:ascii="EYInterstate Light" w:hAnsi="EYInterstate Light"/>
        </w:rPr>
        <w:t>.</w:t>
      </w:r>
    </w:p>
    <w:p w:rsidR="00C7438D" w:rsidRPr="00D14CE9" w:rsidRDefault="00C7438D" w:rsidP="00856574">
      <w:pPr>
        <w:pStyle w:val="ListParagraph"/>
        <w:numPr>
          <w:ilvl w:val="0"/>
          <w:numId w:val="11"/>
        </w:numPr>
        <w:rPr>
          <w:rFonts w:ascii="EYInterstate Light" w:hAnsi="EYInterstate Light"/>
        </w:rPr>
      </w:pPr>
      <w:r w:rsidRPr="00D14CE9">
        <w:rPr>
          <w:rFonts w:ascii="EYInterstate Light" w:hAnsi="EYInterstate Light"/>
        </w:rPr>
        <w:t xml:space="preserve">Scenario 2A: </w:t>
      </w:r>
      <w:r w:rsidR="005264FD">
        <w:rPr>
          <w:rFonts w:ascii="EYInterstate Light" w:hAnsi="EYInterstate Light"/>
        </w:rPr>
        <w:t>p</w:t>
      </w:r>
      <w:r w:rsidRPr="00D14CE9">
        <w:rPr>
          <w:rFonts w:ascii="EYInterstate Light" w:hAnsi="EYInterstate Light"/>
        </w:rPr>
        <w:t xml:space="preserve">opulation and employment growth behind government projections </w:t>
      </w:r>
      <w:r w:rsidR="005264FD">
        <w:rPr>
          <w:rFonts w:ascii="EYInterstate Light" w:hAnsi="EYInterstate Light"/>
        </w:rPr>
        <w:t>in Victoria</w:t>
      </w:r>
      <w:r w:rsidRPr="00D14CE9">
        <w:rPr>
          <w:rFonts w:ascii="EYInterstate Light" w:hAnsi="EYInterstate Light"/>
        </w:rPr>
        <w:t>– (20% decrease)</w:t>
      </w:r>
      <w:r w:rsidR="001E4FD3">
        <w:rPr>
          <w:rFonts w:ascii="EYInterstate Light" w:hAnsi="EYInterstate Light"/>
        </w:rPr>
        <w:t>.</w:t>
      </w:r>
    </w:p>
    <w:p w:rsidR="00C7438D" w:rsidRPr="00D14CE9" w:rsidRDefault="00C7438D" w:rsidP="00856574">
      <w:pPr>
        <w:pStyle w:val="ListParagraph"/>
        <w:numPr>
          <w:ilvl w:val="0"/>
          <w:numId w:val="11"/>
        </w:numPr>
        <w:rPr>
          <w:rFonts w:ascii="EYInterstate Light" w:hAnsi="EYInterstate Light"/>
        </w:rPr>
      </w:pPr>
      <w:r w:rsidRPr="00D14CE9">
        <w:rPr>
          <w:rFonts w:ascii="EYInterstate Light" w:hAnsi="EYInterstate Light"/>
        </w:rPr>
        <w:t xml:space="preserve">Scenario 3A: Redistribution toward Urban Infill </w:t>
      </w:r>
      <w:r w:rsidR="005264FD">
        <w:rPr>
          <w:rFonts w:ascii="EYInterstate Light" w:hAnsi="EYInterstate Light"/>
        </w:rPr>
        <w:t>LGAs</w:t>
      </w:r>
      <w:r w:rsidR="001E4FD3">
        <w:rPr>
          <w:rFonts w:ascii="EYInterstate Light" w:hAnsi="EYInterstate Light"/>
        </w:rPr>
        <w:t>.</w:t>
      </w:r>
    </w:p>
    <w:p w:rsidR="00C7438D" w:rsidRPr="00D14CE9" w:rsidRDefault="00C7438D" w:rsidP="00856574">
      <w:pPr>
        <w:pStyle w:val="ListParagraph"/>
        <w:numPr>
          <w:ilvl w:val="0"/>
          <w:numId w:val="11"/>
        </w:numPr>
        <w:rPr>
          <w:rFonts w:ascii="EYInterstate Light" w:hAnsi="EYInterstate Light"/>
        </w:rPr>
      </w:pPr>
      <w:r w:rsidRPr="00D14CE9">
        <w:rPr>
          <w:rFonts w:ascii="EYInterstate Light" w:hAnsi="EYInterstate Light"/>
        </w:rPr>
        <w:t>Scenario 3B: Redistribution towards Urban Growth Areas</w:t>
      </w:r>
      <w:r w:rsidR="005264FD">
        <w:rPr>
          <w:rFonts w:ascii="EYInterstate Light" w:hAnsi="EYInterstate Light"/>
        </w:rPr>
        <w:t xml:space="preserve"> LGAs</w:t>
      </w:r>
      <w:r w:rsidR="001E4FD3">
        <w:rPr>
          <w:rFonts w:ascii="EYInterstate Light" w:hAnsi="EYInterstate Light"/>
        </w:rPr>
        <w:t>.</w:t>
      </w:r>
    </w:p>
    <w:p w:rsidR="00855A0C" w:rsidRDefault="00855A0C" w:rsidP="000F40D7">
      <w:pPr>
        <w:rPr>
          <w:rFonts w:cstheme="majorHAnsi"/>
          <w:kern w:val="12"/>
          <w:highlight w:val="yellow"/>
        </w:rPr>
        <w:sectPr w:rsidR="00855A0C" w:rsidSect="000B6297">
          <w:footerReference w:type="default" r:id="rId66"/>
          <w:pgSz w:w="11909" w:h="16834" w:code="9"/>
          <w:pgMar w:top="1440" w:right="1440" w:bottom="1440" w:left="1440" w:header="720" w:footer="567" w:gutter="0"/>
          <w:cols w:space="720"/>
          <w:docGrid w:linePitch="360"/>
        </w:sectPr>
      </w:pPr>
    </w:p>
    <w:tbl>
      <w:tblPr>
        <w:tblW w:w="140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41"/>
        <w:tblDescription w:val="Table 41 shows the production of extractive resources in Victoria from 2015 – 2050 under the baseline scenario.  In 2015 total demand is 46.4 million tonnes. In 2026 it is estimated to be 55.8 million tonnes and in 2050 it is estimated to be 87.8 million tonnes."/>
      </w:tblPr>
      <w:tblGrid>
        <w:gridCol w:w="1471"/>
        <w:gridCol w:w="627"/>
        <w:gridCol w:w="627"/>
        <w:gridCol w:w="629"/>
        <w:gridCol w:w="628"/>
        <w:gridCol w:w="629"/>
        <w:gridCol w:w="628"/>
        <w:gridCol w:w="628"/>
        <w:gridCol w:w="629"/>
        <w:gridCol w:w="628"/>
        <w:gridCol w:w="629"/>
        <w:gridCol w:w="628"/>
        <w:gridCol w:w="629"/>
        <w:gridCol w:w="629"/>
        <w:gridCol w:w="629"/>
        <w:gridCol w:w="629"/>
        <w:gridCol w:w="629"/>
        <w:gridCol w:w="629"/>
        <w:gridCol w:w="629"/>
        <w:gridCol w:w="629"/>
        <w:gridCol w:w="610"/>
        <w:gridCol w:w="19"/>
      </w:tblGrid>
      <w:tr w:rsidR="00855A0C" w:rsidRPr="00D14CE9" w:rsidTr="00DE64F6">
        <w:trPr>
          <w:gridAfter w:val="1"/>
          <w:wAfter w:w="19" w:type="dxa"/>
          <w:trHeight w:val="300"/>
        </w:trPr>
        <w:tc>
          <w:tcPr>
            <w:tcW w:w="14023" w:type="dxa"/>
            <w:gridSpan w:val="21"/>
            <w:shd w:val="clear" w:color="auto" w:fill="808080"/>
            <w:noWrap/>
            <w:vAlign w:val="bottom"/>
          </w:tcPr>
          <w:p w:rsidR="00855A0C" w:rsidRPr="00D14CE9" w:rsidRDefault="00855A0C" w:rsidP="00802792">
            <w:pPr>
              <w:pStyle w:val="EYTableHeadingWhite"/>
            </w:pPr>
            <w:bookmarkStart w:id="774" w:name="_Toc445240974"/>
            <w:bookmarkStart w:id="775" w:name="_Toc448914667"/>
            <w:bookmarkStart w:id="776" w:name="_Toc448920485"/>
            <w:r w:rsidRPr="00D14CE9">
              <w:lastRenderedPageBreak/>
              <w:t xml:space="preserve">Table </w:t>
            </w:r>
            <w:r w:rsidRPr="00372DE0">
              <w:fldChar w:fldCharType="begin"/>
            </w:r>
            <w:r w:rsidRPr="00D14CE9">
              <w:instrText xml:space="preserve"> SEQ Table \* ARABIC </w:instrText>
            </w:r>
            <w:r w:rsidRPr="00372DE0">
              <w:fldChar w:fldCharType="separate"/>
            </w:r>
            <w:r w:rsidR="00525C82">
              <w:rPr>
                <w:noProof/>
              </w:rPr>
              <w:t>41</w:t>
            </w:r>
            <w:r w:rsidRPr="00372DE0">
              <w:fldChar w:fldCharType="end"/>
            </w:r>
            <w:r w:rsidRPr="00D14CE9">
              <w:t xml:space="preserve"> – Production of Extractive Resources </w:t>
            </w:r>
            <w:r>
              <w:t>in Victoria - 2015-2050</w:t>
            </w:r>
            <w:r w:rsidRPr="00D14CE9">
              <w:t xml:space="preserve"> (in million tonnes)</w:t>
            </w:r>
            <w:r>
              <w:t xml:space="preserve"> - Baseline</w:t>
            </w:r>
            <w:bookmarkEnd w:id="774"/>
            <w:bookmarkEnd w:id="775"/>
            <w:bookmarkEnd w:id="776"/>
          </w:p>
        </w:tc>
      </w:tr>
      <w:tr w:rsidR="002469B5" w:rsidRPr="00D14CE9" w:rsidTr="00855A0C">
        <w:trPr>
          <w:trHeight w:val="286"/>
        </w:trPr>
        <w:tc>
          <w:tcPr>
            <w:tcW w:w="1471" w:type="dxa"/>
            <w:tcBorders>
              <w:bottom w:val="single" w:sz="4" w:space="0" w:color="BFBFBF" w:themeColor="background1" w:themeShade="BF"/>
            </w:tcBorders>
            <w:shd w:val="clear" w:color="auto" w:fill="F0F0F0"/>
            <w:vAlign w:val="bottom"/>
          </w:tcPr>
          <w:p w:rsidR="00855A0C" w:rsidRPr="00D14CE9" w:rsidRDefault="00855A0C" w:rsidP="00DE64F6">
            <w:pPr>
              <w:pStyle w:val="EYTableHeading"/>
              <w:rPr>
                <w:rFonts w:eastAsia="Arial Unicode MS"/>
              </w:rPr>
            </w:pPr>
            <w:r w:rsidRPr="00D14CE9">
              <w:t>Rock type</w:t>
            </w:r>
          </w:p>
        </w:tc>
        <w:tc>
          <w:tcPr>
            <w:tcW w:w="627" w:type="dxa"/>
            <w:tcBorders>
              <w:bottom w:val="single" w:sz="4" w:space="0" w:color="BFBFBF" w:themeColor="background1" w:themeShade="BF"/>
            </w:tcBorders>
            <w:shd w:val="clear" w:color="auto" w:fill="F0F0F0"/>
            <w:vAlign w:val="bottom"/>
          </w:tcPr>
          <w:p w:rsidR="00855A0C" w:rsidRPr="00D14CE9" w:rsidRDefault="00855A0C" w:rsidP="00DE64F6">
            <w:pPr>
              <w:pStyle w:val="EYTableHeading"/>
              <w:rPr>
                <w:rFonts w:eastAsia="Arial Unicode MS"/>
              </w:rPr>
            </w:pPr>
            <w:r>
              <w:rPr>
                <w:rFonts w:eastAsia="Arial Unicode MS"/>
              </w:rPr>
              <w:t>2015</w:t>
            </w:r>
          </w:p>
        </w:tc>
        <w:tc>
          <w:tcPr>
            <w:tcW w:w="627" w:type="dxa"/>
            <w:tcBorders>
              <w:bottom w:val="single" w:sz="4" w:space="0" w:color="BFBFBF" w:themeColor="background1" w:themeShade="BF"/>
            </w:tcBorders>
            <w:shd w:val="clear" w:color="auto" w:fill="F0F0F0"/>
            <w:vAlign w:val="bottom"/>
          </w:tcPr>
          <w:p w:rsidR="00855A0C" w:rsidRPr="00D14CE9" w:rsidRDefault="00855A0C" w:rsidP="00DE64F6">
            <w:pPr>
              <w:pStyle w:val="EYTableHeading"/>
              <w:rPr>
                <w:rFonts w:eastAsia="Arial Unicode MS"/>
              </w:rPr>
            </w:pPr>
            <w:r>
              <w:rPr>
                <w:rFonts w:eastAsia="Arial Unicode MS"/>
              </w:rPr>
              <w:t>2016</w:t>
            </w:r>
          </w:p>
        </w:tc>
        <w:tc>
          <w:tcPr>
            <w:tcW w:w="629" w:type="dxa"/>
            <w:tcBorders>
              <w:bottom w:val="single" w:sz="4" w:space="0" w:color="BFBFBF" w:themeColor="background1" w:themeShade="BF"/>
            </w:tcBorders>
            <w:shd w:val="clear" w:color="auto" w:fill="F0F0F0"/>
            <w:vAlign w:val="bottom"/>
          </w:tcPr>
          <w:p w:rsidR="00855A0C" w:rsidRPr="00D14CE9" w:rsidRDefault="00855A0C" w:rsidP="00DE64F6">
            <w:pPr>
              <w:pStyle w:val="EYTableHeading"/>
              <w:rPr>
                <w:rFonts w:eastAsia="Arial Unicode MS"/>
              </w:rPr>
            </w:pPr>
            <w:r>
              <w:rPr>
                <w:rFonts w:eastAsia="Arial Unicode MS"/>
              </w:rPr>
              <w:t>2017</w:t>
            </w:r>
          </w:p>
        </w:tc>
        <w:tc>
          <w:tcPr>
            <w:tcW w:w="628"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2018</w:t>
            </w:r>
          </w:p>
        </w:tc>
        <w:tc>
          <w:tcPr>
            <w:tcW w:w="629"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2019</w:t>
            </w:r>
          </w:p>
        </w:tc>
        <w:tc>
          <w:tcPr>
            <w:tcW w:w="628"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2020</w:t>
            </w:r>
          </w:p>
        </w:tc>
        <w:tc>
          <w:tcPr>
            <w:tcW w:w="628"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2021</w:t>
            </w:r>
          </w:p>
        </w:tc>
        <w:tc>
          <w:tcPr>
            <w:tcW w:w="629"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2022</w:t>
            </w:r>
          </w:p>
        </w:tc>
        <w:tc>
          <w:tcPr>
            <w:tcW w:w="628"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2023</w:t>
            </w:r>
          </w:p>
        </w:tc>
        <w:tc>
          <w:tcPr>
            <w:tcW w:w="629"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2024</w:t>
            </w:r>
          </w:p>
        </w:tc>
        <w:tc>
          <w:tcPr>
            <w:tcW w:w="628"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2025</w:t>
            </w:r>
          </w:p>
        </w:tc>
        <w:tc>
          <w:tcPr>
            <w:tcW w:w="629"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2026</w:t>
            </w:r>
          </w:p>
        </w:tc>
        <w:tc>
          <w:tcPr>
            <w:tcW w:w="629"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2027</w:t>
            </w:r>
          </w:p>
        </w:tc>
        <w:tc>
          <w:tcPr>
            <w:tcW w:w="629"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2028</w:t>
            </w:r>
          </w:p>
        </w:tc>
        <w:tc>
          <w:tcPr>
            <w:tcW w:w="629"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2029</w:t>
            </w:r>
          </w:p>
        </w:tc>
        <w:tc>
          <w:tcPr>
            <w:tcW w:w="629"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2030</w:t>
            </w:r>
          </w:p>
        </w:tc>
        <w:tc>
          <w:tcPr>
            <w:tcW w:w="629" w:type="dxa"/>
            <w:tcBorders>
              <w:bottom w:val="single" w:sz="4" w:space="0" w:color="BFBFBF" w:themeColor="background1" w:themeShade="BF"/>
            </w:tcBorders>
            <w:shd w:val="clear" w:color="auto" w:fill="F0F0F0"/>
          </w:tcPr>
          <w:p w:rsidR="00855A0C" w:rsidRPr="00D14CE9" w:rsidRDefault="00855A0C" w:rsidP="00802792">
            <w:pPr>
              <w:pStyle w:val="EYTableHeading"/>
              <w:rPr>
                <w:rFonts w:eastAsia="Arial Unicode MS"/>
              </w:rPr>
            </w:pPr>
            <w:r>
              <w:rPr>
                <w:rFonts w:eastAsia="Arial Unicode MS"/>
              </w:rPr>
              <w:t>2035</w:t>
            </w:r>
          </w:p>
        </w:tc>
        <w:tc>
          <w:tcPr>
            <w:tcW w:w="629" w:type="dxa"/>
            <w:tcBorders>
              <w:bottom w:val="single" w:sz="4" w:space="0" w:color="BFBFBF" w:themeColor="background1" w:themeShade="BF"/>
            </w:tcBorders>
            <w:shd w:val="clear" w:color="auto" w:fill="F0F0F0"/>
          </w:tcPr>
          <w:p w:rsidR="00855A0C" w:rsidRPr="00D14CE9" w:rsidRDefault="00855A0C" w:rsidP="00133B47">
            <w:pPr>
              <w:pStyle w:val="EYTableHeading"/>
              <w:rPr>
                <w:rFonts w:eastAsia="Arial Unicode MS"/>
              </w:rPr>
            </w:pPr>
            <w:r>
              <w:rPr>
                <w:rFonts w:eastAsia="Arial Unicode MS"/>
              </w:rPr>
              <w:t>2040</w:t>
            </w:r>
          </w:p>
        </w:tc>
        <w:tc>
          <w:tcPr>
            <w:tcW w:w="629" w:type="dxa"/>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2045</w:t>
            </w:r>
          </w:p>
        </w:tc>
        <w:tc>
          <w:tcPr>
            <w:tcW w:w="629" w:type="dxa"/>
            <w:gridSpan w:val="2"/>
            <w:tcBorders>
              <w:bottom w:val="single" w:sz="4" w:space="0" w:color="BFBFBF" w:themeColor="background1" w:themeShade="BF"/>
            </w:tcBorders>
            <w:shd w:val="clear" w:color="auto" w:fill="F0F0F0"/>
          </w:tcPr>
          <w:p w:rsidR="00855A0C" w:rsidRPr="00D14CE9" w:rsidRDefault="00855A0C" w:rsidP="00DE64F6">
            <w:pPr>
              <w:pStyle w:val="EYTableHeading"/>
              <w:rPr>
                <w:rFonts w:eastAsia="Arial Unicode MS"/>
              </w:rPr>
            </w:pPr>
            <w:r>
              <w:rPr>
                <w:rFonts w:eastAsia="Arial Unicode MS"/>
              </w:rPr>
              <w:t>2050</w:t>
            </w:r>
          </w:p>
        </w:tc>
      </w:tr>
      <w:tr w:rsidR="00855A0C" w:rsidRPr="004839B9" w:rsidTr="00DE64F6">
        <w:trPr>
          <w:trHeight w:val="300"/>
        </w:trPr>
        <w:tc>
          <w:tcPr>
            <w:tcW w:w="14042" w:type="dxa"/>
            <w:gridSpan w:val="22"/>
            <w:shd w:val="clear" w:color="auto" w:fill="A6A6A6" w:themeFill="background1" w:themeFillShade="A6"/>
            <w:noWrap/>
            <w:vAlign w:val="center"/>
          </w:tcPr>
          <w:p w:rsidR="00855A0C" w:rsidRPr="004839B9" w:rsidRDefault="00855A0C" w:rsidP="00E65C9D">
            <w:pPr>
              <w:rPr>
                <w:rFonts w:cs="Calibri"/>
                <w:color w:val="FFFFFF" w:themeColor="background1"/>
                <w:sz w:val="16"/>
                <w:szCs w:val="16"/>
              </w:rPr>
            </w:pPr>
            <w:r w:rsidRPr="004839B9">
              <w:rPr>
                <w:color w:val="FFFFFF" w:themeColor="background1"/>
                <w:sz w:val="16"/>
                <w:szCs w:val="16"/>
              </w:rPr>
              <w:t>Baseline</w:t>
            </w:r>
          </w:p>
        </w:tc>
      </w:tr>
      <w:tr w:rsidR="008115A9" w:rsidRPr="00D14CE9" w:rsidTr="00E65C9D">
        <w:trPr>
          <w:trHeight w:val="300"/>
        </w:trPr>
        <w:tc>
          <w:tcPr>
            <w:tcW w:w="1471" w:type="dxa"/>
            <w:noWrap/>
            <w:vAlign w:val="center"/>
          </w:tcPr>
          <w:p w:rsidR="008115A9" w:rsidRPr="00802792" w:rsidRDefault="008115A9" w:rsidP="00802792">
            <w:pPr>
              <w:rPr>
                <w:sz w:val="16"/>
                <w:szCs w:val="16"/>
              </w:rPr>
            </w:pPr>
            <w:r>
              <w:rPr>
                <w:sz w:val="16"/>
                <w:szCs w:val="16"/>
              </w:rPr>
              <w:t>Hard rock</w:t>
            </w:r>
          </w:p>
        </w:tc>
        <w:tc>
          <w:tcPr>
            <w:tcW w:w="627" w:type="dxa"/>
            <w:noWrap/>
            <w:vAlign w:val="center"/>
          </w:tcPr>
          <w:p w:rsidR="008115A9" w:rsidRPr="00802792" w:rsidRDefault="008115A9" w:rsidP="00E65C9D">
            <w:pPr>
              <w:jc w:val="center"/>
              <w:rPr>
                <w:sz w:val="16"/>
                <w:szCs w:val="16"/>
              </w:rPr>
            </w:pPr>
            <w:r w:rsidRPr="001B623F">
              <w:rPr>
                <w:rFonts w:cs="Calibri"/>
                <w:color w:val="000000"/>
                <w:sz w:val="16"/>
                <w:szCs w:val="16"/>
              </w:rPr>
              <w:t>30.5</w:t>
            </w:r>
          </w:p>
        </w:tc>
        <w:tc>
          <w:tcPr>
            <w:tcW w:w="627" w:type="dxa"/>
            <w:noWrap/>
            <w:vAlign w:val="center"/>
          </w:tcPr>
          <w:p w:rsidR="008115A9" w:rsidRPr="00802792" w:rsidRDefault="008115A9" w:rsidP="00E65C9D">
            <w:pPr>
              <w:jc w:val="center"/>
              <w:rPr>
                <w:sz w:val="16"/>
                <w:szCs w:val="16"/>
              </w:rPr>
            </w:pPr>
            <w:r w:rsidRPr="001B623F">
              <w:rPr>
                <w:rFonts w:cs="Calibri"/>
                <w:color w:val="000000"/>
                <w:sz w:val="16"/>
                <w:szCs w:val="16"/>
              </w:rPr>
              <w:t>31.3</w:t>
            </w:r>
          </w:p>
        </w:tc>
        <w:tc>
          <w:tcPr>
            <w:tcW w:w="629" w:type="dxa"/>
            <w:noWrap/>
            <w:vAlign w:val="center"/>
          </w:tcPr>
          <w:p w:rsidR="008115A9" w:rsidRPr="00802792" w:rsidRDefault="008115A9" w:rsidP="00E65C9D">
            <w:pPr>
              <w:jc w:val="center"/>
              <w:rPr>
                <w:sz w:val="16"/>
                <w:szCs w:val="16"/>
              </w:rPr>
            </w:pPr>
            <w:r w:rsidRPr="001B623F">
              <w:rPr>
                <w:rFonts w:cs="Calibri"/>
                <w:color w:val="000000"/>
                <w:sz w:val="16"/>
                <w:szCs w:val="16"/>
              </w:rPr>
              <w:t>32.2</w:t>
            </w:r>
          </w:p>
        </w:tc>
        <w:tc>
          <w:tcPr>
            <w:tcW w:w="628" w:type="dxa"/>
            <w:vAlign w:val="center"/>
          </w:tcPr>
          <w:p w:rsidR="008115A9" w:rsidRPr="00802792" w:rsidRDefault="008115A9" w:rsidP="00E65C9D">
            <w:pPr>
              <w:jc w:val="center"/>
              <w:rPr>
                <w:sz w:val="16"/>
                <w:szCs w:val="16"/>
              </w:rPr>
            </w:pPr>
            <w:r w:rsidRPr="001B623F">
              <w:rPr>
                <w:rFonts w:cs="Calibri"/>
                <w:color w:val="000000"/>
                <w:sz w:val="16"/>
                <w:szCs w:val="16"/>
              </w:rPr>
              <w:t>33.0</w:t>
            </w:r>
          </w:p>
        </w:tc>
        <w:tc>
          <w:tcPr>
            <w:tcW w:w="629" w:type="dxa"/>
            <w:vAlign w:val="center"/>
          </w:tcPr>
          <w:p w:rsidR="008115A9" w:rsidRPr="00802792" w:rsidRDefault="008115A9" w:rsidP="00E65C9D">
            <w:pPr>
              <w:jc w:val="center"/>
              <w:rPr>
                <w:sz w:val="16"/>
                <w:szCs w:val="16"/>
              </w:rPr>
            </w:pPr>
            <w:r w:rsidRPr="001B623F">
              <w:rPr>
                <w:rFonts w:cs="Calibri"/>
                <w:color w:val="000000"/>
                <w:sz w:val="16"/>
                <w:szCs w:val="16"/>
              </w:rPr>
              <w:t>33.9</w:t>
            </w:r>
          </w:p>
        </w:tc>
        <w:tc>
          <w:tcPr>
            <w:tcW w:w="628" w:type="dxa"/>
            <w:vAlign w:val="center"/>
          </w:tcPr>
          <w:p w:rsidR="008115A9" w:rsidRPr="00802792" w:rsidRDefault="008115A9" w:rsidP="00E65C9D">
            <w:pPr>
              <w:jc w:val="center"/>
              <w:rPr>
                <w:sz w:val="16"/>
                <w:szCs w:val="16"/>
              </w:rPr>
            </w:pPr>
            <w:r w:rsidRPr="001B623F">
              <w:rPr>
                <w:rFonts w:cs="Calibri"/>
                <w:color w:val="000000"/>
                <w:sz w:val="16"/>
                <w:szCs w:val="16"/>
              </w:rPr>
              <w:t>34.8</w:t>
            </w:r>
          </w:p>
        </w:tc>
        <w:tc>
          <w:tcPr>
            <w:tcW w:w="628" w:type="dxa"/>
            <w:vAlign w:val="center"/>
          </w:tcPr>
          <w:p w:rsidR="008115A9" w:rsidRPr="00802792" w:rsidRDefault="008115A9" w:rsidP="00E65C9D">
            <w:pPr>
              <w:jc w:val="center"/>
              <w:rPr>
                <w:sz w:val="16"/>
                <w:szCs w:val="16"/>
              </w:rPr>
            </w:pPr>
            <w:r w:rsidRPr="001B623F">
              <w:rPr>
                <w:rFonts w:cs="Calibri"/>
                <w:color w:val="000000"/>
                <w:sz w:val="16"/>
                <w:szCs w:val="16"/>
              </w:rPr>
              <w:t>35.8</w:t>
            </w:r>
          </w:p>
        </w:tc>
        <w:tc>
          <w:tcPr>
            <w:tcW w:w="629" w:type="dxa"/>
            <w:vAlign w:val="center"/>
          </w:tcPr>
          <w:p w:rsidR="008115A9" w:rsidRPr="00802792" w:rsidRDefault="008115A9" w:rsidP="00E65C9D">
            <w:pPr>
              <w:jc w:val="center"/>
              <w:rPr>
                <w:sz w:val="16"/>
                <w:szCs w:val="16"/>
              </w:rPr>
            </w:pPr>
            <w:r w:rsidRPr="001B623F">
              <w:rPr>
                <w:rFonts w:cs="Calibri"/>
                <w:color w:val="000000"/>
                <w:sz w:val="16"/>
                <w:szCs w:val="16"/>
              </w:rPr>
              <w:t>34.3</w:t>
            </w:r>
          </w:p>
        </w:tc>
        <w:tc>
          <w:tcPr>
            <w:tcW w:w="628" w:type="dxa"/>
            <w:vAlign w:val="center"/>
          </w:tcPr>
          <w:p w:rsidR="008115A9" w:rsidRPr="00802792" w:rsidRDefault="008115A9" w:rsidP="00E65C9D">
            <w:pPr>
              <w:jc w:val="center"/>
              <w:rPr>
                <w:sz w:val="16"/>
                <w:szCs w:val="16"/>
              </w:rPr>
            </w:pPr>
            <w:r w:rsidRPr="001B623F">
              <w:rPr>
                <w:rFonts w:cs="Calibri"/>
                <w:color w:val="000000"/>
                <w:sz w:val="16"/>
                <w:szCs w:val="16"/>
              </w:rPr>
              <w:t>35.2</w:t>
            </w:r>
          </w:p>
        </w:tc>
        <w:tc>
          <w:tcPr>
            <w:tcW w:w="629" w:type="dxa"/>
            <w:vAlign w:val="center"/>
          </w:tcPr>
          <w:p w:rsidR="008115A9" w:rsidRPr="00802792" w:rsidRDefault="008115A9" w:rsidP="00E65C9D">
            <w:pPr>
              <w:jc w:val="center"/>
              <w:rPr>
                <w:sz w:val="16"/>
                <w:szCs w:val="16"/>
              </w:rPr>
            </w:pPr>
            <w:r w:rsidRPr="001B623F">
              <w:rPr>
                <w:rFonts w:cs="Calibri"/>
                <w:color w:val="000000"/>
                <w:sz w:val="16"/>
                <w:szCs w:val="16"/>
              </w:rPr>
              <w:t>36.1</w:t>
            </w:r>
          </w:p>
        </w:tc>
        <w:tc>
          <w:tcPr>
            <w:tcW w:w="628" w:type="dxa"/>
            <w:vAlign w:val="center"/>
          </w:tcPr>
          <w:p w:rsidR="008115A9" w:rsidRPr="00802792" w:rsidRDefault="008115A9" w:rsidP="00E65C9D">
            <w:pPr>
              <w:jc w:val="center"/>
              <w:rPr>
                <w:sz w:val="16"/>
                <w:szCs w:val="16"/>
              </w:rPr>
            </w:pPr>
            <w:r w:rsidRPr="001B623F">
              <w:rPr>
                <w:rFonts w:cs="Calibri"/>
                <w:color w:val="000000"/>
                <w:sz w:val="16"/>
                <w:szCs w:val="16"/>
              </w:rPr>
              <w:t>37.0</w:t>
            </w:r>
          </w:p>
        </w:tc>
        <w:tc>
          <w:tcPr>
            <w:tcW w:w="629" w:type="dxa"/>
            <w:vAlign w:val="center"/>
          </w:tcPr>
          <w:p w:rsidR="008115A9" w:rsidRPr="00802792" w:rsidRDefault="008115A9" w:rsidP="00E65C9D">
            <w:pPr>
              <w:jc w:val="center"/>
              <w:rPr>
                <w:sz w:val="16"/>
                <w:szCs w:val="16"/>
              </w:rPr>
            </w:pPr>
            <w:r w:rsidRPr="001B623F">
              <w:rPr>
                <w:rFonts w:cs="Calibri"/>
                <w:color w:val="000000"/>
                <w:sz w:val="16"/>
                <w:szCs w:val="16"/>
              </w:rPr>
              <w:t>38.0</w:t>
            </w:r>
          </w:p>
        </w:tc>
        <w:tc>
          <w:tcPr>
            <w:tcW w:w="629" w:type="dxa"/>
            <w:vAlign w:val="center"/>
          </w:tcPr>
          <w:p w:rsidR="008115A9" w:rsidRPr="00802792" w:rsidRDefault="008115A9" w:rsidP="00E65C9D">
            <w:pPr>
              <w:jc w:val="center"/>
              <w:rPr>
                <w:rFonts w:cs="Calibri"/>
                <w:color w:val="000000"/>
                <w:sz w:val="16"/>
                <w:szCs w:val="16"/>
              </w:rPr>
            </w:pPr>
            <w:r w:rsidRPr="001B623F">
              <w:rPr>
                <w:rFonts w:cs="Calibri"/>
                <w:color w:val="000000"/>
                <w:sz w:val="16"/>
                <w:szCs w:val="16"/>
              </w:rPr>
              <w:t>38.9</w:t>
            </w:r>
          </w:p>
        </w:tc>
        <w:tc>
          <w:tcPr>
            <w:tcW w:w="629" w:type="dxa"/>
            <w:vAlign w:val="center"/>
          </w:tcPr>
          <w:p w:rsidR="008115A9" w:rsidRPr="00802792" w:rsidRDefault="008115A9" w:rsidP="00E65C9D">
            <w:pPr>
              <w:jc w:val="center"/>
              <w:rPr>
                <w:rFonts w:cs="Calibri"/>
                <w:color w:val="000000"/>
                <w:sz w:val="16"/>
                <w:szCs w:val="16"/>
              </w:rPr>
            </w:pPr>
            <w:r w:rsidRPr="001B623F">
              <w:rPr>
                <w:rFonts w:cs="Calibri"/>
                <w:color w:val="000000"/>
                <w:sz w:val="16"/>
                <w:szCs w:val="16"/>
              </w:rPr>
              <w:t>39.9</w:t>
            </w:r>
          </w:p>
        </w:tc>
        <w:tc>
          <w:tcPr>
            <w:tcW w:w="629" w:type="dxa"/>
            <w:vAlign w:val="center"/>
          </w:tcPr>
          <w:p w:rsidR="008115A9" w:rsidRPr="00802792" w:rsidRDefault="008115A9" w:rsidP="00E65C9D">
            <w:pPr>
              <w:jc w:val="center"/>
              <w:rPr>
                <w:rFonts w:cs="Calibri"/>
                <w:color w:val="000000"/>
                <w:sz w:val="16"/>
                <w:szCs w:val="16"/>
              </w:rPr>
            </w:pPr>
            <w:r w:rsidRPr="001B623F">
              <w:rPr>
                <w:rFonts w:cs="Calibri"/>
                <w:color w:val="000000"/>
                <w:sz w:val="16"/>
                <w:szCs w:val="16"/>
              </w:rPr>
              <w:t>41.0</w:t>
            </w:r>
          </w:p>
        </w:tc>
        <w:tc>
          <w:tcPr>
            <w:tcW w:w="629" w:type="dxa"/>
            <w:vAlign w:val="center"/>
          </w:tcPr>
          <w:p w:rsidR="008115A9" w:rsidRPr="00802792" w:rsidRDefault="008115A9" w:rsidP="00E65C9D">
            <w:pPr>
              <w:jc w:val="center"/>
              <w:rPr>
                <w:rFonts w:cs="Calibri"/>
                <w:color w:val="000000"/>
                <w:sz w:val="16"/>
                <w:szCs w:val="16"/>
              </w:rPr>
            </w:pPr>
            <w:r w:rsidRPr="001B623F">
              <w:rPr>
                <w:rFonts w:cs="Calibri"/>
                <w:color w:val="000000"/>
                <w:sz w:val="16"/>
                <w:szCs w:val="16"/>
              </w:rPr>
              <w:t>42.0</w:t>
            </w:r>
          </w:p>
        </w:tc>
        <w:tc>
          <w:tcPr>
            <w:tcW w:w="629" w:type="dxa"/>
            <w:vAlign w:val="center"/>
          </w:tcPr>
          <w:p w:rsidR="008115A9" w:rsidRPr="00802792" w:rsidRDefault="008115A9" w:rsidP="00E65C9D">
            <w:pPr>
              <w:jc w:val="center"/>
              <w:rPr>
                <w:rFonts w:cs="Calibri"/>
                <w:color w:val="000000"/>
                <w:sz w:val="16"/>
                <w:szCs w:val="16"/>
              </w:rPr>
            </w:pPr>
            <w:r w:rsidRPr="001B623F">
              <w:rPr>
                <w:rFonts w:cs="Calibri"/>
                <w:color w:val="000000"/>
                <w:sz w:val="16"/>
                <w:szCs w:val="16"/>
              </w:rPr>
              <w:t>44.4</w:t>
            </w:r>
          </w:p>
        </w:tc>
        <w:tc>
          <w:tcPr>
            <w:tcW w:w="629" w:type="dxa"/>
            <w:vAlign w:val="center"/>
          </w:tcPr>
          <w:p w:rsidR="008115A9" w:rsidRPr="00802792" w:rsidRDefault="008115A9" w:rsidP="00E65C9D">
            <w:pPr>
              <w:jc w:val="center"/>
              <w:rPr>
                <w:rFonts w:cs="Calibri"/>
                <w:color w:val="000000"/>
                <w:sz w:val="16"/>
                <w:szCs w:val="16"/>
              </w:rPr>
            </w:pPr>
            <w:r>
              <w:rPr>
                <w:rFonts w:cs="Calibri"/>
                <w:color w:val="000000"/>
                <w:sz w:val="16"/>
                <w:szCs w:val="16"/>
              </w:rPr>
              <w:t>50.0</w:t>
            </w:r>
          </w:p>
        </w:tc>
        <w:tc>
          <w:tcPr>
            <w:tcW w:w="629" w:type="dxa"/>
            <w:vAlign w:val="center"/>
          </w:tcPr>
          <w:p w:rsidR="008115A9" w:rsidRPr="00802792" w:rsidRDefault="008115A9" w:rsidP="00E65C9D">
            <w:pPr>
              <w:jc w:val="center"/>
              <w:rPr>
                <w:rFonts w:cs="Calibri"/>
                <w:color w:val="000000"/>
                <w:sz w:val="16"/>
                <w:szCs w:val="16"/>
              </w:rPr>
            </w:pPr>
            <w:r>
              <w:rPr>
                <w:rFonts w:cs="Calibri"/>
                <w:color w:val="000000"/>
                <w:sz w:val="16"/>
                <w:szCs w:val="16"/>
              </w:rPr>
              <w:t>56.5</w:t>
            </w:r>
          </w:p>
        </w:tc>
        <w:tc>
          <w:tcPr>
            <w:tcW w:w="629" w:type="dxa"/>
            <w:gridSpan w:val="2"/>
            <w:vAlign w:val="center"/>
          </w:tcPr>
          <w:p w:rsidR="008115A9" w:rsidRPr="00802792" w:rsidRDefault="008115A9" w:rsidP="00E65C9D">
            <w:pPr>
              <w:jc w:val="center"/>
              <w:rPr>
                <w:rFonts w:cs="Calibri"/>
                <w:color w:val="000000"/>
                <w:sz w:val="16"/>
                <w:szCs w:val="16"/>
              </w:rPr>
            </w:pPr>
            <w:r>
              <w:rPr>
                <w:rFonts w:cs="Calibri"/>
                <w:color w:val="000000"/>
                <w:sz w:val="16"/>
                <w:szCs w:val="16"/>
              </w:rPr>
              <w:t>63.8</w:t>
            </w:r>
          </w:p>
        </w:tc>
      </w:tr>
      <w:tr w:rsidR="00BC31C3" w:rsidRPr="00D14CE9" w:rsidTr="00E65C9D">
        <w:trPr>
          <w:trHeight w:val="300"/>
        </w:trPr>
        <w:tc>
          <w:tcPr>
            <w:tcW w:w="1471" w:type="dxa"/>
            <w:noWrap/>
            <w:vAlign w:val="center"/>
          </w:tcPr>
          <w:p w:rsidR="00BC31C3" w:rsidRPr="00D14CE9" w:rsidRDefault="00BC31C3" w:rsidP="00802792">
            <w:pPr>
              <w:rPr>
                <w:sz w:val="16"/>
                <w:szCs w:val="16"/>
              </w:rPr>
            </w:pPr>
            <w:r w:rsidRPr="00D14CE9">
              <w:rPr>
                <w:sz w:val="16"/>
                <w:szCs w:val="16"/>
              </w:rPr>
              <w:t>Clay and Clay Shale</w:t>
            </w:r>
          </w:p>
        </w:tc>
        <w:tc>
          <w:tcPr>
            <w:tcW w:w="627" w:type="dxa"/>
            <w:noWrap/>
          </w:tcPr>
          <w:p w:rsidR="00BC31C3" w:rsidRPr="00133B47" w:rsidRDefault="00BC31C3" w:rsidP="00E65C9D">
            <w:pPr>
              <w:jc w:val="center"/>
              <w:rPr>
                <w:sz w:val="16"/>
                <w:szCs w:val="16"/>
              </w:rPr>
            </w:pPr>
            <w:r w:rsidRPr="00802792">
              <w:rPr>
                <w:rFonts w:cs="Calibri"/>
                <w:color w:val="000000"/>
                <w:sz w:val="16"/>
                <w:szCs w:val="16"/>
              </w:rPr>
              <w:t>1.2</w:t>
            </w:r>
          </w:p>
        </w:tc>
        <w:tc>
          <w:tcPr>
            <w:tcW w:w="627" w:type="dxa"/>
            <w:noWrap/>
          </w:tcPr>
          <w:p w:rsidR="00BC31C3" w:rsidRPr="001E4FD3" w:rsidRDefault="00BC31C3" w:rsidP="00E65C9D">
            <w:pPr>
              <w:jc w:val="center"/>
              <w:rPr>
                <w:sz w:val="16"/>
                <w:szCs w:val="16"/>
              </w:rPr>
            </w:pPr>
            <w:r w:rsidRPr="001E4FD3">
              <w:rPr>
                <w:rFonts w:cs="Calibri"/>
                <w:color w:val="000000"/>
                <w:sz w:val="16"/>
                <w:szCs w:val="16"/>
              </w:rPr>
              <w:t>1.2</w:t>
            </w:r>
          </w:p>
        </w:tc>
        <w:tc>
          <w:tcPr>
            <w:tcW w:w="629" w:type="dxa"/>
            <w:noWrap/>
          </w:tcPr>
          <w:p w:rsidR="00BC31C3" w:rsidRPr="00715DB8" w:rsidRDefault="00BC31C3" w:rsidP="00E65C9D">
            <w:pPr>
              <w:jc w:val="center"/>
              <w:rPr>
                <w:sz w:val="16"/>
                <w:szCs w:val="16"/>
              </w:rPr>
            </w:pPr>
            <w:r w:rsidRPr="00715DB8">
              <w:rPr>
                <w:rFonts w:cs="Calibri"/>
                <w:color w:val="000000"/>
                <w:sz w:val="16"/>
                <w:szCs w:val="16"/>
              </w:rPr>
              <w:t>1.3</w:t>
            </w:r>
          </w:p>
        </w:tc>
        <w:tc>
          <w:tcPr>
            <w:tcW w:w="628" w:type="dxa"/>
          </w:tcPr>
          <w:p w:rsidR="00BC31C3" w:rsidRPr="006A7DDB" w:rsidRDefault="00BC31C3" w:rsidP="00E65C9D">
            <w:pPr>
              <w:jc w:val="center"/>
              <w:rPr>
                <w:sz w:val="16"/>
                <w:szCs w:val="16"/>
              </w:rPr>
            </w:pPr>
            <w:r w:rsidRPr="0063661C">
              <w:rPr>
                <w:rFonts w:cs="Calibri"/>
                <w:color w:val="000000"/>
                <w:sz w:val="16"/>
                <w:szCs w:val="16"/>
              </w:rPr>
              <w:t>1.3</w:t>
            </w:r>
          </w:p>
        </w:tc>
        <w:tc>
          <w:tcPr>
            <w:tcW w:w="629" w:type="dxa"/>
          </w:tcPr>
          <w:p w:rsidR="00BC31C3" w:rsidRPr="00D25BB1" w:rsidRDefault="00BC31C3" w:rsidP="00E65C9D">
            <w:pPr>
              <w:jc w:val="center"/>
              <w:rPr>
                <w:sz w:val="16"/>
                <w:szCs w:val="16"/>
              </w:rPr>
            </w:pPr>
            <w:r w:rsidRPr="00906667">
              <w:rPr>
                <w:rFonts w:cs="Calibri"/>
                <w:color w:val="000000"/>
                <w:sz w:val="16"/>
                <w:szCs w:val="16"/>
              </w:rPr>
              <w:t>1.3</w:t>
            </w:r>
          </w:p>
        </w:tc>
        <w:tc>
          <w:tcPr>
            <w:tcW w:w="628" w:type="dxa"/>
          </w:tcPr>
          <w:p w:rsidR="00BC31C3" w:rsidRPr="00BC31C3" w:rsidRDefault="00BC31C3" w:rsidP="00E65C9D">
            <w:pPr>
              <w:jc w:val="center"/>
              <w:rPr>
                <w:sz w:val="16"/>
                <w:szCs w:val="16"/>
              </w:rPr>
            </w:pPr>
            <w:r w:rsidRPr="00BC31C3">
              <w:rPr>
                <w:rFonts w:cs="Calibri"/>
                <w:color w:val="000000"/>
                <w:sz w:val="16"/>
                <w:szCs w:val="16"/>
              </w:rPr>
              <w:t>1.4</w:t>
            </w:r>
          </w:p>
        </w:tc>
        <w:tc>
          <w:tcPr>
            <w:tcW w:w="628" w:type="dxa"/>
          </w:tcPr>
          <w:p w:rsidR="00BC31C3" w:rsidRPr="00BC31C3" w:rsidRDefault="00BC31C3" w:rsidP="00E65C9D">
            <w:pPr>
              <w:jc w:val="center"/>
              <w:rPr>
                <w:sz w:val="16"/>
                <w:szCs w:val="16"/>
              </w:rPr>
            </w:pPr>
            <w:r w:rsidRPr="00BC31C3">
              <w:rPr>
                <w:rFonts w:cs="Calibri"/>
                <w:color w:val="000000"/>
                <w:sz w:val="16"/>
                <w:szCs w:val="16"/>
              </w:rPr>
              <w:t>1.4</w:t>
            </w:r>
          </w:p>
        </w:tc>
        <w:tc>
          <w:tcPr>
            <w:tcW w:w="629" w:type="dxa"/>
          </w:tcPr>
          <w:p w:rsidR="00BC31C3" w:rsidRPr="00BC31C3" w:rsidRDefault="00BC31C3" w:rsidP="00E65C9D">
            <w:pPr>
              <w:jc w:val="center"/>
              <w:rPr>
                <w:sz w:val="16"/>
                <w:szCs w:val="16"/>
              </w:rPr>
            </w:pPr>
            <w:r w:rsidRPr="00BC31C3">
              <w:rPr>
                <w:rFonts w:cs="Calibri"/>
                <w:color w:val="000000"/>
                <w:sz w:val="16"/>
                <w:szCs w:val="16"/>
              </w:rPr>
              <w:t>1.2</w:t>
            </w:r>
          </w:p>
        </w:tc>
        <w:tc>
          <w:tcPr>
            <w:tcW w:w="628" w:type="dxa"/>
          </w:tcPr>
          <w:p w:rsidR="00BC31C3" w:rsidRPr="00BC31C3" w:rsidRDefault="00BC31C3" w:rsidP="00E65C9D">
            <w:pPr>
              <w:jc w:val="center"/>
              <w:rPr>
                <w:sz w:val="16"/>
                <w:szCs w:val="16"/>
              </w:rPr>
            </w:pPr>
            <w:r w:rsidRPr="00BC31C3">
              <w:rPr>
                <w:rFonts w:cs="Calibri"/>
                <w:color w:val="000000"/>
                <w:sz w:val="16"/>
                <w:szCs w:val="16"/>
              </w:rPr>
              <w:t>1.2</w:t>
            </w:r>
          </w:p>
        </w:tc>
        <w:tc>
          <w:tcPr>
            <w:tcW w:w="629" w:type="dxa"/>
          </w:tcPr>
          <w:p w:rsidR="00BC31C3" w:rsidRPr="00BC31C3" w:rsidRDefault="00BC31C3" w:rsidP="00E65C9D">
            <w:pPr>
              <w:jc w:val="center"/>
              <w:rPr>
                <w:sz w:val="16"/>
                <w:szCs w:val="16"/>
              </w:rPr>
            </w:pPr>
            <w:r w:rsidRPr="00BC31C3">
              <w:rPr>
                <w:rFonts w:cs="Calibri"/>
                <w:color w:val="000000"/>
                <w:sz w:val="16"/>
                <w:szCs w:val="16"/>
              </w:rPr>
              <w:t>1.3</w:t>
            </w:r>
          </w:p>
        </w:tc>
        <w:tc>
          <w:tcPr>
            <w:tcW w:w="628" w:type="dxa"/>
          </w:tcPr>
          <w:p w:rsidR="00BC31C3" w:rsidRPr="00BC31C3" w:rsidRDefault="00BC31C3" w:rsidP="00E65C9D">
            <w:pPr>
              <w:jc w:val="center"/>
              <w:rPr>
                <w:sz w:val="16"/>
                <w:szCs w:val="16"/>
              </w:rPr>
            </w:pPr>
            <w:r w:rsidRPr="00BC31C3">
              <w:rPr>
                <w:rFonts w:cs="Calibri"/>
                <w:color w:val="000000"/>
                <w:sz w:val="16"/>
                <w:szCs w:val="16"/>
              </w:rPr>
              <w:t>1.3</w:t>
            </w:r>
          </w:p>
        </w:tc>
        <w:tc>
          <w:tcPr>
            <w:tcW w:w="629" w:type="dxa"/>
          </w:tcPr>
          <w:p w:rsidR="00BC31C3" w:rsidRPr="00BC31C3" w:rsidRDefault="00BC31C3" w:rsidP="00E65C9D">
            <w:pPr>
              <w:jc w:val="center"/>
              <w:rPr>
                <w:sz w:val="16"/>
                <w:szCs w:val="16"/>
              </w:rPr>
            </w:pPr>
            <w:r w:rsidRPr="00BC31C3">
              <w:rPr>
                <w:rFonts w:cs="Calibri"/>
                <w:color w:val="000000"/>
                <w:sz w:val="16"/>
                <w:szCs w:val="16"/>
              </w:rPr>
              <w:t>1.3</w:t>
            </w:r>
          </w:p>
        </w:tc>
        <w:tc>
          <w:tcPr>
            <w:tcW w:w="629" w:type="dxa"/>
          </w:tcPr>
          <w:p w:rsidR="00BC31C3" w:rsidRPr="00BC31C3" w:rsidRDefault="00BC31C3" w:rsidP="00E65C9D">
            <w:pPr>
              <w:jc w:val="center"/>
              <w:rPr>
                <w:rFonts w:cs="Calibri"/>
                <w:color w:val="000000"/>
                <w:sz w:val="16"/>
                <w:szCs w:val="16"/>
              </w:rPr>
            </w:pPr>
            <w:r w:rsidRPr="00BC31C3">
              <w:rPr>
                <w:rFonts w:cs="Calibri"/>
                <w:color w:val="000000"/>
                <w:sz w:val="16"/>
                <w:szCs w:val="16"/>
              </w:rPr>
              <w:t>1.3</w:t>
            </w:r>
          </w:p>
        </w:tc>
        <w:tc>
          <w:tcPr>
            <w:tcW w:w="629" w:type="dxa"/>
          </w:tcPr>
          <w:p w:rsidR="00BC31C3" w:rsidRPr="00BC31C3" w:rsidRDefault="00BC31C3" w:rsidP="00E65C9D">
            <w:pPr>
              <w:jc w:val="center"/>
              <w:rPr>
                <w:rFonts w:cs="Calibri"/>
                <w:color w:val="000000"/>
                <w:sz w:val="16"/>
                <w:szCs w:val="16"/>
              </w:rPr>
            </w:pPr>
            <w:r w:rsidRPr="00BC31C3">
              <w:rPr>
                <w:rFonts w:cs="Calibri"/>
                <w:color w:val="000000"/>
                <w:sz w:val="16"/>
                <w:szCs w:val="16"/>
              </w:rPr>
              <w:t>1.4</w:t>
            </w:r>
          </w:p>
        </w:tc>
        <w:tc>
          <w:tcPr>
            <w:tcW w:w="629" w:type="dxa"/>
          </w:tcPr>
          <w:p w:rsidR="00BC31C3" w:rsidRPr="00BC31C3" w:rsidRDefault="00BC31C3" w:rsidP="00E65C9D">
            <w:pPr>
              <w:jc w:val="center"/>
              <w:rPr>
                <w:rFonts w:cs="Calibri"/>
                <w:color w:val="000000"/>
                <w:sz w:val="16"/>
                <w:szCs w:val="16"/>
              </w:rPr>
            </w:pPr>
            <w:r w:rsidRPr="00BC31C3">
              <w:rPr>
                <w:rFonts w:cs="Calibri"/>
                <w:color w:val="000000"/>
                <w:sz w:val="16"/>
                <w:szCs w:val="16"/>
              </w:rPr>
              <w:t>1.4</w:t>
            </w:r>
          </w:p>
        </w:tc>
        <w:tc>
          <w:tcPr>
            <w:tcW w:w="629" w:type="dxa"/>
          </w:tcPr>
          <w:p w:rsidR="00BC31C3" w:rsidRPr="00BC31C3" w:rsidRDefault="00BC31C3" w:rsidP="00E65C9D">
            <w:pPr>
              <w:jc w:val="center"/>
              <w:rPr>
                <w:rFonts w:cs="Calibri"/>
                <w:color w:val="000000"/>
                <w:sz w:val="16"/>
                <w:szCs w:val="16"/>
              </w:rPr>
            </w:pPr>
            <w:r w:rsidRPr="00BC31C3">
              <w:rPr>
                <w:rFonts w:cs="Calibri"/>
                <w:color w:val="000000"/>
                <w:sz w:val="16"/>
                <w:szCs w:val="16"/>
              </w:rPr>
              <w:t>1.4</w:t>
            </w:r>
          </w:p>
        </w:tc>
        <w:tc>
          <w:tcPr>
            <w:tcW w:w="629" w:type="dxa"/>
          </w:tcPr>
          <w:p w:rsidR="00BC31C3" w:rsidRPr="00BC31C3" w:rsidRDefault="00BC31C3" w:rsidP="00E65C9D">
            <w:pPr>
              <w:jc w:val="center"/>
              <w:rPr>
                <w:rFonts w:cs="Calibri"/>
                <w:color w:val="000000"/>
                <w:sz w:val="16"/>
                <w:szCs w:val="16"/>
              </w:rPr>
            </w:pPr>
            <w:r w:rsidRPr="00BC31C3">
              <w:rPr>
                <w:rFonts w:cs="Calibri"/>
                <w:color w:val="000000"/>
                <w:sz w:val="16"/>
                <w:szCs w:val="16"/>
              </w:rPr>
              <w:t>1.3</w:t>
            </w:r>
          </w:p>
        </w:tc>
        <w:tc>
          <w:tcPr>
            <w:tcW w:w="629" w:type="dxa"/>
          </w:tcPr>
          <w:p w:rsidR="00BC31C3" w:rsidRPr="00BC31C3" w:rsidRDefault="00BC31C3" w:rsidP="00E65C9D">
            <w:pPr>
              <w:jc w:val="center"/>
              <w:rPr>
                <w:rFonts w:cs="Calibri"/>
                <w:color w:val="000000"/>
                <w:sz w:val="16"/>
                <w:szCs w:val="16"/>
              </w:rPr>
            </w:pPr>
            <w:r w:rsidRPr="00BC31C3">
              <w:rPr>
                <w:rFonts w:cs="Calibri"/>
                <w:color w:val="000000"/>
                <w:sz w:val="16"/>
                <w:szCs w:val="16"/>
              </w:rPr>
              <w:t>1.4</w:t>
            </w:r>
          </w:p>
        </w:tc>
        <w:tc>
          <w:tcPr>
            <w:tcW w:w="629" w:type="dxa"/>
          </w:tcPr>
          <w:p w:rsidR="00BC31C3" w:rsidRPr="00BC31C3" w:rsidRDefault="00BC31C3" w:rsidP="00E65C9D">
            <w:pPr>
              <w:jc w:val="center"/>
              <w:rPr>
                <w:rFonts w:cs="Calibri"/>
                <w:color w:val="000000"/>
                <w:sz w:val="16"/>
                <w:szCs w:val="16"/>
              </w:rPr>
            </w:pPr>
            <w:r w:rsidRPr="00BC31C3">
              <w:rPr>
                <w:rFonts w:cs="Calibri"/>
                <w:color w:val="000000"/>
                <w:sz w:val="16"/>
                <w:szCs w:val="16"/>
              </w:rPr>
              <w:t>1.5</w:t>
            </w:r>
          </w:p>
        </w:tc>
        <w:tc>
          <w:tcPr>
            <w:tcW w:w="629" w:type="dxa"/>
            <w:gridSpan w:val="2"/>
          </w:tcPr>
          <w:p w:rsidR="00BC31C3" w:rsidRPr="00BC31C3" w:rsidRDefault="00BC31C3" w:rsidP="00E65C9D">
            <w:pPr>
              <w:jc w:val="center"/>
              <w:rPr>
                <w:rFonts w:cs="Calibri"/>
                <w:color w:val="000000"/>
                <w:sz w:val="16"/>
                <w:szCs w:val="16"/>
              </w:rPr>
            </w:pPr>
            <w:r w:rsidRPr="00BC31C3">
              <w:rPr>
                <w:rFonts w:cs="Calibri"/>
                <w:color w:val="000000"/>
                <w:sz w:val="16"/>
                <w:szCs w:val="16"/>
              </w:rPr>
              <w:t>1.6</w:t>
            </w:r>
          </w:p>
        </w:tc>
      </w:tr>
      <w:tr w:rsidR="00BC31C3" w:rsidRPr="00D14CE9" w:rsidTr="00E65C9D">
        <w:trPr>
          <w:trHeight w:val="300"/>
        </w:trPr>
        <w:tc>
          <w:tcPr>
            <w:tcW w:w="1471" w:type="dxa"/>
            <w:noWrap/>
            <w:vAlign w:val="center"/>
          </w:tcPr>
          <w:p w:rsidR="00BC31C3" w:rsidRPr="00D14CE9" w:rsidRDefault="00BC31C3" w:rsidP="00802792">
            <w:pPr>
              <w:rPr>
                <w:sz w:val="16"/>
                <w:szCs w:val="16"/>
              </w:rPr>
            </w:pPr>
            <w:r w:rsidRPr="00D14CE9">
              <w:rPr>
                <w:sz w:val="16"/>
                <w:szCs w:val="16"/>
              </w:rPr>
              <w:t>Limestone</w:t>
            </w:r>
          </w:p>
        </w:tc>
        <w:tc>
          <w:tcPr>
            <w:tcW w:w="627" w:type="dxa"/>
            <w:noWrap/>
          </w:tcPr>
          <w:p w:rsidR="00BC31C3" w:rsidRPr="00802792" w:rsidRDefault="00BC31C3" w:rsidP="00E65C9D">
            <w:pPr>
              <w:jc w:val="center"/>
              <w:rPr>
                <w:sz w:val="16"/>
                <w:szCs w:val="16"/>
              </w:rPr>
            </w:pPr>
            <w:r w:rsidRPr="00E65C9D">
              <w:rPr>
                <w:rFonts w:cs="Calibri"/>
                <w:color w:val="000000"/>
                <w:sz w:val="16"/>
                <w:szCs w:val="16"/>
              </w:rPr>
              <w:t>2.1</w:t>
            </w:r>
          </w:p>
        </w:tc>
        <w:tc>
          <w:tcPr>
            <w:tcW w:w="627" w:type="dxa"/>
            <w:noWrap/>
          </w:tcPr>
          <w:p w:rsidR="00BC31C3" w:rsidRPr="00802792" w:rsidRDefault="00BC31C3" w:rsidP="00E65C9D">
            <w:pPr>
              <w:jc w:val="center"/>
              <w:rPr>
                <w:sz w:val="16"/>
                <w:szCs w:val="16"/>
              </w:rPr>
            </w:pPr>
            <w:r w:rsidRPr="00E65C9D">
              <w:rPr>
                <w:rFonts w:cs="Calibri"/>
                <w:color w:val="000000"/>
                <w:sz w:val="16"/>
                <w:szCs w:val="16"/>
              </w:rPr>
              <w:t>2.2</w:t>
            </w:r>
          </w:p>
        </w:tc>
        <w:tc>
          <w:tcPr>
            <w:tcW w:w="629" w:type="dxa"/>
            <w:noWrap/>
          </w:tcPr>
          <w:p w:rsidR="00BC31C3" w:rsidRPr="00802792" w:rsidRDefault="00BC31C3" w:rsidP="00E65C9D">
            <w:pPr>
              <w:jc w:val="center"/>
              <w:rPr>
                <w:sz w:val="16"/>
                <w:szCs w:val="16"/>
              </w:rPr>
            </w:pPr>
            <w:r w:rsidRPr="00E65C9D">
              <w:rPr>
                <w:rFonts w:cs="Calibri"/>
                <w:color w:val="000000"/>
                <w:sz w:val="16"/>
                <w:szCs w:val="16"/>
              </w:rPr>
              <w:t>2.2</w:t>
            </w:r>
          </w:p>
        </w:tc>
        <w:tc>
          <w:tcPr>
            <w:tcW w:w="628" w:type="dxa"/>
          </w:tcPr>
          <w:p w:rsidR="00BC31C3" w:rsidRPr="00802792" w:rsidRDefault="00BC31C3" w:rsidP="00E65C9D">
            <w:pPr>
              <w:jc w:val="center"/>
              <w:rPr>
                <w:sz w:val="16"/>
                <w:szCs w:val="16"/>
              </w:rPr>
            </w:pPr>
            <w:r w:rsidRPr="00E65C9D">
              <w:rPr>
                <w:rFonts w:cs="Calibri"/>
                <w:color w:val="000000"/>
                <w:sz w:val="16"/>
                <w:szCs w:val="16"/>
              </w:rPr>
              <w:t>2.3</w:t>
            </w:r>
          </w:p>
        </w:tc>
        <w:tc>
          <w:tcPr>
            <w:tcW w:w="629" w:type="dxa"/>
          </w:tcPr>
          <w:p w:rsidR="00BC31C3" w:rsidRPr="00802792" w:rsidRDefault="00BC31C3" w:rsidP="00E65C9D">
            <w:pPr>
              <w:jc w:val="center"/>
              <w:rPr>
                <w:sz w:val="16"/>
                <w:szCs w:val="16"/>
              </w:rPr>
            </w:pPr>
            <w:r w:rsidRPr="00E65C9D">
              <w:rPr>
                <w:rFonts w:cs="Calibri"/>
                <w:color w:val="000000"/>
                <w:sz w:val="16"/>
                <w:szCs w:val="16"/>
              </w:rPr>
              <w:t>2.3</w:t>
            </w:r>
          </w:p>
        </w:tc>
        <w:tc>
          <w:tcPr>
            <w:tcW w:w="628" w:type="dxa"/>
          </w:tcPr>
          <w:p w:rsidR="00BC31C3" w:rsidRPr="00802792" w:rsidRDefault="00BC31C3" w:rsidP="00E65C9D">
            <w:pPr>
              <w:jc w:val="center"/>
              <w:rPr>
                <w:sz w:val="16"/>
                <w:szCs w:val="16"/>
              </w:rPr>
            </w:pPr>
            <w:r w:rsidRPr="00E65C9D">
              <w:rPr>
                <w:rFonts w:cs="Calibri"/>
                <w:color w:val="000000"/>
                <w:sz w:val="16"/>
                <w:szCs w:val="16"/>
              </w:rPr>
              <w:t>2.4</w:t>
            </w:r>
          </w:p>
        </w:tc>
        <w:tc>
          <w:tcPr>
            <w:tcW w:w="628" w:type="dxa"/>
          </w:tcPr>
          <w:p w:rsidR="00BC31C3" w:rsidRPr="00802792" w:rsidRDefault="00BC31C3" w:rsidP="00E65C9D">
            <w:pPr>
              <w:jc w:val="center"/>
              <w:rPr>
                <w:sz w:val="16"/>
                <w:szCs w:val="16"/>
              </w:rPr>
            </w:pPr>
            <w:r w:rsidRPr="00E65C9D">
              <w:rPr>
                <w:rFonts w:cs="Calibri"/>
                <w:color w:val="000000"/>
                <w:sz w:val="16"/>
                <w:szCs w:val="16"/>
              </w:rPr>
              <w:t>2.5</w:t>
            </w:r>
          </w:p>
        </w:tc>
        <w:tc>
          <w:tcPr>
            <w:tcW w:w="629" w:type="dxa"/>
          </w:tcPr>
          <w:p w:rsidR="00BC31C3" w:rsidRPr="00802792" w:rsidRDefault="00BC31C3" w:rsidP="00E65C9D">
            <w:pPr>
              <w:jc w:val="center"/>
              <w:rPr>
                <w:sz w:val="16"/>
                <w:szCs w:val="16"/>
              </w:rPr>
            </w:pPr>
            <w:r w:rsidRPr="00E65C9D">
              <w:rPr>
                <w:rFonts w:cs="Calibri"/>
                <w:color w:val="000000"/>
                <w:sz w:val="16"/>
                <w:szCs w:val="16"/>
              </w:rPr>
              <w:t>2.5</w:t>
            </w:r>
          </w:p>
        </w:tc>
        <w:tc>
          <w:tcPr>
            <w:tcW w:w="628" w:type="dxa"/>
          </w:tcPr>
          <w:p w:rsidR="00BC31C3" w:rsidRPr="00802792" w:rsidRDefault="00BC31C3" w:rsidP="00E65C9D">
            <w:pPr>
              <w:jc w:val="center"/>
              <w:rPr>
                <w:sz w:val="16"/>
                <w:szCs w:val="16"/>
              </w:rPr>
            </w:pPr>
            <w:r w:rsidRPr="00E65C9D">
              <w:rPr>
                <w:rFonts w:cs="Calibri"/>
                <w:color w:val="000000"/>
                <w:sz w:val="16"/>
                <w:szCs w:val="16"/>
              </w:rPr>
              <w:t>2.6</w:t>
            </w:r>
          </w:p>
        </w:tc>
        <w:tc>
          <w:tcPr>
            <w:tcW w:w="629" w:type="dxa"/>
          </w:tcPr>
          <w:p w:rsidR="00BC31C3" w:rsidRPr="00802792" w:rsidRDefault="00BC31C3" w:rsidP="00E65C9D">
            <w:pPr>
              <w:jc w:val="center"/>
              <w:rPr>
                <w:sz w:val="16"/>
                <w:szCs w:val="16"/>
              </w:rPr>
            </w:pPr>
            <w:r w:rsidRPr="00E65C9D">
              <w:rPr>
                <w:rFonts w:cs="Calibri"/>
                <w:color w:val="000000"/>
                <w:sz w:val="16"/>
                <w:szCs w:val="16"/>
              </w:rPr>
              <w:t>2.7</w:t>
            </w:r>
          </w:p>
        </w:tc>
        <w:tc>
          <w:tcPr>
            <w:tcW w:w="628" w:type="dxa"/>
          </w:tcPr>
          <w:p w:rsidR="00BC31C3" w:rsidRPr="00802792" w:rsidRDefault="00BC31C3" w:rsidP="00E65C9D">
            <w:pPr>
              <w:jc w:val="center"/>
              <w:rPr>
                <w:sz w:val="16"/>
                <w:szCs w:val="16"/>
              </w:rPr>
            </w:pPr>
            <w:r w:rsidRPr="00E65C9D">
              <w:rPr>
                <w:rFonts w:cs="Calibri"/>
                <w:color w:val="000000"/>
                <w:sz w:val="16"/>
                <w:szCs w:val="16"/>
              </w:rPr>
              <w:t>2.8</w:t>
            </w:r>
          </w:p>
        </w:tc>
        <w:tc>
          <w:tcPr>
            <w:tcW w:w="629" w:type="dxa"/>
          </w:tcPr>
          <w:p w:rsidR="00BC31C3" w:rsidRPr="00802792" w:rsidRDefault="00BC31C3" w:rsidP="00E65C9D">
            <w:pPr>
              <w:jc w:val="center"/>
              <w:rPr>
                <w:sz w:val="16"/>
                <w:szCs w:val="16"/>
              </w:rPr>
            </w:pPr>
            <w:r w:rsidRPr="00E65C9D">
              <w:rPr>
                <w:rFonts w:cs="Calibri"/>
                <w:color w:val="000000"/>
                <w:sz w:val="16"/>
                <w:szCs w:val="16"/>
              </w:rPr>
              <w:t>2.8</w:t>
            </w:r>
          </w:p>
        </w:tc>
        <w:tc>
          <w:tcPr>
            <w:tcW w:w="629" w:type="dxa"/>
          </w:tcPr>
          <w:p w:rsidR="00BC31C3" w:rsidRPr="00802792" w:rsidRDefault="00BC31C3" w:rsidP="00E65C9D">
            <w:pPr>
              <w:jc w:val="center"/>
              <w:rPr>
                <w:rFonts w:cs="Calibri"/>
                <w:color w:val="000000"/>
                <w:sz w:val="16"/>
                <w:szCs w:val="16"/>
              </w:rPr>
            </w:pPr>
            <w:r w:rsidRPr="00E65C9D">
              <w:rPr>
                <w:rFonts w:cs="Calibri"/>
                <w:color w:val="000000"/>
                <w:sz w:val="16"/>
                <w:szCs w:val="16"/>
              </w:rPr>
              <w:t>2.9</w:t>
            </w:r>
          </w:p>
        </w:tc>
        <w:tc>
          <w:tcPr>
            <w:tcW w:w="629" w:type="dxa"/>
          </w:tcPr>
          <w:p w:rsidR="00BC31C3" w:rsidRPr="00802792" w:rsidRDefault="00BC31C3" w:rsidP="00E65C9D">
            <w:pPr>
              <w:jc w:val="center"/>
              <w:rPr>
                <w:rFonts w:cs="Calibri"/>
                <w:color w:val="000000"/>
                <w:sz w:val="16"/>
                <w:szCs w:val="16"/>
              </w:rPr>
            </w:pPr>
            <w:r w:rsidRPr="00E65C9D">
              <w:rPr>
                <w:rFonts w:cs="Calibri"/>
                <w:color w:val="000000"/>
                <w:sz w:val="16"/>
                <w:szCs w:val="16"/>
              </w:rPr>
              <w:t>3.0</w:t>
            </w:r>
          </w:p>
        </w:tc>
        <w:tc>
          <w:tcPr>
            <w:tcW w:w="629" w:type="dxa"/>
          </w:tcPr>
          <w:p w:rsidR="00BC31C3" w:rsidRPr="00802792" w:rsidRDefault="00BC31C3" w:rsidP="00E65C9D">
            <w:pPr>
              <w:jc w:val="center"/>
              <w:rPr>
                <w:rFonts w:cs="Calibri"/>
                <w:color w:val="000000"/>
                <w:sz w:val="16"/>
                <w:szCs w:val="16"/>
              </w:rPr>
            </w:pPr>
            <w:r w:rsidRPr="00E65C9D">
              <w:rPr>
                <w:rFonts w:cs="Calibri"/>
                <w:color w:val="000000"/>
                <w:sz w:val="16"/>
                <w:szCs w:val="16"/>
              </w:rPr>
              <w:t>3.1</w:t>
            </w:r>
          </w:p>
        </w:tc>
        <w:tc>
          <w:tcPr>
            <w:tcW w:w="629" w:type="dxa"/>
          </w:tcPr>
          <w:p w:rsidR="00BC31C3" w:rsidRPr="00802792" w:rsidRDefault="00BC31C3" w:rsidP="00E65C9D">
            <w:pPr>
              <w:jc w:val="center"/>
              <w:rPr>
                <w:rFonts w:cs="Calibri"/>
                <w:color w:val="000000"/>
                <w:sz w:val="16"/>
                <w:szCs w:val="16"/>
              </w:rPr>
            </w:pPr>
            <w:r w:rsidRPr="00E65C9D">
              <w:rPr>
                <w:rFonts w:cs="Calibri"/>
                <w:color w:val="000000"/>
                <w:sz w:val="16"/>
                <w:szCs w:val="16"/>
              </w:rPr>
              <w:t>3.2</w:t>
            </w:r>
          </w:p>
        </w:tc>
        <w:tc>
          <w:tcPr>
            <w:tcW w:w="629" w:type="dxa"/>
          </w:tcPr>
          <w:p w:rsidR="00BC31C3" w:rsidRPr="00802792" w:rsidRDefault="00BC31C3" w:rsidP="00E65C9D">
            <w:pPr>
              <w:jc w:val="center"/>
              <w:rPr>
                <w:rFonts w:cs="Calibri"/>
                <w:color w:val="000000"/>
                <w:sz w:val="16"/>
                <w:szCs w:val="16"/>
              </w:rPr>
            </w:pPr>
            <w:r w:rsidRPr="00E65C9D">
              <w:rPr>
                <w:rFonts w:cs="Calibri"/>
                <w:color w:val="000000"/>
                <w:sz w:val="16"/>
                <w:szCs w:val="16"/>
              </w:rPr>
              <w:t>3.6</w:t>
            </w:r>
          </w:p>
        </w:tc>
        <w:tc>
          <w:tcPr>
            <w:tcW w:w="629" w:type="dxa"/>
          </w:tcPr>
          <w:p w:rsidR="00BC31C3" w:rsidRPr="00802792" w:rsidRDefault="00BC31C3" w:rsidP="00E65C9D">
            <w:pPr>
              <w:jc w:val="center"/>
              <w:rPr>
                <w:rFonts w:cs="Calibri"/>
                <w:color w:val="000000"/>
                <w:sz w:val="16"/>
                <w:szCs w:val="16"/>
              </w:rPr>
            </w:pPr>
            <w:r w:rsidRPr="00E65C9D">
              <w:rPr>
                <w:rFonts w:cs="Calibri"/>
                <w:color w:val="000000"/>
                <w:sz w:val="16"/>
                <w:szCs w:val="16"/>
              </w:rPr>
              <w:t>4.1</w:t>
            </w:r>
          </w:p>
        </w:tc>
        <w:tc>
          <w:tcPr>
            <w:tcW w:w="629" w:type="dxa"/>
          </w:tcPr>
          <w:p w:rsidR="00BC31C3" w:rsidRPr="00802792" w:rsidRDefault="00BC31C3" w:rsidP="00E65C9D">
            <w:pPr>
              <w:jc w:val="center"/>
              <w:rPr>
                <w:rFonts w:cs="Calibri"/>
                <w:color w:val="000000"/>
                <w:sz w:val="16"/>
                <w:szCs w:val="16"/>
              </w:rPr>
            </w:pPr>
            <w:r w:rsidRPr="00E65C9D">
              <w:rPr>
                <w:rFonts w:cs="Calibri"/>
                <w:color w:val="000000"/>
                <w:sz w:val="16"/>
                <w:szCs w:val="16"/>
              </w:rPr>
              <w:t>4.8</w:t>
            </w:r>
          </w:p>
        </w:tc>
        <w:tc>
          <w:tcPr>
            <w:tcW w:w="629" w:type="dxa"/>
            <w:gridSpan w:val="2"/>
          </w:tcPr>
          <w:p w:rsidR="00BC31C3" w:rsidRPr="00802792" w:rsidRDefault="00BC31C3" w:rsidP="00E65C9D">
            <w:pPr>
              <w:jc w:val="center"/>
              <w:rPr>
                <w:rFonts w:cs="Calibri"/>
                <w:color w:val="000000"/>
                <w:sz w:val="16"/>
                <w:szCs w:val="16"/>
              </w:rPr>
            </w:pPr>
            <w:r w:rsidRPr="00E65C9D">
              <w:rPr>
                <w:rFonts w:cs="Calibri"/>
                <w:color w:val="000000"/>
                <w:sz w:val="16"/>
                <w:szCs w:val="16"/>
              </w:rPr>
              <w:t>5.4</w:t>
            </w:r>
          </w:p>
        </w:tc>
      </w:tr>
      <w:tr w:rsidR="00BC31C3" w:rsidRPr="00D14CE9" w:rsidTr="00E65C9D">
        <w:trPr>
          <w:trHeight w:val="300"/>
        </w:trPr>
        <w:tc>
          <w:tcPr>
            <w:tcW w:w="1471" w:type="dxa"/>
            <w:noWrap/>
            <w:vAlign w:val="center"/>
          </w:tcPr>
          <w:p w:rsidR="00BC31C3" w:rsidRPr="00D14CE9" w:rsidRDefault="00BC31C3" w:rsidP="00802792">
            <w:pPr>
              <w:rPr>
                <w:sz w:val="16"/>
                <w:szCs w:val="16"/>
              </w:rPr>
            </w:pPr>
            <w:r w:rsidRPr="00D14CE9">
              <w:rPr>
                <w:sz w:val="16"/>
                <w:szCs w:val="16"/>
              </w:rPr>
              <w:t>Sand and Gravel</w:t>
            </w:r>
          </w:p>
        </w:tc>
        <w:tc>
          <w:tcPr>
            <w:tcW w:w="627" w:type="dxa"/>
            <w:noWrap/>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12.6</w:t>
            </w:r>
          </w:p>
        </w:tc>
        <w:tc>
          <w:tcPr>
            <w:tcW w:w="627" w:type="dxa"/>
            <w:noWrap/>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12.9</w:t>
            </w:r>
          </w:p>
        </w:tc>
        <w:tc>
          <w:tcPr>
            <w:tcW w:w="629" w:type="dxa"/>
            <w:noWrap/>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13.2</w:t>
            </w:r>
          </w:p>
        </w:tc>
        <w:tc>
          <w:tcPr>
            <w:tcW w:w="628" w:type="dxa"/>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13.6</w:t>
            </w:r>
          </w:p>
        </w:tc>
        <w:tc>
          <w:tcPr>
            <w:tcW w:w="629" w:type="dxa"/>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13.9</w:t>
            </w:r>
          </w:p>
        </w:tc>
        <w:tc>
          <w:tcPr>
            <w:tcW w:w="628" w:type="dxa"/>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14.3</w:t>
            </w:r>
          </w:p>
        </w:tc>
        <w:tc>
          <w:tcPr>
            <w:tcW w:w="628" w:type="dxa"/>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14.7</w:t>
            </w:r>
          </w:p>
        </w:tc>
        <w:tc>
          <w:tcPr>
            <w:tcW w:w="629" w:type="dxa"/>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12.6</w:t>
            </w:r>
          </w:p>
        </w:tc>
        <w:tc>
          <w:tcPr>
            <w:tcW w:w="628" w:type="dxa"/>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12.8</w:t>
            </w:r>
          </w:p>
        </w:tc>
        <w:tc>
          <w:tcPr>
            <w:tcW w:w="629" w:type="dxa"/>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13.1</w:t>
            </w:r>
          </w:p>
        </w:tc>
        <w:tc>
          <w:tcPr>
            <w:tcW w:w="628" w:type="dxa"/>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13.4</w:t>
            </w:r>
          </w:p>
        </w:tc>
        <w:tc>
          <w:tcPr>
            <w:tcW w:w="629" w:type="dxa"/>
            <w:vAlign w:val="center"/>
          </w:tcPr>
          <w:p w:rsidR="00BC31C3" w:rsidRPr="00E65C9D" w:rsidRDefault="00BC31C3" w:rsidP="00E65C9D">
            <w:pPr>
              <w:jc w:val="center"/>
              <w:rPr>
                <w:rFonts w:cs="Calibri"/>
                <w:color w:val="000000"/>
                <w:sz w:val="16"/>
                <w:szCs w:val="16"/>
              </w:rPr>
            </w:pPr>
            <w:r w:rsidRPr="00E65C9D">
              <w:rPr>
                <w:rFonts w:cs="Calibri"/>
                <w:color w:val="000000"/>
                <w:sz w:val="16"/>
                <w:szCs w:val="16"/>
              </w:rPr>
              <w:t>13.7</w:t>
            </w:r>
          </w:p>
        </w:tc>
        <w:tc>
          <w:tcPr>
            <w:tcW w:w="629" w:type="dxa"/>
            <w:vAlign w:val="center"/>
          </w:tcPr>
          <w:p w:rsidR="00BC31C3" w:rsidRPr="00802792" w:rsidRDefault="00BC31C3" w:rsidP="00E65C9D">
            <w:pPr>
              <w:jc w:val="center"/>
              <w:rPr>
                <w:rFonts w:cs="Calibri"/>
                <w:color w:val="000000"/>
                <w:sz w:val="16"/>
                <w:szCs w:val="16"/>
              </w:rPr>
            </w:pPr>
            <w:r w:rsidRPr="00E65C9D">
              <w:rPr>
                <w:rFonts w:cs="Calibri"/>
                <w:color w:val="000000"/>
                <w:sz w:val="16"/>
                <w:szCs w:val="16"/>
              </w:rPr>
              <w:t>14.0</w:t>
            </w:r>
          </w:p>
        </w:tc>
        <w:tc>
          <w:tcPr>
            <w:tcW w:w="629" w:type="dxa"/>
            <w:vAlign w:val="center"/>
          </w:tcPr>
          <w:p w:rsidR="00BC31C3" w:rsidRPr="00802792" w:rsidRDefault="00BC31C3" w:rsidP="00E65C9D">
            <w:pPr>
              <w:jc w:val="center"/>
              <w:rPr>
                <w:rFonts w:cs="Calibri"/>
                <w:color w:val="000000"/>
                <w:sz w:val="16"/>
                <w:szCs w:val="16"/>
              </w:rPr>
            </w:pPr>
            <w:r w:rsidRPr="00E65C9D">
              <w:rPr>
                <w:rFonts w:cs="Calibri"/>
                <w:color w:val="000000"/>
                <w:sz w:val="16"/>
                <w:szCs w:val="16"/>
              </w:rPr>
              <w:t>14.3</w:t>
            </w:r>
          </w:p>
        </w:tc>
        <w:tc>
          <w:tcPr>
            <w:tcW w:w="629" w:type="dxa"/>
            <w:vAlign w:val="center"/>
          </w:tcPr>
          <w:p w:rsidR="00BC31C3" w:rsidRPr="00802792" w:rsidRDefault="00BC31C3" w:rsidP="00E65C9D">
            <w:pPr>
              <w:jc w:val="center"/>
              <w:rPr>
                <w:rFonts w:cs="Calibri"/>
                <w:color w:val="000000"/>
                <w:sz w:val="16"/>
                <w:szCs w:val="16"/>
              </w:rPr>
            </w:pPr>
            <w:r w:rsidRPr="00E65C9D">
              <w:rPr>
                <w:rFonts w:cs="Calibri"/>
                <w:color w:val="000000"/>
                <w:sz w:val="16"/>
                <w:szCs w:val="16"/>
              </w:rPr>
              <w:t>14.6</w:t>
            </w:r>
          </w:p>
        </w:tc>
        <w:tc>
          <w:tcPr>
            <w:tcW w:w="629" w:type="dxa"/>
            <w:vAlign w:val="center"/>
          </w:tcPr>
          <w:p w:rsidR="00BC31C3" w:rsidRPr="00802792" w:rsidRDefault="00BC31C3" w:rsidP="00E65C9D">
            <w:pPr>
              <w:jc w:val="center"/>
              <w:rPr>
                <w:rFonts w:cs="Calibri"/>
                <w:color w:val="000000"/>
                <w:sz w:val="16"/>
                <w:szCs w:val="16"/>
              </w:rPr>
            </w:pPr>
            <w:r w:rsidRPr="00E65C9D">
              <w:rPr>
                <w:rFonts w:cs="Calibri"/>
                <w:color w:val="000000"/>
                <w:sz w:val="16"/>
                <w:szCs w:val="16"/>
              </w:rPr>
              <w:t>14.9</w:t>
            </w:r>
          </w:p>
        </w:tc>
        <w:tc>
          <w:tcPr>
            <w:tcW w:w="629" w:type="dxa"/>
            <w:vAlign w:val="center"/>
          </w:tcPr>
          <w:p w:rsidR="00BC31C3" w:rsidRPr="00802792" w:rsidRDefault="00BC31C3" w:rsidP="00E65C9D">
            <w:pPr>
              <w:jc w:val="center"/>
              <w:rPr>
                <w:rFonts w:cs="Calibri"/>
                <w:color w:val="000000"/>
                <w:sz w:val="16"/>
                <w:szCs w:val="16"/>
              </w:rPr>
            </w:pPr>
            <w:r w:rsidRPr="00E65C9D">
              <w:rPr>
                <w:rFonts w:cs="Calibri"/>
                <w:color w:val="000000"/>
                <w:sz w:val="16"/>
                <w:szCs w:val="16"/>
              </w:rPr>
              <w:t>12.6</w:t>
            </w:r>
          </w:p>
        </w:tc>
        <w:tc>
          <w:tcPr>
            <w:tcW w:w="629" w:type="dxa"/>
            <w:vAlign w:val="center"/>
          </w:tcPr>
          <w:p w:rsidR="00BC31C3" w:rsidRPr="00802792" w:rsidRDefault="00BC31C3" w:rsidP="00E65C9D">
            <w:pPr>
              <w:jc w:val="center"/>
              <w:rPr>
                <w:rFonts w:cs="Calibri"/>
                <w:color w:val="000000"/>
                <w:sz w:val="16"/>
                <w:szCs w:val="16"/>
              </w:rPr>
            </w:pPr>
            <w:r w:rsidRPr="00E65C9D">
              <w:rPr>
                <w:rFonts w:cs="Calibri"/>
                <w:color w:val="000000"/>
                <w:sz w:val="16"/>
                <w:szCs w:val="16"/>
              </w:rPr>
              <w:t>14.3</w:t>
            </w:r>
          </w:p>
        </w:tc>
        <w:tc>
          <w:tcPr>
            <w:tcW w:w="629" w:type="dxa"/>
            <w:vAlign w:val="center"/>
          </w:tcPr>
          <w:p w:rsidR="00BC31C3" w:rsidRPr="00802792" w:rsidRDefault="00BC31C3" w:rsidP="00E65C9D">
            <w:pPr>
              <w:jc w:val="center"/>
              <w:rPr>
                <w:rFonts w:cs="Calibri"/>
                <w:color w:val="000000"/>
                <w:sz w:val="16"/>
                <w:szCs w:val="16"/>
              </w:rPr>
            </w:pPr>
            <w:r w:rsidRPr="00E65C9D">
              <w:rPr>
                <w:rFonts w:cs="Calibri"/>
                <w:color w:val="000000"/>
                <w:sz w:val="16"/>
                <w:szCs w:val="16"/>
              </w:rPr>
              <w:t>15.5</w:t>
            </w:r>
          </w:p>
        </w:tc>
        <w:tc>
          <w:tcPr>
            <w:tcW w:w="629" w:type="dxa"/>
            <w:gridSpan w:val="2"/>
            <w:vAlign w:val="center"/>
          </w:tcPr>
          <w:p w:rsidR="00BC31C3" w:rsidRPr="00802792" w:rsidRDefault="00BC31C3" w:rsidP="00E65C9D">
            <w:pPr>
              <w:jc w:val="center"/>
              <w:rPr>
                <w:rFonts w:cs="Calibri"/>
                <w:color w:val="000000"/>
                <w:sz w:val="16"/>
                <w:szCs w:val="16"/>
              </w:rPr>
            </w:pPr>
            <w:r w:rsidRPr="00E65C9D">
              <w:rPr>
                <w:rFonts w:cs="Calibri"/>
                <w:color w:val="000000"/>
                <w:sz w:val="16"/>
                <w:szCs w:val="16"/>
              </w:rPr>
              <w:t>16.9</w:t>
            </w:r>
          </w:p>
        </w:tc>
      </w:tr>
      <w:tr w:rsidR="00BC31C3" w:rsidRPr="00BC31C3" w:rsidTr="00E65C9D">
        <w:trPr>
          <w:trHeight w:val="300"/>
        </w:trPr>
        <w:tc>
          <w:tcPr>
            <w:tcW w:w="1471" w:type="dxa"/>
            <w:noWrap/>
            <w:vAlign w:val="center"/>
          </w:tcPr>
          <w:p w:rsidR="00BC31C3" w:rsidRPr="00E65C9D" w:rsidRDefault="00BC31C3" w:rsidP="00802792">
            <w:pPr>
              <w:rPr>
                <w:b/>
                <w:sz w:val="16"/>
                <w:szCs w:val="16"/>
              </w:rPr>
            </w:pPr>
            <w:r w:rsidRPr="00802792">
              <w:rPr>
                <w:b/>
                <w:sz w:val="16"/>
                <w:szCs w:val="16"/>
              </w:rPr>
              <w:t>Total</w:t>
            </w:r>
          </w:p>
        </w:tc>
        <w:tc>
          <w:tcPr>
            <w:tcW w:w="627" w:type="dxa"/>
            <w:noWrap/>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46.4</w:t>
            </w:r>
          </w:p>
        </w:tc>
        <w:tc>
          <w:tcPr>
            <w:tcW w:w="627" w:type="dxa"/>
            <w:noWrap/>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47.6</w:t>
            </w:r>
          </w:p>
        </w:tc>
        <w:tc>
          <w:tcPr>
            <w:tcW w:w="629" w:type="dxa"/>
            <w:noWrap/>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48.9</w:t>
            </w:r>
          </w:p>
        </w:tc>
        <w:tc>
          <w:tcPr>
            <w:tcW w:w="628"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50.2</w:t>
            </w:r>
          </w:p>
        </w:tc>
        <w:tc>
          <w:tcPr>
            <w:tcW w:w="629"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51.5</w:t>
            </w:r>
          </w:p>
        </w:tc>
        <w:tc>
          <w:tcPr>
            <w:tcW w:w="628"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52.9</w:t>
            </w:r>
          </w:p>
        </w:tc>
        <w:tc>
          <w:tcPr>
            <w:tcW w:w="628"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54.3</w:t>
            </w:r>
          </w:p>
        </w:tc>
        <w:tc>
          <w:tcPr>
            <w:tcW w:w="629"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50.7</w:t>
            </w:r>
          </w:p>
        </w:tc>
        <w:tc>
          <w:tcPr>
            <w:tcW w:w="628"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51.9</w:t>
            </w:r>
          </w:p>
        </w:tc>
        <w:tc>
          <w:tcPr>
            <w:tcW w:w="629"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53.2</w:t>
            </w:r>
          </w:p>
        </w:tc>
        <w:tc>
          <w:tcPr>
            <w:tcW w:w="628"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54.5</w:t>
            </w:r>
          </w:p>
        </w:tc>
        <w:tc>
          <w:tcPr>
            <w:tcW w:w="629"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55.8</w:t>
            </w:r>
          </w:p>
        </w:tc>
        <w:tc>
          <w:tcPr>
            <w:tcW w:w="629"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57.2</w:t>
            </w:r>
          </w:p>
        </w:tc>
        <w:tc>
          <w:tcPr>
            <w:tcW w:w="629"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58.6</w:t>
            </w:r>
          </w:p>
        </w:tc>
        <w:tc>
          <w:tcPr>
            <w:tcW w:w="629"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60.1</w:t>
            </w:r>
          </w:p>
        </w:tc>
        <w:tc>
          <w:tcPr>
            <w:tcW w:w="629"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61.6</w:t>
            </w:r>
          </w:p>
        </w:tc>
        <w:tc>
          <w:tcPr>
            <w:tcW w:w="629"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46.4</w:t>
            </w:r>
          </w:p>
        </w:tc>
        <w:tc>
          <w:tcPr>
            <w:tcW w:w="629"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69.9</w:t>
            </w:r>
          </w:p>
        </w:tc>
        <w:tc>
          <w:tcPr>
            <w:tcW w:w="629" w:type="dxa"/>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78.3</w:t>
            </w:r>
          </w:p>
        </w:tc>
        <w:tc>
          <w:tcPr>
            <w:tcW w:w="629" w:type="dxa"/>
            <w:gridSpan w:val="2"/>
            <w:vAlign w:val="center"/>
          </w:tcPr>
          <w:p w:rsidR="00BC31C3" w:rsidRPr="00E65C9D" w:rsidRDefault="00BC31C3" w:rsidP="00E65C9D">
            <w:pPr>
              <w:jc w:val="center"/>
              <w:rPr>
                <w:rFonts w:cs="Calibri"/>
                <w:b/>
                <w:color w:val="000000"/>
                <w:sz w:val="16"/>
                <w:szCs w:val="16"/>
              </w:rPr>
            </w:pPr>
            <w:r w:rsidRPr="00E65C9D">
              <w:rPr>
                <w:rFonts w:cs="Calibri"/>
                <w:b/>
                <w:color w:val="000000"/>
                <w:sz w:val="16"/>
                <w:szCs w:val="16"/>
              </w:rPr>
              <w:t>87.8</w:t>
            </w:r>
          </w:p>
        </w:tc>
      </w:tr>
    </w:tbl>
    <w:p w:rsidR="00855A0C" w:rsidRDefault="00855A0C" w:rsidP="008F68CE">
      <w:pPr>
        <w:rPr>
          <w:rFonts w:cstheme="majorHAnsi"/>
          <w:kern w:val="12"/>
          <w:highlight w:val="yellow"/>
        </w:rPr>
      </w:pPr>
    </w:p>
    <w:tbl>
      <w:tblPr>
        <w:tblW w:w="1414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42 "/>
        <w:tblDescription w:val="Table 42 shows the production of extractive resources from 2015 – 2050 using scenario 1A. In 2015 total demand is 55.7 million tonnes. In 2026 it is estimated to be 67 million tonnes and in 2050 it is estimated to be 105.3 million tonnes."/>
      </w:tblPr>
      <w:tblGrid>
        <w:gridCol w:w="1471"/>
        <w:gridCol w:w="627"/>
        <w:gridCol w:w="627"/>
        <w:gridCol w:w="629"/>
        <w:gridCol w:w="628"/>
        <w:gridCol w:w="629"/>
        <w:gridCol w:w="628"/>
        <w:gridCol w:w="628"/>
        <w:gridCol w:w="629"/>
        <w:gridCol w:w="628"/>
        <w:gridCol w:w="629"/>
        <w:gridCol w:w="628"/>
        <w:gridCol w:w="629"/>
        <w:gridCol w:w="629"/>
        <w:gridCol w:w="629"/>
        <w:gridCol w:w="629"/>
        <w:gridCol w:w="629"/>
        <w:gridCol w:w="629"/>
        <w:gridCol w:w="629"/>
        <w:gridCol w:w="629"/>
        <w:gridCol w:w="736"/>
      </w:tblGrid>
      <w:tr w:rsidR="00BC31C3" w:rsidRPr="00D14CE9" w:rsidTr="009D73D3">
        <w:trPr>
          <w:trHeight w:val="300"/>
        </w:trPr>
        <w:tc>
          <w:tcPr>
            <w:tcW w:w="14149" w:type="dxa"/>
            <w:gridSpan w:val="21"/>
            <w:shd w:val="clear" w:color="auto" w:fill="808080"/>
            <w:noWrap/>
            <w:vAlign w:val="bottom"/>
          </w:tcPr>
          <w:p w:rsidR="00BC31C3" w:rsidRPr="00D14CE9" w:rsidRDefault="00BC31C3" w:rsidP="00802792">
            <w:pPr>
              <w:pStyle w:val="EYTableHeadingWhite"/>
            </w:pPr>
            <w:bookmarkStart w:id="777" w:name="_Toc445240975"/>
            <w:bookmarkStart w:id="778" w:name="_Toc448914668"/>
            <w:bookmarkStart w:id="779" w:name="_Toc448920486"/>
            <w:r w:rsidRPr="00D14CE9">
              <w:t xml:space="preserve">Table </w:t>
            </w:r>
            <w:r w:rsidRPr="00372DE0">
              <w:fldChar w:fldCharType="begin"/>
            </w:r>
            <w:r w:rsidRPr="00D14CE9">
              <w:instrText xml:space="preserve"> SEQ Table \* ARABIC </w:instrText>
            </w:r>
            <w:r w:rsidRPr="00372DE0">
              <w:fldChar w:fldCharType="separate"/>
            </w:r>
            <w:r w:rsidR="00525C82">
              <w:rPr>
                <w:noProof/>
              </w:rPr>
              <w:t>42</w:t>
            </w:r>
            <w:r w:rsidRPr="00372DE0">
              <w:fldChar w:fldCharType="end"/>
            </w:r>
            <w:r w:rsidRPr="00D14CE9">
              <w:t xml:space="preserve"> – Production of Extractive Resources </w:t>
            </w:r>
            <w:r>
              <w:t>in Victoria - 2015-2050</w:t>
            </w:r>
            <w:r w:rsidRPr="00D14CE9">
              <w:t xml:space="preserve"> (in million tonnes)</w:t>
            </w:r>
            <w:r>
              <w:t xml:space="preserve"> – Scenario 1A</w:t>
            </w:r>
            <w:bookmarkEnd w:id="777"/>
            <w:bookmarkEnd w:id="778"/>
            <w:bookmarkEnd w:id="779"/>
          </w:p>
        </w:tc>
      </w:tr>
      <w:tr w:rsidR="002469B5" w:rsidRPr="00D14CE9" w:rsidTr="00802792">
        <w:trPr>
          <w:trHeight w:val="286"/>
        </w:trPr>
        <w:tc>
          <w:tcPr>
            <w:tcW w:w="1471"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sidRPr="00D14CE9">
              <w:t>Rock type</w:t>
            </w:r>
          </w:p>
        </w:tc>
        <w:tc>
          <w:tcPr>
            <w:tcW w:w="627"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2015</w:t>
            </w:r>
          </w:p>
        </w:tc>
        <w:tc>
          <w:tcPr>
            <w:tcW w:w="627"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2016</w:t>
            </w:r>
          </w:p>
        </w:tc>
        <w:tc>
          <w:tcPr>
            <w:tcW w:w="629"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2017</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2018</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2019</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2020</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2021</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2022</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2023</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2024</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2025</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2026</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2027</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2028</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2029</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2030</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2035</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2040</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2045</w:t>
            </w:r>
          </w:p>
        </w:tc>
        <w:tc>
          <w:tcPr>
            <w:tcW w:w="736"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2050</w:t>
            </w:r>
          </w:p>
        </w:tc>
      </w:tr>
      <w:tr w:rsidR="00BC31C3" w:rsidRPr="004839B9" w:rsidTr="00E65C9D">
        <w:trPr>
          <w:trHeight w:val="300"/>
        </w:trPr>
        <w:tc>
          <w:tcPr>
            <w:tcW w:w="14149" w:type="dxa"/>
            <w:gridSpan w:val="21"/>
            <w:shd w:val="clear" w:color="auto" w:fill="A6A6A6" w:themeFill="background1" w:themeFillShade="A6"/>
            <w:noWrap/>
            <w:vAlign w:val="center"/>
          </w:tcPr>
          <w:p w:rsidR="00BC31C3" w:rsidRPr="004839B9" w:rsidRDefault="00BC31C3" w:rsidP="00DE64F6">
            <w:pPr>
              <w:rPr>
                <w:rFonts w:cs="Calibri"/>
                <w:color w:val="FFFFFF" w:themeColor="background1"/>
                <w:sz w:val="16"/>
                <w:szCs w:val="16"/>
              </w:rPr>
            </w:pPr>
            <w:r w:rsidRPr="004839B9">
              <w:rPr>
                <w:color w:val="FFFFFF" w:themeColor="background1"/>
                <w:sz w:val="16"/>
                <w:szCs w:val="16"/>
              </w:rPr>
              <w:t>Scenario 1A</w:t>
            </w:r>
          </w:p>
        </w:tc>
      </w:tr>
      <w:tr w:rsidR="008115A9" w:rsidRPr="00DE64F6" w:rsidTr="00E65C9D">
        <w:trPr>
          <w:trHeight w:val="300"/>
        </w:trPr>
        <w:tc>
          <w:tcPr>
            <w:tcW w:w="1471" w:type="dxa"/>
            <w:noWrap/>
            <w:vAlign w:val="center"/>
          </w:tcPr>
          <w:p w:rsidR="008115A9" w:rsidRPr="00372DE0" w:rsidRDefault="008115A9" w:rsidP="00DE64F6">
            <w:pPr>
              <w:rPr>
                <w:sz w:val="16"/>
                <w:szCs w:val="16"/>
              </w:rPr>
            </w:pPr>
            <w:r>
              <w:rPr>
                <w:sz w:val="16"/>
                <w:szCs w:val="16"/>
              </w:rPr>
              <w:t>Hard rock</w:t>
            </w:r>
          </w:p>
        </w:tc>
        <w:tc>
          <w:tcPr>
            <w:tcW w:w="627" w:type="dxa"/>
            <w:noWrap/>
            <w:vAlign w:val="center"/>
          </w:tcPr>
          <w:p w:rsidR="008115A9" w:rsidRPr="00372DE0" w:rsidRDefault="008115A9" w:rsidP="00802792">
            <w:pPr>
              <w:jc w:val="center"/>
              <w:rPr>
                <w:sz w:val="16"/>
                <w:szCs w:val="16"/>
              </w:rPr>
            </w:pPr>
            <w:r w:rsidRPr="001B623F">
              <w:rPr>
                <w:rFonts w:cs="Calibri"/>
                <w:color w:val="000000"/>
                <w:sz w:val="16"/>
                <w:szCs w:val="16"/>
              </w:rPr>
              <w:t>36.6</w:t>
            </w:r>
          </w:p>
        </w:tc>
        <w:tc>
          <w:tcPr>
            <w:tcW w:w="627" w:type="dxa"/>
            <w:noWrap/>
            <w:vAlign w:val="center"/>
          </w:tcPr>
          <w:p w:rsidR="008115A9" w:rsidRPr="00372DE0" w:rsidRDefault="008115A9" w:rsidP="00802792">
            <w:pPr>
              <w:jc w:val="center"/>
              <w:rPr>
                <w:sz w:val="16"/>
                <w:szCs w:val="16"/>
              </w:rPr>
            </w:pPr>
            <w:r w:rsidRPr="001B623F">
              <w:rPr>
                <w:rFonts w:cs="Calibri"/>
                <w:color w:val="000000"/>
                <w:sz w:val="16"/>
                <w:szCs w:val="16"/>
              </w:rPr>
              <w:t>37.6</w:t>
            </w:r>
          </w:p>
        </w:tc>
        <w:tc>
          <w:tcPr>
            <w:tcW w:w="629" w:type="dxa"/>
            <w:noWrap/>
            <w:vAlign w:val="center"/>
          </w:tcPr>
          <w:p w:rsidR="008115A9" w:rsidRPr="00372DE0" w:rsidRDefault="008115A9" w:rsidP="00133B47">
            <w:pPr>
              <w:jc w:val="center"/>
              <w:rPr>
                <w:sz w:val="16"/>
                <w:szCs w:val="16"/>
              </w:rPr>
            </w:pPr>
            <w:r w:rsidRPr="001B623F">
              <w:rPr>
                <w:rFonts w:cs="Calibri"/>
                <w:color w:val="000000"/>
                <w:sz w:val="16"/>
                <w:szCs w:val="16"/>
              </w:rPr>
              <w:t>38.6</w:t>
            </w:r>
          </w:p>
        </w:tc>
        <w:tc>
          <w:tcPr>
            <w:tcW w:w="628" w:type="dxa"/>
            <w:vAlign w:val="center"/>
          </w:tcPr>
          <w:p w:rsidR="008115A9" w:rsidRPr="00372DE0" w:rsidRDefault="008115A9" w:rsidP="001E4FD3">
            <w:pPr>
              <w:jc w:val="center"/>
              <w:rPr>
                <w:sz w:val="16"/>
                <w:szCs w:val="16"/>
              </w:rPr>
            </w:pPr>
            <w:r w:rsidRPr="001B623F">
              <w:rPr>
                <w:rFonts w:cs="Calibri"/>
                <w:color w:val="000000"/>
                <w:sz w:val="16"/>
                <w:szCs w:val="16"/>
              </w:rPr>
              <w:t>39.6</w:t>
            </w:r>
          </w:p>
        </w:tc>
        <w:tc>
          <w:tcPr>
            <w:tcW w:w="629" w:type="dxa"/>
            <w:vAlign w:val="center"/>
          </w:tcPr>
          <w:p w:rsidR="008115A9" w:rsidRPr="00372DE0" w:rsidRDefault="008115A9" w:rsidP="001E4FD3">
            <w:pPr>
              <w:jc w:val="center"/>
              <w:rPr>
                <w:sz w:val="16"/>
                <w:szCs w:val="16"/>
              </w:rPr>
            </w:pPr>
            <w:r w:rsidRPr="001B623F">
              <w:rPr>
                <w:rFonts w:cs="Calibri"/>
                <w:color w:val="000000"/>
                <w:sz w:val="16"/>
                <w:szCs w:val="16"/>
              </w:rPr>
              <w:t>40.7</w:t>
            </w:r>
          </w:p>
        </w:tc>
        <w:tc>
          <w:tcPr>
            <w:tcW w:w="628" w:type="dxa"/>
            <w:vAlign w:val="center"/>
          </w:tcPr>
          <w:p w:rsidR="008115A9" w:rsidRPr="00372DE0" w:rsidRDefault="008115A9" w:rsidP="00715DB8">
            <w:pPr>
              <w:jc w:val="center"/>
              <w:rPr>
                <w:sz w:val="16"/>
                <w:szCs w:val="16"/>
              </w:rPr>
            </w:pPr>
            <w:r w:rsidRPr="001B623F">
              <w:rPr>
                <w:rFonts w:cs="Calibri"/>
                <w:color w:val="000000"/>
                <w:sz w:val="16"/>
                <w:szCs w:val="16"/>
              </w:rPr>
              <w:t>41.8</w:t>
            </w:r>
          </w:p>
        </w:tc>
        <w:tc>
          <w:tcPr>
            <w:tcW w:w="628" w:type="dxa"/>
            <w:vAlign w:val="center"/>
          </w:tcPr>
          <w:p w:rsidR="008115A9" w:rsidRPr="00372DE0" w:rsidRDefault="008115A9" w:rsidP="00715DB8">
            <w:pPr>
              <w:jc w:val="center"/>
              <w:rPr>
                <w:sz w:val="16"/>
                <w:szCs w:val="16"/>
              </w:rPr>
            </w:pPr>
            <w:r w:rsidRPr="001B623F">
              <w:rPr>
                <w:rFonts w:cs="Calibri"/>
                <w:color w:val="000000"/>
                <w:sz w:val="16"/>
                <w:szCs w:val="16"/>
              </w:rPr>
              <w:t>42.9</w:t>
            </w:r>
          </w:p>
        </w:tc>
        <w:tc>
          <w:tcPr>
            <w:tcW w:w="629" w:type="dxa"/>
            <w:vAlign w:val="center"/>
          </w:tcPr>
          <w:p w:rsidR="008115A9" w:rsidRPr="00372DE0" w:rsidRDefault="008115A9" w:rsidP="00715DB8">
            <w:pPr>
              <w:jc w:val="center"/>
              <w:rPr>
                <w:sz w:val="16"/>
                <w:szCs w:val="16"/>
              </w:rPr>
            </w:pPr>
            <w:r w:rsidRPr="001B623F">
              <w:rPr>
                <w:rFonts w:cs="Calibri"/>
                <w:color w:val="000000"/>
                <w:sz w:val="16"/>
                <w:szCs w:val="16"/>
              </w:rPr>
              <w:t>41.2</w:t>
            </w:r>
          </w:p>
        </w:tc>
        <w:tc>
          <w:tcPr>
            <w:tcW w:w="628" w:type="dxa"/>
            <w:vAlign w:val="center"/>
          </w:tcPr>
          <w:p w:rsidR="008115A9" w:rsidRPr="00372DE0" w:rsidRDefault="008115A9" w:rsidP="00715DB8">
            <w:pPr>
              <w:jc w:val="center"/>
              <w:rPr>
                <w:sz w:val="16"/>
                <w:szCs w:val="16"/>
              </w:rPr>
            </w:pPr>
            <w:r w:rsidRPr="001B623F">
              <w:rPr>
                <w:rFonts w:cs="Calibri"/>
                <w:color w:val="000000"/>
                <w:sz w:val="16"/>
                <w:szCs w:val="16"/>
              </w:rPr>
              <w:t>42.3</w:t>
            </w:r>
          </w:p>
        </w:tc>
        <w:tc>
          <w:tcPr>
            <w:tcW w:w="629" w:type="dxa"/>
            <w:vAlign w:val="center"/>
          </w:tcPr>
          <w:p w:rsidR="008115A9" w:rsidRPr="00372DE0" w:rsidRDefault="008115A9" w:rsidP="00715DB8">
            <w:pPr>
              <w:jc w:val="center"/>
              <w:rPr>
                <w:sz w:val="16"/>
                <w:szCs w:val="16"/>
              </w:rPr>
            </w:pPr>
            <w:r w:rsidRPr="001B623F">
              <w:rPr>
                <w:rFonts w:cs="Calibri"/>
                <w:color w:val="000000"/>
                <w:sz w:val="16"/>
                <w:szCs w:val="16"/>
              </w:rPr>
              <w:t>43.3</w:t>
            </w:r>
          </w:p>
        </w:tc>
        <w:tc>
          <w:tcPr>
            <w:tcW w:w="628" w:type="dxa"/>
            <w:vAlign w:val="center"/>
          </w:tcPr>
          <w:p w:rsidR="008115A9" w:rsidRPr="00372DE0" w:rsidRDefault="008115A9" w:rsidP="0063661C">
            <w:pPr>
              <w:jc w:val="center"/>
              <w:rPr>
                <w:sz w:val="16"/>
                <w:szCs w:val="16"/>
              </w:rPr>
            </w:pPr>
            <w:r w:rsidRPr="001B623F">
              <w:rPr>
                <w:rFonts w:cs="Calibri"/>
                <w:color w:val="000000"/>
                <w:sz w:val="16"/>
                <w:szCs w:val="16"/>
              </w:rPr>
              <w:t>44.4</w:t>
            </w:r>
          </w:p>
        </w:tc>
        <w:tc>
          <w:tcPr>
            <w:tcW w:w="629" w:type="dxa"/>
            <w:vAlign w:val="center"/>
          </w:tcPr>
          <w:p w:rsidR="008115A9" w:rsidRPr="00372DE0" w:rsidRDefault="008115A9" w:rsidP="006A7DDB">
            <w:pPr>
              <w:jc w:val="center"/>
              <w:rPr>
                <w:sz w:val="16"/>
                <w:szCs w:val="16"/>
              </w:rPr>
            </w:pPr>
            <w:r w:rsidRPr="001B623F">
              <w:rPr>
                <w:rFonts w:cs="Calibri"/>
                <w:color w:val="000000"/>
                <w:sz w:val="16"/>
                <w:szCs w:val="16"/>
              </w:rPr>
              <w:t>45.6</w:t>
            </w:r>
          </w:p>
        </w:tc>
        <w:tc>
          <w:tcPr>
            <w:tcW w:w="629" w:type="dxa"/>
            <w:vAlign w:val="center"/>
          </w:tcPr>
          <w:p w:rsidR="008115A9" w:rsidRPr="00E65C9D" w:rsidRDefault="008115A9" w:rsidP="00906667">
            <w:pPr>
              <w:jc w:val="center"/>
              <w:rPr>
                <w:sz w:val="16"/>
                <w:szCs w:val="16"/>
              </w:rPr>
            </w:pPr>
            <w:r w:rsidRPr="001B623F">
              <w:rPr>
                <w:rFonts w:cs="Calibri"/>
                <w:color w:val="000000"/>
                <w:sz w:val="16"/>
                <w:szCs w:val="16"/>
              </w:rPr>
              <w:t>46.7</w:t>
            </w:r>
          </w:p>
        </w:tc>
        <w:tc>
          <w:tcPr>
            <w:tcW w:w="629" w:type="dxa"/>
            <w:vAlign w:val="center"/>
          </w:tcPr>
          <w:p w:rsidR="008115A9" w:rsidRPr="00E65C9D" w:rsidRDefault="008115A9" w:rsidP="00D25BB1">
            <w:pPr>
              <w:jc w:val="center"/>
              <w:rPr>
                <w:sz w:val="16"/>
                <w:szCs w:val="16"/>
              </w:rPr>
            </w:pPr>
            <w:r w:rsidRPr="001B623F">
              <w:rPr>
                <w:rFonts w:cs="Calibri"/>
                <w:color w:val="000000"/>
                <w:sz w:val="16"/>
                <w:szCs w:val="16"/>
              </w:rPr>
              <w:t>47.9</w:t>
            </w:r>
          </w:p>
        </w:tc>
        <w:tc>
          <w:tcPr>
            <w:tcW w:w="629" w:type="dxa"/>
            <w:vAlign w:val="center"/>
          </w:tcPr>
          <w:p w:rsidR="008115A9" w:rsidRPr="00E65C9D" w:rsidRDefault="008115A9">
            <w:pPr>
              <w:jc w:val="center"/>
              <w:rPr>
                <w:sz w:val="16"/>
                <w:szCs w:val="16"/>
              </w:rPr>
            </w:pPr>
            <w:r w:rsidRPr="001B623F">
              <w:rPr>
                <w:rFonts w:cs="Calibri"/>
                <w:color w:val="000000"/>
                <w:sz w:val="16"/>
                <w:szCs w:val="16"/>
              </w:rPr>
              <w:t>49.2</w:t>
            </w:r>
          </w:p>
        </w:tc>
        <w:tc>
          <w:tcPr>
            <w:tcW w:w="629" w:type="dxa"/>
            <w:vAlign w:val="center"/>
          </w:tcPr>
          <w:p w:rsidR="008115A9" w:rsidRPr="00E65C9D" w:rsidRDefault="008115A9">
            <w:pPr>
              <w:jc w:val="center"/>
              <w:rPr>
                <w:sz w:val="16"/>
                <w:szCs w:val="16"/>
              </w:rPr>
            </w:pPr>
            <w:r w:rsidRPr="001B623F">
              <w:rPr>
                <w:rFonts w:cs="Calibri"/>
                <w:color w:val="000000"/>
                <w:sz w:val="16"/>
                <w:szCs w:val="16"/>
              </w:rPr>
              <w:t>50.4</w:t>
            </w:r>
          </w:p>
        </w:tc>
        <w:tc>
          <w:tcPr>
            <w:tcW w:w="629" w:type="dxa"/>
            <w:vAlign w:val="center"/>
          </w:tcPr>
          <w:p w:rsidR="008115A9" w:rsidRPr="00E65C9D" w:rsidRDefault="008115A9">
            <w:pPr>
              <w:jc w:val="center"/>
              <w:rPr>
                <w:sz w:val="16"/>
                <w:szCs w:val="16"/>
              </w:rPr>
            </w:pPr>
            <w:r w:rsidRPr="001B623F">
              <w:rPr>
                <w:rFonts w:cs="Calibri"/>
                <w:color w:val="000000"/>
                <w:sz w:val="16"/>
                <w:szCs w:val="16"/>
              </w:rPr>
              <w:t>53.2</w:t>
            </w:r>
          </w:p>
        </w:tc>
        <w:tc>
          <w:tcPr>
            <w:tcW w:w="629" w:type="dxa"/>
            <w:vAlign w:val="center"/>
          </w:tcPr>
          <w:p w:rsidR="008115A9" w:rsidRPr="00E65C9D" w:rsidRDefault="008115A9">
            <w:pPr>
              <w:jc w:val="center"/>
              <w:rPr>
                <w:sz w:val="16"/>
                <w:szCs w:val="16"/>
              </w:rPr>
            </w:pPr>
            <w:r w:rsidRPr="001B623F">
              <w:rPr>
                <w:rFonts w:cs="Calibri"/>
                <w:color w:val="000000"/>
                <w:sz w:val="16"/>
                <w:szCs w:val="16"/>
              </w:rPr>
              <w:t>60.1</w:t>
            </w:r>
          </w:p>
        </w:tc>
        <w:tc>
          <w:tcPr>
            <w:tcW w:w="629" w:type="dxa"/>
            <w:vAlign w:val="center"/>
          </w:tcPr>
          <w:p w:rsidR="008115A9" w:rsidRPr="00E65C9D" w:rsidRDefault="008115A9">
            <w:pPr>
              <w:jc w:val="center"/>
              <w:rPr>
                <w:sz w:val="16"/>
                <w:szCs w:val="16"/>
              </w:rPr>
            </w:pPr>
            <w:r w:rsidRPr="001B623F">
              <w:rPr>
                <w:rFonts w:cs="Calibri"/>
                <w:color w:val="000000"/>
                <w:sz w:val="16"/>
                <w:szCs w:val="16"/>
              </w:rPr>
              <w:t>67.8</w:t>
            </w:r>
          </w:p>
        </w:tc>
        <w:tc>
          <w:tcPr>
            <w:tcW w:w="736" w:type="dxa"/>
            <w:vAlign w:val="center"/>
          </w:tcPr>
          <w:p w:rsidR="008115A9" w:rsidRPr="00E65C9D" w:rsidRDefault="008115A9">
            <w:pPr>
              <w:jc w:val="center"/>
              <w:rPr>
                <w:sz w:val="16"/>
                <w:szCs w:val="16"/>
              </w:rPr>
            </w:pPr>
            <w:r w:rsidRPr="001B623F">
              <w:rPr>
                <w:rFonts w:cs="Calibri"/>
                <w:color w:val="000000"/>
                <w:sz w:val="16"/>
                <w:szCs w:val="16"/>
              </w:rPr>
              <w:t>76.6</w:t>
            </w:r>
          </w:p>
        </w:tc>
      </w:tr>
      <w:tr w:rsidR="00DE64F6" w:rsidRPr="00DE64F6" w:rsidTr="00E65C9D">
        <w:trPr>
          <w:trHeight w:val="300"/>
        </w:trPr>
        <w:tc>
          <w:tcPr>
            <w:tcW w:w="1471" w:type="dxa"/>
            <w:noWrap/>
            <w:vAlign w:val="center"/>
          </w:tcPr>
          <w:p w:rsidR="00DE64F6" w:rsidRPr="00D14CE9" w:rsidRDefault="00DE64F6" w:rsidP="00DE64F6">
            <w:pPr>
              <w:rPr>
                <w:sz w:val="16"/>
                <w:szCs w:val="16"/>
              </w:rPr>
            </w:pPr>
            <w:r w:rsidRPr="00D14CE9">
              <w:rPr>
                <w:sz w:val="16"/>
                <w:szCs w:val="16"/>
              </w:rPr>
              <w:t>Clay and Clay Shale</w:t>
            </w:r>
          </w:p>
        </w:tc>
        <w:tc>
          <w:tcPr>
            <w:tcW w:w="627" w:type="dxa"/>
            <w:noWrap/>
            <w:vAlign w:val="center"/>
          </w:tcPr>
          <w:p w:rsidR="00DE64F6" w:rsidRPr="00372DE0" w:rsidRDefault="00DE64F6" w:rsidP="00802792">
            <w:pPr>
              <w:jc w:val="center"/>
              <w:rPr>
                <w:sz w:val="16"/>
                <w:szCs w:val="16"/>
              </w:rPr>
            </w:pPr>
            <w:r w:rsidRPr="00E65C9D">
              <w:rPr>
                <w:sz w:val="16"/>
                <w:szCs w:val="16"/>
              </w:rPr>
              <w:t>1.4</w:t>
            </w:r>
          </w:p>
        </w:tc>
        <w:tc>
          <w:tcPr>
            <w:tcW w:w="627" w:type="dxa"/>
            <w:noWrap/>
            <w:vAlign w:val="center"/>
          </w:tcPr>
          <w:p w:rsidR="00DE64F6" w:rsidRPr="00372DE0" w:rsidRDefault="00DE64F6" w:rsidP="00802792">
            <w:pPr>
              <w:jc w:val="center"/>
              <w:rPr>
                <w:sz w:val="16"/>
                <w:szCs w:val="16"/>
              </w:rPr>
            </w:pPr>
            <w:r w:rsidRPr="00E65C9D">
              <w:rPr>
                <w:sz w:val="16"/>
                <w:szCs w:val="16"/>
              </w:rPr>
              <w:t>1.5</w:t>
            </w:r>
          </w:p>
        </w:tc>
        <w:tc>
          <w:tcPr>
            <w:tcW w:w="629" w:type="dxa"/>
            <w:noWrap/>
            <w:vAlign w:val="center"/>
          </w:tcPr>
          <w:p w:rsidR="00DE64F6" w:rsidRPr="00372DE0" w:rsidRDefault="00DE64F6" w:rsidP="00133B47">
            <w:pPr>
              <w:jc w:val="center"/>
              <w:rPr>
                <w:sz w:val="16"/>
                <w:szCs w:val="16"/>
              </w:rPr>
            </w:pPr>
            <w:r w:rsidRPr="00E65C9D">
              <w:rPr>
                <w:sz w:val="16"/>
                <w:szCs w:val="16"/>
              </w:rPr>
              <w:t>1.5</w:t>
            </w:r>
          </w:p>
        </w:tc>
        <w:tc>
          <w:tcPr>
            <w:tcW w:w="628" w:type="dxa"/>
            <w:vAlign w:val="center"/>
          </w:tcPr>
          <w:p w:rsidR="00DE64F6" w:rsidRPr="00372DE0" w:rsidRDefault="00DE64F6" w:rsidP="001E4FD3">
            <w:pPr>
              <w:jc w:val="center"/>
              <w:rPr>
                <w:sz w:val="16"/>
                <w:szCs w:val="16"/>
              </w:rPr>
            </w:pPr>
            <w:r w:rsidRPr="00E65C9D">
              <w:rPr>
                <w:sz w:val="16"/>
                <w:szCs w:val="16"/>
              </w:rPr>
              <w:t>1.6</w:t>
            </w:r>
          </w:p>
        </w:tc>
        <w:tc>
          <w:tcPr>
            <w:tcW w:w="629" w:type="dxa"/>
            <w:vAlign w:val="center"/>
          </w:tcPr>
          <w:p w:rsidR="00DE64F6" w:rsidRPr="00372DE0" w:rsidRDefault="00DE64F6" w:rsidP="001E4FD3">
            <w:pPr>
              <w:jc w:val="center"/>
              <w:rPr>
                <w:sz w:val="16"/>
                <w:szCs w:val="16"/>
              </w:rPr>
            </w:pPr>
            <w:r w:rsidRPr="00E65C9D">
              <w:rPr>
                <w:sz w:val="16"/>
                <w:szCs w:val="16"/>
              </w:rPr>
              <w:t>1.6</w:t>
            </w:r>
          </w:p>
        </w:tc>
        <w:tc>
          <w:tcPr>
            <w:tcW w:w="628" w:type="dxa"/>
            <w:vAlign w:val="center"/>
          </w:tcPr>
          <w:p w:rsidR="00DE64F6" w:rsidRPr="00372DE0" w:rsidRDefault="00DE64F6" w:rsidP="00715DB8">
            <w:pPr>
              <w:jc w:val="center"/>
              <w:rPr>
                <w:sz w:val="16"/>
                <w:szCs w:val="16"/>
              </w:rPr>
            </w:pPr>
            <w:r w:rsidRPr="00E65C9D">
              <w:rPr>
                <w:sz w:val="16"/>
                <w:szCs w:val="16"/>
              </w:rPr>
              <w:t>1.6</w:t>
            </w:r>
          </w:p>
        </w:tc>
        <w:tc>
          <w:tcPr>
            <w:tcW w:w="628" w:type="dxa"/>
            <w:vAlign w:val="center"/>
          </w:tcPr>
          <w:p w:rsidR="00DE64F6" w:rsidRPr="00372DE0" w:rsidRDefault="00DE64F6" w:rsidP="00715DB8">
            <w:pPr>
              <w:jc w:val="center"/>
              <w:rPr>
                <w:sz w:val="16"/>
                <w:szCs w:val="16"/>
              </w:rPr>
            </w:pPr>
            <w:r w:rsidRPr="00E65C9D">
              <w:rPr>
                <w:sz w:val="16"/>
                <w:szCs w:val="16"/>
              </w:rPr>
              <w:t>1.7</w:t>
            </w:r>
          </w:p>
        </w:tc>
        <w:tc>
          <w:tcPr>
            <w:tcW w:w="629" w:type="dxa"/>
            <w:vAlign w:val="center"/>
          </w:tcPr>
          <w:p w:rsidR="00DE64F6" w:rsidRPr="00372DE0" w:rsidRDefault="00DE64F6" w:rsidP="00715DB8">
            <w:pPr>
              <w:jc w:val="center"/>
              <w:rPr>
                <w:sz w:val="16"/>
                <w:szCs w:val="16"/>
              </w:rPr>
            </w:pPr>
            <w:r w:rsidRPr="00E65C9D">
              <w:rPr>
                <w:sz w:val="16"/>
                <w:szCs w:val="16"/>
              </w:rPr>
              <w:t>1.4</w:t>
            </w:r>
          </w:p>
        </w:tc>
        <w:tc>
          <w:tcPr>
            <w:tcW w:w="628" w:type="dxa"/>
            <w:vAlign w:val="center"/>
          </w:tcPr>
          <w:p w:rsidR="00DE64F6" w:rsidRPr="00372DE0" w:rsidRDefault="00DE64F6" w:rsidP="00715DB8">
            <w:pPr>
              <w:jc w:val="center"/>
              <w:rPr>
                <w:sz w:val="16"/>
                <w:szCs w:val="16"/>
              </w:rPr>
            </w:pPr>
            <w:r w:rsidRPr="00E65C9D">
              <w:rPr>
                <w:sz w:val="16"/>
                <w:szCs w:val="16"/>
              </w:rPr>
              <w:t>1.5</w:t>
            </w:r>
          </w:p>
        </w:tc>
        <w:tc>
          <w:tcPr>
            <w:tcW w:w="629" w:type="dxa"/>
            <w:vAlign w:val="center"/>
          </w:tcPr>
          <w:p w:rsidR="00DE64F6" w:rsidRPr="00372DE0" w:rsidRDefault="00DE64F6" w:rsidP="00715DB8">
            <w:pPr>
              <w:jc w:val="center"/>
              <w:rPr>
                <w:sz w:val="16"/>
                <w:szCs w:val="16"/>
              </w:rPr>
            </w:pPr>
            <w:r w:rsidRPr="00E65C9D">
              <w:rPr>
                <w:sz w:val="16"/>
                <w:szCs w:val="16"/>
              </w:rPr>
              <w:t>1.5</w:t>
            </w:r>
          </w:p>
        </w:tc>
        <w:tc>
          <w:tcPr>
            <w:tcW w:w="628" w:type="dxa"/>
            <w:vAlign w:val="center"/>
          </w:tcPr>
          <w:p w:rsidR="00DE64F6" w:rsidRPr="00372DE0" w:rsidRDefault="00DE64F6" w:rsidP="0063661C">
            <w:pPr>
              <w:jc w:val="center"/>
              <w:rPr>
                <w:sz w:val="16"/>
                <w:szCs w:val="16"/>
              </w:rPr>
            </w:pPr>
            <w:r w:rsidRPr="00E65C9D">
              <w:rPr>
                <w:sz w:val="16"/>
                <w:szCs w:val="16"/>
              </w:rPr>
              <w:t>1.5</w:t>
            </w:r>
          </w:p>
        </w:tc>
        <w:tc>
          <w:tcPr>
            <w:tcW w:w="629" w:type="dxa"/>
            <w:vAlign w:val="center"/>
          </w:tcPr>
          <w:p w:rsidR="00DE64F6" w:rsidRPr="00372DE0" w:rsidRDefault="00DE64F6" w:rsidP="006A7DDB">
            <w:pPr>
              <w:jc w:val="center"/>
              <w:rPr>
                <w:sz w:val="16"/>
                <w:szCs w:val="16"/>
              </w:rPr>
            </w:pPr>
            <w:r w:rsidRPr="00E65C9D">
              <w:rPr>
                <w:sz w:val="16"/>
                <w:szCs w:val="16"/>
              </w:rPr>
              <w:t>1.6</w:t>
            </w:r>
          </w:p>
        </w:tc>
        <w:tc>
          <w:tcPr>
            <w:tcW w:w="629" w:type="dxa"/>
            <w:vAlign w:val="center"/>
          </w:tcPr>
          <w:p w:rsidR="00DE64F6" w:rsidRPr="00E65C9D" w:rsidRDefault="00DE64F6" w:rsidP="00906667">
            <w:pPr>
              <w:jc w:val="center"/>
              <w:rPr>
                <w:sz w:val="16"/>
                <w:szCs w:val="16"/>
              </w:rPr>
            </w:pPr>
            <w:r w:rsidRPr="00E65C9D">
              <w:rPr>
                <w:sz w:val="16"/>
                <w:szCs w:val="16"/>
              </w:rPr>
              <w:t>1.6</w:t>
            </w:r>
          </w:p>
        </w:tc>
        <w:tc>
          <w:tcPr>
            <w:tcW w:w="629" w:type="dxa"/>
            <w:vAlign w:val="center"/>
          </w:tcPr>
          <w:p w:rsidR="00DE64F6" w:rsidRPr="00E65C9D" w:rsidRDefault="00DE64F6" w:rsidP="00D25BB1">
            <w:pPr>
              <w:jc w:val="center"/>
              <w:rPr>
                <w:sz w:val="16"/>
                <w:szCs w:val="16"/>
              </w:rPr>
            </w:pPr>
            <w:r w:rsidRPr="00E65C9D">
              <w:rPr>
                <w:sz w:val="16"/>
                <w:szCs w:val="16"/>
              </w:rPr>
              <w:t>1.6</w:t>
            </w:r>
          </w:p>
        </w:tc>
        <w:tc>
          <w:tcPr>
            <w:tcW w:w="629" w:type="dxa"/>
            <w:vAlign w:val="center"/>
          </w:tcPr>
          <w:p w:rsidR="00DE64F6" w:rsidRPr="00E65C9D" w:rsidRDefault="00DE64F6">
            <w:pPr>
              <w:jc w:val="center"/>
              <w:rPr>
                <w:sz w:val="16"/>
                <w:szCs w:val="16"/>
              </w:rPr>
            </w:pPr>
            <w:r w:rsidRPr="00E65C9D">
              <w:rPr>
                <w:sz w:val="16"/>
                <w:szCs w:val="16"/>
              </w:rPr>
              <w:t>1.7</w:t>
            </w:r>
          </w:p>
        </w:tc>
        <w:tc>
          <w:tcPr>
            <w:tcW w:w="629" w:type="dxa"/>
            <w:vAlign w:val="center"/>
          </w:tcPr>
          <w:p w:rsidR="00DE64F6" w:rsidRPr="00E65C9D" w:rsidRDefault="00DE64F6">
            <w:pPr>
              <w:jc w:val="center"/>
              <w:rPr>
                <w:sz w:val="16"/>
                <w:szCs w:val="16"/>
              </w:rPr>
            </w:pPr>
            <w:r w:rsidRPr="00E65C9D">
              <w:rPr>
                <w:sz w:val="16"/>
                <w:szCs w:val="16"/>
              </w:rPr>
              <w:t>1.7</w:t>
            </w:r>
          </w:p>
        </w:tc>
        <w:tc>
          <w:tcPr>
            <w:tcW w:w="629" w:type="dxa"/>
            <w:vAlign w:val="center"/>
          </w:tcPr>
          <w:p w:rsidR="00DE64F6" w:rsidRPr="00E65C9D" w:rsidRDefault="00DE64F6">
            <w:pPr>
              <w:jc w:val="center"/>
              <w:rPr>
                <w:sz w:val="16"/>
                <w:szCs w:val="16"/>
              </w:rPr>
            </w:pPr>
            <w:r w:rsidRPr="00E65C9D">
              <w:rPr>
                <w:sz w:val="16"/>
                <w:szCs w:val="16"/>
              </w:rPr>
              <w:t>1.5</w:t>
            </w:r>
          </w:p>
        </w:tc>
        <w:tc>
          <w:tcPr>
            <w:tcW w:w="629" w:type="dxa"/>
            <w:vAlign w:val="center"/>
          </w:tcPr>
          <w:p w:rsidR="00DE64F6" w:rsidRPr="00E65C9D" w:rsidRDefault="00DE64F6">
            <w:pPr>
              <w:jc w:val="center"/>
              <w:rPr>
                <w:sz w:val="16"/>
                <w:szCs w:val="16"/>
              </w:rPr>
            </w:pPr>
            <w:r w:rsidRPr="00E65C9D">
              <w:rPr>
                <w:sz w:val="16"/>
                <w:szCs w:val="16"/>
              </w:rPr>
              <w:t>1.6</w:t>
            </w:r>
          </w:p>
        </w:tc>
        <w:tc>
          <w:tcPr>
            <w:tcW w:w="629" w:type="dxa"/>
            <w:vAlign w:val="center"/>
          </w:tcPr>
          <w:p w:rsidR="00DE64F6" w:rsidRPr="00E65C9D" w:rsidRDefault="00DE64F6">
            <w:pPr>
              <w:jc w:val="center"/>
              <w:rPr>
                <w:sz w:val="16"/>
                <w:szCs w:val="16"/>
              </w:rPr>
            </w:pPr>
            <w:r w:rsidRPr="00E65C9D">
              <w:rPr>
                <w:sz w:val="16"/>
                <w:szCs w:val="16"/>
              </w:rPr>
              <w:t>1.8</w:t>
            </w:r>
          </w:p>
        </w:tc>
        <w:tc>
          <w:tcPr>
            <w:tcW w:w="736" w:type="dxa"/>
            <w:vAlign w:val="center"/>
          </w:tcPr>
          <w:p w:rsidR="00DE64F6" w:rsidRPr="00E65C9D" w:rsidRDefault="00DE64F6">
            <w:pPr>
              <w:jc w:val="center"/>
              <w:rPr>
                <w:sz w:val="16"/>
                <w:szCs w:val="16"/>
              </w:rPr>
            </w:pPr>
            <w:r w:rsidRPr="00E65C9D">
              <w:rPr>
                <w:sz w:val="16"/>
                <w:szCs w:val="16"/>
              </w:rPr>
              <w:t>1.9</w:t>
            </w:r>
          </w:p>
        </w:tc>
      </w:tr>
      <w:tr w:rsidR="00DE64F6" w:rsidRPr="00DE64F6" w:rsidTr="00E65C9D">
        <w:trPr>
          <w:trHeight w:val="300"/>
        </w:trPr>
        <w:tc>
          <w:tcPr>
            <w:tcW w:w="1471" w:type="dxa"/>
            <w:noWrap/>
            <w:vAlign w:val="center"/>
          </w:tcPr>
          <w:p w:rsidR="00DE64F6" w:rsidRPr="00D14CE9" w:rsidRDefault="00DE64F6" w:rsidP="00DE64F6">
            <w:pPr>
              <w:rPr>
                <w:sz w:val="16"/>
                <w:szCs w:val="16"/>
              </w:rPr>
            </w:pPr>
            <w:r w:rsidRPr="00D14CE9">
              <w:rPr>
                <w:sz w:val="16"/>
                <w:szCs w:val="16"/>
              </w:rPr>
              <w:t>Limestone</w:t>
            </w:r>
          </w:p>
        </w:tc>
        <w:tc>
          <w:tcPr>
            <w:tcW w:w="627" w:type="dxa"/>
            <w:noWrap/>
            <w:vAlign w:val="center"/>
          </w:tcPr>
          <w:p w:rsidR="00DE64F6" w:rsidRPr="00372DE0" w:rsidRDefault="00DE64F6" w:rsidP="00802792">
            <w:pPr>
              <w:jc w:val="center"/>
              <w:rPr>
                <w:sz w:val="16"/>
                <w:szCs w:val="16"/>
              </w:rPr>
            </w:pPr>
            <w:r w:rsidRPr="00E65C9D">
              <w:rPr>
                <w:sz w:val="16"/>
                <w:szCs w:val="16"/>
              </w:rPr>
              <w:t>2.5</w:t>
            </w:r>
          </w:p>
        </w:tc>
        <w:tc>
          <w:tcPr>
            <w:tcW w:w="627" w:type="dxa"/>
            <w:noWrap/>
            <w:vAlign w:val="center"/>
          </w:tcPr>
          <w:p w:rsidR="00DE64F6" w:rsidRPr="00372DE0" w:rsidRDefault="00DE64F6" w:rsidP="00802792">
            <w:pPr>
              <w:jc w:val="center"/>
              <w:rPr>
                <w:sz w:val="16"/>
                <w:szCs w:val="16"/>
              </w:rPr>
            </w:pPr>
            <w:r w:rsidRPr="00E65C9D">
              <w:rPr>
                <w:sz w:val="16"/>
                <w:szCs w:val="16"/>
              </w:rPr>
              <w:t>2.6</w:t>
            </w:r>
          </w:p>
        </w:tc>
        <w:tc>
          <w:tcPr>
            <w:tcW w:w="629" w:type="dxa"/>
            <w:noWrap/>
            <w:vAlign w:val="center"/>
          </w:tcPr>
          <w:p w:rsidR="00DE64F6" w:rsidRPr="00372DE0" w:rsidRDefault="00DE64F6" w:rsidP="00133B47">
            <w:pPr>
              <w:jc w:val="center"/>
              <w:rPr>
                <w:sz w:val="16"/>
                <w:szCs w:val="16"/>
              </w:rPr>
            </w:pPr>
            <w:r w:rsidRPr="00E65C9D">
              <w:rPr>
                <w:sz w:val="16"/>
                <w:szCs w:val="16"/>
              </w:rPr>
              <w:t>2.7</w:t>
            </w:r>
          </w:p>
        </w:tc>
        <w:tc>
          <w:tcPr>
            <w:tcW w:w="628" w:type="dxa"/>
            <w:vAlign w:val="center"/>
          </w:tcPr>
          <w:p w:rsidR="00DE64F6" w:rsidRPr="00372DE0" w:rsidRDefault="00DE64F6" w:rsidP="001E4FD3">
            <w:pPr>
              <w:jc w:val="center"/>
              <w:rPr>
                <w:sz w:val="16"/>
                <w:szCs w:val="16"/>
              </w:rPr>
            </w:pPr>
            <w:r w:rsidRPr="00E65C9D">
              <w:rPr>
                <w:sz w:val="16"/>
                <w:szCs w:val="16"/>
              </w:rPr>
              <w:t>2.7</w:t>
            </w:r>
          </w:p>
        </w:tc>
        <w:tc>
          <w:tcPr>
            <w:tcW w:w="629" w:type="dxa"/>
            <w:vAlign w:val="center"/>
          </w:tcPr>
          <w:p w:rsidR="00DE64F6" w:rsidRPr="00372DE0" w:rsidRDefault="00DE64F6" w:rsidP="001E4FD3">
            <w:pPr>
              <w:jc w:val="center"/>
              <w:rPr>
                <w:sz w:val="16"/>
                <w:szCs w:val="16"/>
              </w:rPr>
            </w:pPr>
            <w:r w:rsidRPr="00E65C9D">
              <w:rPr>
                <w:sz w:val="16"/>
                <w:szCs w:val="16"/>
              </w:rPr>
              <w:t>2.8</w:t>
            </w:r>
          </w:p>
        </w:tc>
        <w:tc>
          <w:tcPr>
            <w:tcW w:w="628" w:type="dxa"/>
            <w:vAlign w:val="center"/>
          </w:tcPr>
          <w:p w:rsidR="00DE64F6" w:rsidRPr="00372DE0" w:rsidRDefault="00DE64F6" w:rsidP="00715DB8">
            <w:pPr>
              <w:jc w:val="center"/>
              <w:rPr>
                <w:sz w:val="16"/>
                <w:szCs w:val="16"/>
              </w:rPr>
            </w:pPr>
            <w:r w:rsidRPr="00E65C9D">
              <w:rPr>
                <w:sz w:val="16"/>
                <w:szCs w:val="16"/>
              </w:rPr>
              <w:t>2.9</w:t>
            </w:r>
          </w:p>
        </w:tc>
        <w:tc>
          <w:tcPr>
            <w:tcW w:w="628" w:type="dxa"/>
            <w:vAlign w:val="center"/>
          </w:tcPr>
          <w:p w:rsidR="00DE64F6" w:rsidRPr="00372DE0" w:rsidRDefault="00DE64F6" w:rsidP="00715DB8">
            <w:pPr>
              <w:jc w:val="center"/>
              <w:rPr>
                <w:sz w:val="16"/>
                <w:szCs w:val="16"/>
              </w:rPr>
            </w:pPr>
            <w:r w:rsidRPr="00E65C9D">
              <w:rPr>
                <w:sz w:val="16"/>
                <w:szCs w:val="16"/>
              </w:rPr>
              <w:t>3.0</w:t>
            </w:r>
          </w:p>
        </w:tc>
        <w:tc>
          <w:tcPr>
            <w:tcW w:w="629" w:type="dxa"/>
            <w:vAlign w:val="center"/>
          </w:tcPr>
          <w:p w:rsidR="00DE64F6" w:rsidRPr="00372DE0" w:rsidRDefault="00DE64F6" w:rsidP="00715DB8">
            <w:pPr>
              <w:jc w:val="center"/>
              <w:rPr>
                <w:sz w:val="16"/>
                <w:szCs w:val="16"/>
              </w:rPr>
            </w:pPr>
            <w:r w:rsidRPr="00E65C9D">
              <w:rPr>
                <w:sz w:val="16"/>
                <w:szCs w:val="16"/>
              </w:rPr>
              <w:t>3.1</w:t>
            </w:r>
          </w:p>
        </w:tc>
        <w:tc>
          <w:tcPr>
            <w:tcW w:w="628" w:type="dxa"/>
            <w:vAlign w:val="center"/>
          </w:tcPr>
          <w:p w:rsidR="00DE64F6" w:rsidRPr="00372DE0" w:rsidRDefault="00DE64F6" w:rsidP="00715DB8">
            <w:pPr>
              <w:jc w:val="center"/>
              <w:rPr>
                <w:sz w:val="16"/>
                <w:szCs w:val="16"/>
              </w:rPr>
            </w:pPr>
            <w:r w:rsidRPr="00E65C9D">
              <w:rPr>
                <w:sz w:val="16"/>
                <w:szCs w:val="16"/>
              </w:rPr>
              <w:t>3.1</w:t>
            </w:r>
          </w:p>
        </w:tc>
        <w:tc>
          <w:tcPr>
            <w:tcW w:w="629" w:type="dxa"/>
            <w:vAlign w:val="center"/>
          </w:tcPr>
          <w:p w:rsidR="00DE64F6" w:rsidRPr="00372DE0" w:rsidRDefault="00DE64F6" w:rsidP="00715DB8">
            <w:pPr>
              <w:jc w:val="center"/>
              <w:rPr>
                <w:sz w:val="16"/>
                <w:szCs w:val="16"/>
              </w:rPr>
            </w:pPr>
            <w:r w:rsidRPr="00E65C9D">
              <w:rPr>
                <w:sz w:val="16"/>
                <w:szCs w:val="16"/>
              </w:rPr>
              <w:t>3.2</w:t>
            </w:r>
          </w:p>
        </w:tc>
        <w:tc>
          <w:tcPr>
            <w:tcW w:w="628" w:type="dxa"/>
            <w:vAlign w:val="center"/>
          </w:tcPr>
          <w:p w:rsidR="00DE64F6" w:rsidRPr="00372DE0" w:rsidRDefault="00DE64F6" w:rsidP="0063661C">
            <w:pPr>
              <w:jc w:val="center"/>
              <w:rPr>
                <w:sz w:val="16"/>
                <w:szCs w:val="16"/>
              </w:rPr>
            </w:pPr>
            <w:r w:rsidRPr="00E65C9D">
              <w:rPr>
                <w:sz w:val="16"/>
                <w:szCs w:val="16"/>
              </w:rPr>
              <w:t>3.3</w:t>
            </w:r>
          </w:p>
        </w:tc>
        <w:tc>
          <w:tcPr>
            <w:tcW w:w="629" w:type="dxa"/>
            <w:vAlign w:val="center"/>
          </w:tcPr>
          <w:p w:rsidR="00DE64F6" w:rsidRPr="00372DE0" w:rsidRDefault="00DE64F6" w:rsidP="006A7DDB">
            <w:pPr>
              <w:jc w:val="center"/>
              <w:rPr>
                <w:sz w:val="16"/>
                <w:szCs w:val="16"/>
              </w:rPr>
            </w:pPr>
            <w:r w:rsidRPr="00E65C9D">
              <w:rPr>
                <w:sz w:val="16"/>
                <w:szCs w:val="16"/>
              </w:rPr>
              <w:t>3.4</w:t>
            </w:r>
          </w:p>
        </w:tc>
        <w:tc>
          <w:tcPr>
            <w:tcW w:w="629" w:type="dxa"/>
            <w:vAlign w:val="center"/>
          </w:tcPr>
          <w:p w:rsidR="00DE64F6" w:rsidRPr="00E65C9D" w:rsidRDefault="00DE64F6" w:rsidP="00906667">
            <w:pPr>
              <w:jc w:val="center"/>
              <w:rPr>
                <w:sz w:val="16"/>
                <w:szCs w:val="16"/>
              </w:rPr>
            </w:pPr>
            <w:r w:rsidRPr="00E65C9D">
              <w:rPr>
                <w:sz w:val="16"/>
                <w:szCs w:val="16"/>
              </w:rPr>
              <w:t>3.5</w:t>
            </w:r>
          </w:p>
        </w:tc>
        <w:tc>
          <w:tcPr>
            <w:tcW w:w="629" w:type="dxa"/>
            <w:vAlign w:val="center"/>
          </w:tcPr>
          <w:p w:rsidR="00DE64F6" w:rsidRPr="00E65C9D" w:rsidRDefault="00DE64F6" w:rsidP="00D25BB1">
            <w:pPr>
              <w:jc w:val="center"/>
              <w:rPr>
                <w:sz w:val="16"/>
                <w:szCs w:val="16"/>
              </w:rPr>
            </w:pPr>
            <w:r w:rsidRPr="00E65C9D">
              <w:rPr>
                <w:sz w:val="16"/>
                <w:szCs w:val="16"/>
              </w:rPr>
              <w:t>3.6</w:t>
            </w:r>
          </w:p>
        </w:tc>
        <w:tc>
          <w:tcPr>
            <w:tcW w:w="629" w:type="dxa"/>
            <w:vAlign w:val="center"/>
          </w:tcPr>
          <w:p w:rsidR="00DE64F6" w:rsidRPr="00E65C9D" w:rsidRDefault="00DE64F6">
            <w:pPr>
              <w:jc w:val="center"/>
              <w:rPr>
                <w:sz w:val="16"/>
                <w:szCs w:val="16"/>
              </w:rPr>
            </w:pPr>
            <w:r w:rsidRPr="00E65C9D">
              <w:rPr>
                <w:sz w:val="16"/>
                <w:szCs w:val="16"/>
              </w:rPr>
              <w:t>3.7</w:t>
            </w:r>
          </w:p>
        </w:tc>
        <w:tc>
          <w:tcPr>
            <w:tcW w:w="629" w:type="dxa"/>
            <w:vAlign w:val="center"/>
          </w:tcPr>
          <w:p w:rsidR="00DE64F6" w:rsidRPr="00E65C9D" w:rsidRDefault="00DE64F6">
            <w:pPr>
              <w:jc w:val="center"/>
              <w:rPr>
                <w:sz w:val="16"/>
                <w:szCs w:val="16"/>
              </w:rPr>
            </w:pPr>
            <w:r w:rsidRPr="00E65C9D">
              <w:rPr>
                <w:sz w:val="16"/>
                <w:szCs w:val="16"/>
              </w:rPr>
              <w:t>3.8</w:t>
            </w:r>
          </w:p>
        </w:tc>
        <w:tc>
          <w:tcPr>
            <w:tcW w:w="629" w:type="dxa"/>
            <w:vAlign w:val="center"/>
          </w:tcPr>
          <w:p w:rsidR="00DE64F6" w:rsidRPr="00E65C9D" w:rsidRDefault="00DE64F6">
            <w:pPr>
              <w:jc w:val="center"/>
              <w:rPr>
                <w:sz w:val="16"/>
                <w:szCs w:val="16"/>
              </w:rPr>
            </w:pPr>
            <w:r w:rsidRPr="00E65C9D">
              <w:rPr>
                <w:sz w:val="16"/>
                <w:szCs w:val="16"/>
              </w:rPr>
              <w:t>4.3</w:t>
            </w:r>
          </w:p>
        </w:tc>
        <w:tc>
          <w:tcPr>
            <w:tcW w:w="629" w:type="dxa"/>
            <w:vAlign w:val="center"/>
          </w:tcPr>
          <w:p w:rsidR="00DE64F6" w:rsidRPr="00E65C9D" w:rsidRDefault="00DE64F6">
            <w:pPr>
              <w:jc w:val="center"/>
              <w:rPr>
                <w:sz w:val="16"/>
                <w:szCs w:val="16"/>
              </w:rPr>
            </w:pPr>
            <w:r w:rsidRPr="00E65C9D">
              <w:rPr>
                <w:sz w:val="16"/>
                <w:szCs w:val="16"/>
              </w:rPr>
              <w:t>5.0</w:t>
            </w:r>
          </w:p>
        </w:tc>
        <w:tc>
          <w:tcPr>
            <w:tcW w:w="629" w:type="dxa"/>
            <w:vAlign w:val="center"/>
          </w:tcPr>
          <w:p w:rsidR="00DE64F6" w:rsidRPr="00E65C9D" w:rsidRDefault="00DE64F6">
            <w:pPr>
              <w:jc w:val="center"/>
              <w:rPr>
                <w:sz w:val="16"/>
                <w:szCs w:val="16"/>
              </w:rPr>
            </w:pPr>
            <w:r w:rsidRPr="00E65C9D">
              <w:rPr>
                <w:sz w:val="16"/>
                <w:szCs w:val="16"/>
              </w:rPr>
              <w:t>5.7</w:t>
            </w:r>
          </w:p>
        </w:tc>
        <w:tc>
          <w:tcPr>
            <w:tcW w:w="736" w:type="dxa"/>
            <w:vAlign w:val="center"/>
          </w:tcPr>
          <w:p w:rsidR="00DE64F6" w:rsidRPr="00E65C9D" w:rsidRDefault="00DE64F6">
            <w:pPr>
              <w:jc w:val="center"/>
              <w:rPr>
                <w:sz w:val="16"/>
                <w:szCs w:val="16"/>
              </w:rPr>
            </w:pPr>
            <w:r w:rsidRPr="00E65C9D">
              <w:rPr>
                <w:sz w:val="16"/>
                <w:szCs w:val="16"/>
              </w:rPr>
              <w:t>6.5</w:t>
            </w:r>
          </w:p>
        </w:tc>
      </w:tr>
      <w:tr w:rsidR="00DE64F6" w:rsidRPr="00DE64F6" w:rsidTr="00E65C9D">
        <w:trPr>
          <w:trHeight w:val="300"/>
        </w:trPr>
        <w:tc>
          <w:tcPr>
            <w:tcW w:w="1471" w:type="dxa"/>
            <w:noWrap/>
            <w:vAlign w:val="center"/>
          </w:tcPr>
          <w:p w:rsidR="00DE64F6" w:rsidRPr="00D14CE9" w:rsidRDefault="00DE64F6" w:rsidP="00DE64F6">
            <w:pPr>
              <w:rPr>
                <w:sz w:val="16"/>
                <w:szCs w:val="16"/>
              </w:rPr>
            </w:pPr>
            <w:r w:rsidRPr="00D14CE9">
              <w:rPr>
                <w:sz w:val="16"/>
                <w:szCs w:val="16"/>
              </w:rPr>
              <w:t>Sand and Gravel</w:t>
            </w:r>
          </w:p>
        </w:tc>
        <w:tc>
          <w:tcPr>
            <w:tcW w:w="627" w:type="dxa"/>
            <w:noWrap/>
            <w:vAlign w:val="center"/>
          </w:tcPr>
          <w:p w:rsidR="00DE64F6" w:rsidRPr="00E65C9D" w:rsidRDefault="00DE64F6" w:rsidP="00802792">
            <w:pPr>
              <w:jc w:val="center"/>
              <w:rPr>
                <w:sz w:val="16"/>
                <w:szCs w:val="16"/>
              </w:rPr>
            </w:pPr>
            <w:r w:rsidRPr="00E65C9D">
              <w:rPr>
                <w:sz w:val="16"/>
                <w:szCs w:val="16"/>
              </w:rPr>
              <w:t>15.1</w:t>
            </w:r>
          </w:p>
        </w:tc>
        <w:tc>
          <w:tcPr>
            <w:tcW w:w="627" w:type="dxa"/>
            <w:noWrap/>
            <w:vAlign w:val="center"/>
          </w:tcPr>
          <w:p w:rsidR="00DE64F6" w:rsidRPr="00E65C9D" w:rsidRDefault="00DE64F6" w:rsidP="00802792">
            <w:pPr>
              <w:jc w:val="center"/>
              <w:rPr>
                <w:sz w:val="16"/>
                <w:szCs w:val="16"/>
              </w:rPr>
            </w:pPr>
            <w:r w:rsidRPr="00E65C9D">
              <w:rPr>
                <w:sz w:val="16"/>
                <w:szCs w:val="16"/>
              </w:rPr>
              <w:t>15.5</w:t>
            </w:r>
          </w:p>
        </w:tc>
        <w:tc>
          <w:tcPr>
            <w:tcW w:w="629" w:type="dxa"/>
            <w:noWrap/>
            <w:vAlign w:val="center"/>
          </w:tcPr>
          <w:p w:rsidR="00DE64F6" w:rsidRPr="00E65C9D" w:rsidRDefault="00DE64F6" w:rsidP="00133B47">
            <w:pPr>
              <w:jc w:val="center"/>
              <w:rPr>
                <w:sz w:val="16"/>
                <w:szCs w:val="16"/>
              </w:rPr>
            </w:pPr>
            <w:r w:rsidRPr="00E65C9D">
              <w:rPr>
                <w:sz w:val="16"/>
                <w:szCs w:val="16"/>
              </w:rPr>
              <w:t>15.9</w:t>
            </w:r>
          </w:p>
        </w:tc>
        <w:tc>
          <w:tcPr>
            <w:tcW w:w="628" w:type="dxa"/>
            <w:vAlign w:val="center"/>
          </w:tcPr>
          <w:p w:rsidR="00DE64F6" w:rsidRPr="00E65C9D" w:rsidRDefault="00DE64F6" w:rsidP="001E4FD3">
            <w:pPr>
              <w:jc w:val="center"/>
              <w:rPr>
                <w:sz w:val="16"/>
                <w:szCs w:val="16"/>
              </w:rPr>
            </w:pPr>
            <w:r w:rsidRPr="00E65C9D">
              <w:rPr>
                <w:sz w:val="16"/>
                <w:szCs w:val="16"/>
              </w:rPr>
              <w:t>16.3</w:t>
            </w:r>
          </w:p>
        </w:tc>
        <w:tc>
          <w:tcPr>
            <w:tcW w:w="629" w:type="dxa"/>
            <w:vAlign w:val="center"/>
          </w:tcPr>
          <w:p w:rsidR="00DE64F6" w:rsidRPr="00E65C9D" w:rsidRDefault="00DE64F6" w:rsidP="001E4FD3">
            <w:pPr>
              <w:jc w:val="center"/>
              <w:rPr>
                <w:sz w:val="16"/>
                <w:szCs w:val="16"/>
              </w:rPr>
            </w:pPr>
            <w:r w:rsidRPr="00E65C9D">
              <w:rPr>
                <w:sz w:val="16"/>
                <w:szCs w:val="16"/>
              </w:rPr>
              <w:t>16.7</w:t>
            </w:r>
          </w:p>
        </w:tc>
        <w:tc>
          <w:tcPr>
            <w:tcW w:w="628" w:type="dxa"/>
            <w:vAlign w:val="center"/>
          </w:tcPr>
          <w:p w:rsidR="00DE64F6" w:rsidRPr="00E65C9D" w:rsidRDefault="00DE64F6" w:rsidP="00715DB8">
            <w:pPr>
              <w:jc w:val="center"/>
              <w:rPr>
                <w:sz w:val="16"/>
                <w:szCs w:val="16"/>
              </w:rPr>
            </w:pPr>
            <w:r w:rsidRPr="00E65C9D">
              <w:rPr>
                <w:sz w:val="16"/>
                <w:szCs w:val="16"/>
              </w:rPr>
              <w:t>17.2</w:t>
            </w:r>
          </w:p>
        </w:tc>
        <w:tc>
          <w:tcPr>
            <w:tcW w:w="628" w:type="dxa"/>
            <w:vAlign w:val="center"/>
          </w:tcPr>
          <w:p w:rsidR="00DE64F6" w:rsidRPr="00E65C9D" w:rsidRDefault="00DE64F6" w:rsidP="00715DB8">
            <w:pPr>
              <w:jc w:val="center"/>
              <w:rPr>
                <w:sz w:val="16"/>
                <w:szCs w:val="16"/>
              </w:rPr>
            </w:pPr>
            <w:r w:rsidRPr="00E65C9D">
              <w:rPr>
                <w:sz w:val="16"/>
                <w:szCs w:val="16"/>
              </w:rPr>
              <w:t>17.6</w:t>
            </w:r>
          </w:p>
        </w:tc>
        <w:tc>
          <w:tcPr>
            <w:tcW w:w="629" w:type="dxa"/>
            <w:vAlign w:val="center"/>
          </w:tcPr>
          <w:p w:rsidR="00DE64F6" w:rsidRPr="00E65C9D" w:rsidRDefault="00DE64F6" w:rsidP="00715DB8">
            <w:pPr>
              <w:jc w:val="center"/>
              <w:rPr>
                <w:sz w:val="16"/>
                <w:szCs w:val="16"/>
              </w:rPr>
            </w:pPr>
            <w:r w:rsidRPr="00E65C9D">
              <w:rPr>
                <w:sz w:val="16"/>
                <w:szCs w:val="16"/>
              </w:rPr>
              <w:t>15.1</w:t>
            </w:r>
          </w:p>
        </w:tc>
        <w:tc>
          <w:tcPr>
            <w:tcW w:w="628" w:type="dxa"/>
            <w:vAlign w:val="center"/>
          </w:tcPr>
          <w:p w:rsidR="00DE64F6" w:rsidRPr="00E65C9D" w:rsidRDefault="00DE64F6" w:rsidP="00715DB8">
            <w:pPr>
              <w:jc w:val="center"/>
              <w:rPr>
                <w:sz w:val="16"/>
                <w:szCs w:val="16"/>
              </w:rPr>
            </w:pPr>
            <w:r w:rsidRPr="00E65C9D">
              <w:rPr>
                <w:sz w:val="16"/>
                <w:szCs w:val="16"/>
              </w:rPr>
              <w:t>15.4</w:t>
            </w:r>
          </w:p>
        </w:tc>
        <w:tc>
          <w:tcPr>
            <w:tcW w:w="629" w:type="dxa"/>
            <w:vAlign w:val="center"/>
          </w:tcPr>
          <w:p w:rsidR="00DE64F6" w:rsidRPr="00E65C9D" w:rsidRDefault="00DE64F6" w:rsidP="00715DB8">
            <w:pPr>
              <w:jc w:val="center"/>
              <w:rPr>
                <w:sz w:val="16"/>
                <w:szCs w:val="16"/>
              </w:rPr>
            </w:pPr>
            <w:r w:rsidRPr="00E65C9D">
              <w:rPr>
                <w:sz w:val="16"/>
                <w:szCs w:val="16"/>
              </w:rPr>
              <w:t>15.7</w:t>
            </w:r>
          </w:p>
        </w:tc>
        <w:tc>
          <w:tcPr>
            <w:tcW w:w="628" w:type="dxa"/>
            <w:vAlign w:val="center"/>
          </w:tcPr>
          <w:p w:rsidR="00DE64F6" w:rsidRPr="00E65C9D" w:rsidRDefault="00DE64F6" w:rsidP="0063661C">
            <w:pPr>
              <w:jc w:val="center"/>
              <w:rPr>
                <w:sz w:val="16"/>
                <w:szCs w:val="16"/>
              </w:rPr>
            </w:pPr>
            <w:r w:rsidRPr="00E65C9D">
              <w:rPr>
                <w:sz w:val="16"/>
                <w:szCs w:val="16"/>
              </w:rPr>
              <w:t>16.1</w:t>
            </w:r>
          </w:p>
        </w:tc>
        <w:tc>
          <w:tcPr>
            <w:tcW w:w="629" w:type="dxa"/>
            <w:vAlign w:val="center"/>
          </w:tcPr>
          <w:p w:rsidR="00DE64F6" w:rsidRPr="00E65C9D" w:rsidRDefault="00DE64F6" w:rsidP="006A7DDB">
            <w:pPr>
              <w:jc w:val="center"/>
              <w:rPr>
                <w:sz w:val="16"/>
                <w:szCs w:val="16"/>
              </w:rPr>
            </w:pPr>
            <w:r w:rsidRPr="00E65C9D">
              <w:rPr>
                <w:sz w:val="16"/>
                <w:szCs w:val="16"/>
              </w:rPr>
              <w:t>16.4</w:t>
            </w:r>
          </w:p>
        </w:tc>
        <w:tc>
          <w:tcPr>
            <w:tcW w:w="629" w:type="dxa"/>
            <w:vAlign w:val="center"/>
          </w:tcPr>
          <w:p w:rsidR="00DE64F6" w:rsidRPr="00E65C9D" w:rsidRDefault="00DE64F6" w:rsidP="00906667">
            <w:pPr>
              <w:jc w:val="center"/>
              <w:rPr>
                <w:sz w:val="16"/>
                <w:szCs w:val="16"/>
              </w:rPr>
            </w:pPr>
            <w:r w:rsidRPr="00E65C9D">
              <w:rPr>
                <w:sz w:val="16"/>
                <w:szCs w:val="16"/>
              </w:rPr>
              <w:t>16.8</w:t>
            </w:r>
          </w:p>
        </w:tc>
        <w:tc>
          <w:tcPr>
            <w:tcW w:w="629" w:type="dxa"/>
            <w:vAlign w:val="center"/>
          </w:tcPr>
          <w:p w:rsidR="00DE64F6" w:rsidRPr="00E65C9D" w:rsidRDefault="00DE64F6" w:rsidP="00D25BB1">
            <w:pPr>
              <w:jc w:val="center"/>
              <w:rPr>
                <w:sz w:val="16"/>
                <w:szCs w:val="16"/>
              </w:rPr>
            </w:pPr>
            <w:r w:rsidRPr="00E65C9D">
              <w:rPr>
                <w:sz w:val="16"/>
                <w:szCs w:val="16"/>
              </w:rPr>
              <w:t>17.2</w:t>
            </w:r>
          </w:p>
        </w:tc>
        <w:tc>
          <w:tcPr>
            <w:tcW w:w="629" w:type="dxa"/>
            <w:vAlign w:val="center"/>
          </w:tcPr>
          <w:p w:rsidR="00DE64F6" w:rsidRPr="00E65C9D" w:rsidRDefault="00DE64F6">
            <w:pPr>
              <w:jc w:val="center"/>
              <w:rPr>
                <w:sz w:val="16"/>
                <w:szCs w:val="16"/>
              </w:rPr>
            </w:pPr>
            <w:r w:rsidRPr="00E65C9D">
              <w:rPr>
                <w:sz w:val="16"/>
                <w:szCs w:val="16"/>
              </w:rPr>
              <w:t>17.5</w:t>
            </w:r>
          </w:p>
        </w:tc>
        <w:tc>
          <w:tcPr>
            <w:tcW w:w="629" w:type="dxa"/>
            <w:vAlign w:val="center"/>
          </w:tcPr>
          <w:p w:rsidR="00DE64F6" w:rsidRPr="00E65C9D" w:rsidRDefault="00DE64F6">
            <w:pPr>
              <w:jc w:val="center"/>
              <w:rPr>
                <w:sz w:val="16"/>
                <w:szCs w:val="16"/>
              </w:rPr>
            </w:pPr>
            <w:r w:rsidRPr="00E65C9D">
              <w:rPr>
                <w:sz w:val="16"/>
                <w:szCs w:val="16"/>
              </w:rPr>
              <w:t>17.9</w:t>
            </w:r>
          </w:p>
        </w:tc>
        <w:tc>
          <w:tcPr>
            <w:tcW w:w="629" w:type="dxa"/>
            <w:vAlign w:val="center"/>
          </w:tcPr>
          <w:p w:rsidR="00DE64F6" w:rsidRPr="00E65C9D" w:rsidRDefault="00DE64F6">
            <w:pPr>
              <w:jc w:val="center"/>
              <w:rPr>
                <w:sz w:val="16"/>
                <w:szCs w:val="16"/>
              </w:rPr>
            </w:pPr>
            <w:r w:rsidRPr="00E65C9D">
              <w:rPr>
                <w:sz w:val="16"/>
                <w:szCs w:val="16"/>
              </w:rPr>
              <w:t>15.8</w:t>
            </w:r>
          </w:p>
        </w:tc>
        <w:tc>
          <w:tcPr>
            <w:tcW w:w="629" w:type="dxa"/>
            <w:vAlign w:val="center"/>
          </w:tcPr>
          <w:p w:rsidR="00DE64F6" w:rsidRPr="00E65C9D" w:rsidRDefault="00DE64F6">
            <w:pPr>
              <w:jc w:val="center"/>
              <w:rPr>
                <w:sz w:val="16"/>
                <w:szCs w:val="16"/>
              </w:rPr>
            </w:pPr>
            <w:r w:rsidRPr="00E65C9D">
              <w:rPr>
                <w:sz w:val="16"/>
                <w:szCs w:val="16"/>
              </w:rPr>
              <w:t>17.2</w:t>
            </w:r>
          </w:p>
        </w:tc>
        <w:tc>
          <w:tcPr>
            <w:tcW w:w="629" w:type="dxa"/>
            <w:vAlign w:val="center"/>
          </w:tcPr>
          <w:p w:rsidR="00DE64F6" w:rsidRPr="00E65C9D" w:rsidRDefault="00DE64F6">
            <w:pPr>
              <w:jc w:val="center"/>
              <w:rPr>
                <w:sz w:val="16"/>
                <w:szCs w:val="16"/>
              </w:rPr>
            </w:pPr>
            <w:r w:rsidRPr="00E65C9D">
              <w:rPr>
                <w:sz w:val="16"/>
                <w:szCs w:val="16"/>
              </w:rPr>
              <w:t>18.6</w:t>
            </w:r>
          </w:p>
        </w:tc>
        <w:tc>
          <w:tcPr>
            <w:tcW w:w="736" w:type="dxa"/>
            <w:vAlign w:val="center"/>
          </w:tcPr>
          <w:p w:rsidR="00DE64F6" w:rsidRPr="00E65C9D" w:rsidRDefault="00DE64F6">
            <w:pPr>
              <w:jc w:val="center"/>
              <w:rPr>
                <w:sz w:val="16"/>
                <w:szCs w:val="16"/>
              </w:rPr>
            </w:pPr>
            <w:r w:rsidRPr="00E65C9D">
              <w:rPr>
                <w:sz w:val="16"/>
                <w:szCs w:val="16"/>
              </w:rPr>
              <w:t>20.2</w:t>
            </w:r>
          </w:p>
        </w:tc>
      </w:tr>
      <w:tr w:rsidR="00DE64F6" w:rsidRPr="00802792" w:rsidTr="00E65C9D">
        <w:trPr>
          <w:trHeight w:val="300"/>
        </w:trPr>
        <w:tc>
          <w:tcPr>
            <w:tcW w:w="1471" w:type="dxa"/>
            <w:noWrap/>
            <w:vAlign w:val="center"/>
          </w:tcPr>
          <w:p w:rsidR="00DE64F6" w:rsidRPr="00802792" w:rsidRDefault="00DE64F6" w:rsidP="00DE64F6">
            <w:pPr>
              <w:rPr>
                <w:b/>
                <w:sz w:val="16"/>
                <w:szCs w:val="16"/>
              </w:rPr>
            </w:pPr>
            <w:r w:rsidRPr="00802792">
              <w:rPr>
                <w:b/>
                <w:sz w:val="16"/>
                <w:szCs w:val="16"/>
              </w:rPr>
              <w:t>Total</w:t>
            </w:r>
          </w:p>
        </w:tc>
        <w:tc>
          <w:tcPr>
            <w:tcW w:w="627" w:type="dxa"/>
            <w:noWrap/>
            <w:vAlign w:val="center"/>
          </w:tcPr>
          <w:p w:rsidR="00DE64F6" w:rsidRPr="00E65C9D" w:rsidRDefault="00DE64F6" w:rsidP="00802792">
            <w:pPr>
              <w:jc w:val="center"/>
              <w:rPr>
                <w:b/>
                <w:sz w:val="16"/>
                <w:szCs w:val="16"/>
              </w:rPr>
            </w:pPr>
            <w:r w:rsidRPr="00E65C9D">
              <w:rPr>
                <w:b/>
                <w:sz w:val="16"/>
                <w:szCs w:val="16"/>
              </w:rPr>
              <w:t>55.7</w:t>
            </w:r>
          </w:p>
        </w:tc>
        <w:tc>
          <w:tcPr>
            <w:tcW w:w="627" w:type="dxa"/>
            <w:noWrap/>
            <w:vAlign w:val="center"/>
          </w:tcPr>
          <w:p w:rsidR="00DE64F6" w:rsidRPr="00E65C9D" w:rsidRDefault="00DE64F6" w:rsidP="00802792">
            <w:pPr>
              <w:jc w:val="center"/>
              <w:rPr>
                <w:b/>
                <w:sz w:val="16"/>
                <w:szCs w:val="16"/>
              </w:rPr>
            </w:pPr>
            <w:r w:rsidRPr="00E65C9D">
              <w:rPr>
                <w:b/>
                <w:sz w:val="16"/>
                <w:szCs w:val="16"/>
              </w:rPr>
              <w:t>57.1</w:t>
            </w:r>
          </w:p>
        </w:tc>
        <w:tc>
          <w:tcPr>
            <w:tcW w:w="629" w:type="dxa"/>
            <w:noWrap/>
            <w:vAlign w:val="center"/>
          </w:tcPr>
          <w:p w:rsidR="00DE64F6" w:rsidRPr="00E65C9D" w:rsidRDefault="00DE64F6" w:rsidP="00133B47">
            <w:pPr>
              <w:jc w:val="center"/>
              <w:rPr>
                <w:b/>
                <w:sz w:val="16"/>
                <w:szCs w:val="16"/>
              </w:rPr>
            </w:pPr>
            <w:r w:rsidRPr="00E65C9D">
              <w:rPr>
                <w:b/>
                <w:sz w:val="16"/>
                <w:szCs w:val="16"/>
              </w:rPr>
              <w:t>58.6</w:t>
            </w:r>
          </w:p>
        </w:tc>
        <w:tc>
          <w:tcPr>
            <w:tcW w:w="628" w:type="dxa"/>
            <w:vAlign w:val="center"/>
          </w:tcPr>
          <w:p w:rsidR="00DE64F6" w:rsidRPr="00E65C9D" w:rsidRDefault="00DE64F6" w:rsidP="001E4FD3">
            <w:pPr>
              <w:jc w:val="center"/>
              <w:rPr>
                <w:b/>
                <w:sz w:val="16"/>
                <w:szCs w:val="16"/>
              </w:rPr>
            </w:pPr>
            <w:r w:rsidRPr="00E65C9D">
              <w:rPr>
                <w:b/>
                <w:sz w:val="16"/>
                <w:szCs w:val="16"/>
              </w:rPr>
              <w:t>60.2</w:t>
            </w:r>
          </w:p>
        </w:tc>
        <w:tc>
          <w:tcPr>
            <w:tcW w:w="629" w:type="dxa"/>
            <w:vAlign w:val="center"/>
          </w:tcPr>
          <w:p w:rsidR="00DE64F6" w:rsidRPr="00E65C9D" w:rsidRDefault="00DE64F6" w:rsidP="001E4FD3">
            <w:pPr>
              <w:jc w:val="center"/>
              <w:rPr>
                <w:b/>
                <w:sz w:val="16"/>
                <w:szCs w:val="16"/>
              </w:rPr>
            </w:pPr>
            <w:r w:rsidRPr="00E65C9D">
              <w:rPr>
                <w:b/>
                <w:sz w:val="16"/>
                <w:szCs w:val="16"/>
              </w:rPr>
              <w:t>61.8</w:t>
            </w:r>
          </w:p>
        </w:tc>
        <w:tc>
          <w:tcPr>
            <w:tcW w:w="628" w:type="dxa"/>
            <w:vAlign w:val="center"/>
          </w:tcPr>
          <w:p w:rsidR="00DE64F6" w:rsidRPr="00E65C9D" w:rsidRDefault="00DE64F6" w:rsidP="00715DB8">
            <w:pPr>
              <w:jc w:val="center"/>
              <w:rPr>
                <w:b/>
                <w:sz w:val="16"/>
                <w:szCs w:val="16"/>
              </w:rPr>
            </w:pPr>
            <w:r w:rsidRPr="00E65C9D">
              <w:rPr>
                <w:b/>
                <w:sz w:val="16"/>
                <w:szCs w:val="16"/>
              </w:rPr>
              <w:t>63.5</w:t>
            </w:r>
          </w:p>
        </w:tc>
        <w:tc>
          <w:tcPr>
            <w:tcW w:w="628" w:type="dxa"/>
            <w:vAlign w:val="center"/>
          </w:tcPr>
          <w:p w:rsidR="00DE64F6" w:rsidRPr="00E65C9D" w:rsidRDefault="00DE64F6" w:rsidP="00715DB8">
            <w:pPr>
              <w:jc w:val="center"/>
              <w:rPr>
                <w:b/>
                <w:sz w:val="16"/>
                <w:szCs w:val="16"/>
              </w:rPr>
            </w:pPr>
            <w:r w:rsidRPr="00E65C9D">
              <w:rPr>
                <w:b/>
                <w:sz w:val="16"/>
                <w:szCs w:val="16"/>
              </w:rPr>
              <w:t>65.2</w:t>
            </w:r>
          </w:p>
        </w:tc>
        <w:tc>
          <w:tcPr>
            <w:tcW w:w="629" w:type="dxa"/>
            <w:vAlign w:val="center"/>
          </w:tcPr>
          <w:p w:rsidR="00DE64F6" w:rsidRPr="00E65C9D" w:rsidRDefault="00DE64F6" w:rsidP="00715DB8">
            <w:pPr>
              <w:jc w:val="center"/>
              <w:rPr>
                <w:b/>
                <w:sz w:val="16"/>
                <w:szCs w:val="16"/>
              </w:rPr>
            </w:pPr>
            <w:r w:rsidRPr="00E65C9D">
              <w:rPr>
                <w:b/>
                <w:sz w:val="16"/>
                <w:szCs w:val="16"/>
              </w:rPr>
              <w:t>60.8</w:t>
            </w:r>
          </w:p>
        </w:tc>
        <w:tc>
          <w:tcPr>
            <w:tcW w:w="628" w:type="dxa"/>
            <w:vAlign w:val="center"/>
          </w:tcPr>
          <w:p w:rsidR="00DE64F6" w:rsidRPr="00E65C9D" w:rsidRDefault="00DE64F6" w:rsidP="00715DB8">
            <w:pPr>
              <w:jc w:val="center"/>
              <w:rPr>
                <w:b/>
                <w:sz w:val="16"/>
                <w:szCs w:val="16"/>
              </w:rPr>
            </w:pPr>
            <w:r w:rsidRPr="00E65C9D">
              <w:rPr>
                <w:b/>
                <w:sz w:val="16"/>
                <w:szCs w:val="16"/>
              </w:rPr>
              <w:t>62.3</w:t>
            </w:r>
          </w:p>
        </w:tc>
        <w:tc>
          <w:tcPr>
            <w:tcW w:w="629" w:type="dxa"/>
            <w:vAlign w:val="center"/>
          </w:tcPr>
          <w:p w:rsidR="00DE64F6" w:rsidRPr="00E65C9D" w:rsidRDefault="00DE64F6" w:rsidP="00715DB8">
            <w:pPr>
              <w:jc w:val="center"/>
              <w:rPr>
                <w:b/>
                <w:sz w:val="16"/>
                <w:szCs w:val="16"/>
              </w:rPr>
            </w:pPr>
            <w:r w:rsidRPr="00E65C9D">
              <w:rPr>
                <w:b/>
                <w:sz w:val="16"/>
                <w:szCs w:val="16"/>
              </w:rPr>
              <w:t>63.8</w:t>
            </w:r>
          </w:p>
        </w:tc>
        <w:tc>
          <w:tcPr>
            <w:tcW w:w="628" w:type="dxa"/>
            <w:vAlign w:val="center"/>
          </w:tcPr>
          <w:p w:rsidR="00DE64F6" w:rsidRPr="00E65C9D" w:rsidRDefault="00DE64F6" w:rsidP="0063661C">
            <w:pPr>
              <w:jc w:val="center"/>
              <w:rPr>
                <w:b/>
                <w:sz w:val="16"/>
                <w:szCs w:val="16"/>
              </w:rPr>
            </w:pPr>
            <w:r w:rsidRPr="00E65C9D">
              <w:rPr>
                <w:b/>
                <w:sz w:val="16"/>
                <w:szCs w:val="16"/>
              </w:rPr>
              <w:t>65.4</w:t>
            </w:r>
          </w:p>
        </w:tc>
        <w:tc>
          <w:tcPr>
            <w:tcW w:w="629" w:type="dxa"/>
            <w:vAlign w:val="center"/>
          </w:tcPr>
          <w:p w:rsidR="00DE64F6" w:rsidRPr="00E65C9D" w:rsidRDefault="00DE64F6" w:rsidP="006A7DDB">
            <w:pPr>
              <w:jc w:val="center"/>
              <w:rPr>
                <w:b/>
                <w:sz w:val="16"/>
                <w:szCs w:val="16"/>
              </w:rPr>
            </w:pPr>
            <w:r w:rsidRPr="00E65C9D">
              <w:rPr>
                <w:b/>
                <w:sz w:val="16"/>
                <w:szCs w:val="16"/>
              </w:rPr>
              <w:t>67.0</w:t>
            </w:r>
          </w:p>
        </w:tc>
        <w:tc>
          <w:tcPr>
            <w:tcW w:w="629" w:type="dxa"/>
            <w:vAlign w:val="center"/>
          </w:tcPr>
          <w:p w:rsidR="00DE64F6" w:rsidRPr="00E65C9D" w:rsidRDefault="00DE64F6" w:rsidP="00906667">
            <w:pPr>
              <w:jc w:val="center"/>
              <w:rPr>
                <w:b/>
                <w:sz w:val="16"/>
                <w:szCs w:val="16"/>
              </w:rPr>
            </w:pPr>
            <w:r w:rsidRPr="00E65C9D">
              <w:rPr>
                <w:b/>
                <w:sz w:val="16"/>
                <w:szCs w:val="16"/>
              </w:rPr>
              <w:t>68.6</w:t>
            </w:r>
          </w:p>
        </w:tc>
        <w:tc>
          <w:tcPr>
            <w:tcW w:w="629" w:type="dxa"/>
            <w:vAlign w:val="center"/>
          </w:tcPr>
          <w:p w:rsidR="00DE64F6" w:rsidRPr="00E65C9D" w:rsidRDefault="00DE64F6" w:rsidP="00D25BB1">
            <w:pPr>
              <w:jc w:val="center"/>
              <w:rPr>
                <w:b/>
                <w:sz w:val="16"/>
                <w:szCs w:val="16"/>
              </w:rPr>
            </w:pPr>
            <w:r w:rsidRPr="00E65C9D">
              <w:rPr>
                <w:b/>
                <w:sz w:val="16"/>
                <w:szCs w:val="16"/>
              </w:rPr>
              <w:t>70.3</w:t>
            </w:r>
          </w:p>
        </w:tc>
        <w:tc>
          <w:tcPr>
            <w:tcW w:w="629" w:type="dxa"/>
            <w:vAlign w:val="center"/>
          </w:tcPr>
          <w:p w:rsidR="00DE64F6" w:rsidRPr="00E65C9D" w:rsidRDefault="00DE64F6">
            <w:pPr>
              <w:jc w:val="center"/>
              <w:rPr>
                <w:b/>
                <w:sz w:val="16"/>
                <w:szCs w:val="16"/>
              </w:rPr>
            </w:pPr>
            <w:r w:rsidRPr="00E65C9D">
              <w:rPr>
                <w:b/>
                <w:sz w:val="16"/>
                <w:szCs w:val="16"/>
              </w:rPr>
              <w:t>72.1</w:t>
            </w:r>
          </w:p>
        </w:tc>
        <w:tc>
          <w:tcPr>
            <w:tcW w:w="629" w:type="dxa"/>
            <w:vAlign w:val="center"/>
          </w:tcPr>
          <w:p w:rsidR="00DE64F6" w:rsidRPr="00E65C9D" w:rsidRDefault="00DE64F6">
            <w:pPr>
              <w:jc w:val="center"/>
              <w:rPr>
                <w:b/>
                <w:sz w:val="16"/>
                <w:szCs w:val="16"/>
              </w:rPr>
            </w:pPr>
            <w:r w:rsidRPr="00E65C9D">
              <w:rPr>
                <w:b/>
                <w:sz w:val="16"/>
                <w:szCs w:val="16"/>
              </w:rPr>
              <w:t>73.9</w:t>
            </w:r>
          </w:p>
        </w:tc>
        <w:tc>
          <w:tcPr>
            <w:tcW w:w="629" w:type="dxa"/>
            <w:vAlign w:val="center"/>
          </w:tcPr>
          <w:p w:rsidR="00DE64F6" w:rsidRPr="00E65C9D" w:rsidRDefault="00DE64F6">
            <w:pPr>
              <w:jc w:val="center"/>
              <w:rPr>
                <w:b/>
                <w:sz w:val="16"/>
                <w:szCs w:val="16"/>
              </w:rPr>
            </w:pPr>
            <w:r w:rsidRPr="00E65C9D">
              <w:rPr>
                <w:b/>
                <w:sz w:val="16"/>
                <w:szCs w:val="16"/>
              </w:rPr>
              <w:t>74.9</w:t>
            </w:r>
          </w:p>
        </w:tc>
        <w:tc>
          <w:tcPr>
            <w:tcW w:w="629" w:type="dxa"/>
            <w:vAlign w:val="center"/>
          </w:tcPr>
          <w:p w:rsidR="00DE64F6" w:rsidRPr="00E65C9D" w:rsidRDefault="00DE64F6">
            <w:pPr>
              <w:jc w:val="center"/>
              <w:rPr>
                <w:b/>
                <w:sz w:val="16"/>
                <w:szCs w:val="16"/>
              </w:rPr>
            </w:pPr>
            <w:r w:rsidRPr="00E65C9D">
              <w:rPr>
                <w:b/>
                <w:sz w:val="16"/>
                <w:szCs w:val="16"/>
              </w:rPr>
              <w:t>83.8</w:t>
            </w:r>
          </w:p>
        </w:tc>
        <w:tc>
          <w:tcPr>
            <w:tcW w:w="629" w:type="dxa"/>
            <w:vAlign w:val="center"/>
          </w:tcPr>
          <w:p w:rsidR="00DE64F6" w:rsidRPr="00E65C9D" w:rsidRDefault="00DE64F6">
            <w:pPr>
              <w:jc w:val="center"/>
              <w:rPr>
                <w:b/>
                <w:sz w:val="16"/>
                <w:szCs w:val="16"/>
              </w:rPr>
            </w:pPr>
            <w:r w:rsidRPr="00E65C9D">
              <w:rPr>
                <w:b/>
                <w:sz w:val="16"/>
                <w:szCs w:val="16"/>
              </w:rPr>
              <w:t>93.9</w:t>
            </w:r>
          </w:p>
        </w:tc>
        <w:tc>
          <w:tcPr>
            <w:tcW w:w="736" w:type="dxa"/>
            <w:vAlign w:val="center"/>
          </w:tcPr>
          <w:p w:rsidR="00DE64F6" w:rsidRPr="00E65C9D" w:rsidRDefault="00DE64F6">
            <w:pPr>
              <w:jc w:val="center"/>
              <w:rPr>
                <w:b/>
                <w:sz w:val="16"/>
                <w:szCs w:val="16"/>
              </w:rPr>
            </w:pPr>
            <w:r w:rsidRPr="00E65C9D">
              <w:rPr>
                <w:b/>
                <w:sz w:val="16"/>
                <w:szCs w:val="16"/>
              </w:rPr>
              <w:t>105.3</w:t>
            </w:r>
          </w:p>
        </w:tc>
      </w:tr>
    </w:tbl>
    <w:p w:rsidR="00BC31C3" w:rsidRDefault="00BC31C3" w:rsidP="008F68CE">
      <w:pPr>
        <w:rPr>
          <w:rFonts w:cstheme="majorHAnsi"/>
          <w:kern w:val="12"/>
          <w:highlight w:val="yellow"/>
        </w:rPr>
      </w:pPr>
    </w:p>
    <w:tbl>
      <w:tblPr>
        <w:tblW w:w="140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43 "/>
        <w:tblDescription w:val="Table 43 shows the production of extractive resources from 2015 – 2050 using scenario 1B. In 2015 total demand is 3.8 million tonnes. In 2026 it is estimated to be 4.2 million tonnes and in 2050 it is estimated to be 6.9 million tonnes."/>
      </w:tblPr>
      <w:tblGrid>
        <w:gridCol w:w="1471"/>
        <w:gridCol w:w="627"/>
        <w:gridCol w:w="627"/>
        <w:gridCol w:w="629"/>
        <w:gridCol w:w="628"/>
        <w:gridCol w:w="629"/>
        <w:gridCol w:w="628"/>
        <w:gridCol w:w="628"/>
        <w:gridCol w:w="629"/>
        <w:gridCol w:w="628"/>
        <w:gridCol w:w="629"/>
        <w:gridCol w:w="628"/>
        <w:gridCol w:w="629"/>
        <w:gridCol w:w="629"/>
        <w:gridCol w:w="629"/>
        <w:gridCol w:w="629"/>
        <w:gridCol w:w="629"/>
        <w:gridCol w:w="629"/>
        <w:gridCol w:w="629"/>
        <w:gridCol w:w="629"/>
        <w:gridCol w:w="610"/>
        <w:gridCol w:w="19"/>
      </w:tblGrid>
      <w:tr w:rsidR="00BC31C3" w:rsidRPr="00D14CE9" w:rsidTr="00DE64F6">
        <w:trPr>
          <w:gridAfter w:val="1"/>
          <w:wAfter w:w="19" w:type="dxa"/>
          <w:trHeight w:val="300"/>
        </w:trPr>
        <w:tc>
          <w:tcPr>
            <w:tcW w:w="14023" w:type="dxa"/>
            <w:gridSpan w:val="21"/>
            <w:shd w:val="clear" w:color="auto" w:fill="808080"/>
            <w:noWrap/>
            <w:vAlign w:val="bottom"/>
          </w:tcPr>
          <w:p w:rsidR="00BC31C3" w:rsidRPr="00D14CE9" w:rsidRDefault="00BC31C3" w:rsidP="00802792">
            <w:pPr>
              <w:pStyle w:val="EYTableHeadingWhite"/>
            </w:pPr>
            <w:bookmarkStart w:id="780" w:name="_Toc445240976"/>
            <w:bookmarkStart w:id="781" w:name="_Toc448914669"/>
            <w:bookmarkStart w:id="782" w:name="_Toc448920487"/>
            <w:r w:rsidRPr="00D14CE9">
              <w:t xml:space="preserve">Table </w:t>
            </w:r>
            <w:r w:rsidRPr="00372DE0">
              <w:fldChar w:fldCharType="begin"/>
            </w:r>
            <w:r w:rsidRPr="00D14CE9">
              <w:instrText xml:space="preserve"> SEQ Table \* ARABIC </w:instrText>
            </w:r>
            <w:r w:rsidRPr="00372DE0">
              <w:fldChar w:fldCharType="separate"/>
            </w:r>
            <w:r w:rsidR="00525C82">
              <w:rPr>
                <w:noProof/>
              </w:rPr>
              <w:t>43</w:t>
            </w:r>
            <w:r w:rsidRPr="00372DE0">
              <w:fldChar w:fldCharType="end"/>
            </w:r>
            <w:r w:rsidRPr="00D14CE9">
              <w:t xml:space="preserve"> – Production of Extractive Resources </w:t>
            </w:r>
            <w:r>
              <w:t>in Victoria - 2015-2050</w:t>
            </w:r>
            <w:r w:rsidRPr="00D14CE9">
              <w:t xml:space="preserve"> (in million tonnes)</w:t>
            </w:r>
            <w:r>
              <w:t xml:space="preserve"> – Scenario 1B</w:t>
            </w:r>
            <w:bookmarkEnd w:id="780"/>
            <w:bookmarkEnd w:id="781"/>
            <w:bookmarkEnd w:id="782"/>
          </w:p>
        </w:tc>
      </w:tr>
      <w:tr w:rsidR="00BC31C3" w:rsidRPr="00D14CE9" w:rsidTr="00DE64F6">
        <w:trPr>
          <w:trHeight w:val="286"/>
        </w:trPr>
        <w:tc>
          <w:tcPr>
            <w:tcW w:w="1471"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sidRPr="00D14CE9">
              <w:t>Rock type</w:t>
            </w:r>
          </w:p>
        </w:tc>
        <w:tc>
          <w:tcPr>
            <w:tcW w:w="627"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2015</w:t>
            </w:r>
          </w:p>
        </w:tc>
        <w:tc>
          <w:tcPr>
            <w:tcW w:w="627"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2016</w:t>
            </w:r>
          </w:p>
        </w:tc>
        <w:tc>
          <w:tcPr>
            <w:tcW w:w="629"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2017</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2018</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2019</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2020</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2021</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2022</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2023</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2024</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2025</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2026</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2027</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2028</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2029</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2030</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2035</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2040</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2045</w:t>
            </w:r>
          </w:p>
        </w:tc>
        <w:tc>
          <w:tcPr>
            <w:tcW w:w="629" w:type="dxa"/>
            <w:gridSpan w:val="2"/>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2050</w:t>
            </w:r>
          </w:p>
        </w:tc>
      </w:tr>
      <w:tr w:rsidR="00BC31C3" w:rsidRPr="004839B9" w:rsidTr="00DE64F6">
        <w:trPr>
          <w:trHeight w:val="300"/>
        </w:trPr>
        <w:tc>
          <w:tcPr>
            <w:tcW w:w="14042" w:type="dxa"/>
            <w:gridSpan w:val="22"/>
            <w:shd w:val="clear" w:color="auto" w:fill="A6A6A6" w:themeFill="background1" w:themeFillShade="A6"/>
            <w:noWrap/>
            <w:vAlign w:val="center"/>
          </w:tcPr>
          <w:p w:rsidR="00BC31C3" w:rsidRPr="004839B9" w:rsidRDefault="00BC31C3" w:rsidP="00DE64F6">
            <w:pPr>
              <w:rPr>
                <w:rFonts w:cs="Calibri"/>
                <w:color w:val="FFFFFF" w:themeColor="background1"/>
                <w:sz w:val="16"/>
                <w:szCs w:val="16"/>
              </w:rPr>
            </w:pPr>
            <w:r w:rsidRPr="004839B9">
              <w:rPr>
                <w:color w:val="FFFFFF" w:themeColor="background1"/>
                <w:sz w:val="16"/>
                <w:szCs w:val="16"/>
              </w:rPr>
              <w:t>Scenario 1B</w:t>
            </w:r>
          </w:p>
        </w:tc>
      </w:tr>
      <w:tr w:rsidR="008115A9" w:rsidRPr="00D14CE9" w:rsidTr="00E65C9D">
        <w:trPr>
          <w:trHeight w:val="300"/>
        </w:trPr>
        <w:tc>
          <w:tcPr>
            <w:tcW w:w="1471" w:type="dxa"/>
            <w:noWrap/>
            <w:vAlign w:val="center"/>
          </w:tcPr>
          <w:p w:rsidR="008115A9" w:rsidRPr="00372DE0" w:rsidRDefault="008115A9" w:rsidP="00DE64F6">
            <w:pPr>
              <w:rPr>
                <w:sz w:val="16"/>
                <w:szCs w:val="16"/>
              </w:rPr>
            </w:pPr>
            <w:r>
              <w:rPr>
                <w:sz w:val="16"/>
                <w:szCs w:val="16"/>
              </w:rPr>
              <w:t>Hard rock</w:t>
            </w:r>
          </w:p>
        </w:tc>
        <w:tc>
          <w:tcPr>
            <w:tcW w:w="627"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2.5</w:t>
            </w:r>
          </w:p>
        </w:tc>
        <w:tc>
          <w:tcPr>
            <w:tcW w:w="627"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2.5</w:t>
            </w:r>
          </w:p>
        </w:tc>
        <w:tc>
          <w:tcPr>
            <w:tcW w:w="629"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2.6</w:t>
            </w:r>
          </w:p>
        </w:tc>
        <w:tc>
          <w:tcPr>
            <w:tcW w:w="628" w:type="dxa"/>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2.7</w:t>
            </w:r>
          </w:p>
        </w:tc>
        <w:tc>
          <w:tcPr>
            <w:tcW w:w="629"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2.8</w:t>
            </w:r>
          </w:p>
        </w:tc>
        <w:tc>
          <w:tcPr>
            <w:tcW w:w="628"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2.9</w:t>
            </w:r>
          </w:p>
        </w:tc>
        <w:tc>
          <w:tcPr>
            <w:tcW w:w="628"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3.1</w:t>
            </w:r>
          </w:p>
        </w:tc>
        <w:tc>
          <w:tcPr>
            <w:tcW w:w="629"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2.5</w:t>
            </w:r>
          </w:p>
        </w:tc>
        <w:tc>
          <w:tcPr>
            <w:tcW w:w="628"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2.6</w:t>
            </w:r>
          </w:p>
        </w:tc>
        <w:tc>
          <w:tcPr>
            <w:tcW w:w="629" w:type="dxa"/>
            <w:vAlign w:val="center"/>
          </w:tcPr>
          <w:p w:rsidR="008115A9" w:rsidRPr="00E65C9D" w:rsidRDefault="008115A9" w:rsidP="00C27E63">
            <w:pPr>
              <w:jc w:val="center"/>
              <w:rPr>
                <w:rFonts w:cs="Calibri"/>
                <w:color w:val="000000"/>
                <w:sz w:val="16"/>
                <w:szCs w:val="16"/>
              </w:rPr>
            </w:pPr>
            <w:r w:rsidRPr="00E65C9D">
              <w:rPr>
                <w:rFonts w:cs="Calibri"/>
                <w:color w:val="000000"/>
                <w:sz w:val="16"/>
                <w:szCs w:val="16"/>
              </w:rPr>
              <w:t>2.7</w:t>
            </w:r>
          </w:p>
        </w:tc>
        <w:tc>
          <w:tcPr>
            <w:tcW w:w="628" w:type="dxa"/>
            <w:vAlign w:val="center"/>
          </w:tcPr>
          <w:p w:rsidR="008115A9" w:rsidRPr="00E65C9D" w:rsidRDefault="008115A9" w:rsidP="009320CC">
            <w:pPr>
              <w:jc w:val="center"/>
              <w:rPr>
                <w:rFonts w:cs="Calibri"/>
                <w:color w:val="000000"/>
                <w:sz w:val="16"/>
                <w:szCs w:val="16"/>
              </w:rPr>
            </w:pPr>
            <w:r w:rsidRPr="00E65C9D">
              <w:rPr>
                <w:rFonts w:cs="Calibri"/>
                <w:color w:val="000000"/>
                <w:sz w:val="16"/>
                <w:szCs w:val="16"/>
              </w:rPr>
              <w:t>2.7</w:t>
            </w:r>
          </w:p>
        </w:tc>
        <w:tc>
          <w:tcPr>
            <w:tcW w:w="629" w:type="dxa"/>
            <w:vAlign w:val="center"/>
          </w:tcPr>
          <w:p w:rsidR="008115A9" w:rsidRPr="00E65C9D" w:rsidRDefault="008115A9" w:rsidP="009320CC">
            <w:pPr>
              <w:jc w:val="center"/>
              <w:rPr>
                <w:rFonts w:cs="Calibri"/>
                <w:color w:val="000000"/>
                <w:sz w:val="16"/>
                <w:szCs w:val="16"/>
              </w:rPr>
            </w:pPr>
            <w:r w:rsidRPr="00E65C9D">
              <w:rPr>
                <w:rFonts w:cs="Calibri"/>
                <w:color w:val="000000"/>
                <w:sz w:val="16"/>
                <w:szCs w:val="16"/>
              </w:rPr>
              <w:t>2.8</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2.9</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3.0</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3.1</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3.2</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3.2</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3.7</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4.3</w:t>
            </w:r>
          </w:p>
        </w:tc>
        <w:tc>
          <w:tcPr>
            <w:tcW w:w="629" w:type="dxa"/>
            <w:gridSpan w:val="2"/>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5.0</w:t>
            </w:r>
          </w:p>
        </w:tc>
      </w:tr>
      <w:tr w:rsidR="00802792" w:rsidRPr="00D14CE9" w:rsidTr="00E65C9D">
        <w:trPr>
          <w:trHeight w:val="300"/>
        </w:trPr>
        <w:tc>
          <w:tcPr>
            <w:tcW w:w="1471" w:type="dxa"/>
            <w:noWrap/>
            <w:vAlign w:val="center"/>
          </w:tcPr>
          <w:p w:rsidR="00802792" w:rsidRPr="00D14CE9" w:rsidRDefault="00802792" w:rsidP="00DE64F6">
            <w:pPr>
              <w:rPr>
                <w:sz w:val="16"/>
                <w:szCs w:val="16"/>
              </w:rPr>
            </w:pPr>
            <w:r w:rsidRPr="00D14CE9">
              <w:rPr>
                <w:sz w:val="16"/>
                <w:szCs w:val="16"/>
              </w:rPr>
              <w:t>Clay and Clay Shale</w:t>
            </w:r>
          </w:p>
        </w:tc>
        <w:tc>
          <w:tcPr>
            <w:tcW w:w="627" w:type="dxa"/>
            <w:noWrap/>
            <w:vAlign w:val="center"/>
          </w:tcPr>
          <w:p w:rsidR="00802792" w:rsidRPr="00133B47" w:rsidRDefault="00802792" w:rsidP="00133B47">
            <w:pPr>
              <w:jc w:val="center"/>
              <w:rPr>
                <w:sz w:val="16"/>
                <w:szCs w:val="16"/>
              </w:rPr>
            </w:pPr>
            <w:r w:rsidRPr="00E65C9D">
              <w:rPr>
                <w:rFonts w:cs="Calibri"/>
                <w:color w:val="000000"/>
                <w:sz w:val="16"/>
                <w:szCs w:val="16"/>
              </w:rPr>
              <w:t>0.1</w:t>
            </w:r>
          </w:p>
        </w:tc>
        <w:tc>
          <w:tcPr>
            <w:tcW w:w="627" w:type="dxa"/>
            <w:noWrap/>
            <w:vAlign w:val="center"/>
          </w:tcPr>
          <w:p w:rsidR="00802792" w:rsidRPr="00133B47" w:rsidRDefault="00802792" w:rsidP="001E4FD3">
            <w:pPr>
              <w:jc w:val="center"/>
              <w:rPr>
                <w:sz w:val="16"/>
                <w:szCs w:val="16"/>
              </w:rPr>
            </w:pPr>
            <w:r w:rsidRPr="00E65C9D">
              <w:rPr>
                <w:rFonts w:cs="Calibri"/>
                <w:color w:val="000000"/>
                <w:sz w:val="16"/>
                <w:szCs w:val="16"/>
              </w:rPr>
              <w:t>0.1</w:t>
            </w:r>
          </w:p>
        </w:tc>
        <w:tc>
          <w:tcPr>
            <w:tcW w:w="629" w:type="dxa"/>
            <w:noWrap/>
            <w:vAlign w:val="center"/>
          </w:tcPr>
          <w:p w:rsidR="00802792" w:rsidRPr="00133B47" w:rsidRDefault="00802792" w:rsidP="001E4FD3">
            <w:pPr>
              <w:jc w:val="center"/>
              <w:rPr>
                <w:sz w:val="16"/>
                <w:szCs w:val="16"/>
              </w:rPr>
            </w:pPr>
            <w:r w:rsidRPr="00E65C9D">
              <w:rPr>
                <w:rFonts w:cs="Calibri"/>
                <w:color w:val="000000"/>
                <w:sz w:val="16"/>
                <w:szCs w:val="16"/>
              </w:rPr>
              <w:t>0.1</w:t>
            </w:r>
          </w:p>
        </w:tc>
        <w:tc>
          <w:tcPr>
            <w:tcW w:w="628" w:type="dxa"/>
            <w:vAlign w:val="center"/>
          </w:tcPr>
          <w:p w:rsidR="00802792" w:rsidRPr="00133B47" w:rsidRDefault="00802792" w:rsidP="001E4FD3">
            <w:pPr>
              <w:jc w:val="center"/>
              <w:rPr>
                <w:sz w:val="16"/>
                <w:szCs w:val="16"/>
              </w:rPr>
            </w:pPr>
            <w:r w:rsidRPr="00E65C9D">
              <w:rPr>
                <w:rFonts w:cs="Calibri"/>
                <w:color w:val="000000"/>
                <w:sz w:val="16"/>
                <w:szCs w:val="16"/>
              </w:rPr>
              <w:t>0.1</w:t>
            </w:r>
          </w:p>
        </w:tc>
        <w:tc>
          <w:tcPr>
            <w:tcW w:w="629" w:type="dxa"/>
            <w:vAlign w:val="center"/>
          </w:tcPr>
          <w:p w:rsidR="00802792" w:rsidRPr="00133B47" w:rsidRDefault="00802792" w:rsidP="00715DB8">
            <w:pPr>
              <w:jc w:val="center"/>
              <w:rPr>
                <w:sz w:val="16"/>
                <w:szCs w:val="16"/>
              </w:rPr>
            </w:pPr>
            <w:r w:rsidRPr="00E65C9D">
              <w:rPr>
                <w:rFonts w:cs="Calibri"/>
                <w:color w:val="000000"/>
                <w:sz w:val="16"/>
                <w:szCs w:val="16"/>
              </w:rPr>
              <w:t>0.1</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0.1</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0.1</w:t>
            </w:r>
          </w:p>
        </w:tc>
        <w:tc>
          <w:tcPr>
            <w:tcW w:w="629" w:type="dxa"/>
            <w:vAlign w:val="center"/>
          </w:tcPr>
          <w:p w:rsidR="00802792" w:rsidRPr="00133B47" w:rsidRDefault="00802792" w:rsidP="00715DB8">
            <w:pPr>
              <w:jc w:val="center"/>
              <w:rPr>
                <w:sz w:val="16"/>
                <w:szCs w:val="16"/>
              </w:rPr>
            </w:pPr>
            <w:r w:rsidRPr="00E65C9D">
              <w:rPr>
                <w:rFonts w:cs="Calibri"/>
                <w:color w:val="000000"/>
                <w:sz w:val="16"/>
                <w:szCs w:val="16"/>
              </w:rPr>
              <w:t>0.1</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0.1</w:t>
            </w:r>
          </w:p>
        </w:tc>
        <w:tc>
          <w:tcPr>
            <w:tcW w:w="629" w:type="dxa"/>
            <w:vAlign w:val="center"/>
          </w:tcPr>
          <w:p w:rsidR="00802792" w:rsidRPr="00133B47" w:rsidRDefault="00802792" w:rsidP="0063661C">
            <w:pPr>
              <w:jc w:val="center"/>
              <w:rPr>
                <w:sz w:val="16"/>
                <w:szCs w:val="16"/>
              </w:rPr>
            </w:pPr>
            <w:r w:rsidRPr="00E65C9D">
              <w:rPr>
                <w:rFonts w:cs="Calibri"/>
                <w:color w:val="000000"/>
                <w:sz w:val="16"/>
                <w:szCs w:val="16"/>
              </w:rPr>
              <w:t>0.1</w:t>
            </w:r>
          </w:p>
        </w:tc>
        <w:tc>
          <w:tcPr>
            <w:tcW w:w="628" w:type="dxa"/>
            <w:vAlign w:val="center"/>
          </w:tcPr>
          <w:p w:rsidR="00802792" w:rsidRPr="00133B47" w:rsidRDefault="00802792" w:rsidP="006A7DDB">
            <w:pPr>
              <w:jc w:val="center"/>
              <w:rPr>
                <w:sz w:val="16"/>
                <w:szCs w:val="16"/>
              </w:rPr>
            </w:pPr>
            <w:r w:rsidRPr="00E65C9D">
              <w:rPr>
                <w:rFonts w:cs="Calibri"/>
                <w:color w:val="000000"/>
                <w:sz w:val="16"/>
                <w:szCs w:val="16"/>
              </w:rPr>
              <w:t>0.1</w:t>
            </w:r>
          </w:p>
        </w:tc>
        <w:tc>
          <w:tcPr>
            <w:tcW w:w="629" w:type="dxa"/>
            <w:vAlign w:val="center"/>
          </w:tcPr>
          <w:p w:rsidR="00802792" w:rsidRPr="00133B47" w:rsidRDefault="00802792" w:rsidP="00906667">
            <w:pPr>
              <w:jc w:val="center"/>
              <w:rPr>
                <w:sz w:val="16"/>
                <w:szCs w:val="16"/>
              </w:rPr>
            </w:pPr>
            <w:r w:rsidRPr="00E65C9D">
              <w:rPr>
                <w:rFonts w:cs="Calibri"/>
                <w:color w:val="000000"/>
                <w:sz w:val="16"/>
                <w:szCs w:val="16"/>
              </w:rPr>
              <w:t>0.1</w:t>
            </w:r>
          </w:p>
        </w:tc>
        <w:tc>
          <w:tcPr>
            <w:tcW w:w="629" w:type="dxa"/>
            <w:vAlign w:val="center"/>
          </w:tcPr>
          <w:p w:rsidR="00802792" w:rsidRPr="00133B47" w:rsidRDefault="00802792" w:rsidP="00D25BB1">
            <w:pPr>
              <w:jc w:val="center"/>
              <w:rPr>
                <w:rFonts w:cs="Calibri"/>
                <w:color w:val="000000"/>
                <w:sz w:val="16"/>
                <w:szCs w:val="16"/>
              </w:rPr>
            </w:pPr>
            <w:r w:rsidRPr="00E65C9D">
              <w:rPr>
                <w:rFonts w:cs="Calibri"/>
                <w:color w:val="000000"/>
                <w:sz w:val="16"/>
                <w:szCs w:val="16"/>
              </w:rPr>
              <w:t>0.1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0.1</w:t>
            </w:r>
          </w:p>
        </w:tc>
        <w:tc>
          <w:tcPr>
            <w:tcW w:w="629" w:type="dxa"/>
            <w:gridSpan w:val="2"/>
            <w:vAlign w:val="center"/>
          </w:tcPr>
          <w:p w:rsidR="00802792" w:rsidRPr="00133B47" w:rsidRDefault="00802792">
            <w:pPr>
              <w:jc w:val="center"/>
              <w:rPr>
                <w:rFonts w:cs="Calibri"/>
                <w:color w:val="000000"/>
                <w:sz w:val="16"/>
                <w:szCs w:val="16"/>
              </w:rPr>
            </w:pPr>
            <w:r w:rsidRPr="00E65C9D">
              <w:rPr>
                <w:rFonts w:cs="Calibri"/>
                <w:color w:val="000000"/>
                <w:sz w:val="16"/>
                <w:szCs w:val="16"/>
              </w:rPr>
              <w:t>0.1</w:t>
            </w:r>
          </w:p>
        </w:tc>
      </w:tr>
      <w:tr w:rsidR="00802792" w:rsidRPr="00D14CE9" w:rsidTr="00E65C9D">
        <w:trPr>
          <w:trHeight w:val="300"/>
        </w:trPr>
        <w:tc>
          <w:tcPr>
            <w:tcW w:w="1471" w:type="dxa"/>
            <w:noWrap/>
            <w:vAlign w:val="center"/>
          </w:tcPr>
          <w:p w:rsidR="00802792" w:rsidRPr="00D14CE9" w:rsidRDefault="00802792" w:rsidP="00DE64F6">
            <w:pPr>
              <w:rPr>
                <w:sz w:val="16"/>
                <w:szCs w:val="16"/>
              </w:rPr>
            </w:pPr>
            <w:r w:rsidRPr="00D14CE9">
              <w:rPr>
                <w:sz w:val="16"/>
                <w:szCs w:val="16"/>
              </w:rPr>
              <w:t>Limestone</w:t>
            </w:r>
          </w:p>
        </w:tc>
        <w:tc>
          <w:tcPr>
            <w:tcW w:w="627" w:type="dxa"/>
            <w:noWrap/>
            <w:vAlign w:val="center"/>
          </w:tcPr>
          <w:p w:rsidR="00802792" w:rsidRPr="00133B47" w:rsidRDefault="00802792" w:rsidP="00133B47">
            <w:pPr>
              <w:jc w:val="center"/>
              <w:rPr>
                <w:sz w:val="16"/>
                <w:szCs w:val="16"/>
              </w:rPr>
            </w:pPr>
            <w:r w:rsidRPr="00E65C9D">
              <w:rPr>
                <w:rFonts w:cs="Calibri"/>
                <w:color w:val="000000"/>
                <w:sz w:val="16"/>
                <w:szCs w:val="16"/>
              </w:rPr>
              <w:t>0.2</w:t>
            </w:r>
          </w:p>
        </w:tc>
        <w:tc>
          <w:tcPr>
            <w:tcW w:w="627" w:type="dxa"/>
            <w:noWrap/>
            <w:vAlign w:val="center"/>
          </w:tcPr>
          <w:p w:rsidR="00802792" w:rsidRPr="00133B47" w:rsidRDefault="00802792" w:rsidP="001E4FD3">
            <w:pPr>
              <w:jc w:val="center"/>
              <w:rPr>
                <w:sz w:val="16"/>
                <w:szCs w:val="16"/>
              </w:rPr>
            </w:pPr>
            <w:r w:rsidRPr="00E65C9D">
              <w:rPr>
                <w:rFonts w:cs="Calibri"/>
                <w:color w:val="000000"/>
                <w:sz w:val="16"/>
                <w:szCs w:val="16"/>
              </w:rPr>
              <w:t>0.2</w:t>
            </w:r>
          </w:p>
        </w:tc>
        <w:tc>
          <w:tcPr>
            <w:tcW w:w="629" w:type="dxa"/>
            <w:noWrap/>
            <w:vAlign w:val="center"/>
          </w:tcPr>
          <w:p w:rsidR="00802792" w:rsidRPr="00133B47" w:rsidRDefault="00802792" w:rsidP="001E4FD3">
            <w:pPr>
              <w:jc w:val="center"/>
              <w:rPr>
                <w:sz w:val="16"/>
                <w:szCs w:val="16"/>
              </w:rPr>
            </w:pPr>
            <w:r w:rsidRPr="00E65C9D">
              <w:rPr>
                <w:rFonts w:cs="Calibri"/>
                <w:color w:val="000000"/>
                <w:sz w:val="16"/>
                <w:szCs w:val="16"/>
              </w:rPr>
              <w:t>0.2</w:t>
            </w:r>
          </w:p>
        </w:tc>
        <w:tc>
          <w:tcPr>
            <w:tcW w:w="628" w:type="dxa"/>
            <w:vAlign w:val="center"/>
          </w:tcPr>
          <w:p w:rsidR="00802792" w:rsidRPr="00133B47" w:rsidRDefault="00802792" w:rsidP="001E4FD3">
            <w:pPr>
              <w:jc w:val="center"/>
              <w:rPr>
                <w:sz w:val="16"/>
                <w:szCs w:val="16"/>
              </w:rPr>
            </w:pPr>
            <w:r w:rsidRPr="00E65C9D">
              <w:rPr>
                <w:rFonts w:cs="Calibri"/>
                <w:color w:val="000000"/>
                <w:sz w:val="16"/>
                <w:szCs w:val="16"/>
              </w:rPr>
              <w:t>0.2</w:t>
            </w:r>
          </w:p>
        </w:tc>
        <w:tc>
          <w:tcPr>
            <w:tcW w:w="629" w:type="dxa"/>
            <w:vAlign w:val="center"/>
          </w:tcPr>
          <w:p w:rsidR="00802792" w:rsidRPr="00133B47" w:rsidRDefault="00802792" w:rsidP="00715DB8">
            <w:pPr>
              <w:jc w:val="center"/>
              <w:rPr>
                <w:sz w:val="16"/>
                <w:szCs w:val="16"/>
              </w:rPr>
            </w:pPr>
            <w:r w:rsidRPr="00E65C9D">
              <w:rPr>
                <w:rFonts w:cs="Calibri"/>
                <w:color w:val="000000"/>
                <w:sz w:val="16"/>
                <w:szCs w:val="16"/>
              </w:rPr>
              <w:t>0.2</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0.2</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0.2</w:t>
            </w:r>
          </w:p>
        </w:tc>
        <w:tc>
          <w:tcPr>
            <w:tcW w:w="629" w:type="dxa"/>
            <w:vAlign w:val="center"/>
          </w:tcPr>
          <w:p w:rsidR="00802792" w:rsidRPr="00133B47" w:rsidRDefault="00802792" w:rsidP="00715DB8">
            <w:pPr>
              <w:jc w:val="center"/>
              <w:rPr>
                <w:sz w:val="16"/>
                <w:szCs w:val="16"/>
              </w:rPr>
            </w:pPr>
            <w:r w:rsidRPr="00E65C9D">
              <w:rPr>
                <w:rFonts w:cs="Calibri"/>
                <w:color w:val="000000"/>
                <w:sz w:val="16"/>
                <w:szCs w:val="16"/>
              </w:rPr>
              <w:t>0.2</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0.2</w:t>
            </w:r>
          </w:p>
        </w:tc>
        <w:tc>
          <w:tcPr>
            <w:tcW w:w="629" w:type="dxa"/>
            <w:vAlign w:val="center"/>
          </w:tcPr>
          <w:p w:rsidR="00802792" w:rsidRPr="00133B47" w:rsidRDefault="00802792" w:rsidP="0063661C">
            <w:pPr>
              <w:jc w:val="center"/>
              <w:rPr>
                <w:sz w:val="16"/>
                <w:szCs w:val="16"/>
              </w:rPr>
            </w:pPr>
            <w:r w:rsidRPr="00E65C9D">
              <w:rPr>
                <w:rFonts w:cs="Calibri"/>
                <w:color w:val="000000"/>
                <w:sz w:val="16"/>
                <w:szCs w:val="16"/>
              </w:rPr>
              <w:t>0.2</w:t>
            </w:r>
          </w:p>
        </w:tc>
        <w:tc>
          <w:tcPr>
            <w:tcW w:w="628" w:type="dxa"/>
            <w:vAlign w:val="center"/>
          </w:tcPr>
          <w:p w:rsidR="00802792" w:rsidRPr="00133B47" w:rsidRDefault="00802792" w:rsidP="006A7DDB">
            <w:pPr>
              <w:jc w:val="center"/>
              <w:rPr>
                <w:sz w:val="16"/>
                <w:szCs w:val="16"/>
              </w:rPr>
            </w:pPr>
            <w:r w:rsidRPr="00E65C9D">
              <w:rPr>
                <w:rFonts w:cs="Calibri"/>
                <w:color w:val="000000"/>
                <w:sz w:val="16"/>
                <w:szCs w:val="16"/>
              </w:rPr>
              <w:t>0.2</w:t>
            </w:r>
          </w:p>
        </w:tc>
        <w:tc>
          <w:tcPr>
            <w:tcW w:w="629" w:type="dxa"/>
            <w:vAlign w:val="center"/>
          </w:tcPr>
          <w:p w:rsidR="00802792" w:rsidRPr="00133B47" w:rsidRDefault="00802792" w:rsidP="00906667">
            <w:pPr>
              <w:jc w:val="center"/>
              <w:rPr>
                <w:sz w:val="16"/>
                <w:szCs w:val="16"/>
              </w:rPr>
            </w:pPr>
            <w:r w:rsidRPr="00E65C9D">
              <w:rPr>
                <w:rFonts w:cs="Calibri"/>
                <w:color w:val="000000"/>
                <w:sz w:val="16"/>
                <w:szCs w:val="16"/>
              </w:rPr>
              <w:t>0.2</w:t>
            </w:r>
          </w:p>
        </w:tc>
        <w:tc>
          <w:tcPr>
            <w:tcW w:w="629" w:type="dxa"/>
            <w:vAlign w:val="center"/>
          </w:tcPr>
          <w:p w:rsidR="00802792" w:rsidRPr="00133B47" w:rsidRDefault="00802792" w:rsidP="00D25BB1">
            <w:pPr>
              <w:jc w:val="center"/>
              <w:rPr>
                <w:rFonts w:cs="Calibri"/>
                <w:color w:val="000000"/>
                <w:sz w:val="16"/>
                <w:szCs w:val="16"/>
              </w:rPr>
            </w:pPr>
            <w:r w:rsidRPr="00E65C9D">
              <w:rPr>
                <w:rFonts w:cs="Calibri"/>
                <w:color w:val="000000"/>
                <w:sz w:val="16"/>
                <w:szCs w:val="16"/>
              </w:rPr>
              <w:t>0.2</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0.2</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0.2</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0.3</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0.3</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0.3</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0.4</w:t>
            </w:r>
          </w:p>
        </w:tc>
        <w:tc>
          <w:tcPr>
            <w:tcW w:w="629" w:type="dxa"/>
            <w:gridSpan w:val="2"/>
            <w:vAlign w:val="center"/>
          </w:tcPr>
          <w:p w:rsidR="00802792" w:rsidRPr="00133B47" w:rsidRDefault="00802792">
            <w:pPr>
              <w:jc w:val="center"/>
              <w:rPr>
                <w:rFonts w:cs="Calibri"/>
                <w:color w:val="000000"/>
                <w:sz w:val="16"/>
                <w:szCs w:val="16"/>
              </w:rPr>
            </w:pPr>
            <w:r w:rsidRPr="00E65C9D">
              <w:rPr>
                <w:rFonts w:cs="Calibri"/>
                <w:color w:val="000000"/>
                <w:sz w:val="16"/>
                <w:szCs w:val="16"/>
              </w:rPr>
              <w:t>0.4</w:t>
            </w:r>
          </w:p>
        </w:tc>
      </w:tr>
      <w:tr w:rsidR="00802792" w:rsidRPr="00D14CE9" w:rsidTr="00E65C9D">
        <w:trPr>
          <w:trHeight w:val="300"/>
        </w:trPr>
        <w:tc>
          <w:tcPr>
            <w:tcW w:w="1471" w:type="dxa"/>
            <w:noWrap/>
            <w:vAlign w:val="center"/>
          </w:tcPr>
          <w:p w:rsidR="00802792" w:rsidRPr="00D14CE9" w:rsidRDefault="00802792" w:rsidP="00DE64F6">
            <w:pPr>
              <w:rPr>
                <w:sz w:val="16"/>
                <w:szCs w:val="16"/>
              </w:rPr>
            </w:pPr>
            <w:r w:rsidRPr="00D14CE9">
              <w:rPr>
                <w:sz w:val="16"/>
                <w:szCs w:val="16"/>
              </w:rPr>
              <w:t>Sand and Gravel</w:t>
            </w:r>
          </w:p>
        </w:tc>
        <w:tc>
          <w:tcPr>
            <w:tcW w:w="627" w:type="dxa"/>
            <w:noWrap/>
            <w:vAlign w:val="center"/>
          </w:tcPr>
          <w:p w:rsidR="00802792" w:rsidRPr="00133B47" w:rsidRDefault="00802792" w:rsidP="00133B47">
            <w:pPr>
              <w:jc w:val="center"/>
              <w:rPr>
                <w:rFonts w:cs="Calibri"/>
                <w:color w:val="000000"/>
                <w:sz w:val="16"/>
                <w:szCs w:val="16"/>
              </w:rPr>
            </w:pPr>
            <w:r w:rsidRPr="00E65C9D">
              <w:rPr>
                <w:rFonts w:cs="Calibri"/>
                <w:color w:val="000000"/>
                <w:sz w:val="16"/>
                <w:szCs w:val="16"/>
              </w:rPr>
              <w:t>1.1</w:t>
            </w:r>
          </w:p>
        </w:tc>
        <w:tc>
          <w:tcPr>
            <w:tcW w:w="627" w:type="dxa"/>
            <w:noWrap/>
            <w:vAlign w:val="center"/>
          </w:tcPr>
          <w:p w:rsidR="00802792" w:rsidRPr="00133B47" w:rsidRDefault="00802792" w:rsidP="001E4FD3">
            <w:pPr>
              <w:jc w:val="center"/>
              <w:rPr>
                <w:rFonts w:cs="Calibri"/>
                <w:color w:val="000000"/>
                <w:sz w:val="16"/>
                <w:szCs w:val="16"/>
              </w:rPr>
            </w:pPr>
            <w:r w:rsidRPr="00E65C9D">
              <w:rPr>
                <w:rFonts w:cs="Calibri"/>
                <w:color w:val="000000"/>
                <w:sz w:val="16"/>
                <w:szCs w:val="16"/>
              </w:rPr>
              <w:t>1.1</w:t>
            </w:r>
          </w:p>
        </w:tc>
        <w:tc>
          <w:tcPr>
            <w:tcW w:w="629" w:type="dxa"/>
            <w:noWrap/>
            <w:vAlign w:val="center"/>
          </w:tcPr>
          <w:p w:rsidR="00802792" w:rsidRPr="00133B47" w:rsidRDefault="00802792" w:rsidP="001E4FD3">
            <w:pPr>
              <w:jc w:val="center"/>
              <w:rPr>
                <w:rFonts w:cs="Calibri"/>
                <w:color w:val="000000"/>
                <w:sz w:val="16"/>
                <w:szCs w:val="16"/>
              </w:rPr>
            </w:pPr>
            <w:r w:rsidRPr="00E65C9D">
              <w:rPr>
                <w:rFonts w:cs="Calibri"/>
                <w:color w:val="000000"/>
                <w:sz w:val="16"/>
                <w:szCs w:val="16"/>
              </w:rPr>
              <w:t>1.2</w:t>
            </w:r>
          </w:p>
        </w:tc>
        <w:tc>
          <w:tcPr>
            <w:tcW w:w="628" w:type="dxa"/>
            <w:vAlign w:val="center"/>
          </w:tcPr>
          <w:p w:rsidR="00802792" w:rsidRPr="00133B47" w:rsidRDefault="00802792" w:rsidP="001E4FD3">
            <w:pPr>
              <w:jc w:val="center"/>
              <w:rPr>
                <w:rFonts w:cs="Calibri"/>
                <w:color w:val="000000"/>
                <w:sz w:val="16"/>
                <w:szCs w:val="16"/>
              </w:rPr>
            </w:pPr>
            <w:r w:rsidRPr="00E65C9D">
              <w:rPr>
                <w:rFonts w:cs="Calibri"/>
                <w:color w:val="000000"/>
                <w:sz w:val="16"/>
                <w:szCs w:val="16"/>
              </w:rPr>
              <w:t>1.2</w:t>
            </w:r>
          </w:p>
        </w:tc>
        <w:tc>
          <w:tcPr>
            <w:tcW w:w="629" w:type="dxa"/>
            <w:vAlign w:val="center"/>
          </w:tcPr>
          <w:p w:rsidR="00802792" w:rsidRPr="00133B47" w:rsidRDefault="00802792" w:rsidP="00715DB8">
            <w:pPr>
              <w:jc w:val="center"/>
              <w:rPr>
                <w:rFonts w:cs="Calibri"/>
                <w:color w:val="000000"/>
                <w:sz w:val="16"/>
                <w:szCs w:val="16"/>
              </w:rPr>
            </w:pPr>
            <w:r w:rsidRPr="00E65C9D">
              <w:rPr>
                <w:rFonts w:cs="Calibri"/>
                <w:color w:val="000000"/>
                <w:sz w:val="16"/>
                <w:szCs w:val="16"/>
              </w:rPr>
              <w:t>1.2</w:t>
            </w:r>
          </w:p>
        </w:tc>
        <w:tc>
          <w:tcPr>
            <w:tcW w:w="628" w:type="dxa"/>
            <w:vAlign w:val="center"/>
          </w:tcPr>
          <w:p w:rsidR="00802792" w:rsidRPr="00133B47" w:rsidRDefault="00802792" w:rsidP="00715DB8">
            <w:pPr>
              <w:jc w:val="center"/>
              <w:rPr>
                <w:rFonts w:cs="Calibri"/>
                <w:color w:val="000000"/>
                <w:sz w:val="16"/>
                <w:szCs w:val="16"/>
              </w:rPr>
            </w:pPr>
            <w:r w:rsidRPr="00E65C9D">
              <w:rPr>
                <w:rFonts w:cs="Calibri"/>
                <w:color w:val="000000"/>
                <w:sz w:val="16"/>
                <w:szCs w:val="16"/>
              </w:rPr>
              <w:t>1.3</w:t>
            </w:r>
          </w:p>
        </w:tc>
        <w:tc>
          <w:tcPr>
            <w:tcW w:w="628" w:type="dxa"/>
            <w:vAlign w:val="center"/>
          </w:tcPr>
          <w:p w:rsidR="00802792" w:rsidRPr="00133B47" w:rsidRDefault="00802792" w:rsidP="00715DB8">
            <w:pPr>
              <w:jc w:val="center"/>
              <w:rPr>
                <w:rFonts w:cs="Calibri"/>
                <w:color w:val="000000"/>
                <w:sz w:val="16"/>
                <w:szCs w:val="16"/>
              </w:rPr>
            </w:pPr>
            <w:r w:rsidRPr="00E65C9D">
              <w:rPr>
                <w:rFonts w:cs="Calibri"/>
                <w:color w:val="000000"/>
                <w:sz w:val="16"/>
                <w:szCs w:val="16"/>
              </w:rPr>
              <w:t>1.4</w:t>
            </w:r>
          </w:p>
        </w:tc>
        <w:tc>
          <w:tcPr>
            <w:tcW w:w="629" w:type="dxa"/>
            <w:vAlign w:val="center"/>
          </w:tcPr>
          <w:p w:rsidR="00802792" w:rsidRPr="00133B47" w:rsidRDefault="00802792" w:rsidP="00715DB8">
            <w:pPr>
              <w:jc w:val="center"/>
              <w:rPr>
                <w:rFonts w:cs="Calibri"/>
                <w:color w:val="000000"/>
                <w:sz w:val="16"/>
                <w:szCs w:val="16"/>
              </w:rPr>
            </w:pPr>
            <w:r w:rsidRPr="00E65C9D">
              <w:rPr>
                <w:rFonts w:cs="Calibri"/>
                <w:color w:val="000000"/>
                <w:sz w:val="16"/>
                <w:szCs w:val="16"/>
              </w:rPr>
              <w:t>1.0</w:t>
            </w:r>
          </w:p>
        </w:tc>
        <w:tc>
          <w:tcPr>
            <w:tcW w:w="628" w:type="dxa"/>
            <w:vAlign w:val="center"/>
          </w:tcPr>
          <w:p w:rsidR="00802792" w:rsidRPr="00133B47" w:rsidRDefault="00802792" w:rsidP="00715DB8">
            <w:pPr>
              <w:jc w:val="center"/>
              <w:rPr>
                <w:rFonts w:cs="Calibri"/>
                <w:color w:val="000000"/>
                <w:sz w:val="16"/>
                <w:szCs w:val="16"/>
              </w:rPr>
            </w:pPr>
            <w:r w:rsidRPr="00E65C9D">
              <w:rPr>
                <w:rFonts w:cs="Calibri"/>
                <w:color w:val="000000"/>
                <w:sz w:val="16"/>
                <w:szCs w:val="16"/>
              </w:rPr>
              <w:t>1.0</w:t>
            </w:r>
          </w:p>
        </w:tc>
        <w:tc>
          <w:tcPr>
            <w:tcW w:w="629" w:type="dxa"/>
            <w:vAlign w:val="center"/>
          </w:tcPr>
          <w:p w:rsidR="00802792" w:rsidRPr="00133B47" w:rsidRDefault="00802792" w:rsidP="0063661C">
            <w:pPr>
              <w:jc w:val="center"/>
              <w:rPr>
                <w:rFonts w:cs="Calibri"/>
                <w:color w:val="000000"/>
                <w:sz w:val="16"/>
                <w:szCs w:val="16"/>
              </w:rPr>
            </w:pPr>
            <w:r w:rsidRPr="00E65C9D">
              <w:rPr>
                <w:rFonts w:cs="Calibri"/>
                <w:color w:val="000000"/>
                <w:sz w:val="16"/>
                <w:szCs w:val="16"/>
              </w:rPr>
              <w:t>1.0</w:t>
            </w:r>
          </w:p>
        </w:tc>
        <w:tc>
          <w:tcPr>
            <w:tcW w:w="628" w:type="dxa"/>
            <w:vAlign w:val="center"/>
          </w:tcPr>
          <w:p w:rsidR="00802792" w:rsidRPr="00133B47" w:rsidRDefault="00802792" w:rsidP="006A7DDB">
            <w:pPr>
              <w:jc w:val="center"/>
              <w:rPr>
                <w:rFonts w:cs="Calibri"/>
                <w:color w:val="000000"/>
                <w:sz w:val="16"/>
                <w:szCs w:val="16"/>
              </w:rPr>
            </w:pPr>
            <w:r w:rsidRPr="00E65C9D">
              <w:rPr>
                <w:rFonts w:cs="Calibri"/>
                <w:color w:val="000000"/>
                <w:sz w:val="16"/>
                <w:szCs w:val="16"/>
              </w:rPr>
              <w:t>1.1</w:t>
            </w:r>
          </w:p>
        </w:tc>
        <w:tc>
          <w:tcPr>
            <w:tcW w:w="629" w:type="dxa"/>
            <w:vAlign w:val="center"/>
          </w:tcPr>
          <w:p w:rsidR="00802792" w:rsidRPr="00133B47" w:rsidRDefault="00802792" w:rsidP="00906667">
            <w:pPr>
              <w:jc w:val="center"/>
              <w:rPr>
                <w:rFonts w:cs="Calibri"/>
                <w:color w:val="000000"/>
                <w:sz w:val="16"/>
                <w:szCs w:val="16"/>
              </w:rPr>
            </w:pPr>
            <w:r w:rsidRPr="00E65C9D">
              <w:rPr>
                <w:rFonts w:cs="Calibri"/>
                <w:color w:val="000000"/>
                <w:sz w:val="16"/>
                <w:szCs w:val="16"/>
              </w:rPr>
              <w:t>1.1</w:t>
            </w:r>
          </w:p>
        </w:tc>
        <w:tc>
          <w:tcPr>
            <w:tcW w:w="629" w:type="dxa"/>
            <w:vAlign w:val="center"/>
          </w:tcPr>
          <w:p w:rsidR="00802792" w:rsidRPr="00133B47" w:rsidRDefault="00802792" w:rsidP="00D25BB1">
            <w:pPr>
              <w:jc w:val="center"/>
              <w:rPr>
                <w:rFonts w:cs="Calibri"/>
                <w:color w:val="000000"/>
                <w:sz w:val="16"/>
                <w:szCs w:val="16"/>
              </w:rPr>
            </w:pPr>
            <w:r w:rsidRPr="00E65C9D">
              <w:rPr>
                <w:rFonts w:cs="Calibri"/>
                <w:color w:val="000000"/>
                <w:sz w:val="16"/>
                <w:szCs w:val="16"/>
              </w:rPr>
              <w:t>1.1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1.2</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1.2</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1.0</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1.2</w:t>
            </w:r>
          </w:p>
        </w:tc>
        <w:tc>
          <w:tcPr>
            <w:tcW w:w="629" w:type="dxa"/>
            <w:gridSpan w:val="2"/>
            <w:vAlign w:val="center"/>
          </w:tcPr>
          <w:p w:rsidR="00802792" w:rsidRPr="00133B47" w:rsidRDefault="00802792">
            <w:pPr>
              <w:jc w:val="center"/>
              <w:rPr>
                <w:rFonts w:cs="Calibri"/>
                <w:color w:val="000000"/>
                <w:sz w:val="16"/>
                <w:szCs w:val="16"/>
              </w:rPr>
            </w:pPr>
            <w:r w:rsidRPr="00E65C9D">
              <w:rPr>
                <w:rFonts w:cs="Calibri"/>
                <w:color w:val="000000"/>
                <w:sz w:val="16"/>
                <w:szCs w:val="16"/>
              </w:rPr>
              <w:t>1.3</w:t>
            </w:r>
          </w:p>
        </w:tc>
      </w:tr>
      <w:tr w:rsidR="00802792" w:rsidRPr="00802792" w:rsidTr="00E65C9D">
        <w:trPr>
          <w:trHeight w:val="300"/>
        </w:trPr>
        <w:tc>
          <w:tcPr>
            <w:tcW w:w="1471" w:type="dxa"/>
            <w:noWrap/>
            <w:vAlign w:val="center"/>
          </w:tcPr>
          <w:p w:rsidR="00802792" w:rsidRPr="00133B47" w:rsidRDefault="00802792" w:rsidP="00DE64F6">
            <w:pPr>
              <w:rPr>
                <w:b/>
                <w:sz w:val="16"/>
                <w:szCs w:val="16"/>
              </w:rPr>
            </w:pPr>
            <w:r w:rsidRPr="00133B47">
              <w:rPr>
                <w:b/>
                <w:sz w:val="16"/>
                <w:szCs w:val="16"/>
              </w:rPr>
              <w:t>Total</w:t>
            </w:r>
          </w:p>
        </w:tc>
        <w:tc>
          <w:tcPr>
            <w:tcW w:w="627" w:type="dxa"/>
            <w:noWrap/>
            <w:vAlign w:val="center"/>
          </w:tcPr>
          <w:p w:rsidR="00802792" w:rsidRPr="00133B47" w:rsidRDefault="00802792" w:rsidP="00133B47">
            <w:pPr>
              <w:jc w:val="center"/>
              <w:rPr>
                <w:rFonts w:cs="Calibri"/>
                <w:b/>
                <w:color w:val="000000"/>
                <w:sz w:val="16"/>
                <w:szCs w:val="16"/>
              </w:rPr>
            </w:pPr>
            <w:r w:rsidRPr="00E65C9D">
              <w:rPr>
                <w:rFonts w:cs="Calibri"/>
                <w:b/>
                <w:color w:val="000000"/>
                <w:sz w:val="16"/>
                <w:szCs w:val="16"/>
              </w:rPr>
              <w:t>3.8</w:t>
            </w:r>
          </w:p>
        </w:tc>
        <w:tc>
          <w:tcPr>
            <w:tcW w:w="627" w:type="dxa"/>
            <w:noWrap/>
            <w:vAlign w:val="center"/>
          </w:tcPr>
          <w:p w:rsidR="00802792" w:rsidRPr="00133B47" w:rsidRDefault="00802792" w:rsidP="001E4FD3">
            <w:pPr>
              <w:jc w:val="center"/>
              <w:rPr>
                <w:rFonts w:cs="Calibri"/>
                <w:b/>
                <w:color w:val="000000"/>
                <w:sz w:val="16"/>
                <w:szCs w:val="16"/>
              </w:rPr>
            </w:pPr>
            <w:r w:rsidRPr="00E65C9D">
              <w:rPr>
                <w:rFonts w:cs="Calibri"/>
                <w:b/>
                <w:color w:val="000000"/>
                <w:sz w:val="16"/>
                <w:szCs w:val="16"/>
              </w:rPr>
              <w:t>3.9</w:t>
            </w:r>
          </w:p>
        </w:tc>
        <w:tc>
          <w:tcPr>
            <w:tcW w:w="629" w:type="dxa"/>
            <w:noWrap/>
            <w:vAlign w:val="center"/>
          </w:tcPr>
          <w:p w:rsidR="00802792" w:rsidRPr="00133B47" w:rsidRDefault="00802792" w:rsidP="001E4FD3">
            <w:pPr>
              <w:jc w:val="center"/>
              <w:rPr>
                <w:rFonts w:cs="Calibri"/>
                <w:b/>
                <w:color w:val="000000"/>
                <w:sz w:val="16"/>
                <w:szCs w:val="16"/>
              </w:rPr>
            </w:pPr>
            <w:r w:rsidRPr="00E65C9D">
              <w:rPr>
                <w:rFonts w:cs="Calibri"/>
                <w:b/>
                <w:color w:val="000000"/>
                <w:sz w:val="16"/>
                <w:szCs w:val="16"/>
              </w:rPr>
              <w:t>4.1</w:t>
            </w:r>
          </w:p>
        </w:tc>
        <w:tc>
          <w:tcPr>
            <w:tcW w:w="628" w:type="dxa"/>
            <w:vAlign w:val="center"/>
          </w:tcPr>
          <w:p w:rsidR="00802792" w:rsidRPr="00133B47" w:rsidRDefault="00802792" w:rsidP="001E4FD3">
            <w:pPr>
              <w:jc w:val="center"/>
              <w:rPr>
                <w:rFonts w:cs="Calibri"/>
                <w:b/>
                <w:color w:val="000000"/>
                <w:sz w:val="16"/>
                <w:szCs w:val="16"/>
              </w:rPr>
            </w:pPr>
            <w:r w:rsidRPr="00E65C9D">
              <w:rPr>
                <w:rFonts w:cs="Calibri"/>
                <w:b/>
                <w:color w:val="000000"/>
                <w:sz w:val="16"/>
                <w:szCs w:val="16"/>
              </w:rPr>
              <w:t>4.2</w:t>
            </w:r>
          </w:p>
        </w:tc>
        <w:tc>
          <w:tcPr>
            <w:tcW w:w="629" w:type="dxa"/>
            <w:vAlign w:val="center"/>
          </w:tcPr>
          <w:p w:rsidR="00802792" w:rsidRPr="00133B47" w:rsidRDefault="00802792" w:rsidP="00715DB8">
            <w:pPr>
              <w:jc w:val="center"/>
              <w:rPr>
                <w:rFonts w:cs="Calibri"/>
                <w:b/>
                <w:color w:val="000000"/>
                <w:sz w:val="16"/>
                <w:szCs w:val="16"/>
              </w:rPr>
            </w:pPr>
            <w:r w:rsidRPr="00E65C9D">
              <w:rPr>
                <w:rFonts w:cs="Calibri"/>
                <w:b/>
                <w:color w:val="000000"/>
                <w:sz w:val="16"/>
                <w:szCs w:val="16"/>
              </w:rPr>
              <w:t>4.3</w:t>
            </w:r>
          </w:p>
        </w:tc>
        <w:tc>
          <w:tcPr>
            <w:tcW w:w="628" w:type="dxa"/>
            <w:vAlign w:val="center"/>
          </w:tcPr>
          <w:p w:rsidR="00802792" w:rsidRPr="00133B47" w:rsidRDefault="00802792" w:rsidP="00715DB8">
            <w:pPr>
              <w:jc w:val="center"/>
              <w:rPr>
                <w:rFonts w:cs="Calibri"/>
                <w:b/>
                <w:color w:val="000000"/>
                <w:sz w:val="16"/>
                <w:szCs w:val="16"/>
              </w:rPr>
            </w:pPr>
            <w:r w:rsidRPr="00E65C9D">
              <w:rPr>
                <w:rFonts w:cs="Calibri"/>
                <w:b/>
                <w:color w:val="000000"/>
                <w:sz w:val="16"/>
                <w:szCs w:val="16"/>
              </w:rPr>
              <w:t>4.5</w:t>
            </w:r>
          </w:p>
        </w:tc>
        <w:tc>
          <w:tcPr>
            <w:tcW w:w="628" w:type="dxa"/>
            <w:vAlign w:val="center"/>
          </w:tcPr>
          <w:p w:rsidR="00802792" w:rsidRPr="00133B47" w:rsidRDefault="00802792" w:rsidP="00715DB8">
            <w:pPr>
              <w:jc w:val="center"/>
              <w:rPr>
                <w:rFonts w:cs="Calibri"/>
                <w:b/>
                <w:color w:val="000000"/>
                <w:sz w:val="16"/>
                <w:szCs w:val="16"/>
              </w:rPr>
            </w:pPr>
            <w:r w:rsidRPr="00E65C9D">
              <w:rPr>
                <w:rFonts w:cs="Calibri"/>
                <w:b/>
                <w:color w:val="000000"/>
                <w:sz w:val="16"/>
                <w:szCs w:val="16"/>
              </w:rPr>
              <w:t>4.8</w:t>
            </w:r>
          </w:p>
        </w:tc>
        <w:tc>
          <w:tcPr>
            <w:tcW w:w="629" w:type="dxa"/>
            <w:vAlign w:val="center"/>
          </w:tcPr>
          <w:p w:rsidR="00802792" w:rsidRPr="00133B47" w:rsidRDefault="00802792" w:rsidP="00715DB8">
            <w:pPr>
              <w:jc w:val="center"/>
              <w:rPr>
                <w:rFonts w:cs="Calibri"/>
                <w:b/>
                <w:color w:val="000000"/>
                <w:sz w:val="16"/>
                <w:szCs w:val="16"/>
              </w:rPr>
            </w:pPr>
            <w:r w:rsidRPr="00E65C9D">
              <w:rPr>
                <w:rFonts w:cs="Calibri"/>
                <w:b/>
                <w:color w:val="000000"/>
                <w:sz w:val="16"/>
                <w:szCs w:val="16"/>
              </w:rPr>
              <w:t>3.8</w:t>
            </w:r>
          </w:p>
        </w:tc>
        <w:tc>
          <w:tcPr>
            <w:tcW w:w="628" w:type="dxa"/>
            <w:vAlign w:val="center"/>
          </w:tcPr>
          <w:p w:rsidR="00802792" w:rsidRPr="00133B47" w:rsidRDefault="00802792" w:rsidP="00715DB8">
            <w:pPr>
              <w:jc w:val="center"/>
              <w:rPr>
                <w:rFonts w:cs="Calibri"/>
                <w:b/>
                <w:color w:val="000000"/>
                <w:sz w:val="16"/>
                <w:szCs w:val="16"/>
              </w:rPr>
            </w:pPr>
            <w:r w:rsidRPr="00E65C9D">
              <w:rPr>
                <w:rFonts w:cs="Calibri"/>
                <w:b/>
                <w:color w:val="000000"/>
                <w:sz w:val="16"/>
                <w:szCs w:val="16"/>
              </w:rPr>
              <w:t>3.9</w:t>
            </w:r>
          </w:p>
        </w:tc>
        <w:tc>
          <w:tcPr>
            <w:tcW w:w="629" w:type="dxa"/>
            <w:vAlign w:val="center"/>
          </w:tcPr>
          <w:p w:rsidR="00802792" w:rsidRPr="00133B47" w:rsidRDefault="00802792" w:rsidP="0063661C">
            <w:pPr>
              <w:jc w:val="center"/>
              <w:rPr>
                <w:rFonts w:cs="Calibri"/>
                <w:b/>
                <w:color w:val="000000"/>
                <w:sz w:val="16"/>
                <w:szCs w:val="16"/>
              </w:rPr>
            </w:pPr>
            <w:r w:rsidRPr="00E65C9D">
              <w:rPr>
                <w:rFonts w:cs="Calibri"/>
                <w:b/>
                <w:color w:val="000000"/>
                <w:sz w:val="16"/>
                <w:szCs w:val="16"/>
              </w:rPr>
              <w:t>4.0</w:t>
            </w:r>
          </w:p>
        </w:tc>
        <w:tc>
          <w:tcPr>
            <w:tcW w:w="628" w:type="dxa"/>
            <w:vAlign w:val="center"/>
          </w:tcPr>
          <w:p w:rsidR="00802792" w:rsidRPr="00133B47" w:rsidRDefault="00802792" w:rsidP="006A7DDB">
            <w:pPr>
              <w:jc w:val="center"/>
              <w:rPr>
                <w:rFonts w:cs="Calibri"/>
                <w:b/>
                <w:color w:val="000000"/>
                <w:sz w:val="16"/>
                <w:szCs w:val="16"/>
              </w:rPr>
            </w:pPr>
            <w:r w:rsidRPr="00E65C9D">
              <w:rPr>
                <w:rFonts w:cs="Calibri"/>
                <w:b/>
                <w:color w:val="000000"/>
                <w:sz w:val="16"/>
                <w:szCs w:val="16"/>
              </w:rPr>
              <w:t>4.1</w:t>
            </w:r>
          </w:p>
        </w:tc>
        <w:tc>
          <w:tcPr>
            <w:tcW w:w="629" w:type="dxa"/>
            <w:vAlign w:val="center"/>
          </w:tcPr>
          <w:p w:rsidR="00802792" w:rsidRPr="00133B47" w:rsidRDefault="00802792" w:rsidP="00906667">
            <w:pPr>
              <w:jc w:val="center"/>
              <w:rPr>
                <w:rFonts w:cs="Calibri"/>
                <w:b/>
                <w:color w:val="000000"/>
                <w:sz w:val="16"/>
                <w:szCs w:val="16"/>
              </w:rPr>
            </w:pPr>
            <w:r w:rsidRPr="00E65C9D">
              <w:rPr>
                <w:rFonts w:cs="Calibri"/>
                <w:b/>
                <w:color w:val="000000"/>
                <w:sz w:val="16"/>
                <w:szCs w:val="16"/>
              </w:rPr>
              <w:t>4.2</w:t>
            </w:r>
          </w:p>
        </w:tc>
        <w:tc>
          <w:tcPr>
            <w:tcW w:w="629" w:type="dxa"/>
            <w:vAlign w:val="center"/>
          </w:tcPr>
          <w:p w:rsidR="00802792" w:rsidRPr="00133B47" w:rsidRDefault="00802792" w:rsidP="00D25BB1">
            <w:pPr>
              <w:jc w:val="center"/>
              <w:rPr>
                <w:rFonts w:cs="Calibri"/>
                <w:b/>
                <w:color w:val="000000"/>
                <w:sz w:val="16"/>
                <w:szCs w:val="16"/>
              </w:rPr>
            </w:pPr>
            <w:r w:rsidRPr="00E65C9D">
              <w:rPr>
                <w:rFonts w:cs="Calibri"/>
                <w:b/>
                <w:color w:val="000000"/>
                <w:sz w:val="16"/>
                <w:szCs w:val="16"/>
              </w:rPr>
              <w:t>4.4</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4.5</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4.7</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4.8</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4.6</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5.3</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6.0</w:t>
            </w:r>
          </w:p>
        </w:tc>
        <w:tc>
          <w:tcPr>
            <w:tcW w:w="629" w:type="dxa"/>
            <w:gridSpan w:val="2"/>
            <w:vAlign w:val="center"/>
          </w:tcPr>
          <w:p w:rsidR="00802792" w:rsidRPr="00133B47" w:rsidRDefault="00802792">
            <w:pPr>
              <w:jc w:val="center"/>
              <w:rPr>
                <w:rFonts w:cs="Calibri"/>
                <w:b/>
                <w:color w:val="000000"/>
                <w:sz w:val="16"/>
                <w:szCs w:val="16"/>
              </w:rPr>
            </w:pPr>
            <w:r w:rsidRPr="00E65C9D">
              <w:rPr>
                <w:rFonts w:cs="Calibri"/>
                <w:b/>
                <w:color w:val="000000"/>
                <w:sz w:val="16"/>
                <w:szCs w:val="16"/>
              </w:rPr>
              <w:t>6.9</w:t>
            </w:r>
          </w:p>
        </w:tc>
      </w:tr>
    </w:tbl>
    <w:p w:rsidR="00BC31C3" w:rsidRDefault="00BC31C3" w:rsidP="008F68CE">
      <w:pPr>
        <w:rPr>
          <w:rFonts w:cstheme="majorHAnsi"/>
          <w:kern w:val="12"/>
          <w:highlight w:val="yellow"/>
        </w:rPr>
      </w:pPr>
    </w:p>
    <w:p w:rsidR="00BC31C3" w:rsidRDefault="00BC31C3" w:rsidP="008F68CE">
      <w:pPr>
        <w:rPr>
          <w:rFonts w:cstheme="majorHAnsi"/>
          <w:kern w:val="12"/>
          <w:highlight w:val="yellow"/>
        </w:rPr>
      </w:pPr>
    </w:p>
    <w:tbl>
      <w:tblPr>
        <w:tblW w:w="140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44"/>
        <w:tblDescription w:val="Table 44 shows the production of extractive resources from 2015 – 2050 using scenario 2A. In 2015 total demand is 37.1 million tonnes. In 2026 it is estimated to be 44.7 million tonnes and in 2050 it is estimated to be 70.2 million tonnes."/>
      </w:tblPr>
      <w:tblGrid>
        <w:gridCol w:w="1471"/>
        <w:gridCol w:w="627"/>
        <w:gridCol w:w="627"/>
        <w:gridCol w:w="629"/>
        <w:gridCol w:w="628"/>
        <w:gridCol w:w="629"/>
        <w:gridCol w:w="628"/>
        <w:gridCol w:w="628"/>
        <w:gridCol w:w="629"/>
        <w:gridCol w:w="628"/>
        <w:gridCol w:w="629"/>
        <w:gridCol w:w="628"/>
        <w:gridCol w:w="629"/>
        <w:gridCol w:w="629"/>
        <w:gridCol w:w="629"/>
        <w:gridCol w:w="629"/>
        <w:gridCol w:w="629"/>
        <w:gridCol w:w="629"/>
        <w:gridCol w:w="629"/>
        <w:gridCol w:w="629"/>
        <w:gridCol w:w="610"/>
        <w:gridCol w:w="19"/>
      </w:tblGrid>
      <w:tr w:rsidR="00BC31C3" w:rsidRPr="00D14CE9" w:rsidTr="00DE64F6">
        <w:trPr>
          <w:gridAfter w:val="1"/>
          <w:wAfter w:w="19" w:type="dxa"/>
          <w:trHeight w:val="300"/>
        </w:trPr>
        <w:tc>
          <w:tcPr>
            <w:tcW w:w="14023" w:type="dxa"/>
            <w:gridSpan w:val="21"/>
            <w:shd w:val="clear" w:color="auto" w:fill="808080"/>
            <w:noWrap/>
            <w:vAlign w:val="bottom"/>
          </w:tcPr>
          <w:p w:rsidR="00BC31C3" w:rsidRPr="00D14CE9" w:rsidRDefault="00BC31C3" w:rsidP="00802792">
            <w:pPr>
              <w:pStyle w:val="EYTableHeadingWhite"/>
            </w:pPr>
            <w:bookmarkStart w:id="783" w:name="_Toc445240977"/>
            <w:bookmarkStart w:id="784" w:name="_Toc448914670"/>
            <w:bookmarkStart w:id="785" w:name="_Toc448920488"/>
            <w:r w:rsidRPr="00D14CE9">
              <w:t xml:space="preserve">Table </w:t>
            </w:r>
            <w:r w:rsidRPr="00372DE0">
              <w:fldChar w:fldCharType="begin"/>
            </w:r>
            <w:r w:rsidRPr="00D14CE9">
              <w:instrText xml:space="preserve"> SEQ Table \* ARABIC </w:instrText>
            </w:r>
            <w:r w:rsidRPr="00372DE0">
              <w:fldChar w:fldCharType="separate"/>
            </w:r>
            <w:r w:rsidR="00525C82">
              <w:rPr>
                <w:noProof/>
              </w:rPr>
              <w:t>44</w:t>
            </w:r>
            <w:r w:rsidRPr="00372DE0">
              <w:fldChar w:fldCharType="end"/>
            </w:r>
            <w:r w:rsidRPr="00D14CE9">
              <w:t xml:space="preserve"> – Production of Extractive Resources </w:t>
            </w:r>
            <w:r>
              <w:t>in Victoria - 2015-2050</w:t>
            </w:r>
            <w:r w:rsidRPr="00D14CE9">
              <w:t xml:space="preserve"> (in million tonnes)</w:t>
            </w:r>
            <w:r>
              <w:t xml:space="preserve"> – Scenario 2A</w:t>
            </w:r>
            <w:bookmarkEnd w:id="783"/>
            <w:bookmarkEnd w:id="784"/>
            <w:bookmarkEnd w:id="785"/>
          </w:p>
        </w:tc>
      </w:tr>
      <w:tr w:rsidR="00BC31C3" w:rsidRPr="00D14CE9" w:rsidTr="00DE64F6">
        <w:trPr>
          <w:trHeight w:val="286"/>
        </w:trPr>
        <w:tc>
          <w:tcPr>
            <w:tcW w:w="1471"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sidRPr="00D14CE9">
              <w:lastRenderedPageBreak/>
              <w:t>Rock type</w:t>
            </w:r>
          </w:p>
        </w:tc>
        <w:tc>
          <w:tcPr>
            <w:tcW w:w="627"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2015</w:t>
            </w:r>
          </w:p>
        </w:tc>
        <w:tc>
          <w:tcPr>
            <w:tcW w:w="627"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2016</w:t>
            </w:r>
          </w:p>
        </w:tc>
        <w:tc>
          <w:tcPr>
            <w:tcW w:w="629"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2017</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2018</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2019</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2020</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2021</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2022</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2023</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2024</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2025</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2026</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2027</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2028</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2029</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2030</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2035</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2040</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2045</w:t>
            </w:r>
          </w:p>
        </w:tc>
        <w:tc>
          <w:tcPr>
            <w:tcW w:w="629" w:type="dxa"/>
            <w:gridSpan w:val="2"/>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2050</w:t>
            </w:r>
          </w:p>
        </w:tc>
      </w:tr>
      <w:tr w:rsidR="00BC31C3" w:rsidRPr="004839B9" w:rsidTr="00DE64F6">
        <w:trPr>
          <w:trHeight w:val="300"/>
        </w:trPr>
        <w:tc>
          <w:tcPr>
            <w:tcW w:w="14042" w:type="dxa"/>
            <w:gridSpan w:val="22"/>
            <w:shd w:val="clear" w:color="auto" w:fill="A6A6A6" w:themeFill="background1" w:themeFillShade="A6"/>
            <w:noWrap/>
            <w:vAlign w:val="center"/>
          </w:tcPr>
          <w:p w:rsidR="00BC31C3" w:rsidRPr="004839B9" w:rsidRDefault="00BC31C3" w:rsidP="00DE64F6">
            <w:pPr>
              <w:rPr>
                <w:rFonts w:cs="Calibri"/>
                <w:color w:val="FFFFFF" w:themeColor="background1"/>
                <w:sz w:val="16"/>
                <w:szCs w:val="16"/>
              </w:rPr>
            </w:pPr>
            <w:r w:rsidRPr="004839B9">
              <w:rPr>
                <w:color w:val="FFFFFF" w:themeColor="background1"/>
                <w:sz w:val="16"/>
                <w:szCs w:val="16"/>
              </w:rPr>
              <w:t>Scenario 2A</w:t>
            </w:r>
          </w:p>
        </w:tc>
      </w:tr>
      <w:tr w:rsidR="008115A9" w:rsidRPr="00D14CE9" w:rsidTr="00E65C9D">
        <w:trPr>
          <w:trHeight w:val="300"/>
        </w:trPr>
        <w:tc>
          <w:tcPr>
            <w:tcW w:w="1471" w:type="dxa"/>
            <w:noWrap/>
            <w:vAlign w:val="center"/>
          </w:tcPr>
          <w:p w:rsidR="008115A9" w:rsidRPr="00372DE0" w:rsidRDefault="008115A9" w:rsidP="00DE64F6">
            <w:pPr>
              <w:rPr>
                <w:sz w:val="16"/>
                <w:szCs w:val="16"/>
              </w:rPr>
            </w:pPr>
            <w:r>
              <w:rPr>
                <w:sz w:val="16"/>
                <w:szCs w:val="16"/>
              </w:rPr>
              <w:t>Hard rock</w:t>
            </w:r>
          </w:p>
        </w:tc>
        <w:tc>
          <w:tcPr>
            <w:tcW w:w="627"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24.4</w:t>
            </w:r>
          </w:p>
        </w:tc>
        <w:tc>
          <w:tcPr>
            <w:tcW w:w="627"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25.0</w:t>
            </w:r>
          </w:p>
        </w:tc>
        <w:tc>
          <w:tcPr>
            <w:tcW w:w="629"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25.7</w:t>
            </w:r>
          </w:p>
        </w:tc>
        <w:tc>
          <w:tcPr>
            <w:tcW w:w="628"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26.4</w:t>
            </w:r>
          </w:p>
        </w:tc>
        <w:tc>
          <w:tcPr>
            <w:tcW w:w="629"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27.1</w:t>
            </w:r>
          </w:p>
        </w:tc>
        <w:tc>
          <w:tcPr>
            <w:tcW w:w="628"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27.9</w:t>
            </w:r>
          </w:p>
        </w:tc>
        <w:tc>
          <w:tcPr>
            <w:tcW w:w="628"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28.6</w:t>
            </w:r>
          </w:p>
        </w:tc>
        <w:tc>
          <w:tcPr>
            <w:tcW w:w="629"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27.5</w:t>
            </w:r>
          </w:p>
        </w:tc>
        <w:tc>
          <w:tcPr>
            <w:tcW w:w="628" w:type="dxa"/>
            <w:vAlign w:val="center"/>
          </w:tcPr>
          <w:p w:rsidR="008115A9" w:rsidRPr="00E65C9D" w:rsidRDefault="008115A9" w:rsidP="00C27E63">
            <w:pPr>
              <w:jc w:val="center"/>
              <w:rPr>
                <w:rFonts w:cs="Calibri"/>
                <w:color w:val="000000"/>
                <w:sz w:val="16"/>
                <w:szCs w:val="16"/>
              </w:rPr>
            </w:pPr>
            <w:r w:rsidRPr="00E65C9D">
              <w:rPr>
                <w:rFonts w:cs="Calibri"/>
                <w:color w:val="000000"/>
                <w:sz w:val="16"/>
                <w:szCs w:val="16"/>
              </w:rPr>
              <w:t>28.2</w:t>
            </w:r>
          </w:p>
        </w:tc>
        <w:tc>
          <w:tcPr>
            <w:tcW w:w="629" w:type="dxa"/>
            <w:vAlign w:val="center"/>
          </w:tcPr>
          <w:p w:rsidR="008115A9" w:rsidRPr="00E65C9D" w:rsidRDefault="008115A9" w:rsidP="009320CC">
            <w:pPr>
              <w:jc w:val="center"/>
              <w:rPr>
                <w:rFonts w:cs="Calibri"/>
                <w:color w:val="000000"/>
                <w:sz w:val="16"/>
                <w:szCs w:val="16"/>
              </w:rPr>
            </w:pPr>
            <w:r w:rsidRPr="00E65C9D">
              <w:rPr>
                <w:rFonts w:cs="Calibri"/>
                <w:color w:val="000000"/>
                <w:sz w:val="16"/>
                <w:szCs w:val="16"/>
              </w:rPr>
              <w:t>28.9</w:t>
            </w:r>
          </w:p>
        </w:tc>
        <w:tc>
          <w:tcPr>
            <w:tcW w:w="628" w:type="dxa"/>
            <w:vAlign w:val="center"/>
          </w:tcPr>
          <w:p w:rsidR="008115A9" w:rsidRPr="00E65C9D" w:rsidRDefault="008115A9" w:rsidP="009320CC">
            <w:pPr>
              <w:jc w:val="center"/>
              <w:rPr>
                <w:rFonts w:cs="Calibri"/>
                <w:color w:val="000000"/>
                <w:sz w:val="16"/>
                <w:szCs w:val="16"/>
              </w:rPr>
            </w:pPr>
            <w:r w:rsidRPr="00E65C9D">
              <w:rPr>
                <w:rFonts w:cs="Calibri"/>
                <w:color w:val="000000"/>
                <w:sz w:val="16"/>
                <w:szCs w:val="16"/>
              </w:rPr>
              <w:t>29.6</w:t>
            </w:r>
          </w:p>
        </w:tc>
        <w:tc>
          <w:tcPr>
            <w:tcW w:w="629" w:type="dxa"/>
            <w:vAlign w:val="center"/>
          </w:tcPr>
          <w:p w:rsidR="008115A9" w:rsidRPr="00E65C9D" w:rsidRDefault="008115A9" w:rsidP="009320CC">
            <w:pPr>
              <w:jc w:val="center"/>
              <w:rPr>
                <w:rFonts w:cs="Calibri"/>
                <w:color w:val="000000"/>
                <w:sz w:val="16"/>
                <w:szCs w:val="16"/>
              </w:rPr>
            </w:pPr>
            <w:r w:rsidRPr="00E65C9D">
              <w:rPr>
                <w:rFonts w:cs="Calibri"/>
                <w:color w:val="000000"/>
                <w:sz w:val="16"/>
                <w:szCs w:val="16"/>
              </w:rPr>
              <w:t>30.4</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31.2</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32.0</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32.8</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33.6</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35.5</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40.0</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45.2</w:t>
            </w:r>
          </w:p>
        </w:tc>
        <w:tc>
          <w:tcPr>
            <w:tcW w:w="629" w:type="dxa"/>
            <w:gridSpan w:val="2"/>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51.1</w:t>
            </w:r>
          </w:p>
        </w:tc>
      </w:tr>
      <w:tr w:rsidR="00802792" w:rsidRPr="00D14CE9" w:rsidTr="00E65C9D">
        <w:trPr>
          <w:trHeight w:val="300"/>
        </w:trPr>
        <w:tc>
          <w:tcPr>
            <w:tcW w:w="1471" w:type="dxa"/>
            <w:noWrap/>
            <w:vAlign w:val="center"/>
          </w:tcPr>
          <w:p w:rsidR="00802792" w:rsidRPr="00D14CE9" w:rsidRDefault="00802792" w:rsidP="00DE64F6">
            <w:pPr>
              <w:rPr>
                <w:sz w:val="16"/>
                <w:szCs w:val="16"/>
              </w:rPr>
            </w:pPr>
            <w:r w:rsidRPr="00D14CE9">
              <w:rPr>
                <w:sz w:val="16"/>
                <w:szCs w:val="16"/>
              </w:rPr>
              <w:t>Clay and Clay Shale</w:t>
            </w:r>
          </w:p>
        </w:tc>
        <w:tc>
          <w:tcPr>
            <w:tcW w:w="627" w:type="dxa"/>
            <w:noWrap/>
            <w:vAlign w:val="center"/>
          </w:tcPr>
          <w:p w:rsidR="00802792" w:rsidRPr="00133B47" w:rsidRDefault="00802792" w:rsidP="00133B47">
            <w:pPr>
              <w:jc w:val="center"/>
              <w:rPr>
                <w:sz w:val="16"/>
                <w:szCs w:val="16"/>
              </w:rPr>
            </w:pPr>
            <w:r w:rsidRPr="00E65C9D">
              <w:rPr>
                <w:rFonts w:cs="Calibri"/>
                <w:color w:val="000000"/>
                <w:sz w:val="16"/>
                <w:szCs w:val="16"/>
              </w:rPr>
              <w:t>1.0</w:t>
            </w:r>
          </w:p>
        </w:tc>
        <w:tc>
          <w:tcPr>
            <w:tcW w:w="627" w:type="dxa"/>
            <w:noWrap/>
            <w:vAlign w:val="center"/>
          </w:tcPr>
          <w:p w:rsidR="00802792" w:rsidRPr="00133B47" w:rsidRDefault="00802792" w:rsidP="001E4FD3">
            <w:pPr>
              <w:jc w:val="center"/>
              <w:rPr>
                <w:sz w:val="16"/>
                <w:szCs w:val="16"/>
              </w:rPr>
            </w:pPr>
            <w:r w:rsidRPr="00E65C9D">
              <w:rPr>
                <w:rFonts w:cs="Calibri"/>
                <w:color w:val="000000"/>
                <w:sz w:val="16"/>
                <w:szCs w:val="16"/>
              </w:rPr>
              <w:t>1.0</w:t>
            </w:r>
          </w:p>
        </w:tc>
        <w:tc>
          <w:tcPr>
            <w:tcW w:w="629" w:type="dxa"/>
            <w:noWrap/>
            <w:vAlign w:val="center"/>
          </w:tcPr>
          <w:p w:rsidR="00802792" w:rsidRPr="00133B47" w:rsidRDefault="00802792" w:rsidP="001E4FD3">
            <w:pPr>
              <w:jc w:val="center"/>
              <w:rPr>
                <w:sz w:val="16"/>
                <w:szCs w:val="16"/>
              </w:rPr>
            </w:pPr>
            <w:r w:rsidRPr="00E65C9D">
              <w:rPr>
                <w:rFonts w:cs="Calibri"/>
                <w:color w:val="000000"/>
                <w:sz w:val="16"/>
                <w:szCs w:val="16"/>
              </w:rPr>
              <w:t>1.0</w:t>
            </w:r>
          </w:p>
        </w:tc>
        <w:tc>
          <w:tcPr>
            <w:tcW w:w="628" w:type="dxa"/>
            <w:vAlign w:val="center"/>
          </w:tcPr>
          <w:p w:rsidR="00802792" w:rsidRPr="00133B47" w:rsidRDefault="00802792" w:rsidP="001E4FD3">
            <w:pPr>
              <w:jc w:val="center"/>
              <w:rPr>
                <w:sz w:val="16"/>
                <w:szCs w:val="16"/>
              </w:rPr>
            </w:pPr>
            <w:r w:rsidRPr="00E65C9D">
              <w:rPr>
                <w:rFonts w:cs="Calibri"/>
                <w:color w:val="000000"/>
                <w:sz w:val="16"/>
                <w:szCs w:val="16"/>
              </w:rPr>
              <w:t>1.0</w:t>
            </w:r>
          </w:p>
        </w:tc>
        <w:tc>
          <w:tcPr>
            <w:tcW w:w="629" w:type="dxa"/>
            <w:vAlign w:val="center"/>
          </w:tcPr>
          <w:p w:rsidR="00802792" w:rsidRPr="00133B47" w:rsidRDefault="00802792" w:rsidP="00715DB8">
            <w:pPr>
              <w:jc w:val="center"/>
              <w:rPr>
                <w:sz w:val="16"/>
                <w:szCs w:val="16"/>
              </w:rPr>
            </w:pPr>
            <w:r w:rsidRPr="00E65C9D">
              <w:rPr>
                <w:rFonts w:cs="Calibri"/>
                <w:color w:val="000000"/>
                <w:sz w:val="16"/>
                <w:szCs w:val="16"/>
              </w:rPr>
              <w:t>1.1</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1.1</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1.1</w:t>
            </w:r>
          </w:p>
        </w:tc>
        <w:tc>
          <w:tcPr>
            <w:tcW w:w="629" w:type="dxa"/>
            <w:vAlign w:val="center"/>
          </w:tcPr>
          <w:p w:rsidR="00802792" w:rsidRPr="00133B47" w:rsidRDefault="00802792" w:rsidP="00715DB8">
            <w:pPr>
              <w:jc w:val="center"/>
              <w:rPr>
                <w:sz w:val="16"/>
                <w:szCs w:val="16"/>
              </w:rPr>
            </w:pPr>
            <w:r w:rsidRPr="00E65C9D">
              <w:rPr>
                <w:rFonts w:cs="Calibri"/>
                <w:color w:val="000000"/>
                <w:sz w:val="16"/>
                <w:szCs w:val="16"/>
              </w:rPr>
              <w:t>1.0</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1.0</w:t>
            </w:r>
          </w:p>
        </w:tc>
        <w:tc>
          <w:tcPr>
            <w:tcW w:w="629" w:type="dxa"/>
            <w:vAlign w:val="center"/>
          </w:tcPr>
          <w:p w:rsidR="00802792" w:rsidRPr="00133B47" w:rsidRDefault="00802792" w:rsidP="0063661C">
            <w:pPr>
              <w:jc w:val="center"/>
              <w:rPr>
                <w:sz w:val="16"/>
                <w:szCs w:val="16"/>
              </w:rPr>
            </w:pPr>
            <w:r w:rsidRPr="00E65C9D">
              <w:rPr>
                <w:rFonts w:cs="Calibri"/>
                <w:color w:val="000000"/>
                <w:sz w:val="16"/>
                <w:szCs w:val="16"/>
              </w:rPr>
              <w:t>1.0</w:t>
            </w:r>
          </w:p>
        </w:tc>
        <w:tc>
          <w:tcPr>
            <w:tcW w:w="628" w:type="dxa"/>
            <w:vAlign w:val="center"/>
          </w:tcPr>
          <w:p w:rsidR="00802792" w:rsidRPr="00133B47" w:rsidRDefault="00802792" w:rsidP="006A7DDB">
            <w:pPr>
              <w:jc w:val="center"/>
              <w:rPr>
                <w:sz w:val="16"/>
                <w:szCs w:val="16"/>
              </w:rPr>
            </w:pPr>
            <w:r w:rsidRPr="00E65C9D">
              <w:rPr>
                <w:rFonts w:cs="Calibri"/>
                <w:color w:val="000000"/>
                <w:sz w:val="16"/>
                <w:szCs w:val="16"/>
              </w:rPr>
              <w:t>1.0</w:t>
            </w:r>
          </w:p>
        </w:tc>
        <w:tc>
          <w:tcPr>
            <w:tcW w:w="629" w:type="dxa"/>
            <w:vAlign w:val="center"/>
          </w:tcPr>
          <w:p w:rsidR="00802792" w:rsidRPr="00133B47" w:rsidRDefault="00802792" w:rsidP="00906667">
            <w:pPr>
              <w:jc w:val="center"/>
              <w:rPr>
                <w:sz w:val="16"/>
                <w:szCs w:val="16"/>
              </w:rPr>
            </w:pPr>
            <w:r w:rsidRPr="00E65C9D">
              <w:rPr>
                <w:rFonts w:cs="Calibri"/>
                <w:color w:val="000000"/>
                <w:sz w:val="16"/>
                <w:szCs w:val="16"/>
              </w:rPr>
              <w:t>1.1</w:t>
            </w:r>
          </w:p>
        </w:tc>
        <w:tc>
          <w:tcPr>
            <w:tcW w:w="629" w:type="dxa"/>
            <w:vAlign w:val="center"/>
          </w:tcPr>
          <w:p w:rsidR="00802792" w:rsidRPr="00133B47" w:rsidRDefault="00802792" w:rsidP="00D25BB1">
            <w:pPr>
              <w:jc w:val="center"/>
              <w:rPr>
                <w:rFonts w:cs="Calibri"/>
                <w:color w:val="000000"/>
                <w:sz w:val="16"/>
                <w:szCs w:val="16"/>
              </w:rPr>
            </w:pPr>
            <w:r w:rsidRPr="00E65C9D">
              <w:rPr>
                <w:rFonts w:cs="Calibri"/>
                <w:color w:val="000000"/>
                <w:sz w:val="16"/>
                <w:szCs w:val="16"/>
              </w:rPr>
              <w:t>1.1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1.0</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1.1</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1.2</w:t>
            </w:r>
          </w:p>
        </w:tc>
        <w:tc>
          <w:tcPr>
            <w:tcW w:w="629" w:type="dxa"/>
            <w:gridSpan w:val="2"/>
            <w:vAlign w:val="center"/>
          </w:tcPr>
          <w:p w:rsidR="00802792" w:rsidRPr="00133B47" w:rsidRDefault="00802792">
            <w:pPr>
              <w:jc w:val="center"/>
              <w:rPr>
                <w:rFonts w:cs="Calibri"/>
                <w:color w:val="000000"/>
                <w:sz w:val="16"/>
                <w:szCs w:val="16"/>
              </w:rPr>
            </w:pPr>
            <w:r w:rsidRPr="00E65C9D">
              <w:rPr>
                <w:rFonts w:cs="Calibri"/>
                <w:color w:val="000000"/>
                <w:sz w:val="16"/>
                <w:szCs w:val="16"/>
              </w:rPr>
              <w:t>1.3</w:t>
            </w:r>
          </w:p>
        </w:tc>
      </w:tr>
      <w:tr w:rsidR="00802792" w:rsidRPr="00D14CE9" w:rsidTr="00E65C9D">
        <w:trPr>
          <w:trHeight w:val="300"/>
        </w:trPr>
        <w:tc>
          <w:tcPr>
            <w:tcW w:w="1471" w:type="dxa"/>
            <w:noWrap/>
            <w:vAlign w:val="center"/>
          </w:tcPr>
          <w:p w:rsidR="00802792" w:rsidRPr="00D14CE9" w:rsidRDefault="00802792" w:rsidP="00DE64F6">
            <w:pPr>
              <w:rPr>
                <w:sz w:val="16"/>
                <w:szCs w:val="16"/>
              </w:rPr>
            </w:pPr>
            <w:r w:rsidRPr="00D14CE9">
              <w:rPr>
                <w:sz w:val="16"/>
                <w:szCs w:val="16"/>
              </w:rPr>
              <w:t>Limestone</w:t>
            </w:r>
          </w:p>
        </w:tc>
        <w:tc>
          <w:tcPr>
            <w:tcW w:w="627" w:type="dxa"/>
            <w:noWrap/>
            <w:vAlign w:val="center"/>
          </w:tcPr>
          <w:p w:rsidR="00802792" w:rsidRPr="00133B47" w:rsidRDefault="00802792" w:rsidP="00133B47">
            <w:pPr>
              <w:jc w:val="center"/>
              <w:rPr>
                <w:sz w:val="16"/>
                <w:szCs w:val="16"/>
              </w:rPr>
            </w:pPr>
            <w:r w:rsidRPr="00E65C9D">
              <w:rPr>
                <w:rFonts w:cs="Calibri"/>
                <w:color w:val="000000"/>
                <w:sz w:val="16"/>
                <w:szCs w:val="16"/>
              </w:rPr>
              <w:t>1.7</w:t>
            </w:r>
          </w:p>
        </w:tc>
        <w:tc>
          <w:tcPr>
            <w:tcW w:w="627" w:type="dxa"/>
            <w:noWrap/>
            <w:vAlign w:val="center"/>
          </w:tcPr>
          <w:p w:rsidR="00802792" w:rsidRPr="00133B47" w:rsidRDefault="00802792" w:rsidP="001E4FD3">
            <w:pPr>
              <w:jc w:val="center"/>
              <w:rPr>
                <w:sz w:val="16"/>
                <w:szCs w:val="16"/>
              </w:rPr>
            </w:pPr>
            <w:r w:rsidRPr="00E65C9D">
              <w:rPr>
                <w:rFonts w:cs="Calibri"/>
                <w:color w:val="000000"/>
                <w:sz w:val="16"/>
                <w:szCs w:val="16"/>
              </w:rPr>
              <w:t>1.7</w:t>
            </w:r>
          </w:p>
        </w:tc>
        <w:tc>
          <w:tcPr>
            <w:tcW w:w="629" w:type="dxa"/>
            <w:noWrap/>
            <w:vAlign w:val="center"/>
          </w:tcPr>
          <w:p w:rsidR="00802792" w:rsidRPr="00133B47" w:rsidRDefault="00802792" w:rsidP="001E4FD3">
            <w:pPr>
              <w:jc w:val="center"/>
              <w:rPr>
                <w:sz w:val="16"/>
                <w:szCs w:val="16"/>
              </w:rPr>
            </w:pPr>
            <w:r w:rsidRPr="00E65C9D">
              <w:rPr>
                <w:rFonts w:cs="Calibri"/>
                <w:color w:val="000000"/>
                <w:sz w:val="16"/>
                <w:szCs w:val="16"/>
              </w:rPr>
              <w:t>1.8</w:t>
            </w:r>
          </w:p>
        </w:tc>
        <w:tc>
          <w:tcPr>
            <w:tcW w:w="628" w:type="dxa"/>
            <w:vAlign w:val="center"/>
          </w:tcPr>
          <w:p w:rsidR="00802792" w:rsidRPr="00133B47" w:rsidRDefault="00802792" w:rsidP="001E4FD3">
            <w:pPr>
              <w:jc w:val="center"/>
              <w:rPr>
                <w:sz w:val="16"/>
                <w:szCs w:val="16"/>
              </w:rPr>
            </w:pPr>
            <w:r w:rsidRPr="00E65C9D">
              <w:rPr>
                <w:rFonts w:cs="Calibri"/>
                <w:color w:val="000000"/>
                <w:sz w:val="16"/>
                <w:szCs w:val="16"/>
              </w:rPr>
              <w:t>1.8</w:t>
            </w:r>
          </w:p>
        </w:tc>
        <w:tc>
          <w:tcPr>
            <w:tcW w:w="629" w:type="dxa"/>
            <w:vAlign w:val="center"/>
          </w:tcPr>
          <w:p w:rsidR="00802792" w:rsidRPr="00133B47" w:rsidRDefault="00802792" w:rsidP="00715DB8">
            <w:pPr>
              <w:jc w:val="center"/>
              <w:rPr>
                <w:sz w:val="16"/>
                <w:szCs w:val="16"/>
              </w:rPr>
            </w:pPr>
            <w:r w:rsidRPr="00E65C9D">
              <w:rPr>
                <w:rFonts w:cs="Calibri"/>
                <w:color w:val="000000"/>
                <w:sz w:val="16"/>
                <w:szCs w:val="16"/>
              </w:rPr>
              <w:t>1.9</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1.9</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2.0</w:t>
            </w:r>
          </w:p>
        </w:tc>
        <w:tc>
          <w:tcPr>
            <w:tcW w:w="629" w:type="dxa"/>
            <w:vAlign w:val="center"/>
          </w:tcPr>
          <w:p w:rsidR="00802792" w:rsidRPr="00133B47" w:rsidRDefault="00802792" w:rsidP="00715DB8">
            <w:pPr>
              <w:jc w:val="center"/>
              <w:rPr>
                <w:sz w:val="16"/>
                <w:szCs w:val="16"/>
              </w:rPr>
            </w:pPr>
            <w:r w:rsidRPr="00E65C9D">
              <w:rPr>
                <w:rFonts w:cs="Calibri"/>
                <w:color w:val="000000"/>
                <w:sz w:val="16"/>
                <w:szCs w:val="16"/>
              </w:rPr>
              <w:t>2.0</w:t>
            </w:r>
          </w:p>
        </w:tc>
        <w:tc>
          <w:tcPr>
            <w:tcW w:w="628" w:type="dxa"/>
            <w:vAlign w:val="center"/>
          </w:tcPr>
          <w:p w:rsidR="00802792" w:rsidRPr="00133B47" w:rsidRDefault="00802792" w:rsidP="00715DB8">
            <w:pPr>
              <w:jc w:val="center"/>
              <w:rPr>
                <w:sz w:val="16"/>
                <w:szCs w:val="16"/>
              </w:rPr>
            </w:pPr>
            <w:r w:rsidRPr="00E65C9D">
              <w:rPr>
                <w:rFonts w:cs="Calibri"/>
                <w:color w:val="000000"/>
                <w:sz w:val="16"/>
                <w:szCs w:val="16"/>
              </w:rPr>
              <w:t>2.1</w:t>
            </w:r>
          </w:p>
        </w:tc>
        <w:tc>
          <w:tcPr>
            <w:tcW w:w="629" w:type="dxa"/>
            <w:vAlign w:val="center"/>
          </w:tcPr>
          <w:p w:rsidR="00802792" w:rsidRPr="00133B47" w:rsidRDefault="00802792" w:rsidP="0063661C">
            <w:pPr>
              <w:jc w:val="center"/>
              <w:rPr>
                <w:sz w:val="16"/>
                <w:szCs w:val="16"/>
              </w:rPr>
            </w:pPr>
            <w:r w:rsidRPr="00E65C9D">
              <w:rPr>
                <w:rFonts w:cs="Calibri"/>
                <w:color w:val="000000"/>
                <w:sz w:val="16"/>
                <w:szCs w:val="16"/>
              </w:rPr>
              <w:t>2.1</w:t>
            </w:r>
          </w:p>
        </w:tc>
        <w:tc>
          <w:tcPr>
            <w:tcW w:w="628" w:type="dxa"/>
            <w:vAlign w:val="center"/>
          </w:tcPr>
          <w:p w:rsidR="00802792" w:rsidRPr="00133B47" w:rsidRDefault="00802792" w:rsidP="006A7DDB">
            <w:pPr>
              <w:jc w:val="center"/>
              <w:rPr>
                <w:sz w:val="16"/>
                <w:szCs w:val="16"/>
              </w:rPr>
            </w:pPr>
            <w:r w:rsidRPr="00E65C9D">
              <w:rPr>
                <w:rFonts w:cs="Calibri"/>
                <w:color w:val="000000"/>
                <w:sz w:val="16"/>
                <w:szCs w:val="16"/>
              </w:rPr>
              <w:t>2.2</w:t>
            </w:r>
          </w:p>
        </w:tc>
        <w:tc>
          <w:tcPr>
            <w:tcW w:w="629" w:type="dxa"/>
            <w:vAlign w:val="center"/>
          </w:tcPr>
          <w:p w:rsidR="00802792" w:rsidRPr="00133B47" w:rsidRDefault="00802792" w:rsidP="00906667">
            <w:pPr>
              <w:jc w:val="center"/>
              <w:rPr>
                <w:sz w:val="16"/>
                <w:szCs w:val="16"/>
              </w:rPr>
            </w:pPr>
            <w:r w:rsidRPr="00E65C9D">
              <w:rPr>
                <w:rFonts w:cs="Calibri"/>
                <w:color w:val="000000"/>
                <w:sz w:val="16"/>
                <w:szCs w:val="16"/>
              </w:rPr>
              <w:t>2.3</w:t>
            </w:r>
          </w:p>
        </w:tc>
        <w:tc>
          <w:tcPr>
            <w:tcW w:w="629" w:type="dxa"/>
            <w:vAlign w:val="center"/>
          </w:tcPr>
          <w:p w:rsidR="00802792" w:rsidRPr="00133B47" w:rsidRDefault="00802792" w:rsidP="00D25BB1">
            <w:pPr>
              <w:jc w:val="center"/>
              <w:rPr>
                <w:rFonts w:cs="Calibri"/>
                <w:color w:val="000000"/>
                <w:sz w:val="16"/>
                <w:szCs w:val="16"/>
              </w:rPr>
            </w:pPr>
            <w:r w:rsidRPr="00E65C9D">
              <w:rPr>
                <w:rFonts w:cs="Calibri"/>
                <w:color w:val="000000"/>
                <w:sz w:val="16"/>
                <w:szCs w:val="16"/>
              </w:rPr>
              <w:t>2.3</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2.4</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2.5</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2.5</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2.9</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3.3</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3.8</w:t>
            </w:r>
          </w:p>
        </w:tc>
        <w:tc>
          <w:tcPr>
            <w:tcW w:w="629" w:type="dxa"/>
            <w:gridSpan w:val="2"/>
            <w:vAlign w:val="center"/>
          </w:tcPr>
          <w:p w:rsidR="00802792" w:rsidRPr="00133B47" w:rsidRDefault="00802792">
            <w:pPr>
              <w:jc w:val="center"/>
              <w:rPr>
                <w:rFonts w:cs="Calibri"/>
                <w:color w:val="000000"/>
                <w:sz w:val="16"/>
                <w:szCs w:val="16"/>
              </w:rPr>
            </w:pPr>
            <w:r w:rsidRPr="00E65C9D">
              <w:rPr>
                <w:rFonts w:cs="Calibri"/>
                <w:color w:val="000000"/>
                <w:sz w:val="16"/>
                <w:szCs w:val="16"/>
              </w:rPr>
              <w:t>4.4</w:t>
            </w:r>
          </w:p>
        </w:tc>
      </w:tr>
      <w:tr w:rsidR="00802792" w:rsidRPr="00D14CE9" w:rsidTr="00E65C9D">
        <w:trPr>
          <w:trHeight w:val="300"/>
        </w:trPr>
        <w:tc>
          <w:tcPr>
            <w:tcW w:w="1471" w:type="dxa"/>
            <w:noWrap/>
            <w:vAlign w:val="center"/>
          </w:tcPr>
          <w:p w:rsidR="00802792" w:rsidRPr="00D14CE9" w:rsidRDefault="00802792" w:rsidP="00DE64F6">
            <w:pPr>
              <w:rPr>
                <w:sz w:val="16"/>
                <w:szCs w:val="16"/>
              </w:rPr>
            </w:pPr>
            <w:r w:rsidRPr="00D14CE9">
              <w:rPr>
                <w:sz w:val="16"/>
                <w:szCs w:val="16"/>
              </w:rPr>
              <w:t>Sand and Gravel</w:t>
            </w:r>
          </w:p>
        </w:tc>
        <w:tc>
          <w:tcPr>
            <w:tcW w:w="627" w:type="dxa"/>
            <w:noWrap/>
            <w:vAlign w:val="center"/>
          </w:tcPr>
          <w:p w:rsidR="00802792" w:rsidRPr="00133B47" w:rsidRDefault="00802792" w:rsidP="00133B47">
            <w:pPr>
              <w:jc w:val="center"/>
              <w:rPr>
                <w:rFonts w:cs="Calibri"/>
                <w:color w:val="000000"/>
                <w:sz w:val="16"/>
                <w:szCs w:val="16"/>
              </w:rPr>
            </w:pPr>
            <w:r w:rsidRPr="00E65C9D">
              <w:rPr>
                <w:rFonts w:cs="Calibri"/>
                <w:color w:val="000000"/>
                <w:sz w:val="16"/>
                <w:szCs w:val="16"/>
              </w:rPr>
              <w:t>10.1</w:t>
            </w:r>
          </w:p>
        </w:tc>
        <w:tc>
          <w:tcPr>
            <w:tcW w:w="627" w:type="dxa"/>
            <w:noWrap/>
            <w:vAlign w:val="center"/>
          </w:tcPr>
          <w:p w:rsidR="00802792" w:rsidRPr="00133B47" w:rsidRDefault="00802792" w:rsidP="001E4FD3">
            <w:pPr>
              <w:jc w:val="center"/>
              <w:rPr>
                <w:rFonts w:cs="Calibri"/>
                <w:color w:val="000000"/>
                <w:sz w:val="16"/>
                <w:szCs w:val="16"/>
              </w:rPr>
            </w:pPr>
            <w:r w:rsidRPr="00E65C9D">
              <w:rPr>
                <w:rFonts w:cs="Calibri"/>
                <w:color w:val="000000"/>
                <w:sz w:val="16"/>
                <w:szCs w:val="16"/>
              </w:rPr>
              <w:t>10.3</w:t>
            </w:r>
          </w:p>
        </w:tc>
        <w:tc>
          <w:tcPr>
            <w:tcW w:w="629" w:type="dxa"/>
            <w:noWrap/>
            <w:vAlign w:val="center"/>
          </w:tcPr>
          <w:p w:rsidR="00802792" w:rsidRPr="00133B47" w:rsidRDefault="00802792" w:rsidP="001E4FD3">
            <w:pPr>
              <w:jc w:val="center"/>
              <w:rPr>
                <w:rFonts w:cs="Calibri"/>
                <w:color w:val="000000"/>
                <w:sz w:val="16"/>
                <w:szCs w:val="16"/>
              </w:rPr>
            </w:pPr>
            <w:r w:rsidRPr="00E65C9D">
              <w:rPr>
                <w:rFonts w:cs="Calibri"/>
                <w:color w:val="000000"/>
                <w:sz w:val="16"/>
                <w:szCs w:val="16"/>
              </w:rPr>
              <w:t>10.6</w:t>
            </w:r>
          </w:p>
        </w:tc>
        <w:tc>
          <w:tcPr>
            <w:tcW w:w="628" w:type="dxa"/>
            <w:vAlign w:val="center"/>
          </w:tcPr>
          <w:p w:rsidR="00802792" w:rsidRPr="00133B47" w:rsidRDefault="00802792" w:rsidP="001E4FD3">
            <w:pPr>
              <w:jc w:val="center"/>
              <w:rPr>
                <w:rFonts w:cs="Calibri"/>
                <w:color w:val="000000"/>
                <w:sz w:val="16"/>
                <w:szCs w:val="16"/>
              </w:rPr>
            </w:pPr>
            <w:r w:rsidRPr="00E65C9D">
              <w:rPr>
                <w:rFonts w:cs="Calibri"/>
                <w:color w:val="000000"/>
                <w:sz w:val="16"/>
                <w:szCs w:val="16"/>
              </w:rPr>
              <w:t>10.9</w:t>
            </w:r>
          </w:p>
        </w:tc>
        <w:tc>
          <w:tcPr>
            <w:tcW w:w="629" w:type="dxa"/>
            <w:vAlign w:val="center"/>
          </w:tcPr>
          <w:p w:rsidR="00802792" w:rsidRPr="00133B47" w:rsidRDefault="00802792" w:rsidP="00715DB8">
            <w:pPr>
              <w:jc w:val="center"/>
              <w:rPr>
                <w:rFonts w:cs="Calibri"/>
                <w:color w:val="000000"/>
                <w:sz w:val="16"/>
                <w:szCs w:val="16"/>
              </w:rPr>
            </w:pPr>
            <w:r w:rsidRPr="00E65C9D">
              <w:rPr>
                <w:rFonts w:cs="Calibri"/>
                <w:color w:val="000000"/>
                <w:sz w:val="16"/>
                <w:szCs w:val="16"/>
              </w:rPr>
              <w:t>11.1</w:t>
            </w:r>
          </w:p>
        </w:tc>
        <w:tc>
          <w:tcPr>
            <w:tcW w:w="628" w:type="dxa"/>
            <w:vAlign w:val="center"/>
          </w:tcPr>
          <w:p w:rsidR="00802792" w:rsidRPr="00133B47" w:rsidRDefault="00802792" w:rsidP="00715DB8">
            <w:pPr>
              <w:jc w:val="center"/>
              <w:rPr>
                <w:rFonts w:cs="Calibri"/>
                <w:color w:val="000000"/>
                <w:sz w:val="16"/>
                <w:szCs w:val="16"/>
              </w:rPr>
            </w:pPr>
            <w:r w:rsidRPr="00E65C9D">
              <w:rPr>
                <w:rFonts w:cs="Calibri"/>
                <w:color w:val="000000"/>
                <w:sz w:val="16"/>
                <w:szCs w:val="16"/>
              </w:rPr>
              <w:t>11.4</w:t>
            </w:r>
          </w:p>
        </w:tc>
        <w:tc>
          <w:tcPr>
            <w:tcW w:w="628" w:type="dxa"/>
            <w:vAlign w:val="center"/>
          </w:tcPr>
          <w:p w:rsidR="00802792" w:rsidRPr="00133B47" w:rsidRDefault="00802792" w:rsidP="00715DB8">
            <w:pPr>
              <w:jc w:val="center"/>
              <w:rPr>
                <w:rFonts w:cs="Calibri"/>
                <w:color w:val="000000"/>
                <w:sz w:val="16"/>
                <w:szCs w:val="16"/>
              </w:rPr>
            </w:pPr>
            <w:r w:rsidRPr="00E65C9D">
              <w:rPr>
                <w:rFonts w:cs="Calibri"/>
                <w:color w:val="000000"/>
                <w:sz w:val="16"/>
                <w:szCs w:val="16"/>
              </w:rPr>
              <w:t>11.7</w:t>
            </w:r>
          </w:p>
        </w:tc>
        <w:tc>
          <w:tcPr>
            <w:tcW w:w="629" w:type="dxa"/>
            <w:vAlign w:val="center"/>
          </w:tcPr>
          <w:p w:rsidR="00802792" w:rsidRPr="00133B47" w:rsidRDefault="00802792" w:rsidP="00715DB8">
            <w:pPr>
              <w:jc w:val="center"/>
              <w:rPr>
                <w:rFonts w:cs="Calibri"/>
                <w:color w:val="000000"/>
                <w:sz w:val="16"/>
                <w:szCs w:val="16"/>
              </w:rPr>
            </w:pPr>
            <w:r w:rsidRPr="00E65C9D">
              <w:rPr>
                <w:rFonts w:cs="Calibri"/>
                <w:color w:val="000000"/>
                <w:sz w:val="16"/>
                <w:szCs w:val="16"/>
              </w:rPr>
              <w:t>10.1</w:t>
            </w:r>
          </w:p>
        </w:tc>
        <w:tc>
          <w:tcPr>
            <w:tcW w:w="628" w:type="dxa"/>
            <w:vAlign w:val="center"/>
          </w:tcPr>
          <w:p w:rsidR="00802792" w:rsidRPr="00133B47" w:rsidRDefault="00802792" w:rsidP="00715DB8">
            <w:pPr>
              <w:jc w:val="center"/>
              <w:rPr>
                <w:rFonts w:cs="Calibri"/>
                <w:color w:val="000000"/>
                <w:sz w:val="16"/>
                <w:szCs w:val="16"/>
              </w:rPr>
            </w:pPr>
            <w:r w:rsidRPr="00E65C9D">
              <w:rPr>
                <w:rFonts w:cs="Calibri"/>
                <w:color w:val="000000"/>
                <w:sz w:val="16"/>
                <w:szCs w:val="16"/>
              </w:rPr>
              <w:t>10.3</w:t>
            </w:r>
          </w:p>
        </w:tc>
        <w:tc>
          <w:tcPr>
            <w:tcW w:w="629" w:type="dxa"/>
            <w:vAlign w:val="center"/>
          </w:tcPr>
          <w:p w:rsidR="00802792" w:rsidRPr="00133B47" w:rsidRDefault="00802792" w:rsidP="0063661C">
            <w:pPr>
              <w:jc w:val="center"/>
              <w:rPr>
                <w:rFonts w:cs="Calibri"/>
                <w:color w:val="000000"/>
                <w:sz w:val="16"/>
                <w:szCs w:val="16"/>
              </w:rPr>
            </w:pPr>
            <w:r w:rsidRPr="00E65C9D">
              <w:rPr>
                <w:rFonts w:cs="Calibri"/>
                <w:color w:val="000000"/>
                <w:sz w:val="16"/>
                <w:szCs w:val="16"/>
              </w:rPr>
              <w:t>10.5</w:t>
            </w:r>
          </w:p>
        </w:tc>
        <w:tc>
          <w:tcPr>
            <w:tcW w:w="628" w:type="dxa"/>
            <w:vAlign w:val="center"/>
          </w:tcPr>
          <w:p w:rsidR="00802792" w:rsidRPr="00133B47" w:rsidRDefault="00802792" w:rsidP="006A7DDB">
            <w:pPr>
              <w:jc w:val="center"/>
              <w:rPr>
                <w:rFonts w:cs="Calibri"/>
                <w:color w:val="000000"/>
                <w:sz w:val="16"/>
                <w:szCs w:val="16"/>
              </w:rPr>
            </w:pPr>
            <w:r w:rsidRPr="00E65C9D">
              <w:rPr>
                <w:rFonts w:cs="Calibri"/>
                <w:color w:val="000000"/>
                <w:sz w:val="16"/>
                <w:szCs w:val="16"/>
              </w:rPr>
              <w:t>10.7</w:t>
            </w:r>
          </w:p>
        </w:tc>
        <w:tc>
          <w:tcPr>
            <w:tcW w:w="629" w:type="dxa"/>
            <w:vAlign w:val="center"/>
          </w:tcPr>
          <w:p w:rsidR="00802792" w:rsidRPr="00133B47" w:rsidRDefault="00802792" w:rsidP="00906667">
            <w:pPr>
              <w:jc w:val="center"/>
              <w:rPr>
                <w:rFonts w:cs="Calibri"/>
                <w:color w:val="000000"/>
                <w:sz w:val="16"/>
                <w:szCs w:val="16"/>
              </w:rPr>
            </w:pPr>
            <w:r w:rsidRPr="00E65C9D">
              <w:rPr>
                <w:rFonts w:cs="Calibri"/>
                <w:color w:val="000000"/>
                <w:sz w:val="16"/>
                <w:szCs w:val="16"/>
              </w:rPr>
              <w:t>11.0</w:t>
            </w:r>
          </w:p>
        </w:tc>
        <w:tc>
          <w:tcPr>
            <w:tcW w:w="629" w:type="dxa"/>
            <w:vAlign w:val="center"/>
          </w:tcPr>
          <w:p w:rsidR="00802792" w:rsidRPr="00133B47" w:rsidRDefault="00802792" w:rsidP="00D25BB1">
            <w:pPr>
              <w:jc w:val="center"/>
              <w:rPr>
                <w:rFonts w:cs="Calibri"/>
                <w:color w:val="000000"/>
                <w:sz w:val="16"/>
                <w:szCs w:val="16"/>
              </w:rPr>
            </w:pPr>
            <w:r w:rsidRPr="00E65C9D">
              <w:rPr>
                <w:rFonts w:cs="Calibri"/>
                <w:color w:val="000000"/>
                <w:sz w:val="16"/>
                <w:szCs w:val="16"/>
              </w:rPr>
              <w:t>11.2</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11.4</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11.7</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12.0</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10.6</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11.4</w:t>
            </w:r>
          </w:p>
        </w:tc>
        <w:tc>
          <w:tcPr>
            <w:tcW w:w="629" w:type="dxa"/>
            <w:vAlign w:val="center"/>
          </w:tcPr>
          <w:p w:rsidR="00802792" w:rsidRPr="00133B47" w:rsidRDefault="00802792">
            <w:pPr>
              <w:jc w:val="center"/>
              <w:rPr>
                <w:rFonts w:cs="Calibri"/>
                <w:color w:val="000000"/>
                <w:sz w:val="16"/>
                <w:szCs w:val="16"/>
              </w:rPr>
            </w:pPr>
            <w:r w:rsidRPr="00E65C9D">
              <w:rPr>
                <w:rFonts w:cs="Calibri"/>
                <w:color w:val="000000"/>
                <w:sz w:val="16"/>
                <w:szCs w:val="16"/>
              </w:rPr>
              <w:t>12.4</w:t>
            </w:r>
          </w:p>
        </w:tc>
        <w:tc>
          <w:tcPr>
            <w:tcW w:w="629" w:type="dxa"/>
            <w:gridSpan w:val="2"/>
            <w:vAlign w:val="center"/>
          </w:tcPr>
          <w:p w:rsidR="00802792" w:rsidRPr="00133B47" w:rsidRDefault="00802792">
            <w:pPr>
              <w:jc w:val="center"/>
              <w:rPr>
                <w:rFonts w:cs="Calibri"/>
                <w:color w:val="000000"/>
                <w:sz w:val="16"/>
                <w:szCs w:val="16"/>
              </w:rPr>
            </w:pPr>
            <w:r w:rsidRPr="00E65C9D">
              <w:rPr>
                <w:rFonts w:cs="Calibri"/>
                <w:color w:val="000000"/>
                <w:sz w:val="16"/>
                <w:szCs w:val="16"/>
              </w:rPr>
              <w:t>13.5</w:t>
            </w:r>
          </w:p>
        </w:tc>
      </w:tr>
      <w:tr w:rsidR="00802792" w:rsidRPr="00802792" w:rsidTr="00E65C9D">
        <w:trPr>
          <w:trHeight w:val="300"/>
        </w:trPr>
        <w:tc>
          <w:tcPr>
            <w:tcW w:w="1471" w:type="dxa"/>
            <w:noWrap/>
            <w:vAlign w:val="center"/>
          </w:tcPr>
          <w:p w:rsidR="00802792" w:rsidRPr="00133B47" w:rsidRDefault="00802792" w:rsidP="00DE64F6">
            <w:pPr>
              <w:rPr>
                <w:b/>
                <w:sz w:val="16"/>
                <w:szCs w:val="16"/>
              </w:rPr>
            </w:pPr>
            <w:r w:rsidRPr="00133B47">
              <w:rPr>
                <w:b/>
                <w:sz w:val="16"/>
                <w:szCs w:val="16"/>
              </w:rPr>
              <w:t>Total</w:t>
            </w:r>
          </w:p>
        </w:tc>
        <w:tc>
          <w:tcPr>
            <w:tcW w:w="627" w:type="dxa"/>
            <w:noWrap/>
            <w:vAlign w:val="center"/>
          </w:tcPr>
          <w:p w:rsidR="00802792" w:rsidRPr="00133B47" w:rsidRDefault="00802792" w:rsidP="00133B47">
            <w:pPr>
              <w:jc w:val="center"/>
              <w:rPr>
                <w:rFonts w:cs="Calibri"/>
                <w:b/>
                <w:color w:val="000000"/>
                <w:sz w:val="16"/>
                <w:szCs w:val="16"/>
              </w:rPr>
            </w:pPr>
            <w:r w:rsidRPr="00E65C9D">
              <w:rPr>
                <w:rFonts w:cs="Calibri"/>
                <w:b/>
                <w:color w:val="000000"/>
                <w:sz w:val="16"/>
                <w:szCs w:val="16"/>
              </w:rPr>
              <w:t>37.1</w:t>
            </w:r>
          </w:p>
        </w:tc>
        <w:tc>
          <w:tcPr>
            <w:tcW w:w="627" w:type="dxa"/>
            <w:noWrap/>
            <w:vAlign w:val="center"/>
          </w:tcPr>
          <w:p w:rsidR="00802792" w:rsidRPr="00133B47" w:rsidRDefault="00802792" w:rsidP="001E4FD3">
            <w:pPr>
              <w:jc w:val="center"/>
              <w:rPr>
                <w:rFonts w:cs="Calibri"/>
                <w:b/>
                <w:color w:val="000000"/>
                <w:sz w:val="16"/>
                <w:szCs w:val="16"/>
              </w:rPr>
            </w:pPr>
            <w:r w:rsidRPr="00E65C9D">
              <w:rPr>
                <w:rFonts w:cs="Calibri"/>
                <w:b/>
                <w:color w:val="000000"/>
                <w:sz w:val="16"/>
                <w:szCs w:val="16"/>
              </w:rPr>
              <w:t>38.1</w:t>
            </w:r>
          </w:p>
        </w:tc>
        <w:tc>
          <w:tcPr>
            <w:tcW w:w="629" w:type="dxa"/>
            <w:noWrap/>
            <w:vAlign w:val="center"/>
          </w:tcPr>
          <w:p w:rsidR="00802792" w:rsidRPr="00133B47" w:rsidRDefault="00802792" w:rsidP="001E4FD3">
            <w:pPr>
              <w:jc w:val="center"/>
              <w:rPr>
                <w:rFonts w:cs="Calibri"/>
                <w:b/>
                <w:color w:val="000000"/>
                <w:sz w:val="16"/>
                <w:szCs w:val="16"/>
              </w:rPr>
            </w:pPr>
            <w:r w:rsidRPr="00E65C9D">
              <w:rPr>
                <w:rFonts w:cs="Calibri"/>
                <w:b/>
                <w:color w:val="000000"/>
                <w:sz w:val="16"/>
                <w:szCs w:val="16"/>
              </w:rPr>
              <w:t>39.1</w:t>
            </w:r>
          </w:p>
        </w:tc>
        <w:tc>
          <w:tcPr>
            <w:tcW w:w="628" w:type="dxa"/>
            <w:vAlign w:val="center"/>
          </w:tcPr>
          <w:p w:rsidR="00802792" w:rsidRPr="00133B47" w:rsidRDefault="00802792" w:rsidP="001E4FD3">
            <w:pPr>
              <w:jc w:val="center"/>
              <w:rPr>
                <w:rFonts w:cs="Calibri"/>
                <w:b/>
                <w:color w:val="000000"/>
                <w:sz w:val="16"/>
                <w:szCs w:val="16"/>
              </w:rPr>
            </w:pPr>
            <w:r w:rsidRPr="00E65C9D">
              <w:rPr>
                <w:rFonts w:cs="Calibri"/>
                <w:b/>
                <w:color w:val="000000"/>
                <w:sz w:val="16"/>
                <w:szCs w:val="16"/>
              </w:rPr>
              <w:t>40.1</w:t>
            </w:r>
          </w:p>
        </w:tc>
        <w:tc>
          <w:tcPr>
            <w:tcW w:w="629" w:type="dxa"/>
            <w:vAlign w:val="center"/>
          </w:tcPr>
          <w:p w:rsidR="00802792" w:rsidRPr="00133B47" w:rsidRDefault="00802792" w:rsidP="00715DB8">
            <w:pPr>
              <w:jc w:val="center"/>
              <w:rPr>
                <w:rFonts w:cs="Calibri"/>
                <w:b/>
                <w:color w:val="000000"/>
                <w:sz w:val="16"/>
                <w:szCs w:val="16"/>
              </w:rPr>
            </w:pPr>
            <w:r w:rsidRPr="00E65C9D">
              <w:rPr>
                <w:rFonts w:cs="Calibri"/>
                <w:b/>
                <w:color w:val="000000"/>
                <w:sz w:val="16"/>
                <w:szCs w:val="16"/>
              </w:rPr>
              <w:t>41.2</w:t>
            </w:r>
          </w:p>
        </w:tc>
        <w:tc>
          <w:tcPr>
            <w:tcW w:w="628" w:type="dxa"/>
            <w:vAlign w:val="center"/>
          </w:tcPr>
          <w:p w:rsidR="00802792" w:rsidRPr="00133B47" w:rsidRDefault="00802792" w:rsidP="00715DB8">
            <w:pPr>
              <w:jc w:val="center"/>
              <w:rPr>
                <w:rFonts w:cs="Calibri"/>
                <w:b/>
                <w:color w:val="000000"/>
                <w:sz w:val="16"/>
                <w:szCs w:val="16"/>
              </w:rPr>
            </w:pPr>
            <w:r w:rsidRPr="00E65C9D">
              <w:rPr>
                <w:rFonts w:cs="Calibri"/>
                <w:b/>
                <w:color w:val="000000"/>
                <w:sz w:val="16"/>
                <w:szCs w:val="16"/>
              </w:rPr>
              <w:t>42.3</w:t>
            </w:r>
          </w:p>
        </w:tc>
        <w:tc>
          <w:tcPr>
            <w:tcW w:w="628" w:type="dxa"/>
            <w:vAlign w:val="center"/>
          </w:tcPr>
          <w:p w:rsidR="00802792" w:rsidRPr="00133B47" w:rsidRDefault="00802792" w:rsidP="00715DB8">
            <w:pPr>
              <w:jc w:val="center"/>
              <w:rPr>
                <w:rFonts w:cs="Calibri"/>
                <w:b/>
                <w:color w:val="000000"/>
                <w:sz w:val="16"/>
                <w:szCs w:val="16"/>
              </w:rPr>
            </w:pPr>
            <w:r w:rsidRPr="00E65C9D">
              <w:rPr>
                <w:rFonts w:cs="Calibri"/>
                <w:b/>
                <w:color w:val="000000"/>
                <w:sz w:val="16"/>
                <w:szCs w:val="16"/>
              </w:rPr>
              <w:t>43.5</w:t>
            </w:r>
          </w:p>
        </w:tc>
        <w:tc>
          <w:tcPr>
            <w:tcW w:w="629" w:type="dxa"/>
            <w:vAlign w:val="center"/>
          </w:tcPr>
          <w:p w:rsidR="00802792" w:rsidRPr="00133B47" w:rsidRDefault="00802792" w:rsidP="00715DB8">
            <w:pPr>
              <w:jc w:val="center"/>
              <w:rPr>
                <w:rFonts w:cs="Calibri"/>
                <w:b/>
                <w:color w:val="000000"/>
                <w:sz w:val="16"/>
                <w:szCs w:val="16"/>
              </w:rPr>
            </w:pPr>
            <w:r w:rsidRPr="00E65C9D">
              <w:rPr>
                <w:rFonts w:cs="Calibri"/>
                <w:b/>
                <w:color w:val="000000"/>
                <w:sz w:val="16"/>
                <w:szCs w:val="16"/>
              </w:rPr>
              <w:t>40.5</w:t>
            </w:r>
          </w:p>
        </w:tc>
        <w:tc>
          <w:tcPr>
            <w:tcW w:w="628" w:type="dxa"/>
            <w:vAlign w:val="center"/>
          </w:tcPr>
          <w:p w:rsidR="00802792" w:rsidRPr="00133B47" w:rsidRDefault="00802792" w:rsidP="00715DB8">
            <w:pPr>
              <w:jc w:val="center"/>
              <w:rPr>
                <w:rFonts w:cs="Calibri"/>
                <w:b/>
                <w:color w:val="000000"/>
                <w:sz w:val="16"/>
                <w:szCs w:val="16"/>
              </w:rPr>
            </w:pPr>
            <w:r w:rsidRPr="00E65C9D">
              <w:rPr>
                <w:rFonts w:cs="Calibri"/>
                <w:b/>
                <w:color w:val="000000"/>
                <w:sz w:val="16"/>
                <w:szCs w:val="16"/>
              </w:rPr>
              <w:t>41.5</w:t>
            </w:r>
          </w:p>
        </w:tc>
        <w:tc>
          <w:tcPr>
            <w:tcW w:w="629" w:type="dxa"/>
            <w:vAlign w:val="center"/>
          </w:tcPr>
          <w:p w:rsidR="00802792" w:rsidRPr="00133B47" w:rsidRDefault="00802792" w:rsidP="0063661C">
            <w:pPr>
              <w:jc w:val="center"/>
              <w:rPr>
                <w:rFonts w:cs="Calibri"/>
                <w:b/>
                <w:color w:val="000000"/>
                <w:sz w:val="16"/>
                <w:szCs w:val="16"/>
              </w:rPr>
            </w:pPr>
            <w:r w:rsidRPr="00E65C9D">
              <w:rPr>
                <w:rFonts w:cs="Calibri"/>
                <w:b/>
                <w:color w:val="000000"/>
                <w:sz w:val="16"/>
                <w:szCs w:val="16"/>
              </w:rPr>
              <w:t>42.5</w:t>
            </w:r>
          </w:p>
        </w:tc>
        <w:tc>
          <w:tcPr>
            <w:tcW w:w="628" w:type="dxa"/>
            <w:vAlign w:val="center"/>
          </w:tcPr>
          <w:p w:rsidR="00802792" w:rsidRPr="00133B47" w:rsidRDefault="00802792" w:rsidP="006A7DDB">
            <w:pPr>
              <w:jc w:val="center"/>
              <w:rPr>
                <w:rFonts w:cs="Calibri"/>
                <w:b/>
                <w:color w:val="000000"/>
                <w:sz w:val="16"/>
                <w:szCs w:val="16"/>
              </w:rPr>
            </w:pPr>
            <w:r w:rsidRPr="00E65C9D">
              <w:rPr>
                <w:rFonts w:cs="Calibri"/>
                <w:b/>
                <w:color w:val="000000"/>
                <w:sz w:val="16"/>
                <w:szCs w:val="16"/>
              </w:rPr>
              <w:t>43.6</w:t>
            </w:r>
          </w:p>
        </w:tc>
        <w:tc>
          <w:tcPr>
            <w:tcW w:w="629" w:type="dxa"/>
            <w:vAlign w:val="center"/>
          </w:tcPr>
          <w:p w:rsidR="00802792" w:rsidRPr="00133B47" w:rsidRDefault="00802792" w:rsidP="00906667">
            <w:pPr>
              <w:jc w:val="center"/>
              <w:rPr>
                <w:rFonts w:cs="Calibri"/>
                <w:b/>
                <w:color w:val="000000"/>
                <w:sz w:val="16"/>
                <w:szCs w:val="16"/>
              </w:rPr>
            </w:pPr>
            <w:r w:rsidRPr="00E65C9D">
              <w:rPr>
                <w:rFonts w:cs="Calibri"/>
                <w:b/>
                <w:color w:val="000000"/>
                <w:sz w:val="16"/>
                <w:szCs w:val="16"/>
              </w:rPr>
              <w:t>44.7</w:t>
            </w:r>
          </w:p>
        </w:tc>
        <w:tc>
          <w:tcPr>
            <w:tcW w:w="629" w:type="dxa"/>
            <w:vAlign w:val="center"/>
          </w:tcPr>
          <w:p w:rsidR="00802792" w:rsidRPr="00133B47" w:rsidRDefault="00802792" w:rsidP="00D25BB1">
            <w:pPr>
              <w:jc w:val="center"/>
              <w:rPr>
                <w:rFonts w:cs="Calibri"/>
                <w:b/>
                <w:color w:val="000000"/>
                <w:sz w:val="16"/>
                <w:szCs w:val="16"/>
              </w:rPr>
            </w:pPr>
            <w:r w:rsidRPr="00E65C9D">
              <w:rPr>
                <w:rFonts w:cs="Calibri"/>
                <w:b/>
                <w:color w:val="000000"/>
                <w:sz w:val="16"/>
                <w:szCs w:val="16"/>
              </w:rPr>
              <w:t>45.8</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46.9</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48.1</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49.2</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50.0</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55.9</w:t>
            </w:r>
          </w:p>
        </w:tc>
        <w:tc>
          <w:tcPr>
            <w:tcW w:w="629" w:type="dxa"/>
            <w:vAlign w:val="center"/>
          </w:tcPr>
          <w:p w:rsidR="00802792" w:rsidRPr="00133B47" w:rsidRDefault="00802792">
            <w:pPr>
              <w:jc w:val="center"/>
              <w:rPr>
                <w:rFonts w:cs="Calibri"/>
                <w:b/>
                <w:color w:val="000000"/>
                <w:sz w:val="16"/>
                <w:szCs w:val="16"/>
              </w:rPr>
            </w:pPr>
            <w:r w:rsidRPr="00E65C9D">
              <w:rPr>
                <w:rFonts w:cs="Calibri"/>
                <w:b/>
                <w:color w:val="000000"/>
                <w:sz w:val="16"/>
                <w:szCs w:val="16"/>
              </w:rPr>
              <w:t>62.6</w:t>
            </w:r>
          </w:p>
        </w:tc>
        <w:tc>
          <w:tcPr>
            <w:tcW w:w="629" w:type="dxa"/>
            <w:gridSpan w:val="2"/>
            <w:vAlign w:val="center"/>
          </w:tcPr>
          <w:p w:rsidR="00802792" w:rsidRPr="00133B47" w:rsidRDefault="00802792">
            <w:pPr>
              <w:jc w:val="center"/>
              <w:rPr>
                <w:rFonts w:cs="Calibri"/>
                <w:b/>
                <w:color w:val="000000"/>
                <w:sz w:val="16"/>
                <w:szCs w:val="16"/>
              </w:rPr>
            </w:pPr>
            <w:r w:rsidRPr="00E65C9D">
              <w:rPr>
                <w:rFonts w:cs="Calibri"/>
                <w:b/>
                <w:color w:val="000000"/>
                <w:sz w:val="16"/>
                <w:szCs w:val="16"/>
              </w:rPr>
              <w:t>70.2</w:t>
            </w:r>
          </w:p>
        </w:tc>
      </w:tr>
    </w:tbl>
    <w:p w:rsidR="00BC31C3" w:rsidRDefault="00BC31C3" w:rsidP="008F68CE">
      <w:pPr>
        <w:rPr>
          <w:rFonts w:cstheme="majorHAnsi"/>
          <w:kern w:val="12"/>
          <w:highlight w:val="yellow"/>
        </w:rPr>
      </w:pPr>
    </w:p>
    <w:tbl>
      <w:tblPr>
        <w:tblW w:w="140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45 "/>
        <w:tblDescription w:val="Table 45 shows the production of extractive resources from 2015 – 2050 using scenario 3A. In 2015 total demand is 46.3 million tonnes. In 2026 it is estimated to be 55.8 million tonnes and in 2050 it is estimated to be 87.2 million tonnes"/>
      </w:tblPr>
      <w:tblGrid>
        <w:gridCol w:w="1471"/>
        <w:gridCol w:w="627"/>
        <w:gridCol w:w="627"/>
        <w:gridCol w:w="629"/>
        <w:gridCol w:w="628"/>
        <w:gridCol w:w="629"/>
        <w:gridCol w:w="628"/>
        <w:gridCol w:w="628"/>
        <w:gridCol w:w="629"/>
        <w:gridCol w:w="628"/>
        <w:gridCol w:w="629"/>
        <w:gridCol w:w="628"/>
        <w:gridCol w:w="629"/>
        <w:gridCol w:w="629"/>
        <w:gridCol w:w="629"/>
        <w:gridCol w:w="629"/>
        <w:gridCol w:w="629"/>
        <w:gridCol w:w="629"/>
        <w:gridCol w:w="629"/>
        <w:gridCol w:w="629"/>
        <w:gridCol w:w="610"/>
        <w:gridCol w:w="19"/>
      </w:tblGrid>
      <w:tr w:rsidR="00BC31C3" w:rsidRPr="00D14CE9" w:rsidTr="00DE64F6">
        <w:trPr>
          <w:gridAfter w:val="1"/>
          <w:wAfter w:w="19" w:type="dxa"/>
          <w:trHeight w:val="300"/>
        </w:trPr>
        <w:tc>
          <w:tcPr>
            <w:tcW w:w="14023" w:type="dxa"/>
            <w:gridSpan w:val="21"/>
            <w:shd w:val="clear" w:color="auto" w:fill="808080"/>
            <w:noWrap/>
            <w:vAlign w:val="bottom"/>
          </w:tcPr>
          <w:p w:rsidR="00BC31C3" w:rsidRPr="00D14CE9" w:rsidRDefault="00BC31C3" w:rsidP="00802792">
            <w:pPr>
              <w:pStyle w:val="EYTableHeadingWhite"/>
            </w:pPr>
            <w:bookmarkStart w:id="786" w:name="_Toc445240978"/>
            <w:bookmarkStart w:id="787" w:name="_Toc448914671"/>
            <w:bookmarkStart w:id="788" w:name="_Toc448920489"/>
            <w:r w:rsidRPr="00D14CE9">
              <w:t xml:space="preserve">Table </w:t>
            </w:r>
            <w:r w:rsidRPr="00372DE0">
              <w:fldChar w:fldCharType="begin"/>
            </w:r>
            <w:r w:rsidRPr="00D14CE9">
              <w:instrText xml:space="preserve"> SEQ Table \* ARABIC </w:instrText>
            </w:r>
            <w:r w:rsidRPr="00372DE0">
              <w:fldChar w:fldCharType="separate"/>
            </w:r>
            <w:r w:rsidR="00525C82">
              <w:rPr>
                <w:noProof/>
              </w:rPr>
              <w:t>45</w:t>
            </w:r>
            <w:r w:rsidRPr="00372DE0">
              <w:fldChar w:fldCharType="end"/>
            </w:r>
            <w:r w:rsidRPr="00D14CE9">
              <w:t xml:space="preserve"> – Production of Extractive Resources </w:t>
            </w:r>
            <w:r>
              <w:t>in Victoria - 2015-2050</w:t>
            </w:r>
            <w:r w:rsidRPr="00D14CE9">
              <w:t xml:space="preserve"> (in million tonnes)</w:t>
            </w:r>
            <w:r>
              <w:t xml:space="preserve"> – Scenario 3A</w:t>
            </w:r>
            <w:bookmarkEnd w:id="786"/>
            <w:bookmarkEnd w:id="787"/>
            <w:bookmarkEnd w:id="788"/>
          </w:p>
        </w:tc>
      </w:tr>
      <w:tr w:rsidR="00BC31C3" w:rsidRPr="00D14CE9" w:rsidTr="00DE64F6">
        <w:trPr>
          <w:trHeight w:val="286"/>
        </w:trPr>
        <w:tc>
          <w:tcPr>
            <w:tcW w:w="1471"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sidRPr="00D14CE9">
              <w:t>Rock type</w:t>
            </w:r>
          </w:p>
        </w:tc>
        <w:tc>
          <w:tcPr>
            <w:tcW w:w="627"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2015</w:t>
            </w:r>
          </w:p>
        </w:tc>
        <w:tc>
          <w:tcPr>
            <w:tcW w:w="627"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2016</w:t>
            </w:r>
          </w:p>
        </w:tc>
        <w:tc>
          <w:tcPr>
            <w:tcW w:w="629" w:type="dxa"/>
            <w:tcBorders>
              <w:bottom w:val="single" w:sz="4" w:space="0" w:color="BFBFBF" w:themeColor="background1" w:themeShade="BF"/>
            </w:tcBorders>
            <w:shd w:val="clear" w:color="auto" w:fill="F0F0F0"/>
            <w:vAlign w:val="bottom"/>
          </w:tcPr>
          <w:p w:rsidR="00BC31C3" w:rsidRPr="00D14CE9" w:rsidRDefault="00BC31C3" w:rsidP="00DE64F6">
            <w:pPr>
              <w:pStyle w:val="EYTableHeading"/>
              <w:rPr>
                <w:rFonts w:eastAsia="Arial Unicode MS"/>
              </w:rPr>
            </w:pPr>
            <w:r>
              <w:rPr>
                <w:rFonts w:eastAsia="Arial Unicode MS"/>
              </w:rPr>
              <w:t>2017</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2018</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2019</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2020</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2021</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2022</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2023</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2024</w:t>
            </w:r>
          </w:p>
        </w:tc>
        <w:tc>
          <w:tcPr>
            <w:tcW w:w="628"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2025</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2026</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2027</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2028</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2029</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2030</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2035</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2040</w:t>
            </w:r>
          </w:p>
        </w:tc>
        <w:tc>
          <w:tcPr>
            <w:tcW w:w="629" w:type="dxa"/>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2045</w:t>
            </w:r>
          </w:p>
        </w:tc>
        <w:tc>
          <w:tcPr>
            <w:tcW w:w="629" w:type="dxa"/>
            <w:gridSpan w:val="2"/>
            <w:tcBorders>
              <w:bottom w:val="single" w:sz="4" w:space="0" w:color="BFBFBF" w:themeColor="background1" w:themeShade="BF"/>
            </w:tcBorders>
            <w:shd w:val="clear" w:color="auto" w:fill="F0F0F0"/>
          </w:tcPr>
          <w:p w:rsidR="00BC31C3" w:rsidRPr="00D14CE9" w:rsidRDefault="00BC31C3" w:rsidP="00DE64F6">
            <w:pPr>
              <w:pStyle w:val="EYTableHeading"/>
              <w:rPr>
                <w:rFonts w:eastAsia="Arial Unicode MS"/>
              </w:rPr>
            </w:pPr>
            <w:r>
              <w:rPr>
                <w:rFonts w:eastAsia="Arial Unicode MS"/>
              </w:rPr>
              <w:t>2050</w:t>
            </w:r>
          </w:p>
        </w:tc>
      </w:tr>
      <w:tr w:rsidR="00BC31C3" w:rsidRPr="004839B9" w:rsidTr="00DE64F6">
        <w:trPr>
          <w:trHeight w:val="300"/>
        </w:trPr>
        <w:tc>
          <w:tcPr>
            <w:tcW w:w="14042" w:type="dxa"/>
            <w:gridSpan w:val="22"/>
            <w:shd w:val="clear" w:color="auto" w:fill="A6A6A6" w:themeFill="background1" w:themeFillShade="A6"/>
            <w:noWrap/>
            <w:vAlign w:val="center"/>
          </w:tcPr>
          <w:p w:rsidR="00BC31C3" w:rsidRPr="004839B9" w:rsidRDefault="00BC31C3" w:rsidP="00DE64F6">
            <w:pPr>
              <w:rPr>
                <w:rFonts w:cs="Calibri"/>
                <w:color w:val="FFFFFF" w:themeColor="background1"/>
                <w:sz w:val="16"/>
                <w:szCs w:val="16"/>
              </w:rPr>
            </w:pPr>
            <w:r w:rsidRPr="004839B9">
              <w:rPr>
                <w:color w:val="FFFFFF" w:themeColor="background1"/>
                <w:sz w:val="16"/>
                <w:szCs w:val="16"/>
              </w:rPr>
              <w:t>Scenario 3A</w:t>
            </w:r>
          </w:p>
        </w:tc>
      </w:tr>
      <w:tr w:rsidR="008115A9" w:rsidRPr="00D14CE9" w:rsidTr="00E65C9D">
        <w:trPr>
          <w:trHeight w:val="300"/>
        </w:trPr>
        <w:tc>
          <w:tcPr>
            <w:tcW w:w="1471" w:type="dxa"/>
            <w:noWrap/>
            <w:vAlign w:val="center"/>
          </w:tcPr>
          <w:p w:rsidR="008115A9" w:rsidRPr="00372DE0" w:rsidRDefault="008115A9" w:rsidP="00DE64F6">
            <w:pPr>
              <w:rPr>
                <w:sz w:val="16"/>
                <w:szCs w:val="16"/>
              </w:rPr>
            </w:pPr>
            <w:r>
              <w:rPr>
                <w:sz w:val="16"/>
                <w:szCs w:val="16"/>
              </w:rPr>
              <w:t>Hard rock</w:t>
            </w:r>
          </w:p>
        </w:tc>
        <w:tc>
          <w:tcPr>
            <w:tcW w:w="627"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30.4</w:t>
            </w:r>
          </w:p>
        </w:tc>
        <w:tc>
          <w:tcPr>
            <w:tcW w:w="627"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31.3</w:t>
            </w:r>
          </w:p>
        </w:tc>
        <w:tc>
          <w:tcPr>
            <w:tcW w:w="629"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32.3</w:t>
            </w:r>
          </w:p>
        </w:tc>
        <w:tc>
          <w:tcPr>
            <w:tcW w:w="628"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33.3</w:t>
            </w:r>
          </w:p>
        </w:tc>
        <w:tc>
          <w:tcPr>
            <w:tcW w:w="629"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34.5</w:t>
            </w:r>
          </w:p>
        </w:tc>
        <w:tc>
          <w:tcPr>
            <w:tcW w:w="628"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35.2</w:t>
            </w:r>
          </w:p>
        </w:tc>
        <w:tc>
          <w:tcPr>
            <w:tcW w:w="628"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36.7</w:t>
            </w:r>
          </w:p>
        </w:tc>
        <w:tc>
          <w:tcPr>
            <w:tcW w:w="629"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34.4</w:t>
            </w:r>
          </w:p>
        </w:tc>
        <w:tc>
          <w:tcPr>
            <w:tcW w:w="628" w:type="dxa"/>
            <w:vAlign w:val="center"/>
          </w:tcPr>
          <w:p w:rsidR="008115A9" w:rsidRPr="00E65C9D" w:rsidRDefault="008115A9" w:rsidP="00C27E63">
            <w:pPr>
              <w:jc w:val="center"/>
              <w:rPr>
                <w:rFonts w:cs="Calibri"/>
                <w:color w:val="000000"/>
                <w:sz w:val="16"/>
                <w:szCs w:val="16"/>
              </w:rPr>
            </w:pPr>
            <w:r w:rsidRPr="00E65C9D">
              <w:rPr>
                <w:rFonts w:cs="Calibri"/>
                <w:color w:val="000000"/>
                <w:sz w:val="16"/>
                <w:szCs w:val="16"/>
              </w:rPr>
              <w:t>34.8</w:t>
            </w:r>
          </w:p>
        </w:tc>
        <w:tc>
          <w:tcPr>
            <w:tcW w:w="629" w:type="dxa"/>
            <w:vAlign w:val="center"/>
          </w:tcPr>
          <w:p w:rsidR="008115A9" w:rsidRPr="00E65C9D" w:rsidRDefault="008115A9" w:rsidP="009320CC">
            <w:pPr>
              <w:jc w:val="center"/>
              <w:rPr>
                <w:rFonts w:cs="Calibri"/>
                <w:color w:val="000000"/>
                <w:sz w:val="16"/>
                <w:szCs w:val="16"/>
              </w:rPr>
            </w:pPr>
            <w:r w:rsidRPr="00E65C9D">
              <w:rPr>
                <w:rFonts w:cs="Calibri"/>
                <w:color w:val="000000"/>
                <w:sz w:val="16"/>
                <w:szCs w:val="16"/>
              </w:rPr>
              <w:t>36.2</w:t>
            </w:r>
          </w:p>
        </w:tc>
        <w:tc>
          <w:tcPr>
            <w:tcW w:w="628" w:type="dxa"/>
            <w:vAlign w:val="center"/>
          </w:tcPr>
          <w:p w:rsidR="008115A9" w:rsidRPr="00E65C9D" w:rsidRDefault="008115A9" w:rsidP="009320CC">
            <w:pPr>
              <w:jc w:val="center"/>
              <w:rPr>
                <w:rFonts w:cs="Calibri"/>
                <w:color w:val="000000"/>
                <w:sz w:val="16"/>
                <w:szCs w:val="16"/>
              </w:rPr>
            </w:pPr>
            <w:r w:rsidRPr="00E65C9D">
              <w:rPr>
                <w:rFonts w:cs="Calibri"/>
                <w:color w:val="000000"/>
                <w:sz w:val="16"/>
                <w:szCs w:val="16"/>
              </w:rPr>
              <w:t>37.1</w:t>
            </w:r>
          </w:p>
        </w:tc>
        <w:tc>
          <w:tcPr>
            <w:tcW w:w="629" w:type="dxa"/>
            <w:vAlign w:val="center"/>
          </w:tcPr>
          <w:p w:rsidR="008115A9" w:rsidRPr="00E65C9D" w:rsidRDefault="008115A9" w:rsidP="009320CC">
            <w:pPr>
              <w:jc w:val="center"/>
              <w:rPr>
                <w:rFonts w:cs="Calibri"/>
                <w:color w:val="000000"/>
                <w:sz w:val="16"/>
                <w:szCs w:val="16"/>
              </w:rPr>
            </w:pPr>
            <w:r w:rsidRPr="00E65C9D">
              <w:rPr>
                <w:rFonts w:cs="Calibri"/>
                <w:color w:val="000000"/>
                <w:sz w:val="16"/>
                <w:szCs w:val="16"/>
              </w:rPr>
              <w:t>37.9</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38.9</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40.0</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41.4</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42.3</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44.2</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50.0</w:t>
            </w:r>
          </w:p>
        </w:tc>
        <w:tc>
          <w:tcPr>
            <w:tcW w:w="629"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56.0</w:t>
            </w:r>
          </w:p>
        </w:tc>
        <w:tc>
          <w:tcPr>
            <w:tcW w:w="629" w:type="dxa"/>
            <w:gridSpan w:val="2"/>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63.2</w:t>
            </w:r>
          </w:p>
        </w:tc>
      </w:tr>
      <w:tr w:rsidR="00F7267B" w:rsidRPr="00D14CE9" w:rsidTr="00E65C9D">
        <w:trPr>
          <w:trHeight w:val="300"/>
        </w:trPr>
        <w:tc>
          <w:tcPr>
            <w:tcW w:w="1471" w:type="dxa"/>
            <w:noWrap/>
            <w:vAlign w:val="center"/>
          </w:tcPr>
          <w:p w:rsidR="00F7267B" w:rsidRPr="00D14CE9" w:rsidRDefault="00F7267B" w:rsidP="00DE64F6">
            <w:pPr>
              <w:rPr>
                <w:sz w:val="16"/>
                <w:szCs w:val="16"/>
              </w:rPr>
            </w:pPr>
            <w:r w:rsidRPr="00D14CE9">
              <w:rPr>
                <w:sz w:val="16"/>
                <w:szCs w:val="16"/>
              </w:rPr>
              <w:t>Clay and Clay Shale</w:t>
            </w:r>
          </w:p>
        </w:tc>
        <w:tc>
          <w:tcPr>
            <w:tcW w:w="627" w:type="dxa"/>
            <w:noWrap/>
            <w:vAlign w:val="center"/>
          </w:tcPr>
          <w:p w:rsidR="00F7267B" w:rsidRPr="00133B47" w:rsidRDefault="00F7267B" w:rsidP="00133B47">
            <w:pPr>
              <w:jc w:val="center"/>
              <w:rPr>
                <w:sz w:val="16"/>
                <w:szCs w:val="16"/>
              </w:rPr>
            </w:pPr>
            <w:r w:rsidRPr="00E65C9D">
              <w:rPr>
                <w:rFonts w:cs="Calibri"/>
                <w:color w:val="000000"/>
                <w:sz w:val="16"/>
                <w:szCs w:val="16"/>
              </w:rPr>
              <w:t>1.2</w:t>
            </w:r>
          </w:p>
        </w:tc>
        <w:tc>
          <w:tcPr>
            <w:tcW w:w="627" w:type="dxa"/>
            <w:noWrap/>
            <w:vAlign w:val="center"/>
          </w:tcPr>
          <w:p w:rsidR="00F7267B" w:rsidRPr="00133B47" w:rsidRDefault="00F7267B" w:rsidP="001E4FD3">
            <w:pPr>
              <w:jc w:val="center"/>
              <w:rPr>
                <w:sz w:val="16"/>
                <w:szCs w:val="16"/>
              </w:rPr>
            </w:pPr>
            <w:r w:rsidRPr="00E65C9D">
              <w:rPr>
                <w:rFonts w:cs="Calibri"/>
                <w:color w:val="000000"/>
                <w:sz w:val="16"/>
                <w:szCs w:val="16"/>
              </w:rPr>
              <w:t>1.3</w:t>
            </w:r>
          </w:p>
        </w:tc>
        <w:tc>
          <w:tcPr>
            <w:tcW w:w="629" w:type="dxa"/>
            <w:noWrap/>
            <w:vAlign w:val="center"/>
          </w:tcPr>
          <w:p w:rsidR="00F7267B" w:rsidRPr="00133B47" w:rsidRDefault="00F7267B" w:rsidP="001E4FD3">
            <w:pPr>
              <w:jc w:val="center"/>
              <w:rPr>
                <w:sz w:val="16"/>
                <w:szCs w:val="16"/>
              </w:rPr>
            </w:pPr>
            <w:r w:rsidRPr="00E65C9D">
              <w:rPr>
                <w:rFonts w:cs="Calibri"/>
                <w:color w:val="000000"/>
                <w:sz w:val="16"/>
                <w:szCs w:val="16"/>
              </w:rPr>
              <w:t>1.3</w:t>
            </w:r>
          </w:p>
        </w:tc>
        <w:tc>
          <w:tcPr>
            <w:tcW w:w="628" w:type="dxa"/>
            <w:vAlign w:val="center"/>
          </w:tcPr>
          <w:p w:rsidR="00F7267B" w:rsidRPr="00133B47" w:rsidRDefault="00F7267B" w:rsidP="001E4FD3">
            <w:pPr>
              <w:jc w:val="center"/>
              <w:rPr>
                <w:sz w:val="16"/>
                <w:szCs w:val="16"/>
              </w:rPr>
            </w:pPr>
            <w:r w:rsidRPr="00E65C9D">
              <w:rPr>
                <w:rFonts w:cs="Calibri"/>
                <w:color w:val="000000"/>
                <w:sz w:val="16"/>
                <w:szCs w:val="16"/>
              </w:rPr>
              <w:t>1.3</w:t>
            </w:r>
          </w:p>
        </w:tc>
        <w:tc>
          <w:tcPr>
            <w:tcW w:w="629" w:type="dxa"/>
            <w:vAlign w:val="center"/>
          </w:tcPr>
          <w:p w:rsidR="00F7267B" w:rsidRPr="00133B47" w:rsidRDefault="00F7267B" w:rsidP="00715DB8">
            <w:pPr>
              <w:jc w:val="center"/>
              <w:rPr>
                <w:sz w:val="16"/>
                <w:szCs w:val="16"/>
              </w:rPr>
            </w:pPr>
            <w:r w:rsidRPr="00E65C9D">
              <w:rPr>
                <w:rFonts w:cs="Calibri"/>
                <w:color w:val="000000"/>
                <w:sz w:val="16"/>
                <w:szCs w:val="16"/>
              </w:rPr>
              <w:t>1.4</w:t>
            </w:r>
          </w:p>
        </w:tc>
        <w:tc>
          <w:tcPr>
            <w:tcW w:w="628" w:type="dxa"/>
            <w:vAlign w:val="center"/>
          </w:tcPr>
          <w:p w:rsidR="00F7267B" w:rsidRPr="00133B47" w:rsidRDefault="00F7267B" w:rsidP="00715DB8">
            <w:pPr>
              <w:jc w:val="center"/>
              <w:rPr>
                <w:sz w:val="16"/>
                <w:szCs w:val="16"/>
              </w:rPr>
            </w:pPr>
            <w:r w:rsidRPr="00E65C9D">
              <w:rPr>
                <w:rFonts w:cs="Calibri"/>
                <w:color w:val="000000"/>
                <w:sz w:val="16"/>
                <w:szCs w:val="16"/>
              </w:rPr>
              <w:t>1.4</w:t>
            </w:r>
          </w:p>
        </w:tc>
        <w:tc>
          <w:tcPr>
            <w:tcW w:w="628" w:type="dxa"/>
            <w:vAlign w:val="center"/>
          </w:tcPr>
          <w:p w:rsidR="00F7267B" w:rsidRPr="00133B47" w:rsidRDefault="00F7267B" w:rsidP="00715DB8">
            <w:pPr>
              <w:jc w:val="center"/>
              <w:rPr>
                <w:sz w:val="16"/>
                <w:szCs w:val="16"/>
              </w:rPr>
            </w:pPr>
            <w:r w:rsidRPr="00E65C9D">
              <w:rPr>
                <w:rFonts w:cs="Calibri"/>
                <w:color w:val="000000"/>
                <w:sz w:val="16"/>
                <w:szCs w:val="16"/>
              </w:rPr>
              <w:t>1.5</w:t>
            </w:r>
          </w:p>
        </w:tc>
        <w:tc>
          <w:tcPr>
            <w:tcW w:w="629" w:type="dxa"/>
            <w:vAlign w:val="center"/>
          </w:tcPr>
          <w:p w:rsidR="00F7267B" w:rsidRPr="00133B47" w:rsidRDefault="00F7267B" w:rsidP="0063661C">
            <w:pPr>
              <w:jc w:val="center"/>
              <w:rPr>
                <w:sz w:val="16"/>
                <w:szCs w:val="16"/>
              </w:rPr>
            </w:pPr>
            <w:r w:rsidRPr="00E65C9D">
              <w:rPr>
                <w:rFonts w:cs="Calibri"/>
                <w:color w:val="000000"/>
                <w:sz w:val="16"/>
                <w:szCs w:val="16"/>
              </w:rPr>
              <w:t>1.2</w:t>
            </w:r>
          </w:p>
        </w:tc>
        <w:tc>
          <w:tcPr>
            <w:tcW w:w="628" w:type="dxa"/>
            <w:vAlign w:val="center"/>
          </w:tcPr>
          <w:p w:rsidR="00F7267B" w:rsidRPr="00133B47" w:rsidRDefault="00F7267B" w:rsidP="006A7DDB">
            <w:pPr>
              <w:jc w:val="center"/>
              <w:rPr>
                <w:sz w:val="16"/>
                <w:szCs w:val="16"/>
              </w:rPr>
            </w:pPr>
            <w:r w:rsidRPr="00E65C9D">
              <w:rPr>
                <w:rFonts w:cs="Calibri"/>
                <w:color w:val="000000"/>
                <w:sz w:val="16"/>
                <w:szCs w:val="16"/>
              </w:rPr>
              <w:t>1.2</w:t>
            </w:r>
          </w:p>
        </w:tc>
        <w:tc>
          <w:tcPr>
            <w:tcW w:w="629" w:type="dxa"/>
            <w:vAlign w:val="center"/>
          </w:tcPr>
          <w:p w:rsidR="00F7267B" w:rsidRPr="00133B47" w:rsidRDefault="00F7267B" w:rsidP="00906667">
            <w:pPr>
              <w:jc w:val="center"/>
              <w:rPr>
                <w:sz w:val="16"/>
                <w:szCs w:val="16"/>
              </w:rPr>
            </w:pPr>
            <w:r w:rsidRPr="00E65C9D">
              <w:rPr>
                <w:rFonts w:cs="Calibri"/>
                <w:color w:val="000000"/>
                <w:sz w:val="16"/>
                <w:szCs w:val="16"/>
              </w:rPr>
              <w:t>1.3</w:t>
            </w:r>
          </w:p>
        </w:tc>
        <w:tc>
          <w:tcPr>
            <w:tcW w:w="628" w:type="dxa"/>
            <w:vAlign w:val="center"/>
          </w:tcPr>
          <w:p w:rsidR="00F7267B" w:rsidRPr="00133B47" w:rsidRDefault="00F7267B" w:rsidP="00D25BB1">
            <w:pPr>
              <w:jc w:val="center"/>
              <w:rPr>
                <w:sz w:val="16"/>
                <w:szCs w:val="16"/>
              </w:rPr>
            </w:pPr>
            <w:r w:rsidRPr="00E65C9D">
              <w:rPr>
                <w:rFonts w:cs="Calibri"/>
                <w:color w:val="000000"/>
                <w:sz w:val="16"/>
                <w:szCs w:val="16"/>
              </w:rPr>
              <w:t>1.3</w:t>
            </w:r>
          </w:p>
        </w:tc>
        <w:tc>
          <w:tcPr>
            <w:tcW w:w="629" w:type="dxa"/>
            <w:vAlign w:val="center"/>
          </w:tcPr>
          <w:p w:rsidR="00F7267B" w:rsidRPr="00133B47" w:rsidRDefault="00F7267B">
            <w:pPr>
              <w:jc w:val="center"/>
              <w:rPr>
                <w:sz w:val="16"/>
                <w:szCs w:val="16"/>
              </w:rPr>
            </w:pPr>
            <w:r w:rsidRPr="00E65C9D">
              <w:rPr>
                <w:rFonts w:cs="Calibri"/>
                <w:color w:val="000000"/>
                <w:sz w:val="16"/>
                <w:szCs w:val="16"/>
              </w:rPr>
              <w:t>1.3</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1.4</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1.4</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1.4</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1.5</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1.3</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1.4</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1.5</w:t>
            </w:r>
          </w:p>
        </w:tc>
        <w:tc>
          <w:tcPr>
            <w:tcW w:w="629" w:type="dxa"/>
            <w:gridSpan w:val="2"/>
            <w:vAlign w:val="center"/>
          </w:tcPr>
          <w:p w:rsidR="00F7267B" w:rsidRPr="00133B47" w:rsidRDefault="00F7267B">
            <w:pPr>
              <w:jc w:val="center"/>
              <w:rPr>
                <w:rFonts w:cs="Calibri"/>
                <w:color w:val="000000"/>
                <w:sz w:val="16"/>
                <w:szCs w:val="16"/>
              </w:rPr>
            </w:pPr>
            <w:r w:rsidRPr="00E65C9D">
              <w:rPr>
                <w:rFonts w:cs="Calibri"/>
                <w:color w:val="000000"/>
                <w:sz w:val="16"/>
                <w:szCs w:val="16"/>
              </w:rPr>
              <w:t>1.6</w:t>
            </w:r>
          </w:p>
        </w:tc>
      </w:tr>
      <w:tr w:rsidR="00F7267B" w:rsidRPr="00D14CE9" w:rsidTr="00E65C9D">
        <w:trPr>
          <w:trHeight w:val="300"/>
        </w:trPr>
        <w:tc>
          <w:tcPr>
            <w:tcW w:w="1471" w:type="dxa"/>
            <w:noWrap/>
            <w:vAlign w:val="center"/>
          </w:tcPr>
          <w:p w:rsidR="00F7267B" w:rsidRPr="00D14CE9" w:rsidRDefault="00F7267B" w:rsidP="00DE64F6">
            <w:pPr>
              <w:rPr>
                <w:sz w:val="16"/>
                <w:szCs w:val="16"/>
              </w:rPr>
            </w:pPr>
            <w:r w:rsidRPr="00D14CE9">
              <w:rPr>
                <w:sz w:val="16"/>
                <w:szCs w:val="16"/>
              </w:rPr>
              <w:t>Limestone</w:t>
            </w:r>
          </w:p>
        </w:tc>
        <w:tc>
          <w:tcPr>
            <w:tcW w:w="627" w:type="dxa"/>
            <w:noWrap/>
            <w:vAlign w:val="center"/>
          </w:tcPr>
          <w:p w:rsidR="00F7267B" w:rsidRPr="00133B47" w:rsidRDefault="00F7267B" w:rsidP="00133B47">
            <w:pPr>
              <w:jc w:val="center"/>
              <w:rPr>
                <w:sz w:val="16"/>
                <w:szCs w:val="16"/>
              </w:rPr>
            </w:pPr>
            <w:r w:rsidRPr="00E65C9D">
              <w:rPr>
                <w:rFonts w:cs="Calibri"/>
                <w:color w:val="000000"/>
                <w:sz w:val="16"/>
                <w:szCs w:val="16"/>
              </w:rPr>
              <w:t>2.1</w:t>
            </w:r>
          </w:p>
        </w:tc>
        <w:tc>
          <w:tcPr>
            <w:tcW w:w="627" w:type="dxa"/>
            <w:noWrap/>
            <w:vAlign w:val="center"/>
          </w:tcPr>
          <w:p w:rsidR="00F7267B" w:rsidRPr="00133B47" w:rsidRDefault="00F7267B" w:rsidP="001E4FD3">
            <w:pPr>
              <w:jc w:val="center"/>
              <w:rPr>
                <w:sz w:val="16"/>
                <w:szCs w:val="16"/>
              </w:rPr>
            </w:pPr>
            <w:r w:rsidRPr="00E65C9D">
              <w:rPr>
                <w:rFonts w:cs="Calibri"/>
                <w:color w:val="000000"/>
                <w:sz w:val="16"/>
                <w:szCs w:val="16"/>
              </w:rPr>
              <w:t>2.2</w:t>
            </w:r>
          </w:p>
        </w:tc>
        <w:tc>
          <w:tcPr>
            <w:tcW w:w="629" w:type="dxa"/>
            <w:noWrap/>
            <w:vAlign w:val="center"/>
          </w:tcPr>
          <w:p w:rsidR="00F7267B" w:rsidRPr="00133B47" w:rsidRDefault="00F7267B" w:rsidP="001E4FD3">
            <w:pPr>
              <w:jc w:val="center"/>
              <w:rPr>
                <w:sz w:val="16"/>
                <w:szCs w:val="16"/>
              </w:rPr>
            </w:pPr>
            <w:r w:rsidRPr="00E65C9D">
              <w:rPr>
                <w:rFonts w:cs="Calibri"/>
                <w:color w:val="000000"/>
                <w:sz w:val="16"/>
                <w:szCs w:val="16"/>
              </w:rPr>
              <w:t>2.2</w:t>
            </w:r>
          </w:p>
        </w:tc>
        <w:tc>
          <w:tcPr>
            <w:tcW w:w="628" w:type="dxa"/>
            <w:vAlign w:val="center"/>
          </w:tcPr>
          <w:p w:rsidR="00F7267B" w:rsidRPr="00133B47" w:rsidRDefault="00F7267B" w:rsidP="001E4FD3">
            <w:pPr>
              <w:jc w:val="center"/>
              <w:rPr>
                <w:sz w:val="16"/>
                <w:szCs w:val="16"/>
              </w:rPr>
            </w:pPr>
            <w:r w:rsidRPr="00E65C9D">
              <w:rPr>
                <w:rFonts w:cs="Calibri"/>
                <w:color w:val="000000"/>
                <w:sz w:val="16"/>
                <w:szCs w:val="16"/>
              </w:rPr>
              <w:t>2.3</w:t>
            </w:r>
          </w:p>
        </w:tc>
        <w:tc>
          <w:tcPr>
            <w:tcW w:w="629" w:type="dxa"/>
            <w:vAlign w:val="center"/>
          </w:tcPr>
          <w:p w:rsidR="00F7267B" w:rsidRPr="00133B47" w:rsidRDefault="00F7267B" w:rsidP="00715DB8">
            <w:pPr>
              <w:jc w:val="center"/>
              <w:rPr>
                <w:sz w:val="16"/>
                <w:szCs w:val="16"/>
              </w:rPr>
            </w:pPr>
            <w:r w:rsidRPr="00E65C9D">
              <w:rPr>
                <w:rFonts w:cs="Calibri"/>
                <w:color w:val="000000"/>
                <w:sz w:val="16"/>
                <w:szCs w:val="16"/>
              </w:rPr>
              <w:t>2.4</w:t>
            </w:r>
          </w:p>
        </w:tc>
        <w:tc>
          <w:tcPr>
            <w:tcW w:w="628" w:type="dxa"/>
            <w:vAlign w:val="center"/>
          </w:tcPr>
          <w:p w:rsidR="00F7267B" w:rsidRPr="00133B47" w:rsidRDefault="00F7267B" w:rsidP="00715DB8">
            <w:pPr>
              <w:jc w:val="center"/>
              <w:rPr>
                <w:sz w:val="16"/>
                <w:szCs w:val="16"/>
              </w:rPr>
            </w:pPr>
            <w:r w:rsidRPr="00E65C9D">
              <w:rPr>
                <w:rFonts w:cs="Calibri"/>
                <w:color w:val="000000"/>
                <w:sz w:val="16"/>
                <w:szCs w:val="16"/>
              </w:rPr>
              <w:t>2.4</w:t>
            </w:r>
          </w:p>
        </w:tc>
        <w:tc>
          <w:tcPr>
            <w:tcW w:w="628" w:type="dxa"/>
            <w:vAlign w:val="center"/>
          </w:tcPr>
          <w:p w:rsidR="00F7267B" w:rsidRPr="00133B47" w:rsidRDefault="00F7267B" w:rsidP="00715DB8">
            <w:pPr>
              <w:jc w:val="center"/>
              <w:rPr>
                <w:sz w:val="16"/>
                <w:szCs w:val="16"/>
              </w:rPr>
            </w:pPr>
            <w:r w:rsidRPr="00E65C9D">
              <w:rPr>
                <w:rFonts w:cs="Calibri"/>
                <w:color w:val="000000"/>
                <w:sz w:val="16"/>
                <w:szCs w:val="16"/>
              </w:rPr>
              <w:t>2.5</w:t>
            </w:r>
          </w:p>
        </w:tc>
        <w:tc>
          <w:tcPr>
            <w:tcW w:w="629" w:type="dxa"/>
            <w:vAlign w:val="center"/>
          </w:tcPr>
          <w:p w:rsidR="00F7267B" w:rsidRPr="00133B47" w:rsidRDefault="00F7267B" w:rsidP="0063661C">
            <w:pPr>
              <w:jc w:val="center"/>
              <w:rPr>
                <w:sz w:val="16"/>
                <w:szCs w:val="16"/>
              </w:rPr>
            </w:pPr>
            <w:r w:rsidRPr="00E65C9D">
              <w:rPr>
                <w:rFonts w:cs="Calibri"/>
                <w:color w:val="000000"/>
                <w:sz w:val="16"/>
                <w:szCs w:val="16"/>
              </w:rPr>
              <w:t>2.6</w:t>
            </w:r>
          </w:p>
        </w:tc>
        <w:tc>
          <w:tcPr>
            <w:tcW w:w="628" w:type="dxa"/>
            <w:vAlign w:val="center"/>
          </w:tcPr>
          <w:p w:rsidR="00F7267B" w:rsidRPr="00133B47" w:rsidRDefault="00F7267B" w:rsidP="006A7DDB">
            <w:pPr>
              <w:jc w:val="center"/>
              <w:rPr>
                <w:sz w:val="16"/>
                <w:szCs w:val="16"/>
              </w:rPr>
            </w:pPr>
            <w:r w:rsidRPr="00E65C9D">
              <w:rPr>
                <w:rFonts w:cs="Calibri"/>
                <w:color w:val="000000"/>
                <w:sz w:val="16"/>
                <w:szCs w:val="16"/>
              </w:rPr>
              <w:t>2.6</w:t>
            </w:r>
          </w:p>
        </w:tc>
        <w:tc>
          <w:tcPr>
            <w:tcW w:w="629" w:type="dxa"/>
            <w:vAlign w:val="center"/>
          </w:tcPr>
          <w:p w:rsidR="00F7267B" w:rsidRPr="00133B47" w:rsidRDefault="00F7267B" w:rsidP="00906667">
            <w:pPr>
              <w:jc w:val="center"/>
              <w:rPr>
                <w:sz w:val="16"/>
                <w:szCs w:val="16"/>
              </w:rPr>
            </w:pPr>
            <w:r w:rsidRPr="00E65C9D">
              <w:rPr>
                <w:rFonts w:cs="Calibri"/>
                <w:color w:val="000000"/>
                <w:sz w:val="16"/>
                <w:szCs w:val="16"/>
              </w:rPr>
              <w:t>2.7</w:t>
            </w:r>
          </w:p>
        </w:tc>
        <w:tc>
          <w:tcPr>
            <w:tcW w:w="628" w:type="dxa"/>
            <w:vAlign w:val="center"/>
          </w:tcPr>
          <w:p w:rsidR="00F7267B" w:rsidRPr="00133B47" w:rsidRDefault="00F7267B" w:rsidP="00D25BB1">
            <w:pPr>
              <w:jc w:val="center"/>
              <w:rPr>
                <w:sz w:val="16"/>
                <w:szCs w:val="16"/>
              </w:rPr>
            </w:pPr>
            <w:r w:rsidRPr="00E65C9D">
              <w:rPr>
                <w:rFonts w:cs="Calibri"/>
                <w:color w:val="000000"/>
                <w:sz w:val="16"/>
                <w:szCs w:val="16"/>
              </w:rPr>
              <w:t>2.8</w:t>
            </w:r>
          </w:p>
        </w:tc>
        <w:tc>
          <w:tcPr>
            <w:tcW w:w="629" w:type="dxa"/>
            <w:vAlign w:val="center"/>
          </w:tcPr>
          <w:p w:rsidR="00F7267B" w:rsidRPr="00133B47" w:rsidRDefault="00F7267B">
            <w:pPr>
              <w:jc w:val="center"/>
              <w:rPr>
                <w:sz w:val="16"/>
                <w:szCs w:val="16"/>
              </w:rPr>
            </w:pPr>
            <w:r w:rsidRPr="00E65C9D">
              <w:rPr>
                <w:rFonts w:cs="Calibri"/>
                <w:color w:val="000000"/>
                <w:sz w:val="16"/>
                <w:szCs w:val="16"/>
              </w:rPr>
              <w:t>2.9</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2.9</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3.0</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3.1</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3.2</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3.7</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4.2</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4.8</w:t>
            </w:r>
          </w:p>
        </w:tc>
        <w:tc>
          <w:tcPr>
            <w:tcW w:w="629" w:type="dxa"/>
            <w:gridSpan w:val="2"/>
            <w:vAlign w:val="center"/>
          </w:tcPr>
          <w:p w:rsidR="00F7267B" w:rsidRPr="00133B47" w:rsidRDefault="00F7267B">
            <w:pPr>
              <w:jc w:val="center"/>
              <w:rPr>
                <w:rFonts w:cs="Calibri"/>
                <w:color w:val="000000"/>
                <w:sz w:val="16"/>
                <w:szCs w:val="16"/>
              </w:rPr>
            </w:pPr>
            <w:r w:rsidRPr="00E65C9D">
              <w:rPr>
                <w:rFonts w:cs="Calibri"/>
                <w:color w:val="000000"/>
                <w:sz w:val="16"/>
                <w:szCs w:val="16"/>
              </w:rPr>
              <w:t>5.5</w:t>
            </w:r>
          </w:p>
        </w:tc>
      </w:tr>
      <w:tr w:rsidR="00F7267B" w:rsidRPr="00D14CE9" w:rsidTr="00E65C9D">
        <w:trPr>
          <w:trHeight w:val="300"/>
        </w:trPr>
        <w:tc>
          <w:tcPr>
            <w:tcW w:w="1471" w:type="dxa"/>
            <w:noWrap/>
            <w:vAlign w:val="center"/>
          </w:tcPr>
          <w:p w:rsidR="00F7267B" w:rsidRPr="00D14CE9" w:rsidRDefault="00F7267B" w:rsidP="00DE64F6">
            <w:pPr>
              <w:rPr>
                <w:sz w:val="16"/>
                <w:szCs w:val="16"/>
              </w:rPr>
            </w:pPr>
            <w:r w:rsidRPr="00D14CE9">
              <w:rPr>
                <w:sz w:val="16"/>
                <w:szCs w:val="16"/>
              </w:rPr>
              <w:t>Sand and Gravel</w:t>
            </w:r>
          </w:p>
        </w:tc>
        <w:tc>
          <w:tcPr>
            <w:tcW w:w="627" w:type="dxa"/>
            <w:noWrap/>
            <w:vAlign w:val="center"/>
          </w:tcPr>
          <w:p w:rsidR="00F7267B" w:rsidRPr="00133B47" w:rsidRDefault="00F7267B" w:rsidP="00133B47">
            <w:pPr>
              <w:jc w:val="center"/>
              <w:rPr>
                <w:rFonts w:cs="Calibri"/>
                <w:color w:val="000000"/>
                <w:sz w:val="16"/>
                <w:szCs w:val="16"/>
              </w:rPr>
            </w:pPr>
            <w:r w:rsidRPr="00E65C9D">
              <w:rPr>
                <w:rFonts w:cs="Calibri"/>
                <w:color w:val="000000"/>
                <w:sz w:val="16"/>
                <w:szCs w:val="16"/>
              </w:rPr>
              <w:t>12.6</w:t>
            </w:r>
          </w:p>
        </w:tc>
        <w:tc>
          <w:tcPr>
            <w:tcW w:w="627" w:type="dxa"/>
            <w:noWrap/>
            <w:vAlign w:val="center"/>
          </w:tcPr>
          <w:p w:rsidR="00F7267B" w:rsidRPr="00133B47" w:rsidRDefault="00F7267B" w:rsidP="001E4FD3">
            <w:pPr>
              <w:jc w:val="center"/>
              <w:rPr>
                <w:rFonts w:cs="Calibri"/>
                <w:color w:val="000000"/>
                <w:sz w:val="16"/>
                <w:szCs w:val="16"/>
              </w:rPr>
            </w:pPr>
            <w:r w:rsidRPr="00E65C9D">
              <w:rPr>
                <w:rFonts w:cs="Calibri"/>
                <w:color w:val="000000"/>
                <w:sz w:val="16"/>
                <w:szCs w:val="16"/>
              </w:rPr>
              <w:t>12.9</w:t>
            </w:r>
          </w:p>
        </w:tc>
        <w:tc>
          <w:tcPr>
            <w:tcW w:w="629" w:type="dxa"/>
            <w:noWrap/>
            <w:vAlign w:val="center"/>
          </w:tcPr>
          <w:p w:rsidR="00F7267B" w:rsidRPr="00133B47" w:rsidRDefault="00F7267B" w:rsidP="001E4FD3">
            <w:pPr>
              <w:jc w:val="center"/>
              <w:rPr>
                <w:rFonts w:cs="Calibri"/>
                <w:color w:val="000000"/>
                <w:sz w:val="16"/>
                <w:szCs w:val="16"/>
              </w:rPr>
            </w:pPr>
            <w:r w:rsidRPr="00E65C9D">
              <w:rPr>
                <w:rFonts w:cs="Calibri"/>
                <w:color w:val="000000"/>
                <w:sz w:val="16"/>
                <w:szCs w:val="16"/>
              </w:rPr>
              <w:t>13.3</w:t>
            </w:r>
          </w:p>
        </w:tc>
        <w:tc>
          <w:tcPr>
            <w:tcW w:w="628" w:type="dxa"/>
            <w:vAlign w:val="center"/>
          </w:tcPr>
          <w:p w:rsidR="00F7267B" w:rsidRPr="00133B47" w:rsidRDefault="00F7267B" w:rsidP="001E4FD3">
            <w:pPr>
              <w:jc w:val="center"/>
              <w:rPr>
                <w:rFonts w:cs="Calibri"/>
                <w:color w:val="000000"/>
                <w:sz w:val="16"/>
                <w:szCs w:val="16"/>
              </w:rPr>
            </w:pPr>
            <w:r w:rsidRPr="00E65C9D">
              <w:rPr>
                <w:rFonts w:cs="Calibri"/>
                <w:color w:val="000000"/>
                <w:sz w:val="16"/>
                <w:szCs w:val="16"/>
              </w:rPr>
              <w:t>13.7</w:t>
            </w:r>
          </w:p>
        </w:tc>
        <w:tc>
          <w:tcPr>
            <w:tcW w:w="629" w:type="dxa"/>
            <w:vAlign w:val="center"/>
          </w:tcPr>
          <w:p w:rsidR="00F7267B" w:rsidRPr="00133B47" w:rsidRDefault="00F7267B" w:rsidP="00715DB8">
            <w:pPr>
              <w:jc w:val="center"/>
              <w:rPr>
                <w:rFonts w:cs="Calibri"/>
                <w:color w:val="000000"/>
                <w:sz w:val="16"/>
                <w:szCs w:val="16"/>
              </w:rPr>
            </w:pPr>
            <w:r w:rsidRPr="00E65C9D">
              <w:rPr>
                <w:rFonts w:cs="Calibri"/>
                <w:color w:val="000000"/>
                <w:sz w:val="16"/>
                <w:szCs w:val="16"/>
              </w:rPr>
              <w:t>14.1</w:t>
            </w:r>
          </w:p>
        </w:tc>
        <w:tc>
          <w:tcPr>
            <w:tcW w:w="628" w:type="dxa"/>
            <w:vAlign w:val="center"/>
          </w:tcPr>
          <w:p w:rsidR="00F7267B" w:rsidRPr="00133B47" w:rsidRDefault="00F7267B" w:rsidP="00715DB8">
            <w:pPr>
              <w:jc w:val="center"/>
              <w:rPr>
                <w:rFonts w:cs="Calibri"/>
                <w:color w:val="000000"/>
                <w:sz w:val="16"/>
                <w:szCs w:val="16"/>
              </w:rPr>
            </w:pPr>
            <w:r w:rsidRPr="00E65C9D">
              <w:rPr>
                <w:rFonts w:cs="Calibri"/>
                <w:color w:val="000000"/>
                <w:sz w:val="16"/>
                <w:szCs w:val="16"/>
              </w:rPr>
              <w:t>14.5</w:t>
            </w:r>
          </w:p>
        </w:tc>
        <w:tc>
          <w:tcPr>
            <w:tcW w:w="628" w:type="dxa"/>
            <w:vAlign w:val="center"/>
          </w:tcPr>
          <w:p w:rsidR="00F7267B" w:rsidRPr="00133B47" w:rsidRDefault="00F7267B" w:rsidP="00715DB8">
            <w:pPr>
              <w:jc w:val="center"/>
              <w:rPr>
                <w:rFonts w:cs="Calibri"/>
                <w:color w:val="000000"/>
                <w:sz w:val="16"/>
                <w:szCs w:val="16"/>
              </w:rPr>
            </w:pPr>
            <w:r w:rsidRPr="00E65C9D">
              <w:rPr>
                <w:rFonts w:cs="Calibri"/>
                <w:color w:val="000000"/>
                <w:sz w:val="16"/>
                <w:szCs w:val="16"/>
              </w:rPr>
              <w:t>15.1</w:t>
            </w:r>
          </w:p>
        </w:tc>
        <w:tc>
          <w:tcPr>
            <w:tcW w:w="629" w:type="dxa"/>
            <w:vAlign w:val="center"/>
          </w:tcPr>
          <w:p w:rsidR="00F7267B" w:rsidRPr="00133B47" w:rsidRDefault="00F7267B" w:rsidP="0063661C">
            <w:pPr>
              <w:jc w:val="center"/>
              <w:rPr>
                <w:rFonts w:cs="Calibri"/>
                <w:color w:val="000000"/>
                <w:sz w:val="16"/>
                <w:szCs w:val="16"/>
              </w:rPr>
            </w:pPr>
            <w:r w:rsidRPr="00E65C9D">
              <w:rPr>
                <w:rFonts w:cs="Calibri"/>
                <w:color w:val="000000"/>
                <w:sz w:val="16"/>
                <w:szCs w:val="16"/>
              </w:rPr>
              <w:t>12.6</w:t>
            </w:r>
          </w:p>
        </w:tc>
        <w:tc>
          <w:tcPr>
            <w:tcW w:w="628" w:type="dxa"/>
            <w:vAlign w:val="center"/>
          </w:tcPr>
          <w:p w:rsidR="00F7267B" w:rsidRPr="00133B47" w:rsidRDefault="00F7267B" w:rsidP="006A7DDB">
            <w:pPr>
              <w:jc w:val="center"/>
              <w:rPr>
                <w:rFonts w:cs="Calibri"/>
                <w:color w:val="000000"/>
                <w:sz w:val="16"/>
                <w:szCs w:val="16"/>
              </w:rPr>
            </w:pPr>
            <w:r w:rsidRPr="00E65C9D">
              <w:rPr>
                <w:rFonts w:cs="Calibri"/>
                <w:color w:val="000000"/>
                <w:sz w:val="16"/>
                <w:szCs w:val="16"/>
              </w:rPr>
              <w:t>12.8</w:t>
            </w:r>
          </w:p>
        </w:tc>
        <w:tc>
          <w:tcPr>
            <w:tcW w:w="629" w:type="dxa"/>
            <w:vAlign w:val="center"/>
          </w:tcPr>
          <w:p w:rsidR="00F7267B" w:rsidRPr="00133B47" w:rsidRDefault="00F7267B" w:rsidP="00906667">
            <w:pPr>
              <w:jc w:val="center"/>
              <w:rPr>
                <w:rFonts w:cs="Calibri"/>
                <w:color w:val="000000"/>
                <w:sz w:val="16"/>
                <w:szCs w:val="16"/>
              </w:rPr>
            </w:pPr>
            <w:r w:rsidRPr="00E65C9D">
              <w:rPr>
                <w:rFonts w:cs="Calibri"/>
                <w:color w:val="000000"/>
                <w:sz w:val="16"/>
                <w:szCs w:val="16"/>
              </w:rPr>
              <w:t>13.2</w:t>
            </w:r>
          </w:p>
        </w:tc>
        <w:tc>
          <w:tcPr>
            <w:tcW w:w="628" w:type="dxa"/>
            <w:vAlign w:val="center"/>
          </w:tcPr>
          <w:p w:rsidR="00F7267B" w:rsidRPr="00133B47" w:rsidRDefault="00F7267B" w:rsidP="00D25BB1">
            <w:pPr>
              <w:jc w:val="center"/>
              <w:rPr>
                <w:rFonts w:cs="Calibri"/>
                <w:color w:val="000000"/>
                <w:sz w:val="16"/>
                <w:szCs w:val="16"/>
              </w:rPr>
            </w:pPr>
            <w:r w:rsidRPr="00E65C9D">
              <w:rPr>
                <w:rFonts w:cs="Calibri"/>
                <w:color w:val="000000"/>
                <w:sz w:val="16"/>
                <w:szCs w:val="16"/>
              </w:rPr>
              <w:t>13.4</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13.7</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14.0</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14.4</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14.8</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15.1</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13.2</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14.4</w:t>
            </w:r>
          </w:p>
        </w:tc>
        <w:tc>
          <w:tcPr>
            <w:tcW w:w="629" w:type="dxa"/>
            <w:vAlign w:val="center"/>
          </w:tcPr>
          <w:p w:rsidR="00F7267B" w:rsidRPr="00133B47" w:rsidRDefault="00F7267B">
            <w:pPr>
              <w:jc w:val="center"/>
              <w:rPr>
                <w:rFonts w:cs="Calibri"/>
                <w:color w:val="000000"/>
                <w:sz w:val="16"/>
                <w:szCs w:val="16"/>
              </w:rPr>
            </w:pPr>
            <w:r w:rsidRPr="00E65C9D">
              <w:rPr>
                <w:rFonts w:cs="Calibri"/>
                <w:color w:val="000000"/>
                <w:sz w:val="16"/>
                <w:szCs w:val="16"/>
              </w:rPr>
              <w:t>15.5</w:t>
            </w:r>
          </w:p>
        </w:tc>
        <w:tc>
          <w:tcPr>
            <w:tcW w:w="629" w:type="dxa"/>
            <w:gridSpan w:val="2"/>
            <w:vAlign w:val="center"/>
          </w:tcPr>
          <w:p w:rsidR="00F7267B" w:rsidRPr="00133B47" w:rsidRDefault="00F7267B">
            <w:pPr>
              <w:jc w:val="center"/>
              <w:rPr>
                <w:rFonts w:cs="Calibri"/>
                <w:color w:val="000000"/>
                <w:sz w:val="16"/>
                <w:szCs w:val="16"/>
              </w:rPr>
            </w:pPr>
            <w:r w:rsidRPr="00E65C9D">
              <w:rPr>
                <w:rFonts w:cs="Calibri"/>
                <w:color w:val="000000"/>
                <w:sz w:val="16"/>
                <w:szCs w:val="16"/>
              </w:rPr>
              <w:t>16.9</w:t>
            </w:r>
          </w:p>
        </w:tc>
      </w:tr>
      <w:tr w:rsidR="00F7267B" w:rsidRPr="00F7267B" w:rsidTr="00E65C9D">
        <w:trPr>
          <w:trHeight w:val="300"/>
        </w:trPr>
        <w:tc>
          <w:tcPr>
            <w:tcW w:w="1471" w:type="dxa"/>
            <w:noWrap/>
            <w:vAlign w:val="center"/>
          </w:tcPr>
          <w:p w:rsidR="00F7267B" w:rsidRPr="00133B47" w:rsidRDefault="00F7267B" w:rsidP="00DE64F6">
            <w:pPr>
              <w:rPr>
                <w:b/>
                <w:sz w:val="16"/>
                <w:szCs w:val="16"/>
              </w:rPr>
            </w:pPr>
            <w:r w:rsidRPr="00133B47">
              <w:rPr>
                <w:b/>
                <w:sz w:val="16"/>
                <w:szCs w:val="16"/>
              </w:rPr>
              <w:t>Total</w:t>
            </w:r>
          </w:p>
        </w:tc>
        <w:tc>
          <w:tcPr>
            <w:tcW w:w="627" w:type="dxa"/>
            <w:noWrap/>
            <w:vAlign w:val="center"/>
          </w:tcPr>
          <w:p w:rsidR="00F7267B" w:rsidRPr="00133B47" w:rsidRDefault="00F7267B" w:rsidP="00133B47">
            <w:pPr>
              <w:jc w:val="center"/>
              <w:rPr>
                <w:rFonts w:cs="Calibri"/>
                <w:b/>
                <w:color w:val="000000"/>
                <w:sz w:val="16"/>
                <w:szCs w:val="16"/>
              </w:rPr>
            </w:pPr>
            <w:r w:rsidRPr="00E65C9D">
              <w:rPr>
                <w:rFonts w:cs="Calibri"/>
                <w:b/>
                <w:color w:val="000000"/>
                <w:sz w:val="16"/>
                <w:szCs w:val="16"/>
              </w:rPr>
              <w:t>46.3</w:t>
            </w:r>
          </w:p>
        </w:tc>
        <w:tc>
          <w:tcPr>
            <w:tcW w:w="627" w:type="dxa"/>
            <w:noWrap/>
            <w:vAlign w:val="center"/>
          </w:tcPr>
          <w:p w:rsidR="00F7267B" w:rsidRPr="00133B47" w:rsidRDefault="00F7267B" w:rsidP="001E4FD3">
            <w:pPr>
              <w:jc w:val="center"/>
              <w:rPr>
                <w:rFonts w:cs="Calibri"/>
                <w:b/>
                <w:color w:val="000000"/>
                <w:sz w:val="16"/>
                <w:szCs w:val="16"/>
              </w:rPr>
            </w:pPr>
            <w:r w:rsidRPr="00E65C9D">
              <w:rPr>
                <w:rFonts w:cs="Calibri"/>
                <w:b/>
                <w:color w:val="000000"/>
                <w:sz w:val="16"/>
                <w:szCs w:val="16"/>
              </w:rPr>
              <w:t>47.7</w:t>
            </w:r>
          </w:p>
        </w:tc>
        <w:tc>
          <w:tcPr>
            <w:tcW w:w="629" w:type="dxa"/>
            <w:noWrap/>
            <w:vAlign w:val="center"/>
          </w:tcPr>
          <w:p w:rsidR="00F7267B" w:rsidRPr="00133B47" w:rsidRDefault="00F7267B" w:rsidP="001E4FD3">
            <w:pPr>
              <w:jc w:val="center"/>
              <w:rPr>
                <w:rFonts w:cs="Calibri"/>
                <w:b/>
                <w:color w:val="000000"/>
                <w:sz w:val="16"/>
                <w:szCs w:val="16"/>
              </w:rPr>
            </w:pPr>
            <w:r w:rsidRPr="00E65C9D">
              <w:rPr>
                <w:rFonts w:cs="Calibri"/>
                <w:b/>
                <w:color w:val="000000"/>
                <w:sz w:val="16"/>
                <w:szCs w:val="16"/>
              </w:rPr>
              <w:t>49.2</w:t>
            </w:r>
          </w:p>
        </w:tc>
        <w:tc>
          <w:tcPr>
            <w:tcW w:w="628" w:type="dxa"/>
            <w:vAlign w:val="center"/>
          </w:tcPr>
          <w:p w:rsidR="00F7267B" w:rsidRPr="00133B47" w:rsidRDefault="00F7267B" w:rsidP="001E4FD3">
            <w:pPr>
              <w:jc w:val="center"/>
              <w:rPr>
                <w:rFonts w:cs="Calibri"/>
                <w:b/>
                <w:color w:val="000000"/>
                <w:sz w:val="16"/>
                <w:szCs w:val="16"/>
              </w:rPr>
            </w:pPr>
            <w:r w:rsidRPr="00E65C9D">
              <w:rPr>
                <w:rFonts w:cs="Calibri"/>
                <w:b/>
                <w:color w:val="000000"/>
                <w:sz w:val="16"/>
                <w:szCs w:val="16"/>
              </w:rPr>
              <w:t>50.7</w:t>
            </w:r>
          </w:p>
        </w:tc>
        <w:tc>
          <w:tcPr>
            <w:tcW w:w="629" w:type="dxa"/>
            <w:vAlign w:val="center"/>
          </w:tcPr>
          <w:p w:rsidR="00F7267B" w:rsidRPr="00133B47" w:rsidRDefault="00F7267B" w:rsidP="00715DB8">
            <w:pPr>
              <w:jc w:val="center"/>
              <w:rPr>
                <w:rFonts w:cs="Calibri"/>
                <w:b/>
                <w:color w:val="000000"/>
                <w:sz w:val="16"/>
                <w:szCs w:val="16"/>
              </w:rPr>
            </w:pPr>
            <w:r w:rsidRPr="00E65C9D">
              <w:rPr>
                <w:rFonts w:cs="Calibri"/>
                <w:b/>
                <w:color w:val="000000"/>
                <w:sz w:val="16"/>
                <w:szCs w:val="16"/>
              </w:rPr>
              <w:t>52.4</w:t>
            </w:r>
          </w:p>
        </w:tc>
        <w:tc>
          <w:tcPr>
            <w:tcW w:w="628" w:type="dxa"/>
            <w:vAlign w:val="center"/>
          </w:tcPr>
          <w:p w:rsidR="00F7267B" w:rsidRPr="00133B47" w:rsidRDefault="00F7267B" w:rsidP="00715DB8">
            <w:pPr>
              <w:jc w:val="center"/>
              <w:rPr>
                <w:rFonts w:cs="Calibri"/>
                <w:b/>
                <w:color w:val="000000"/>
                <w:sz w:val="16"/>
                <w:szCs w:val="16"/>
              </w:rPr>
            </w:pPr>
            <w:r w:rsidRPr="00E65C9D">
              <w:rPr>
                <w:rFonts w:cs="Calibri"/>
                <w:b/>
                <w:color w:val="000000"/>
                <w:sz w:val="16"/>
                <w:szCs w:val="16"/>
              </w:rPr>
              <w:t>53.5</w:t>
            </w:r>
          </w:p>
        </w:tc>
        <w:tc>
          <w:tcPr>
            <w:tcW w:w="628" w:type="dxa"/>
            <w:vAlign w:val="center"/>
          </w:tcPr>
          <w:p w:rsidR="00F7267B" w:rsidRPr="00133B47" w:rsidRDefault="00F7267B" w:rsidP="00715DB8">
            <w:pPr>
              <w:jc w:val="center"/>
              <w:rPr>
                <w:rFonts w:cs="Calibri"/>
                <w:b/>
                <w:color w:val="000000"/>
                <w:sz w:val="16"/>
                <w:szCs w:val="16"/>
              </w:rPr>
            </w:pPr>
            <w:r w:rsidRPr="00E65C9D">
              <w:rPr>
                <w:rFonts w:cs="Calibri"/>
                <w:b/>
                <w:color w:val="000000"/>
                <w:sz w:val="16"/>
                <w:szCs w:val="16"/>
              </w:rPr>
              <w:t>55.8</w:t>
            </w:r>
          </w:p>
        </w:tc>
        <w:tc>
          <w:tcPr>
            <w:tcW w:w="629" w:type="dxa"/>
            <w:vAlign w:val="center"/>
          </w:tcPr>
          <w:p w:rsidR="00F7267B" w:rsidRPr="00133B47" w:rsidRDefault="00F7267B" w:rsidP="0063661C">
            <w:pPr>
              <w:jc w:val="center"/>
              <w:rPr>
                <w:rFonts w:cs="Calibri"/>
                <w:b/>
                <w:color w:val="000000"/>
                <w:sz w:val="16"/>
                <w:szCs w:val="16"/>
              </w:rPr>
            </w:pPr>
            <w:r w:rsidRPr="00E65C9D">
              <w:rPr>
                <w:rFonts w:cs="Calibri"/>
                <w:b/>
                <w:color w:val="000000"/>
                <w:sz w:val="16"/>
                <w:szCs w:val="16"/>
              </w:rPr>
              <w:t>50.8</w:t>
            </w:r>
          </w:p>
        </w:tc>
        <w:tc>
          <w:tcPr>
            <w:tcW w:w="628" w:type="dxa"/>
            <w:vAlign w:val="center"/>
          </w:tcPr>
          <w:p w:rsidR="00F7267B" w:rsidRPr="00133B47" w:rsidRDefault="00F7267B" w:rsidP="006A7DDB">
            <w:pPr>
              <w:jc w:val="center"/>
              <w:rPr>
                <w:rFonts w:cs="Calibri"/>
                <w:b/>
                <w:color w:val="000000"/>
                <w:sz w:val="16"/>
                <w:szCs w:val="16"/>
              </w:rPr>
            </w:pPr>
            <w:r w:rsidRPr="00E65C9D">
              <w:rPr>
                <w:rFonts w:cs="Calibri"/>
                <w:b/>
                <w:color w:val="000000"/>
                <w:sz w:val="16"/>
                <w:szCs w:val="16"/>
              </w:rPr>
              <w:t>51.4</w:t>
            </w:r>
          </w:p>
        </w:tc>
        <w:tc>
          <w:tcPr>
            <w:tcW w:w="629" w:type="dxa"/>
            <w:vAlign w:val="center"/>
          </w:tcPr>
          <w:p w:rsidR="00F7267B" w:rsidRPr="00133B47" w:rsidRDefault="00F7267B" w:rsidP="00906667">
            <w:pPr>
              <w:jc w:val="center"/>
              <w:rPr>
                <w:rFonts w:cs="Calibri"/>
                <w:b/>
                <w:color w:val="000000"/>
                <w:sz w:val="16"/>
                <w:szCs w:val="16"/>
              </w:rPr>
            </w:pPr>
            <w:r w:rsidRPr="00E65C9D">
              <w:rPr>
                <w:rFonts w:cs="Calibri"/>
                <w:b/>
                <w:color w:val="000000"/>
                <w:sz w:val="16"/>
                <w:szCs w:val="16"/>
              </w:rPr>
              <w:t>53.3</w:t>
            </w:r>
          </w:p>
        </w:tc>
        <w:tc>
          <w:tcPr>
            <w:tcW w:w="628" w:type="dxa"/>
            <w:vAlign w:val="center"/>
          </w:tcPr>
          <w:p w:rsidR="00F7267B" w:rsidRPr="00133B47" w:rsidRDefault="00F7267B" w:rsidP="00D25BB1">
            <w:pPr>
              <w:jc w:val="center"/>
              <w:rPr>
                <w:rFonts w:cs="Calibri"/>
                <w:b/>
                <w:color w:val="000000"/>
                <w:sz w:val="16"/>
                <w:szCs w:val="16"/>
              </w:rPr>
            </w:pPr>
            <w:r w:rsidRPr="00E65C9D">
              <w:rPr>
                <w:rFonts w:cs="Calibri"/>
                <w:b/>
                <w:color w:val="000000"/>
                <w:sz w:val="16"/>
                <w:szCs w:val="16"/>
              </w:rPr>
              <w:t>54.6</w:t>
            </w:r>
          </w:p>
        </w:tc>
        <w:tc>
          <w:tcPr>
            <w:tcW w:w="629" w:type="dxa"/>
            <w:vAlign w:val="center"/>
          </w:tcPr>
          <w:p w:rsidR="00F7267B" w:rsidRPr="00133B47" w:rsidRDefault="00F7267B">
            <w:pPr>
              <w:jc w:val="center"/>
              <w:rPr>
                <w:rFonts w:cs="Calibri"/>
                <w:b/>
                <w:color w:val="000000"/>
                <w:sz w:val="16"/>
                <w:szCs w:val="16"/>
              </w:rPr>
            </w:pPr>
            <w:r w:rsidRPr="00E65C9D">
              <w:rPr>
                <w:rFonts w:cs="Calibri"/>
                <w:b/>
                <w:color w:val="000000"/>
                <w:sz w:val="16"/>
                <w:szCs w:val="16"/>
              </w:rPr>
              <w:t>55.8</w:t>
            </w:r>
          </w:p>
        </w:tc>
        <w:tc>
          <w:tcPr>
            <w:tcW w:w="629" w:type="dxa"/>
            <w:vAlign w:val="center"/>
          </w:tcPr>
          <w:p w:rsidR="00F7267B" w:rsidRPr="00133B47" w:rsidRDefault="00F7267B">
            <w:pPr>
              <w:jc w:val="center"/>
              <w:rPr>
                <w:rFonts w:cs="Calibri"/>
                <w:b/>
                <w:color w:val="000000"/>
                <w:sz w:val="16"/>
                <w:szCs w:val="16"/>
              </w:rPr>
            </w:pPr>
            <w:r w:rsidRPr="00E65C9D">
              <w:rPr>
                <w:rFonts w:cs="Calibri"/>
                <w:b/>
                <w:color w:val="000000"/>
                <w:sz w:val="16"/>
                <w:szCs w:val="16"/>
              </w:rPr>
              <w:t>57.2</w:t>
            </w:r>
          </w:p>
        </w:tc>
        <w:tc>
          <w:tcPr>
            <w:tcW w:w="629" w:type="dxa"/>
            <w:vAlign w:val="center"/>
          </w:tcPr>
          <w:p w:rsidR="00F7267B" w:rsidRPr="00133B47" w:rsidRDefault="00F7267B">
            <w:pPr>
              <w:jc w:val="center"/>
              <w:rPr>
                <w:rFonts w:cs="Calibri"/>
                <w:b/>
                <w:color w:val="000000"/>
                <w:sz w:val="16"/>
                <w:szCs w:val="16"/>
              </w:rPr>
            </w:pPr>
            <w:r w:rsidRPr="00E65C9D">
              <w:rPr>
                <w:rFonts w:cs="Calibri"/>
                <w:b/>
                <w:color w:val="000000"/>
                <w:sz w:val="16"/>
                <w:szCs w:val="16"/>
              </w:rPr>
              <w:t>58.8</w:t>
            </w:r>
          </w:p>
        </w:tc>
        <w:tc>
          <w:tcPr>
            <w:tcW w:w="629" w:type="dxa"/>
            <w:vAlign w:val="center"/>
          </w:tcPr>
          <w:p w:rsidR="00F7267B" w:rsidRPr="00133B47" w:rsidRDefault="00F7267B">
            <w:pPr>
              <w:jc w:val="center"/>
              <w:rPr>
                <w:rFonts w:cs="Calibri"/>
                <w:b/>
                <w:color w:val="000000"/>
                <w:sz w:val="16"/>
                <w:szCs w:val="16"/>
              </w:rPr>
            </w:pPr>
            <w:r w:rsidRPr="00E65C9D">
              <w:rPr>
                <w:rFonts w:cs="Calibri"/>
                <w:b/>
                <w:color w:val="000000"/>
                <w:sz w:val="16"/>
                <w:szCs w:val="16"/>
              </w:rPr>
              <w:t>60.8</w:t>
            </w:r>
          </w:p>
        </w:tc>
        <w:tc>
          <w:tcPr>
            <w:tcW w:w="629" w:type="dxa"/>
            <w:vAlign w:val="center"/>
          </w:tcPr>
          <w:p w:rsidR="00F7267B" w:rsidRPr="00133B47" w:rsidRDefault="00F7267B">
            <w:pPr>
              <w:jc w:val="center"/>
              <w:rPr>
                <w:rFonts w:cs="Calibri"/>
                <w:b/>
                <w:color w:val="000000"/>
                <w:sz w:val="16"/>
                <w:szCs w:val="16"/>
              </w:rPr>
            </w:pPr>
            <w:r w:rsidRPr="00E65C9D">
              <w:rPr>
                <w:rFonts w:cs="Calibri"/>
                <w:b/>
                <w:color w:val="000000"/>
                <w:sz w:val="16"/>
                <w:szCs w:val="16"/>
              </w:rPr>
              <w:t>62.1</w:t>
            </w:r>
          </w:p>
        </w:tc>
        <w:tc>
          <w:tcPr>
            <w:tcW w:w="629" w:type="dxa"/>
            <w:vAlign w:val="center"/>
          </w:tcPr>
          <w:p w:rsidR="00F7267B" w:rsidRPr="00133B47" w:rsidRDefault="00F7267B">
            <w:pPr>
              <w:jc w:val="center"/>
              <w:rPr>
                <w:rFonts w:cs="Calibri"/>
                <w:b/>
                <w:color w:val="000000"/>
                <w:sz w:val="16"/>
                <w:szCs w:val="16"/>
              </w:rPr>
            </w:pPr>
            <w:r w:rsidRPr="00E65C9D">
              <w:rPr>
                <w:rFonts w:cs="Calibri"/>
                <w:b/>
                <w:color w:val="000000"/>
                <w:sz w:val="16"/>
                <w:szCs w:val="16"/>
              </w:rPr>
              <w:t>62.4</w:t>
            </w:r>
          </w:p>
        </w:tc>
        <w:tc>
          <w:tcPr>
            <w:tcW w:w="629" w:type="dxa"/>
            <w:vAlign w:val="center"/>
          </w:tcPr>
          <w:p w:rsidR="00F7267B" w:rsidRPr="00133B47" w:rsidRDefault="00F7267B">
            <w:pPr>
              <w:jc w:val="center"/>
              <w:rPr>
                <w:rFonts w:cs="Calibri"/>
                <w:b/>
                <w:color w:val="000000"/>
                <w:sz w:val="16"/>
                <w:szCs w:val="16"/>
              </w:rPr>
            </w:pPr>
            <w:r w:rsidRPr="00E65C9D">
              <w:rPr>
                <w:rFonts w:cs="Calibri"/>
                <w:b/>
                <w:color w:val="000000"/>
                <w:sz w:val="16"/>
                <w:szCs w:val="16"/>
              </w:rPr>
              <w:t>70.0</w:t>
            </w:r>
          </w:p>
        </w:tc>
        <w:tc>
          <w:tcPr>
            <w:tcW w:w="629" w:type="dxa"/>
            <w:vAlign w:val="center"/>
          </w:tcPr>
          <w:p w:rsidR="00F7267B" w:rsidRPr="00133B47" w:rsidRDefault="00F7267B">
            <w:pPr>
              <w:jc w:val="center"/>
              <w:rPr>
                <w:rFonts w:cs="Calibri"/>
                <w:b/>
                <w:color w:val="000000"/>
                <w:sz w:val="16"/>
                <w:szCs w:val="16"/>
              </w:rPr>
            </w:pPr>
            <w:r w:rsidRPr="00E65C9D">
              <w:rPr>
                <w:rFonts w:cs="Calibri"/>
                <w:b/>
                <w:color w:val="000000"/>
                <w:sz w:val="16"/>
                <w:szCs w:val="16"/>
              </w:rPr>
              <w:t>77.8</w:t>
            </w:r>
          </w:p>
        </w:tc>
        <w:tc>
          <w:tcPr>
            <w:tcW w:w="629" w:type="dxa"/>
            <w:gridSpan w:val="2"/>
            <w:vAlign w:val="center"/>
          </w:tcPr>
          <w:p w:rsidR="00F7267B" w:rsidRPr="00133B47" w:rsidRDefault="00F7267B">
            <w:pPr>
              <w:jc w:val="center"/>
              <w:rPr>
                <w:rFonts w:cs="Calibri"/>
                <w:b/>
                <w:color w:val="000000"/>
                <w:sz w:val="16"/>
                <w:szCs w:val="16"/>
              </w:rPr>
            </w:pPr>
            <w:r w:rsidRPr="00E65C9D">
              <w:rPr>
                <w:rFonts w:cs="Calibri"/>
                <w:b/>
                <w:color w:val="000000"/>
                <w:sz w:val="16"/>
                <w:szCs w:val="16"/>
              </w:rPr>
              <w:t>87.2</w:t>
            </w:r>
          </w:p>
        </w:tc>
      </w:tr>
    </w:tbl>
    <w:p w:rsidR="00BC31C3" w:rsidRDefault="00BC31C3" w:rsidP="008F68CE">
      <w:pPr>
        <w:rPr>
          <w:rFonts w:cstheme="majorHAnsi"/>
          <w:kern w:val="12"/>
          <w:highlight w:val="yellow"/>
        </w:rPr>
      </w:pPr>
    </w:p>
    <w:tbl>
      <w:tblPr>
        <w:tblW w:w="1408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46"/>
        <w:tblDescription w:val="Table 46 shows the production of extractive resources from 2015 – 2050 using scenario 3A. In 2015 total demand is 45.7 million tonnes. In 2026 it is estimated to be 56.2 million tonnes and in 2050 it is estimated to be 92.3 million tonnes."/>
      </w:tblPr>
      <w:tblGrid>
        <w:gridCol w:w="1475"/>
        <w:gridCol w:w="629"/>
        <w:gridCol w:w="629"/>
        <w:gridCol w:w="631"/>
        <w:gridCol w:w="630"/>
        <w:gridCol w:w="631"/>
        <w:gridCol w:w="630"/>
        <w:gridCol w:w="630"/>
        <w:gridCol w:w="631"/>
        <w:gridCol w:w="630"/>
        <w:gridCol w:w="631"/>
        <w:gridCol w:w="630"/>
        <w:gridCol w:w="631"/>
        <w:gridCol w:w="631"/>
        <w:gridCol w:w="631"/>
        <w:gridCol w:w="631"/>
        <w:gridCol w:w="631"/>
        <w:gridCol w:w="631"/>
        <w:gridCol w:w="631"/>
        <w:gridCol w:w="631"/>
        <w:gridCol w:w="605"/>
        <w:gridCol w:w="19"/>
        <w:gridCol w:w="7"/>
      </w:tblGrid>
      <w:tr w:rsidR="00BC31C3" w:rsidRPr="00133B47" w:rsidTr="009D73D3">
        <w:trPr>
          <w:gridAfter w:val="2"/>
          <w:wAfter w:w="26" w:type="dxa"/>
          <w:trHeight w:val="308"/>
        </w:trPr>
        <w:tc>
          <w:tcPr>
            <w:tcW w:w="14060" w:type="dxa"/>
            <w:gridSpan w:val="21"/>
            <w:shd w:val="clear" w:color="auto" w:fill="808080"/>
            <w:noWrap/>
            <w:vAlign w:val="bottom"/>
          </w:tcPr>
          <w:p w:rsidR="00BC31C3" w:rsidRPr="00E65C9D" w:rsidRDefault="00BC31C3" w:rsidP="00802792">
            <w:pPr>
              <w:pStyle w:val="EYTableHeadingWhite"/>
            </w:pPr>
            <w:bookmarkStart w:id="789" w:name="_Toc445240979"/>
            <w:bookmarkStart w:id="790" w:name="_Toc448914672"/>
            <w:bookmarkStart w:id="791" w:name="_Toc448920490"/>
            <w:r w:rsidRPr="00E65C9D">
              <w:t xml:space="preserve">Table </w:t>
            </w:r>
            <w:r w:rsidR="000701D2">
              <w:fldChar w:fldCharType="begin"/>
            </w:r>
            <w:r w:rsidR="000701D2">
              <w:instrText xml:space="preserve"> SEQ Table \* ARABIC </w:instrText>
            </w:r>
            <w:r w:rsidR="000701D2">
              <w:fldChar w:fldCharType="separate"/>
            </w:r>
            <w:r w:rsidR="00525C82">
              <w:rPr>
                <w:noProof/>
              </w:rPr>
              <w:t>46</w:t>
            </w:r>
            <w:r w:rsidR="000701D2">
              <w:rPr>
                <w:noProof/>
              </w:rPr>
              <w:fldChar w:fldCharType="end"/>
            </w:r>
            <w:r w:rsidRPr="00E65C9D">
              <w:t xml:space="preserve"> – Production of Extractive Resources in Victoria - 2015-2050 (in million tonnes) – Scenario 3B</w:t>
            </w:r>
            <w:bookmarkEnd w:id="789"/>
            <w:bookmarkEnd w:id="790"/>
            <w:bookmarkEnd w:id="791"/>
          </w:p>
        </w:tc>
      </w:tr>
      <w:tr w:rsidR="00C97112" w:rsidRPr="00133B47" w:rsidTr="00D3438A">
        <w:trPr>
          <w:trHeight w:val="293"/>
        </w:trPr>
        <w:tc>
          <w:tcPr>
            <w:tcW w:w="1475" w:type="dxa"/>
            <w:tcBorders>
              <w:bottom w:val="single" w:sz="4" w:space="0" w:color="BFBFBF" w:themeColor="background1" w:themeShade="BF"/>
            </w:tcBorders>
            <w:shd w:val="clear" w:color="auto" w:fill="F0F0F0"/>
            <w:vAlign w:val="bottom"/>
          </w:tcPr>
          <w:p w:rsidR="00BC31C3" w:rsidRPr="00E65C9D" w:rsidRDefault="00BC31C3" w:rsidP="00DE64F6">
            <w:pPr>
              <w:pStyle w:val="EYTableHeading"/>
              <w:rPr>
                <w:rFonts w:ascii="EYInterstate Light" w:eastAsia="Arial Unicode MS" w:hAnsi="EYInterstate Light"/>
              </w:rPr>
            </w:pPr>
            <w:r w:rsidRPr="00E65C9D">
              <w:rPr>
                <w:rFonts w:ascii="EYInterstate Light" w:hAnsi="EYInterstate Light"/>
              </w:rPr>
              <w:t>Rock type</w:t>
            </w:r>
          </w:p>
        </w:tc>
        <w:tc>
          <w:tcPr>
            <w:tcW w:w="629" w:type="dxa"/>
            <w:tcBorders>
              <w:bottom w:val="single" w:sz="4" w:space="0" w:color="BFBFBF" w:themeColor="background1" w:themeShade="BF"/>
            </w:tcBorders>
            <w:shd w:val="clear" w:color="auto" w:fill="F0F0F0"/>
            <w:vAlign w:val="bottom"/>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2015</w:t>
            </w:r>
          </w:p>
        </w:tc>
        <w:tc>
          <w:tcPr>
            <w:tcW w:w="629" w:type="dxa"/>
            <w:tcBorders>
              <w:bottom w:val="single" w:sz="4" w:space="0" w:color="BFBFBF" w:themeColor="background1" w:themeShade="BF"/>
            </w:tcBorders>
            <w:shd w:val="clear" w:color="auto" w:fill="F0F0F0"/>
            <w:vAlign w:val="bottom"/>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2016</w:t>
            </w:r>
          </w:p>
        </w:tc>
        <w:tc>
          <w:tcPr>
            <w:tcW w:w="631" w:type="dxa"/>
            <w:tcBorders>
              <w:bottom w:val="single" w:sz="4" w:space="0" w:color="BFBFBF" w:themeColor="background1" w:themeShade="BF"/>
            </w:tcBorders>
            <w:shd w:val="clear" w:color="auto" w:fill="F0F0F0"/>
            <w:vAlign w:val="bottom"/>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2017</w:t>
            </w:r>
          </w:p>
        </w:tc>
        <w:tc>
          <w:tcPr>
            <w:tcW w:w="630"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2018</w:t>
            </w:r>
          </w:p>
        </w:tc>
        <w:tc>
          <w:tcPr>
            <w:tcW w:w="631"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2019</w:t>
            </w:r>
          </w:p>
        </w:tc>
        <w:tc>
          <w:tcPr>
            <w:tcW w:w="630"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2020</w:t>
            </w:r>
          </w:p>
        </w:tc>
        <w:tc>
          <w:tcPr>
            <w:tcW w:w="630"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2021</w:t>
            </w:r>
          </w:p>
        </w:tc>
        <w:tc>
          <w:tcPr>
            <w:tcW w:w="631"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2022</w:t>
            </w:r>
          </w:p>
        </w:tc>
        <w:tc>
          <w:tcPr>
            <w:tcW w:w="630"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2023</w:t>
            </w:r>
          </w:p>
        </w:tc>
        <w:tc>
          <w:tcPr>
            <w:tcW w:w="631"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2024</w:t>
            </w:r>
          </w:p>
        </w:tc>
        <w:tc>
          <w:tcPr>
            <w:tcW w:w="630"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2025</w:t>
            </w:r>
          </w:p>
        </w:tc>
        <w:tc>
          <w:tcPr>
            <w:tcW w:w="631"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2026</w:t>
            </w:r>
          </w:p>
        </w:tc>
        <w:tc>
          <w:tcPr>
            <w:tcW w:w="631"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2027</w:t>
            </w:r>
          </w:p>
        </w:tc>
        <w:tc>
          <w:tcPr>
            <w:tcW w:w="631"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2028</w:t>
            </w:r>
          </w:p>
        </w:tc>
        <w:tc>
          <w:tcPr>
            <w:tcW w:w="631"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2029</w:t>
            </w:r>
          </w:p>
        </w:tc>
        <w:tc>
          <w:tcPr>
            <w:tcW w:w="631"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2030</w:t>
            </w:r>
          </w:p>
        </w:tc>
        <w:tc>
          <w:tcPr>
            <w:tcW w:w="631"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2035</w:t>
            </w:r>
          </w:p>
        </w:tc>
        <w:tc>
          <w:tcPr>
            <w:tcW w:w="631"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2040</w:t>
            </w:r>
          </w:p>
        </w:tc>
        <w:tc>
          <w:tcPr>
            <w:tcW w:w="631" w:type="dxa"/>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2045</w:t>
            </w:r>
          </w:p>
        </w:tc>
        <w:tc>
          <w:tcPr>
            <w:tcW w:w="631" w:type="dxa"/>
            <w:gridSpan w:val="3"/>
            <w:tcBorders>
              <w:bottom w:val="single" w:sz="4" w:space="0" w:color="BFBFBF" w:themeColor="background1" w:themeShade="BF"/>
            </w:tcBorders>
            <w:shd w:val="clear" w:color="auto" w:fill="F0F0F0"/>
          </w:tcPr>
          <w:p w:rsidR="00BC31C3" w:rsidRPr="00E65C9D" w:rsidRDefault="00BC31C3" w:rsidP="00DE64F6">
            <w:pPr>
              <w:pStyle w:val="EYTableHeading"/>
              <w:rPr>
                <w:rFonts w:ascii="EYInterstate Light" w:eastAsia="Arial Unicode MS" w:hAnsi="EYInterstate Light"/>
              </w:rPr>
            </w:pPr>
            <w:r w:rsidRPr="00E65C9D">
              <w:rPr>
                <w:rFonts w:ascii="EYInterstate Light" w:eastAsia="Arial Unicode MS" w:hAnsi="EYInterstate Light"/>
              </w:rPr>
              <w:t>2050</w:t>
            </w:r>
          </w:p>
        </w:tc>
      </w:tr>
      <w:tr w:rsidR="00BC31C3" w:rsidRPr="004839B9" w:rsidTr="00E65C9D">
        <w:trPr>
          <w:gridAfter w:val="1"/>
          <w:wAfter w:w="7" w:type="dxa"/>
          <w:trHeight w:val="308"/>
        </w:trPr>
        <w:tc>
          <w:tcPr>
            <w:tcW w:w="14079" w:type="dxa"/>
            <w:gridSpan w:val="22"/>
            <w:shd w:val="clear" w:color="auto" w:fill="A6A6A6" w:themeFill="background1" w:themeFillShade="A6"/>
            <w:noWrap/>
            <w:vAlign w:val="center"/>
          </w:tcPr>
          <w:p w:rsidR="00BC31C3" w:rsidRPr="004839B9" w:rsidRDefault="00BC31C3" w:rsidP="00802792">
            <w:pPr>
              <w:rPr>
                <w:rFonts w:cs="Calibri"/>
                <w:color w:val="FFFFFF" w:themeColor="background1"/>
                <w:sz w:val="16"/>
                <w:szCs w:val="16"/>
              </w:rPr>
            </w:pPr>
            <w:r w:rsidRPr="004839B9">
              <w:rPr>
                <w:color w:val="FFFFFF" w:themeColor="background1"/>
                <w:sz w:val="16"/>
                <w:szCs w:val="16"/>
              </w:rPr>
              <w:t>Scenario 3B</w:t>
            </w:r>
          </w:p>
        </w:tc>
      </w:tr>
      <w:tr w:rsidR="008115A9" w:rsidRPr="00133B47" w:rsidTr="00E65C9D">
        <w:trPr>
          <w:trHeight w:val="308"/>
        </w:trPr>
        <w:tc>
          <w:tcPr>
            <w:tcW w:w="1475" w:type="dxa"/>
            <w:noWrap/>
            <w:vAlign w:val="center"/>
          </w:tcPr>
          <w:p w:rsidR="008115A9" w:rsidRPr="00133B47" w:rsidRDefault="008115A9" w:rsidP="00DE64F6">
            <w:pPr>
              <w:rPr>
                <w:sz w:val="16"/>
                <w:szCs w:val="16"/>
              </w:rPr>
            </w:pPr>
            <w:r>
              <w:rPr>
                <w:sz w:val="16"/>
                <w:szCs w:val="16"/>
              </w:rPr>
              <w:t>Hard rock</w:t>
            </w:r>
          </w:p>
        </w:tc>
        <w:tc>
          <w:tcPr>
            <w:tcW w:w="629"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30.0</w:t>
            </w:r>
          </w:p>
        </w:tc>
        <w:tc>
          <w:tcPr>
            <w:tcW w:w="629"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30.7</w:t>
            </w:r>
          </w:p>
        </w:tc>
        <w:tc>
          <w:tcPr>
            <w:tcW w:w="631" w:type="dxa"/>
            <w:noWrap/>
            <w:vAlign w:val="center"/>
          </w:tcPr>
          <w:p w:rsidR="008115A9" w:rsidRPr="00E65C9D" w:rsidRDefault="008115A9" w:rsidP="000B01DD">
            <w:pPr>
              <w:jc w:val="center"/>
              <w:rPr>
                <w:rFonts w:cs="Calibri"/>
                <w:color w:val="000000"/>
                <w:sz w:val="16"/>
                <w:szCs w:val="16"/>
              </w:rPr>
            </w:pPr>
            <w:r w:rsidRPr="00E65C9D">
              <w:rPr>
                <w:rFonts w:cs="Calibri"/>
                <w:color w:val="000000"/>
                <w:sz w:val="16"/>
                <w:szCs w:val="16"/>
              </w:rPr>
              <w:t>31.4</w:t>
            </w:r>
          </w:p>
        </w:tc>
        <w:tc>
          <w:tcPr>
            <w:tcW w:w="630"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32.4</w:t>
            </w:r>
          </w:p>
        </w:tc>
        <w:tc>
          <w:tcPr>
            <w:tcW w:w="631"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33.2</w:t>
            </w:r>
          </w:p>
        </w:tc>
        <w:tc>
          <w:tcPr>
            <w:tcW w:w="630"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33.8</w:t>
            </w:r>
          </w:p>
        </w:tc>
        <w:tc>
          <w:tcPr>
            <w:tcW w:w="630"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35.0</w:t>
            </w:r>
          </w:p>
        </w:tc>
        <w:tc>
          <w:tcPr>
            <w:tcW w:w="631" w:type="dxa"/>
            <w:vAlign w:val="center"/>
          </w:tcPr>
          <w:p w:rsidR="008115A9" w:rsidRPr="00E65C9D" w:rsidRDefault="008115A9" w:rsidP="00701BAA">
            <w:pPr>
              <w:jc w:val="center"/>
              <w:rPr>
                <w:rFonts w:cs="Calibri"/>
                <w:color w:val="000000"/>
                <w:sz w:val="16"/>
                <w:szCs w:val="16"/>
              </w:rPr>
            </w:pPr>
            <w:r w:rsidRPr="00E65C9D">
              <w:rPr>
                <w:rFonts w:cs="Calibri"/>
                <w:color w:val="000000"/>
                <w:sz w:val="16"/>
                <w:szCs w:val="16"/>
              </w:rPr>
              <w:t>34.1</w:t>
            </w:r>
          </w:p>
        </w:tc>
        <w:tc>
          <w:tcPr>
            <w:tcW w:w="630" w:type="dxa"/>
            <w:vAlign w:val="center"/>
          </w:tcPr>
          <w:p w:rsidR="008115A9" w:rsidRPr="00E65C9D" w:rsidRDefault="008115A9" w:rsidP="00C27E63">
            <w:pPr>
              <w:jc w:val="center"/>
              <w:rPr>
                <w:rFonts w:cs="Calibri"/>
                <w:color w:val="000000"/>
                <w:sz w:val="16"/>
                <w:szCs w:val="16"/>
              </w:rPr>
            </w:pPr>
            <w:r w:rsidRPr="00E65C9D">
              <w:rPr>
                <w:rFonts w:cs="Calibri"/>
                <w:color w:val="000000"/>
                <w:sz w:val="16"/>
                <w:szCs w:val="16"/>
              </w:rPr>
              <w:t>35.0</w:t>
            </w:r>
          </w:p>
        </w:tc>
        <w:tc>
          <w:tcPr>
            <w:tcW w:w="631" w:type="dxa"/>
            <w:vAlign w:val="center"/>
          </w:tcPr>
          <w:p w:rsidR="008115A9" w:rsidRPr="00E65C9D" w:rsidRDefault="008115A9" w:rsidP="009320CC">
            <w:pPr>
              <w:jc w:val="center"/>
              <w:rPr>
                <w:rFonts w:cs="Calibri"/>
                <w:color w:val="000000"/>
                <w:sz w:val="16"/>
                <w:szCs w:val="16"/>
              </w:rPr>
            </w:pPr>
            <w:r w:rsidRPr="00E65C9D">
              <w:rPr>
                <w:rFonts w:cs="Calibri"/>
                <w:color w:val="000000"/>
                <w:sz w:val="16"/>
                <w:szCs w:val="16"/>
              </w:rPr>
              <w:t>36.3</w:t>
            </w:r>
          </w:p>
        </w:tc>
        <w:tc>
          <w:tcPr>
            <w:tcW w:w="630" w:type="dxa"/>
            <w:vAlign w:val="center"/>
          </w:tcPr>
          <w:p w:rsidR="008115A9" w:rsidRPr="00E65C9D" w:rsidRDefault="008115A9" w:rsidP="009320CC">
            <w:pPr>
              <w:jc w:val="center"/>
              <w:rPr>
                <w:rFonts w:cs="Calibri"/>
                <w:color w:val="000000"/>
                <w:sz w:val="16"/>
                <w:szCs w:val="16"/>
              </w:rPr>
            </w:pPr>
            <w:r w:rsidRPr="00E65C9D">
              <w:rPr>
                <w:rFonts w:cs="Calibri"/>
                <w:color w:val="000000"/>
                <w:sz w:val="16"/>
                <w:szCs w:val="16"/>
              </w:rPr>
              <w:t>37.2</w:t>
            </w:r>
          </w:p>
        </w:tc>
        <w:tc>
          <w:tcPr>
            <w:tcW w:w="631" w:type="dxa"/>
            <w:vAlign w:val="center"/>
          </w:tcPr>
          <w:p w:rsidR="008115A9" w:rsidRPr="00E65C9D" w:rsidRDefault="008115A9" w:rsidP="009320CC">
            <w:pPr>
              <w:jc w:val="center"/>
              <w:rPr>
                <w:rFonts w:cs="Calibri"/>
                <w:color w:val="000000"/>
                <w:sz w:val="16"/>
                <w:szCs w:val="16"/>
              </w:rPr>
            </w:pPr>
            <w:r w:rsidRPr="00E65C9D">
              <w:rPr>
                <w:rFonts w:cs="Calibri"/>
                <w:color w:val="000000"/>
                <w:sz w:val="16"/>
                <w:szCs w:val="16"/>
              </w:rPr>
              <w:t>38.3</w:t>
            </w:r>
          </w:p>
        </w:tc>
        <w:tc>
          <w:tcPr>
            <w:tcW w:w="631"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39.0</w:t>
            </w:r>
          </w:p>
        </w:tc>
        <w:tc>
          <w:tcPr>
            <w:tcW w:w="631"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40.4</w:t>
            </w:r>
          </w:p>
        </w:tc>
        <w:tc>
          <w:tcPr>
            <w:tcW w:w="631"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41.5</w:t>
            </w:r>
          </w:p>
        </w:tc>
        <w:tc>
          <w:tcPr>
            <w:tcW w:w="631"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42.6</w:t>
            </w:r>
          </w:p>
        </w:tc>
        <w:tc>
          <w:tcPr>
            <w:tcW w:w="631"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45.2</w:t>
            </w:r>
          </w:p>
        </w:tc>
        <w:tc>
          <w:tcPr>
            <w:tcW w:w="631"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51.3</w:t>
            </w:r>
          </w:p>
        </w:tc>
        <w:tc>
          <w:tcPr>
            <w:tcW w:w="631" w:type="dxa"/>
            <w:vAlign w:val="center"/>
          </w:tcPr>
          <w:p w:rsidR="008115A9" w:rsidRPr="00133B47" w:rsidRDefault="008115A9" w:rsidP="009320CC">
            <w:pPr>
              <w:jc w:val="center"/>
              <w:rPr>
                <w:rFonts w:cs="Calibri"/>
                <w:color w:val="000000"/>
                <w:sz w:val="16"/>
                <w:szCs w:val="16"/>
              </w:rPr>
            </w:pPr>
            <w:r w:rsidRPr="00E65C9D">
              <w:rPr>
                <w:rFonts w:cs="Calibri"/>
                <w:color w:val="000000"/>
                <w:sz w:val="16"/>
                <w:szCs w:val="16"/>
              </w:rPr>
              <w:t>58.3</w:t>
            </w:r>
          </w:p>
        </w:tc>
        <w:tc>
          <w:tcPr>
            <w:tcW w:w="631" w:type="dxa"/>
            <w:gridSpan w:val="3"/>
            <w:vAlign w:val="center"/>
          </w:tcPr>
          <w:p w:rsidR="008115A9" w:rsidRPr="00715DB8" w:rsidRDefault="008115A9" w:rsidP="009320CC">
            <w:pPr>
              <w:jc w:val="center"/>
              <w:rPr>
                <w:rFonts w:cs="Calibri"/>
                <w:color w:val="000000"/>
                <w:sz w:val="16"/>
                <w:szCs w:val="16"/>
              </w:rPr>
            </w:pPr>
            <w:r w:rsidRPr="00E65C9D">
              <w:rPr>
                <w:rFonts w:cs="Calibri"/>
                <w:color w:val="000000"/>
                <w:sz w:val="16"/>
                <w:szCs w:val="16"/>
              </w:rPr>
              <w:t>67.4</w:t>
            </w:r>
          </w:p>
        </w:tc>
      </w:tr>
      <w:tr w:rsidR="001E4FD3" w:rsidRPr="00133B47" w:rsidTr="00E65C9D">
        <w:trPr>
          <w:trHeight w:val="308"/>
        </w:trPr>
        <w:tc>
          <w:tcPr>
            <w:tcW w:w="1475" w:type="dxa"/>
            <w:noWrap/>
            <w:vAlign w:val="center"/>
          </w:tcPr>
          <w:p w:rsidR="001E4FD3" w:rsidRPr="00133B47" w:rsidRDefault="001E4FD3" w:rsidP="00DE64F6">
            <w:pPr>
              <w:rPr>
                <w:sz w:val="16"/>
                <w:szCs w:val="16"/>
              </w:rPr>
            </w:pPr>
            <w:r w:rsidRPr="00133B47">
              <w:rPr>
                <w:sz w:val="16"/>
                <w:szCs w:val="16"/>
              </w:rPr>
              <w:t>Clay and Clay Shale</w:t>
            </w:r>
          </w:p>
        </w:tc>
        <w:tc>
          <w:tcPr>
            <w:tcW w:w="629" w:type="dxa"/>
            <w:noWrap/>
            <w:vAlign w:val="center"/>
          </w:tcPr>
          <w:p w:rsidR="001E4FD3" w:rsidRPr="00133B47" w:rsidRDefault="001E4FD3" w:rsidP="00133B47">
            <w:pPr>
              <w:jc w:val="center"/>
              <w:rPr>
                <w:sz w:val="16"/>
                <w:szCs w:val="16"/>
              </w:rPr>
            </w:pPr>
            <w:r w:rsidRPr="00E65C9D">
              <w:rPr>
                <w:rFonts w:cs="Calibri"/>
                <w:color w:val="000000"/>
                <w:sz w:val="16"/>
                <w:szCs w:val="16"/>
              </w:rPr>
              <w:t>1.2</w:t>
            </w:r>
          </w:p>
        </w:tc>
        <w:tc>
          <w:tcPr>
            <w:tcW w:w="629" w:type="dxa"/>
            <w:noWrap/>
            <w:vAlign w:val="center"/>
          </w:tcPr>
          <w:p w:rsidR="001E4FD3" w:rsidRPr="00133B47" w:rsidRDefault="001E4FD3" w:rsidP="001E4FD3">
            <w:pPr>
              <w:jc w:val="center"/>
              <w:rPr>
                <w:sz w:val="16"/>
                <w:szCs w:val="16"/>
              </w:rPr>
            </w:pPr>
            <w:r w:rsidRPr="00E65C9D">
              <w:rPr>
                <w:rFonts w:cs="Calibri"/>
                <w:color w:val="000000"/>
                <w:sz w:val="16"/>
                <w:szCs w:val="16"/>
              </w:rPr>
              <w:t>1.2</w:t>
            </w:r>
          </w:p>
        </w:tc>
        <w:tc>
          <w:tcPr>
            <w:tcW w:w="631" w:type="dxa"/>
            <w:noWrap/>
            <w:vAlign w:val="center"/>
          </w:tcPr>
          <w:p w:rsidR="001E4FD3" w:rsidRPr="00133B47" w:rsidRDefault="001E4FD3" w:rsidP="001E4FD3">
            <w:pPr>
              <w:jc w:val="center"/>
              <w:rPr>
                <w:sz w:val="16"/>
                <w:szCs w:val="16"/>
              </w:rPr>
            </w:pPr>
            <w:r w:rsidRPr="00E65C9D">
              <w:rPr>
                <w:rFonts w:cs="Calibri"/>
                <w:color w:val="000000"/>
                <w:sz w:val="16"/>
                <w:szCs w:val="16"/>
              </w:rPr>
              <w:t>1.2</w:t>
            </w:r>
          </w:p>
        </w:tc>
        <w:tc>
          <w:tcPr>
            <w:tcW w:w="630" w:type="dxa"/>
            <w:vAlign w:val="center"/>
          </w:tcPr>
          <w:p w:rsidR="001E4FD3" w:rsidRPr="00133B47" w:rsidRDefault="001E4FD3" w:rsidP="001E4FD3">
            <w:pPr>
              <w:jc w:val="center"/>
              <w:rPr>
                <w:sz w:val="16"/>
                <w:szCs w:val="16"/>
              </w:rPr>
            </w:pPr>
            <w:r w:rsidRPr="00E65C9D">
              <w:rPr>
                <w:rFonts w:cs="Calibri"/>
                <w:color w:val="000000"/>
                <w:sz w:val="16"/>
                <w:szCs w:val="16"/>
              </w:rPr>
              <w:t>1.3</w:t>
            </w:r>
          </w:p>
        </w:tc>
        <w:tc>
          <w:tcPr>
            <w:tcW w:w="631" w:type="dxa"/>
            <w:vAlign w:val="center"/>
          </w:tcPr>
          <w:p w:rsidR="001E4FD3" w:rsidRPr="00133B47" w:rsidRDefault="001E4FD3" w:rsidP="001E4FD3">
            <w:pPr>
              <w:jc w:val="center"/>
              <w:rPr>
                <w:sz w:val="16"/>
                <w:szCs w:val="16"/>
              </w:rPr>
            </w:pPr>
            <w:r w:rsidRPr="00E65C9D">
              <w:rPr>
                <w:rFonts w:cs="Calibri"/>
                <w:color w:val="000000"/>
                <w:sz w:val="16"/>
                <w:szCs w:val="16"/>
              </w:rPr>
              <w:t>1.3</w:t>
            </w:r>
          </w:p>
        </w:tc>
        <w:tc>
          <w:tcPr>
            <w:tcW w:w="630" w:type="dxa"/>
            <w:vAlign w:val="center"/>
          </w:tcPr>
          <w:p w:rsidR="001E4FD3" w:rsidRPr="00133B47" w:rsidRDefault="001E4FD3" w:rsidP="001E4FD3">
            <w:pPr>
              <w:jc w:val="center"/>
              <w:rPr>
                <w:sz w:val="16"/>
                <w:szCs w:val="16"/>
              </w:rPr>
            </w:pPr>
            <w:r w:rsidRPr="00E65C9D">
              <w:rPr>
                <w:rFonts w:cs="Calibri"/>
                <w:color w:val="000000"/>
                <w:sz w:val="16"/>
                <w:szCs w:val="16"/>
              </w:rPr>
              <w:t>1.3</w:t>
            </w:r>
          </w:p>
        </w:tc>
        <w:tc>
          <w:tcPr>
            <w:tcW w:w="630" w:type="dxa"/>
            <w:vAlign w:val="center"/>
          </w:tcPr>
          <w:p w:rsidR="001E4FD3" w:rsidRPr="00133B47" w:rsidRDefault="001E4FD3" w:rsidP="00715DB8">
            <w:pPr>
              <w:jc w:val="center"/>
              <w:rPr>
                <w:sz w:val="16"/>
                <w:szCs w:val="16"/>
              </w:rPr>
            </w:pPr>
            <w:r w:rsidRPr="00E65C9D">
              <w:rPr>
                <w:rFonts w:cs="Calibri"/>
                <w:color w:val="000000"/>
                <w:sz w:val="16"/>
                <w:szCs w:val="16"/>
              </w:rPr>
              <w:t>1.4</w:t>
            </w:r>
          </w:p>
        </w:tc>
        <w:tc>
          <w:tcPr>
            <w:tcW w:w="631" w:type="dxa"/>
            <w:vAlign w:val="center"/>
          </w:tcPr>
          <w:p w:rsidR="001E4FD3" w:rsidRPr="00133B47" w:rsidRDefault="001E4FD3" w:rsidP="00715DB8">
            <w:pPr>
              <w:jc w:val="center"/>
              <w:rPr>
                <w:sz w:val="16"/>
                <w:szCs w:val="16"/>
              </w:rPr>
            </w:pPr>
            <w:r w:rsidRPr="00E65C9D">
              <w:rPr>
                <w:rFonts w:cs="Calibri"/>
                <w:color w:val="000000"/>
                <w:sz w:val="16"/>
                <w:szCs w:val="16"/>
              </w:rPr>
              <w:t>1.2</w:t>
            </w:r>
          </w:p>
        </w:tc>
        <w:tc>
          <w:tcPr>
            <w:tcW w:w="630" w:type="dxa"/>
            <w:vAlign w:val="center"/>
          </w:tcPr>
          <w:p w:rsidR="001E4FD3" w:rsidRPr="00133B47" w:rsidRDefault="001E4FD3" w:rsidP="00715DB8">
            <w:pPr>
              <w:jc w:val="center"/>
              <w:rPr>
                <w:sz w:val="16"/>
                <w:szCs w:val="16"/>
              </w:rPr>
            </w:pPr>
            <w:r w:rsidRPr="00E65C9D">
              <w:rPr>
                <w:rFonts w:cs="Calibri"/>
                <w:color w:val="000000"/>
                <w:sz w:val="16"/>
                <w:szCs w:val="16"/>
              </w:rPr>
              <w:t>1.2</w:t>
            </w:r>
          </w:p>
        </w:tc>
        <w:tc>
          <w:tcPr>
            <w:tcW w:w="631" w:type="dxa"/>
            <w:vAlign w:val="center"/>
          </w:tcPr>
          <w:p w:rsidR="001E4FD3" w:rsidRPr="00133B47" w:rsidRDefault="001E4FD3" w:rsidP="00715DB8">
            <w:pPr>
              <w:jc w:val="center"/>
              <w:rPr>
                <w:sz w:val="16"/>
                <w:szCs w:val="16"/>
              </w:rPr>
            </w:pPr>
            <w:r w:rsidRPr="00E65C9D">
              <w:rPr>
                <w:rFonts w:cs="Calibri"/>
                <w:color w:val="000000"/>
                <w:sz w:val="16"/>
                <w:szCs w:val="16"/>
              </w:rPr>
              <w:t>1.3</w:t>
            </w:r>
          </w:p>
        </w:tc>
        <w:tc>
          <w:tcPr>
            <w:tcW w:w="630" w:type="dxa"/>
            <w:vAlign w:val="center"/>
          </w:tcPr>
          <w:p w:rsidR="001E4FD3" w:rsidRPr="00133B47" w:rsidRDefault="001E4FD3" w:rsidP="0063661C">
            <w:pPr>
              <w:jc w:val="center"/>
              <w:rPr>
                <w:sz w:val="16"/>
                <w:szCs w:val="16"/>
              </w:rPr>
            </w:pPr>
            <w:r w:rsidRPr="00E65C9D">
              <w:rPr>
                <w:rFonts w:cs="Calibri"/>
                <w:color w:val="000000"/>
                <w:sz w:val="16"/>
                <w:szCs w:val="16"/>
              </w:rPr>
              <w:t>1.3</w:t>
            </w:r>
          </w:p>
        </w:tc>
        <w:tc>
          <w:tcPr>
            <w:tcW w:w="631" w:type="dxa"/>
            <w:vAlign w:val="center"/>
          </w:tcPr>
          <w:p w:rsidR="001E4FD3" w:rsidRPr="00133B47" w:rsidRDefault="001E4FD3" w:rsidP="006A7DDB">
            <w:pPr>
              <w:jc w:val="center"/>
              <w:rPr>
                <w:sz w:val="16"/>
                <w:szCs w:val="16"/>
              </w:rPr>
            </w:pPr>
            <w:r w:rsidRPr="00E65C9D">
              <w:rPr>
                <w:rFonts w:cs="Calibri"/>
                <w:color w:val="000000"/>
                <w:sz w:val="16"/>
                <w:szCs w:val="16"/>
              </w:rPr>
              <w:t>1.3</w:t>
            </w:r>
          </w:p>
        </w:tc>
        <w:tc>
          <w:tcPr>
            <w:tcW w:w="631" w:type="dxa"/>
            <w:vAlign w:val="center"/>
          </w:tcPr>
          <w:p w:rsidR="001E4FD3" w:rsidRPr="00133B47" w:rsidRDefault="001E4FD3" w:rsidP="00906667">
            <w:pPr>
              <w:jc w:val="center"/>
              <w:rPr>
                <w:rFonts w:cs="Calibri"/>
                <w:color w:val="000000"/>
                <w:sz w:val="16"/>
                <w:szCs w:val="16"/>
              </w:rPr>
            </w:pPr>
            <w:r w:rsidRPr="00E65C9D">
              <w:rPr>
                <w:rFonts w:cs="Calibri"/>
                <w:color w:val="000000"/>
                <w:sz w:val="16"/>
                <w:szCs w:val="16"/>
              </w:rPr>
              <w:t>1.4</w:t>
            </w:r>
          </w:p>
        </w:tc>
        <w:tc>
          <w:tcPr>
            <w:tcW w:w="631" w:type="dxa"/>
            <w:vAlign w:val="center"/>
          </w:tcPr>
          <w:p w:rsidR="001E4FD3" w:rsidRPr="00133B47" w:rsidRDefault="001E4FD3" w:rsidP="00D25BB1">
            <w:pPr>
              <w:jc w:val="center"/>
              <w:rPr>
                <w:rFonts w:cs="Calibri"/>
                <w:color w:val="000000"/>
                <w:sz w:val="16"/>
                <w:szCs w:val="16"/>
              </w:rPr>
            </w:pPr>
            <w:r w:rsidRPr="00E65C9D">
              <w:rPr>
                <w:rFonts w:cs="Calibri"/>
                <w:color w:val="000000"/>
                <w:sz w:val="16"/>
                <w:szCs w:val="16"/>
              </w:rPr>
              <w:t>1.4</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1.4</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1.5</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1.3</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1.4</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1.6</w:t>
            </w:r>
          </w:p>
        </w:tc>
        <w:tc>
          <w:tcPr>
            <w:tcW w:w="631" w:type="dxa"/>
            <w:gridSpan w:val="3"/>
            <w:vAlign w:val="center"/>
          </w:tcPr>
          <w:p w:rsidR="001E4FD3" w:rsidRPr="00715DB8" w:rsidRDefault="001E4FD3">
            <w:pPr>
              <w:jc w:val="center"/>
              <w:rPr>
                <w:rFonts w:cs="Calibri"/>
                <w:color w:val="000000"/>
                <w:sz w:val="16"/>
                <w:szCs w:val="16"/>
              </w:rPr>
            </w:pPr>
            <w:r w:rsidRPr="00E65C9D">
              <w:rPr>
                <w:rFonts w:cs="Calibri"/>
                <w:color w:val="000000"/>
                <w:sz w:val="16"/>
                <w:szCs w:val="16"/>
              </w:rPr>
              <w:t>1.7</w:t>
            </w:r>
          </w:p>
        </w:tc>
      </w:tr>
      <w:tr w:rsidR="001E4FD3" w:rsidRPr="00133B47" w:rsidTr="00E65C9D">
        <w:trPr>
          <w:trHeight w:val="308"/>
        </w:trPr>
        <w:tc>
          <w:tcPr>
            <w:tcW w:w="1475" w:type="dxa"/>
            <w:noWrap/>
            <w:vAlign w:val="center"/>
          </w:tcPr>
          <w:p w:rsidR="001E4FD3" w:rsidRPr="00133B47" w:rsidRDefault="001E4FD3" w:rsidP="00DE64F6">
            <w:pPr>
              <w:rPr>
                <w:sz w:val="16"/>
                <w:szCs w:val="16"/>
              </w:rPr>
            </w:pPr>
            <w:r w:rsidRPr="00133B47">
              <w:rPr>
                <w:sz w:val="16"/>
                <w:szCs w:val="16"/>
              </w:rPr>
              <w:t>Limestone</w:t>
            </w:r>
          </w:p>
        </w:tc>
        <w:tc>
          <w:tcPr>
            <w:tcW w:w="629" w:type="dxa"/>
            <w:noWrap/>
            <w:vAlign w:val="center"/>
          </w:tcPr>
          <w:p w:rsidR="001E4FD3" w:rsidRPr="00133B47" w:rsidRDefault="001E4FD3" w:rsidP="00133B47">
            <w:pPr>
              <w:jc w:val="center"/>
              <w:rPr>
                <w:sz w:val="16"/>
                <w:szCs w:val="16"/>
              </w:rPr>
            </w:pPr>
            <w:r w:rsidRPr="00E65C9D">
              <w:rPr>
                <w:rFonts w:cs="Calibri"/>
                <w:color w:val="000000"/>
                <w:sz w:val="16"/>
                <w:szCs w:val="16"/>
              </w:rPr>
              <w:t>2.1</w:t>
            </w:r>
          </w:p>
        </w:tc>
        <w:tc>
          <w:tcPr>
            <w:tcW w:w="629" w:type="dxa"/>
            <w:noWrap/>
            <w:vAlign w:val="center"/>
          </w:tcPr>
          <w:p w:rsidR="001E4FD3" w:rsidRPr="00133B47" w:rsidRDefault="001E4FD3" w:rsidP="001E4FD3">
            <w:pPr>
              <w:jc w:val="center"/>
              <w:rPr>
                <w:sz w:val="16"/>
                <w:szCs w:val="16"/>
              </w:rPr>
            </w:pPr>
            <w:r w:rsidRPr="00E65C9D">
              <w:rPr>
                <w:rFonts w:cs="Calibri"/>
                <w:color w:val="000000"/>
                <w:sz w:val="16"/>
                <w:szCs w:val="16"/>
              </w:rPr>
              <w:t>2.1</w:t>
            </w:r>
          </w:p>
        </w:tc>
        <w:tc>
          <w:tcPr>
            <w:tcW w:w="631" w:type="dxa"/>
            <w:noWrap/>
            <w:vAlign w:val="center"/>
          </w:tcPr>
          <w:p w:rsidR="001E4FD3" w:rsidRPr="00133B47" w:rsidRDefault="001E4FD3" w:rsidP="001E4FD3">
            <w:pPr>
              <w:jc w:val="center"/>
              <w:rPr>
                <w:sz w:val="16"/>
                <w:szCs w:val="16"/>
              </w:rPr>
            </w:pPr>
            <w:r w:rsidRPr="00E65C9D">
              <w:rPr>
                <w:rFonts w:cs="Calibri"/>
                <w:color w:val="000000"/>
                <w:sz w:val="16"/>
                <w:szCs w:val="16"/>
              </w:rPr>
              <w:t>2.2</w:t>
            </w:r>
          </w:p>
        </w:tc>
        <w:tc>
          <w:tcPr>
            <w:tcW w:w="630" w:type="dxa"/>
            <w:vAlign w:val="center"/>
          </w:tcPr>
          <w:p w:rsidR="001E4FD3" w:rsidRPr="00133B47" w:rsidRDefault="001E4FD3" w:rsidP="001E4FD3">
            <w:pPr>
              <w:jc w:val="center"/>
              <w:rPr>
                <w:sz w:val="16"/>
                <w:szCs w:val="16"/>
              </w:rPr>
            </w:pPr>
            <w:r w:rsidRPr="00E65C9D">
              <w:rPr>
                <w:rFonts w:cs="Calibri"/>
                <w:color w:val="000000"/>
                <w:sz w:val="16"/>
                <w:szCs w:val="16"/>
              </w:rPr>
              <w:t>2.2</w:t>
            </w:r>
          </w:p>
        </w:tc>
        <w:tc>
          <w:tcPr>
            <w:tcW w:w="631" w:type="dxa"/>
            <w:vAlign w:val="center"/>
          </w:tcPr>
          <w:p w:rsidR="001E4FD3" w:rsidRPr="00133B47" w:rsidRDefault="001E4FD3" w:rsidP="001E4FD3">
            <w:pPr>
              <w:jc w:val="center"/>
              <w:rPr>
                <w:sz w:val="16"/>
                <w:szCs w:val="16"/>
              </w:rPr>
            </w:pPr>
            <w:r w:rsidRPr="00E65C9D">
              <w:rPr>
                <w:rFonts w:cs="Calibri"/>
                <w:color w:val="000000"/>
                <w:sz w:val="16"/>
                <w:szCs w:val="16"/>
              </w:rPr>
              <w:t>2.3</w:t>
            </w:r>
          </w:p>
        </w:tc>
        <w:tc>
          <w:tcPr>
            <w:tcW w:w="630" w:type="dxa"/>
            <w:vAlign w:val="center"/>
          </w:tcPr>
          <w:p w:rsidR="001E4FD3" w:rsidRPr="00133B47" w:rsidRDefault="001E4FD3" w:rsidP="001E4FD3">
            <w:pPr>
              <w:jc w:val="center"/>
              <w:rPr>
                <w:sz w:val="16"/>
                <w:szCs w:val="16"/>
              </w:rPr>
            </w:pPr>
            <w:r w:rsidRPr="00E65C9D">
              <w:rPr>
                <w:rFonts w:cs="Calibri"/>
                <w:color w:val="000000"/>
                <w:sz w:val="16"/>
                <w:szCs w:val="16"/>
              </w:rPr>
              <w:t>2.3</w:t>
            </w:r>
          </w:p>
        </w:tc>
        <w:tc>
          <w:tcPr>
            <w:tcW w:w="630" w:type="dxa"/>
            <w:vAlign w:val="center"/>
          </w:tcPr>
          <w:p w:rsidR="001E4FD3" w:rsidRPr="00133B47" w:rsidRDefault="001E4FD3" w:rsidP="00715DB8">
            <w:pPr>
              <w:jc w:val="center"/>
              <w:rPr>
                <w:sz w:val="16"/>
                <w:szCs w:val="16"/>
              </w:rPr>
            </w:pPr>
            <w:r w:rsidRPr="00E65C9D">
              <w:rPr>
                <w:rFonts w:cs="Calibri"/>
                <w:color w:val="000000"/>
                <w:sz w:val="16"/>
                <w:szCs w:val="16"/>
              </w:rPr>
              <w:t>2.4</w:t>
            </w:r>
          </w:p>
        </w:tc>
        <w:tc>
          <w:tcPr>
            <w:tcW w:w="631" w:type="dxa"/>
            <w:vAlign w:val="center"/>
          </w:tcPr>
          <w:p w:rsidR="001E4FD3" w:rsidRPr="00133B47" w:rsidRDefault="001E4FD3" w:rsidP="00715DB8">
            <w:pPr>
              <w:jc w:val="center"/>
              <w:rPr>
                <w:sz w:val="16"/>
                <w:szCs w:val="16"/>
              </w:rPr>
            </w:pPr>
            <w:r w:rsidRPr="00E65C9D">
              <w:rPr>
                <w:rFonts w:cs="Calibri"/>
                <w:color w:val="000000"/>
                <w:sz w:val="16"/>
                <w:szCs w:val="16"/>
              </w:rPr>
              <w:t>2.5</w:t>
            </w:r>
          </w:p>
        </w:tc>
        <w:tc>
          <w:tcPr>
            <w:tcW w:w="630" w:type="dxa"/>
            <w:vAlign w:val="center"/>
          </w:tcPr>
          <w:p w:rsidR="001E4FD3" w:rsidRPr="00133B47" w:rsidRDefault="001E4FD3" w:rsidP="00715DB8">
            <w:pPr>
              <w:jc w:val="center"/>
              <w:rPr>
                <w:sz w:val="16"/>
                <w:szCs w:val="16"/>
              </w:rPr>
            </w:pPr>
            <w:r w:rsidRPr="00E65C9D">
              <w:rPr>
                <w:rFonts w:cs="Calibri"/>
                <w:color w:val="000000"/>
                <w:sz w:val="16"/>
                <w:szCs w:val="16"/>
              </w:rPr>
              <w:t>2.6</w:t>
            </w:r>
          </w:p>
        </w:tc>
        <w:tc>
          <w:tcPr>
            <w:tcW w:w="631" w:type="dxa"/>
            <w:vAlign w:val="center"/>
          </w:tcPr>
          <w:p w:rsidR="001E4FD3" w:rsidRPr="00133B47" w:rsidRDefault="001E4FD3" w:rsidP="00715DB8">
            <w:pPr>
              <w:jc w:val="center"/>
              <w:rPr>
                <w:sz w:val="16"/>
                <w:szCs w:val="16"/>
              </w:rPr>
            </w:pPr>
            <w:r w:rsidRPr="00E65C9D">
              <w:rPr>
                <w:rFonts w:cs="Calibri"/>
                <w:color w:val="000000"/>
                <w:sz w:val="16"/>
                <w:szCs w:val="16"/>
              </w:rPr>
              <w:t>2.7</w:t>
            </w:r>
          </w:p>
        </w:tc>
        <w:tc>
          <w:tcPr>
            <w:tcW w:w="630" w:type="dxa"/>
            <w:vAlign w:val="center"/>
          </w:tcPr>
          <w:p w:rsidR="001E4FD3" w:rsidRPr="00133B47" w:rsidRDefault="001E4FD3" w:rsidP="0063661C">
            <w:pPr>
              <w:jc w:val="center"/>
              <w:rPr>
                <w:sz w:val="16"/>
                <w:szCs w:val="16"/>
              </w:rPr>
            </w:pPr>
            <w:r w:rsidRPr="00E65C9D">
              <w:rPr>
                <w:rFonts w:cs="Calibri"/>
                <w:color w:val="000000"/>
                <w:sz w:val="16"/>
                <w:szCs w:val="16"/>
              </w:rPr>
              <w:t>2.7</w:t>
            </w:r>
          </w:p>
        </w:tc>
        <w:tc>
          <w:tcPr>
            <w:tcW w:w="631" w:type="dxa"/>
            <w:vAlign w:val="center"/>
          </w:tcPr>
          <w:p w:rsidR="001E4FD3" w:rsidRPr="00133B47" w:rsidRDefault="001E4FD3" w:rsidP="006A7DDB">
            <w:pPr>
              <w:jc w:val="center"/>
              <w:rPr>
                <w:sz w:val="16"/>
                <w:szCs w:val="16"/>
              </w:rPr>
            </w:pPr>
            <w:r w:rsidRPr="00E65C9D">
              <w:rPr>
                <w:rFonts w:cs="Calibri"/>
                <w:color w:val="000000"/>
                <w:sz w:val="16"/>
                <w:szCs w:val="16"/>
              </w:rPr>
              <w:t>2.8</w:t>
            </w:r>
          </w:p>
        </w:tc>
        <w:tc>
          <w:tcPr>
            <w:tcW w:w="631" w:type="dxa"/>
            <w:vAlign w:val="center"/>
          </w:tcPr>
          <w:p w:rsidR="001E4FD3" w:rsidRPr="00133B47" w:rsidRDefault="001E4FD3" w:rsidP="00906667">
            <w:pPr>
              <w:jc w:val="center"/>
              <w:rPr>
                <w:rFonts w:cs="Calibri"/>
                <w:color w:val="000000"/>
                <w:sz w:val="16"/>
                <w:szCs w:val="16"/>
              </w:rPr>
            </w:pPr>
            <w:r w:rsidRPr="00E65C9D">
              <w:rPr>
                <w:rFonts w:cs="Calibri"/>
                <w:color w:val="000000"/>
                <w:sz w:val="16"/>
                <w:szCs w:val="16"/>
              </w:rPr>
              <w:t>2.9</w:t>
            </w:r>
          </w:p>
        </w:tc>
        <w:tc>
          <w:tcPr>
            <w:tcW w:w="631" w:type="dxa"/>
            <w:vAlign w:val="center"/>
          </w:tcPr>
          <w:p w:rsidR="001E4FD3" w:rsidRPr="00133B47" w:rsidRDefault="001E4FD3" w:rsidP="00D25BB1">
            <w:pPr>
              <w:jc w:val="center"/>
              <w:rPr>
                <w:rFonts w:cs="Calibri"/>
                <w:color w:val="000000"/>
                <w:sz w:val="16"/>
                <w:szCs w:val="16"/>
              </w:rPr>
            </w:pPr>
            <w:r w:rsidRPr="00E65C9D">
              <w:rPr>
                <w:rFonts w:cs="Calibri"/>
                <w:color w:val="000000"/>
                <w:sz w:val="16"/>
                <w:szCs w:val="16"/>
              </w:rPr>
              <w:t>3.0</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3.0</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3.1</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3.6</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4.1</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4.7</w:t>
            </w:r>
          </w:p>
        </w:tc>
        <w:tc>
          <w:tcPr>
            <w:tcW w:w="631" w:type="dxa"/>
            <w:gridSpan w:val="3"/>
            <w:vAlign w:val="center"/>
          </w:tcPr>
          <w:p w:rsidR="001E4FD3" w:rsidRPr="00715DB8" w:rsidRDefault="001E4FD3">
            <w:pPr>
              <w:jc w:val="center"/>
              <w:rPr>
                <w:rFonts w:cs="Calibri"/>
                <w:color w:val="000000"/>
                <w:sz w:val="16"/>
                <w:szCs w:val="16"/>
              </w:rPr>
            </w:pPr>
            <w:r w:rsidRPr="00E65C9D">
              <w:rPr>
                <w:rFonts w:cs="Calibri"/>
                <w:color w:val="000000"/>
                <w:sz w:val="16"/>
                <w:szCs w:val="16"/>
              </w:rPr>
              <w:t>5.4</w:t>
            </w:r>
          </w:p>
        </w:tc>
      </w:tr>
      <w:tr w:rsidR="001E4FD3" w:rsidRPr="00133B47" w:rsidTr="00E65C9D">
        <w:trPr>
          <w:trHeight w:val="308"/>
        </w:trPr>
        <w:tc>
          <w:tcPr>
            <w:tcW w:w="1475" w:type="dxa"/>
            <w:noWrap/>
            <w:vAlign w:val="center"/>
          </w:tcPr>
          <w:p w:rsidR="001E4FD3" w:rsidRPr="00133B47" w:rsidRDefault="001E4FD3" w:rsidP="00DE64F6">
            <w:pPr>
              <w:rPr>
                <w:sz w:val="16"/>
                <w:szCs w:val="16"/>
              </w:rPr>
            </w:pPr>
            <w:r w:rsidRPr="00133B47">
              <w:rPr>
                <w:sz w:val="16"/>
                <w:szCs w:val="16"/>
              </w:rPr>
              <w:t>Sand and Gravel</w:t>
            </w:r>
          </w:p>
        </w:tc>
        <w:tc>
          <w:tcPr>
            <w:tcW w:w="629" w:type="dxa"/>
            <w:noWrap/>
            <w:vAlign w:val="center"/>
          </w:tcPr>
          <w:p w:rsidR="001E4FD3" w:rsidRPr="00133B47" w:rsidRDefault="001E4FD3" w:rsidP="00133B47">
            <w:pPr>
              <w:jc w:val="center"/>
              <w:rPr>
                <w:rFonts w:cs="Calibri"/>
                <w:color w:val="000000"/>
                <w:sz w:val="16"/>
                <w:szCs w:val="16"/>
              </w:rPr>
            </w:pPr>
            <w:r w:rsidRPr="00E65C9D">
              <w:rPr>
                <w:rFonts w:cs="Calibri"/>
                <w:color w:val="000000"/>
                <w:sz w:val="16"/>
                <w:szCs w:val="16"/>
              </w:rPr>
              <w:t>12.4</w:t>
            </w:r>
          </w:p>
        </w:tc>
        <w:tc>
          <w:tcPr>
            <w:tcW w:w="629" w:type="dxa"/>
            <w:noWrap/>
            <w:vAlign w:val="center"/>
          </w:tcPr>
          <w:p w:rsidR="001E4FD3" w:rsidRPr="00133B47" w:rsidRDefault="001E4FD3" w:rsidP="001E4FD3">
            <w:pPr>
              <w:jc w:val="center"/>
              <w:rPr>
                <w:rFonts w:cs="Calibri"/>
                <w:color w:val="000000"/>
                <w:sz w:val="16"/>
                <w:szCs w:val="16"/>
              </w:rPr>
            </w:pPr>
            <w:r w:rsidRPr="00E65C9D">
              <w:rPr>
                <w:rFonts w:cs="Calibri"/>
                <w:color w:val="000000"/>
                <w:sz w:val="16"/>
                <w:szCs w:val="16"/>
              </w:rPr>
              <w:t>12.7</w:t>
            </w:r>
          </w:p>
        </w:tc>
        <w:tc>
          <w:tcPr>
            <w:tcW w:w="631" w:type="dxa"/>
            <w:noWrap/>
            <w:vAlign w:val="center"/>
          </w:tcPr>
          <w:p w:rsidR="001E4FD3" w:rsidRPr="00133B47" w:rsidRDefault="001E4FD3" w:rsidP="001E4FD3">
            <w:pPr>
              <w:jc w:val="center"/>
              <w:rPr>
                <w:rFonts w:cs="Calibri"/>
                <w:color w:val="000000"/>
                <w:sz w:val="16"/>
                <w:szCs w:val="16"/>
              </w:rPr>
            </w:pPr>
            <w:r w:rsidRPr="00E65C9D">
              <w:rPr>
                <w:rFonts w:cs="Calibri"/>
                <w:color w:val="000000"/>
                <w:sz w:val="16"/>
                <w:szCs w:val="16"/>
              </w:rPr>
              <w:t>12.9</w:t>
            </w:r>
          </w:p>
        </w:tc>
        <w:tc>
          <w:tcPr>
            <w:tcW w:w="630" w:type="dxa"/>
            <w:vAlign w:val="center"/>
          </w:tcPr>
          <w:p w:rsidR="001E4FD3" w:rsidRPr="00133B47" w:rsidRDefault="001E4FD3" w:rsidP="001E4FD3">
            <w:pPr>
              <w:jc w:val="center"/>
              <w:rPr>
                <w:rFonts w:cs="Calibri"/>
                <w:color w:val="000000"/>
                <w:sz w:val="16"/>
                <w:szCs w:val="16"/>
              </w:rPr>
            </w:pPr>
            <w:r w:rsidRPr="00E65C9D">
              <w:rPr>
                <w:rFonts w:cs="Calibri"/>
                <w:color w:val="000000"/>
                <w:sz w:val="16"/>
                <w:szCs w:val="16"/>
              </w:rPr>
              <w:t>13.3</w:t>
            </w:r>
          </w:p>
        </w:tc>
        <w:tc>
          <w:tcPr>
            <w:tcW w:w="631" w:type="dxa"/>
            <w:vAlign w:val="center"/>
          </w:tcPr>
          <w:p w:rsidR="001E4FD3" w:rsidRPr="00133B47" w:rsidRDefault="001E4FD3" w:rsidP="001E4FD3">
            <w:pPr>
              <w:jc w:val="center"/>
              <w:rPr>
                <w:rFonts w:cs="Calibri"/>
                <w:color w:val="000000"/>
                <w:sz w:val="16"/>
                <w:szCs w:val="16"/>
              </w:rPr>
            </w:pPr>
            <w:r w:rsidRPr="00E65C9D">
              <w:rPr>
                <w:rFonts w:cs="Calibri"/>
                <w:color w:val="000000"/>
                <w:sz w:val="16"/>
                <w:szCs w:val="16"/>
              </w:rPr>
              <w:t>13.7</w:t>
            </w:r>
          </w:p>
        </w:tc>
        <w:tc>
          <w:tcPr>
            <w:tcW w:w="630" w:type="dxa"/>
            <w:vAlign w:val="center"/>
          </w:tcPr>
          <w:p w:rsidR="001E4FD3" w:rsidRPr="00133B47" w:rsidRDefault="001E4FD3" w:rsidP="001E4FD3">
            <w:pPr>
              <w:jc w:val="center"/>
              <w:rPr>
                <w:rFonts w:cs="Calibri"/>
                <w:color w:val="000000"/>
                <w:sz w:val="16"/>
                <w:szCs w:val="16"/>
              </w:rPr>
            </w:pPr>
            <w:r w:rsidRPr="00E65C9D">
              <w:rPr>
                <w:rFonts w:cs="Calibri"/>
                <w:color w:val="000000"/>
                <w:sz w:val="16"/>
                <w:szCs w:val="16"/>
              </w:rPr>
              <w:t>14.0</w:t>
            </w:r>
          </w:p>
        </w:tc>
        <w:tc>
          <w:tcPr>
            <w:tcW w:w="630" w:type="dxa"/>
            <w:vAlign w:val="center"/>
          </w:tcPr>
          <w:p w:rsidR="001E4FD3" w:rsidRPr="00133B47" w:rsidRDefault="001E4FD3" w:rsidP="00715DB8">
            <w:pPr>
              <w:jc w:val="center"/>
              <w:rPr>
                <w:rFonts w:cs="Calibri"/>
                <w:color w:val="000000"/>
                <w:sz w:val="16"/>
                <w:szCs w:val="16"/>
              </w:rPr>
            </w:pPr>
            <w:r w:rsidRPr="00E65C9D">
              <w:rPr>
                <w:rFonts w:cs="Calibri"/>
                <w:color w:val="000000"/>
                <w:sz w:val="16"/>
                <w:szCs w:val="16"/>
              </w:rPr>
              <w:t>14.4</w:t>
            </w:r>
          </w:p>
        </w:tc>
        <w:tc>
          <w:tcPr>
            <w:tcW w:w="631" w:type="dxa"/>
            <w:vAlign w:val="center"/>
          </w:tcPr>
          <w:p w:rsidR="001E4FD3" w:rsidRPr="00133B47" w:rsidRDefault="001E4FD3" w:rsidP="00715DB8">
            <w:pPr>
              <w:jc w:val="center"/>
              <w:rPr>
                <w:rFonts w:cs="Calibri"/>
                <w:color w:val="000000"/>
                <w:sz w:val="16"/>
                <w:szCs w:val="16"/>
              </w:rPr>
            </w:pPr>
            <w:r w:rsidRPr="00E65C9D">
              <w:rPr>
                <w:rFonts w:cs="Calibri"/>
                <w:color w:val="000000"/>
                <w:sz w:val="16"/>
                <w:szCs w:val="16"/>
              </w:rPr>
              <w:t>12.4</w:t>
            </w:r>
          </w:p>
        </w:tc>
        <w:tc>
          <w:tcPr>
            <w:tcW w:w="630" w:type="dxa"/>
            <w:vAlign w:val="center"/>
          </w:tcPr>
          <w:p w:rsidR="001E4FD3" w:rsidRPr="00133B47" w:rsidRDefault="001E4FD3" w:rsidP="00715DB8">
            <w:pPr>
              <w:jc w:val="center"/>
              <w:rPr>
                <w:rFonts w:cs="Calibri"/>
                <w:color w:val="000000"/>
                <w:sz w:val="16"/>
                <w:szCs w:val="16"/>
              </w:rPr>
            </w:pPr>
            <w:r w:rsidRPr="00E65C9D">
              <w:rPr>
                <w:rFonts w:cs="Calibri"/>
                <w:color w:val="000000"/>
                <w:sz w:val="16"/>
                <w:szCs w:val="16"/>
              </w:rPr>
              <w:t>12.8</w:t>
            </w:r>
          </w:p>
        </w:tc>
        <w:tc>
          <w:tcPr>
            <w:tcW w:w="631" w:type="dxa"/>
            <w:vAlign w:val="center"/>
          </w:tcPr>
          <w:p w:rsidR="001E4FD3" w:rsidRPr="00133B47" w:rsidRDefault="001E4FD3" w:rsidP="00715DB8">
            <w:pPr>
              <w:jc w:val="center"/>
              <w:rPr>
                <w:rFonts w:cs="Calibri"/>
                <w:color w:val="000000"/>
                <w:sz w:val="16"/>
                <w:szCs w:val="16"/>
              </w:rPr>
            </w:pPr>
            <w:r w:rsidRPr="00E65C9D">
              <w:rPr>
                <w:rFonts w:cs="Calibri"/>
                <w:color w:val="000000"/>
                <w:sz w:val="16"/>
                <w:szCs w:val="16"/>
              </w:rPr>
              <w:t>13.2</w:t>
            </w:r>
          </w:p>
        </w:tc>
        <w:tc>
          <w:tcPr>
            <w:tcW w:w="630" w:type="dxa"/>
            <w:vAlign w:val="center"/>
          </w:tcPr>
          <w:p w:rsidR="001E4FD3" w:rsidRPr="00133B47" w:rsidRDefault="001E4FD3" w:rsidP="0063661C">
            <w:pPr>
              <w:jc w:val="center"/>
              <w:rPr>
                <w:rFonts w:cs="Calibri"/>
                <w:color w:val="000000"/>
                <w:sz w:val="16"/>
                <w:szCs w:val="16"/>
              </w:rPr>
            </w:pPr>
            <w:r w:rsidRPr="00E65C9D">
              <w:rPr>
                <w:rFonts w:cs="Calibri"/>
                <w:color w:val="000000"/>
                <w:sz w:val="16"/>
                <w:szCs w:val="16"/>
              </w:rPr>
              <w:t>13.5</w:t>
            </w:r>
          </w:p>
        </w:tc>
        <w:tc>
          <w:tcPr>
            <w:tcW w:w="631" w:type="dxa"/>
            <w:vAlign w:val="center"/>
          </w:tcPr>
          <w:p w:rsidR="001E4FD3" w:rsidRPr="00133B47" w:rsidRDefault="001E4FD3" w:rsidP="006A7DDB">
            <w:pPr>
              <w:jc w:val="center"/>
              <w:rPr>
                <w:rFonts w:cs="Calibri"/>
                <w:color w:val="000000"/>
                <w:sz w:val="16"/>
                <w:szCs w:val="16"/>
              </w:rPr>
            </w:pPr>
            <w:r w:rsidRPr="00E65C9D">
              <w:rPr>
                <w:rFonts w:cs="Calibri"/>
                <w:color w:val="000000"/>
                <w:sz w:val="16"/>
                <w:szCs w:val="16"/>
              </w:rPr>
              <w:t>13.8</w:t>
            </w:r>
          </w:p>
        </w:tc>
        <w:tc>
          <w:tcPr>
            <w:tcW w:w="631" w:type="dxa"/>
            <w:vAlign w:val="center"/>
          </w:tcPr>
          <w:p w:rsidR="001E4FD3" w:rsidRPr="00133B47" w:rsidRDefault="001E4FD3" w:rsidP="00906667">
            <w:pPr>
              <w:jc w:val="center"/>
              <w:rPr>
                <w:rFonts w:cs="Calibri"/>
                <w:color w:val="000000"/>
                <w:sz w:val="16"/>
                <w:szCs w:val="16"/>
              </w:rPr>
            </w:pPr>
            <w:r w:rsidRPr="00E65C9D">
              <w:rPr>
                <w:rFonts w:cs="Calibri"/>
                <w:color w:val="000000"/>
                <w:sz w:val="16"/>
                <w:szCs w:val="16"/>
              </w:rPr>
              <w:t>14.0</w:t>
            </w:r>
          </w:p>
        </w:tc>
        <w:tc>
          <w:tcPr>
            <w:tcW w:w="631" w:type="dxa"/>
            <w:vAlign w:val="center"/>
          </w:tcPr>
          <w:p w:rsidR="001E4FD3" w:rsidRPr="00133B47" w:rsidRDefault="001E4FD3" w:rsidP="00D25BB1">
            <w:pPr>
              <w:jc w:val="center"/>
              <w:rPr>
                <w:rFonts w:cs="Calibri"/>
                <w:color w:val="000000"/>
                <w:sz w:val="16"/>
                <w:szCs w:val="16"/>
              </w:rPr>
            </w:pPr>
            <w:r w:rsidRPr="00E65C9D">
              <w:rPr>
                <w:rFonts w:cs="Calibri"/>
                <w:color w:val="000000"/>
                <w:sz w:val="16"/>
                <w:szCs w:val="16"/>
              </w:rPr>
              <w:t>14.5</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14.8</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15.2</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13.5</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14.7</w:t>
            </w:r>
          </w:p>
        </w:tc>
        <w:tc>
          <w:tcPr>
            <w:tcW w:w="631" w:type="dxa"/>
            <w:vAlign w:val="center"/>
          </w:tcPr>
          <w:p w:rsidR="001E4FD3" w:rsidRPr="00133B47" w:rsidRDefault="001E4FD3">
            <w:pPr>
              <w:jc w:val="center"/>
              <w:rPr>
                <w:rFonts w:cs="Calibri"/>
                <w:color w:val="000000"/>
                <w:sz w:val="16"/>
                <w:szCs w:val="16"/>
              </w:rPr>
            </w:pPr>
            <w:r w:rsidRPr="00E65C9D">
              <w:rPr>
                <w:rFonts w:cs="Calibri"/>
                <w:color w:val="000000"/>
                <w:sz w:val="16"/>
                <w:szCs w:val="16"/>
              </w:rPr>
              <w:t>16.1</w:t>
            </w:r>
          </w:p>
        </w:tc>
        <w:tc>
          <w:tcPr>
            <w:tcW w:w="631" w:type="dxa"/>
            <w:gridSpan w:val="3"/>
            <w:vAlign w:val="center"/>
          </w:tcPr>
          <w:p w:rsidR="001E4FD3" w:rsidRPr="00715DB8" w:rsidRDefault="001E4FD3">
            <w:pPr>
              <w:jc w:val="center"/>
              <w:rPr>
                <w:rFonts w:cs="Calibri"/>
                <w:color w:val="000000"/>
                <w:sz w:val="16"/>
                <w:szCs w:val="16"/>
              </w:rPr>
            </w:pPr>
            <w:r w:rsidRPr="00E65C9D">
              <w:rPr>
                <w:rFonts w:cs="Calibri"/>
                <w:color w:val="000000"/>
                <w:sz w:val="16"/>
                <w:szCs w:val="16"/>
              </w:rPr>
              <w:t>17.8</w:t>
            </w:r>
          </w:p>
        </w:tc>
      </w:tr>
      <w:tr w:rsidR="001E4FD3" w:rsidRPr="001E4FD3" w:rsidTr="00E65C9D">
        <w:trPr>
          <w:trHeight w:val="308"/>
        </w:trPr>
        <w:tc>
          <w:tcPr>
            <w:tcW w:w="1475" w:type="dxa"/>
            <w:noWrap/>
            <w:vAlign w:val="center"/>
          </w:tcPr>
          <w:p w:rsidR="001E4FD3" w:rsidRPr="00715DB8" w:rsidRDefault="001E4FD3" w:rsidP="00DE64F6">
            <w:pPr>
              <w:rPr>
                <w:b/>
                <w:sz w:val="16"/>
                <w:szCs w:val="16"/>
              </w:rPr>
            </w:pPr>
            <w:r w:rsidRPr="00715DB8">
              <w:rPr>
                <w:b/>
                <w:sz w:val="16"/>
                <w:szCs w:val="16"/>
              </w:rPr>
              <w:t>Total</w:t>
            </w:r>
          </w:p>
        </w:tc>
        <w:tc>
          <w:tcPr>
            <w:tcW w:w="629" w:type="dxa"/>
            <w:noWrap/>
            <w:vAlign w:val="center"/>
          </w:tcPr>
          <w:p w:rsidR="001E4FD3" w:rsidRPr="00715DB8" w:rsidRDefault="001E4FD3" w:rsidP="00133B47">
            <w:pPr>
              <w:jc w:val="center"/>
              <w:rPr>
                <w:rFonts w:cs="Calibri"/>
                <w:b/>
                <w:color w:val="000000"/>
                <w:sz w:val="16"/>
                <w:szCs w:val="16"/>
              </w:rPr>
            </w:pPr>
            <w:r w:rsidRPr="00E65C9D">
              <w:rPr>
                <w:rFonts w:cs="Calibri"/>
                <w:b/>
                <w:color w:val="000000"/>
                <w:sz w:val="16"/>
                <w:szCs w:val="16"/>
              </w:rPr>
              <w:t>45.7</w:t>
            </w:r>
          </w:p>
        </w:tc>
        <w:tc>
          <w:tcPr>
            <w:tcW w:w="629" w:type="dxa"/>
            <w:noWrap/>
            <w:vAlign w:val="center"/>
          </w:tcPr>
          <w:p w:rsidR="001E4FD3" w:rsidRPr="00715DB8" w:rsidRDefault="001E4FD3" w:rsidP="001E4FD3">
            <w:pPr>
              <w:jc w:val="center"/>
              <w:rPr>
                <w:rFonts w:cs="Calibri"/>
                <w:b/>
                <w:color w:val="000000"/>
                <w:sz w:val="16"/>
                <w:szCs w:val="16"/>
              </w:rPr>
            </w:pPr>
            <w:r w:rsidRPr="00E65C9D">
              <w:rPr>
                <w:rFonts w:cs="Calibri"/>
                <w:b/>
                <w:color w:val="000000"/>
                <w:sz w:val="16"/>
                <w:szCs w:val="16"/>
              </w:rPr>
              <w:t>46.7</w:t>
            </w:r>
          </w:p>
        </w:tc>
        <w:tc>
          <w:tcPr>
            <w:tcW w:w="631" w:type="dxa"/>
            <w:noWrap/>
            <w:vAlign w:val="center"/>
          </w:tcPr>
          <w:p w:rsidR="001E4FD3" w:rsidRPr="00715DB8" w:rsidRDefault="001E4FD3" w:rsidP="001E4FD3">
            <w:pPr>
              <w:jc w:val="center"/>
              <w:rPr>
                <w:rFonts w:cs="Calibri"/>
                <w:b/>
                <w:color w:val="000000"/>
                <w:sz w:val="16"/>
                <w:szCs w:val="16"/>
              </w:rPr>
            </w:pPr>
            <w:r w:rsidRPr="00E65C9D">
              <w:rPr>
                <w:rFonts w:cs="Calibri"/>
                <w:b/>
                <w:color w:val="000000"/>
                <w:sz w:val="16"/>
                <w:szCs w:val="16"/>
              </w:rPr>
              <w:t>47.7</w:t>
            </w:r>
          </w:p>
        </w:tc>
        <w:tc>
          <w:tcPr>
            <w:tcW w:w="630" w:type="dxa"/>
            <w:vAlign w:val="center"/>
          </w:tcPr>
          <w:p w:rsidR="001E4FD3" w:rsidRPr="00715DB8" w:rsidRDefault="001E4FD3" w:rsidP="001E4FD3">
            <w:pPr>
              <w:jc w:val="center"/>
              <w:rPr>
                <w:rFonts w:cs="Calibri"/>
                <w:b/>
                <w:color w:val="000000"/>
                <w:sz w:val="16"/>
                <w:szCs w:val="16"/>
              </w:rPr>
            </w:pPr>
            <w:r w:rsidRPr="00E65C9D">
              <w:rPr>
                <w:rFonts w:cs="Calibri"/>
                <w:b/>
                <w:color w:val="000000"/>
                <w:sz w:val="16"/>
                <w:szCs w:val="16"/>
              </w:rPr>
              <w:t>49.3</w:t>
            </w:r>
          </w:p>
        </w:tc>
        <w:tc>
          <w:tcPr>
            <w:tcW w:w="631" w:type="dxa"/>
            <w:vAlign w:val="center"/>
          </w:tcPr>
          <w:p w:rsidR="001E4FD3" w:rsidRPr="00715DB8" w:rsidRDefault="001E4FD3" w:rsidP="001E4FD3">
            <w:pPr>
              <w:jc w:val="center"/>
              <w:rPr>
                <w:rFonts w:cs="Calibri"/>
                <w:b/>
                <w:color w:val="000000"/>
                <w:sz w:val="16"/>
                <w:szCs w:val="16"/>
              </w:rPr>
            </w:pPr>
            <w:r w:rsidRPr="00E65C9D">
              <w:rPr>
                <w:rFonts w:cs="Calibri"/>
                <w:b/>
                <w:color w:val="000000"/>
                <w:sz w:val="16"/>
                <w:szCs w:val="16"/>
              </w:rPr>
              <w:t>50.5</w:t>
            </w:r>
          </w:p>
        </w:tc>
        <w:tc>
          <w:tcPr>
            <w:tcW w:w="630" w:type="dxa"/>
            <w:vAlign w:val="center"/>
          </w:tcPr>
          <w:p w:rsidR="001E4FD3" w:rsidRPr="00715DB8" w:rsidRDefault="001E4FD3" w:rsidP="001E4FD3">
            <w:pPr>
              <w:jc w:val="center"/>
              <w:rPr>
                <w:rFonts w:cs="Calibri"/>
                <w:b/>
                <w:color w:val="000000"/>
                <w:sz w:val="16"/>
                <w:szCs w:val="16"/>
              </w:rPr>
            </w:pPr>
            <w:r w:rsidRPr="00E65C9D">
              <w:rPr>
                <w:rFonts w:cs="Calibri"/>
                <w:b/>
                <w:color w:val="000000"/>
                <w:sz w:val="16"/>
                <w:szCs w:val="16"/>
              </w:rPr>
              <w:t>51.4</w:t>
            </w:r>
          </w:p>
        </w:tc>
        <w:tc>
          <w:tcPr>
            <w:tcW w:w="630" w:type="dxa"/>
            <w:vAlign w:val="center"/>
          </w:tcPr>
          <w:p w:rsidR="001E4FD3" w:rsidRPr="00715DB8" w:rsidRDefault="001E4FD3" w:rsidP="00715DB8">
            <w:pPr>
              <w:jc w:val="center"/>
              <w:rPr>
                <w:rFonts w:cs="Calibri"/>
                <w:b/>
                <w:color w:val="000000"/>
                <w:sz w:val="16"/>
                <w:szCs w:val="16"/>
              </w:rPr>
            </w:pPr>
            <w:r w:rsidRPr="00E65C9D">
              <w:rPr>
                <w:rFonts w:cs="Calibri"/>
                <w:b/>
                <w:color w:val="000000"/>
                <w:sz w:val="16"/>
                <w:szCs w:val="16"/>
              </w:rPr>
              <w:t>53.2</w:t>
            </w:r>
          </w:p>
        </w:tc>
        <w:tc>
          <w:tcPr>
            <w:tcW w:w="631" w:type="dxa"/>
            <w:vAlign w:val="center"/>
          </w:tcPr>
          <w:p w:rsidR="001E4FD3" w:rsidRPr="00715DB8" w:rsidRDefault="001E4FD3" w:rsidP="00715DB8">
            <w:pPr>
              <w:jc w:val="center"/>
              <w:rPr>
                <w:rFonts w:cs="Calibri"/>
                <w:b/>
                <w:color w:val="000000"/>
                <w:sz w:val="16"/>
                <w:szCs w:val="16"/>
              </w:rPr>
            </w:pPr>
            <w:r w:rsidRPr="00E65C9D">
              <w:rPr>
                <w:rFonts w:cs="Calibri"/>
                <w:b/>
                <w:color w:val="000000"/>
                <w:sz w:val="16"/>
                <w:szCs w:val="16"/>
              </w:rPr>
              <w:t>50.2</w:t>
            </w:r>
          </w:p>
        </w:tc>
        <w:tc>
          <w:tcPr>
            <w:tcW w:w="630" w:type="dxa"/>
            <w:vAlign w:val="center"/>
          </w:tcPr>
          <w:p w:rsidR="001E4FD3" w:rsidRPr="00715DB8" w:rsidRDefault="001E4FD3" w:rsidP="00715DB8">
            <w:pPr>
              <w:jc w:val="center"/>
              <w:rPr>
                <w:rFonts w:cs="Calibri"/>
                <w:b/>
                <w:color w:val="000000"/>
                <w:sz w:val="16"/>
                <w:szCs w:val="16"/>
              </w:rPr>
            </w:pPr>
            <w:r w:rsidRPr="00E65C9D">
              <w:rPr>
                <w:rFonts w:cs="Calibri"/>
                <w:b/>
                <w:color w:val="000000"/>
                <w:sz w:val="16"/>
                <w:szCs w:val="16"/>
              </w:rPr>
              <w:t>51.6</w:t>
            </w:r>
          </w:p>
        </w:tc>
        <w:tc>
          <w:tcPr>
            <w:tcW w:w="631" w:type="dxa"/>
            <w:vAlign w:val="center"/>
          </w:tcPr>
          <w:p w:rsidR="001E4FD3" w:rsidRPr="00715DB8" w:rsidRDefault="001E4FD3" w:rsidP="00715DB8">
            <w:pPr>
              <w:jc w:val="center"/>
              <w:rPr>
                <w:rFonts w:cs="Calibri"/>
                <w:b/>
                <w:color w:val="000000"/>
                <w:sz w:val="16"/>
                <w:szCs w:val="16"/>
              </w:rPr>
            </w:pPr>
            <w:r w:rsidRPr="00E65C9D">
              <w:rPr>
                <w:rFonts w:cs="Calibri"/>
                <w:b/>
                <w:color w:val="000000"/>
                <w:sz w:val="16"/>
                <w:szCs w:val="16"/>
              </w:rPr>
              <w:t>53.4</w:t>
            </w:r>
          </w:p>
        </w:tc>
        <w:tc>
          <w:tcPr>
            <w:tcW w:w="630" w:type="dxa"/>
            <w:vAlign w:val="center"/>
          </w:tcPr>
          <w:p w:rsidR="001E4FD3" w:rsidRPr="00715DB8" w:rsidRDefault="001E4FD3" w:rsidP="0063661C">
            <w:pPr>
              <w:jc w:val="center"/>
              <w:rPr>
                <w:rFonts w:cs="Calibri"/>
                <w:b/>
                <w:color w:val="000000"/>
                <w:sz w:val="16"/>
                <w:szCs w:val="16"/>
              </w:rPr>
            </w:pPr>
            <w:r w:rsidRPr="00E65C9D">
              <w:rPr>
                <w:rFonts w:cs="Calibri"/>
                <w:b/>
                <w:color w:val="000000"/>
                <w:sz w:val="16"/>
                <w:szCs w:val="16"/>
              </w:rPr>
              <w:t>54.8</w:t>
            </w:r>
          </w:p>
        </w:tc>
        <w:tc>
          <w:tcPr>
            <w:tcW w:w="631" w:type="dxa"/>
            <w:vAlign w:val="center"/>
          </w:tcPr>
          <w:p w:rsidR="001E4FD3" w:rsidRPr="00715DB8" w:rsidRDefault="001E4FD3" w:rsidP="006A7DDB">
            <w:pPr>
              <w:jc w:val="center"/>
              <w:rPr>
                <w:rFonts w:cs="Calibri"/>
                <w:b/>
                <w:color w:val="000000"/>
                <w:sz w:val="16"/>
                <w:szCs w:val="16"/>
              </w:rPr>
            </w:pPr>
            <w:r w:rsidRPr="00E65C9D">
              <w:rPr>
                <w:rFonts w:cs="Calibri"/>
                <w:b/>
                <w:color w:val="000000"/>
                <w:sz w:val="16"/>
                <w:szCs w:val="16"/>
              </w:rPr>
              <w:t>56.2</w:t>
            </w:r>
          </w:p>
        </w:tc>
        <w:tc>
          <w:tcPr>
            <w:tcW w:w="631" w:type="dxa"/>
            <w:vAlign w:val="center"/>
          </w:tcPr>
          <w:p w:rsidR="001E4FD3" w:rsidRPr="00715DB8" w:rsidRDefault="001E4FD3" w:rsidP="00906667">
            <w:pPr>
              <w:jc w:val="center"/>
              <w:rPr>
                <w:rFonts w:cs="Calibri"/>
                <w:b/>
                <w:color w:val="000000"/>
                <w:sz w:val="16"/>
                <w:szCs w:val="16"/>
              </w:rPr>
            </w:pPr>
            <w:r w:rsidRPr="00E65C9D">
              <w:rPr>
                <w:rFonts w:cs="Calibri"/>
                <w:b/>
                <w:color w:val="000000"/>
                <w:sz w:val="16"/>
                <w:szCs w:val="16"/>
              </w:rPr>
              <w:t>57.2</w:t>
            </w:r>
          </w:p>
        </w:tc>
        <w:tc>
          <w:tcPr>
            <w:tcW w:w="631" w:type="dxa"/>
            <w:vAlign w:val="center"/>
          </w:tcPr>
          <w:p w:rsidR="001E4FD3" w:rsidRPr="00715DB8" w:rsidRDefault="001E4FD3" w:rsidP="00D25BB1">
            <w:pPr>
              <w:jc w:val="center"/>
              <w:rPr>
                <w:rFonts w:cs="Calibri"/>
                <w:b/>
                <w:color w:val="000000"/>
                <w:sz w:val="16"/>
                <w:szCs w:val="16"/>
              </w:rPr>
            </w:pPr>
            <w:r w:rsidRPr="00E65C9D">
              <w:rPr>
                <w:rFonts w:cs="Calibri"/>
                <w:b/>
                <w:color w:val="000000"/>
                <w:sz w:val="16"/>
                <w:szCs w:val="16"/>
              </w:rPr>
              <w:t>59.2</w:t>
            </w:r>
          </w:p>
        </w:tc>
        <w:tc>
          <w:tcPr>
            <w:tcW w:w="631" w:type="dxa"/>
            <w:vAlign w:val="center"/>
          </w:tcPr>
          <w:p w:rsidR="001E4FD3" w:rsidRPr="00715DB8" w:rsidRDefault="001E4FD3">
            <w:pPr>
              <w:jc w:val="center"/>
              <w:rPr>
                <w:rFonts w:cs="Calibri"/>
                <w:b/>
                <w:color w:val="000000"/>
                <w:sz w:val="16"/>
                <w:szCs w:val="16"/>
              </w:rPr>
            </w:pPr>
            <w:r w:rsidRPr="00E65C9D">
              <w:rPr>
                <w:rFonts w:cs="Calibri"/>
                <w:b/>
                <w:color w:val="000000"/>
                <w:sz w:val="16"/>
                <w:szCs w:val="16"/>
              </w:rPr>
              <w:t>60.8</w:t>
            </w:r>
          </w:p>
        </w:tc>
        <w:tc>
          <w:tcPr>
            <w:tcW w:w="631" w:type="dxa"/>
            <w:vAlign w:val="center"/>
          </w:tcPr>
          <w:p w:rsidR="001E4FD3" w:rsidRPr="00715DB8" w:rsidRDefault="001E4FD3">
            <w:pPr>
              <w:jc w:val="center"/>
              <w:rPr>
                <w:rFonts w:cs="Calibri"/>
                <w:b/>
                <w:color w:val="000000"/>
                <w:sz w:val="16"/>
                <w:szCs w:val="16"/>
              </w:rPr>
            </w:pPr>
            <w:r w:rsidRPr="00E65C9D">
              <w:rPr>
                <w:rFonts w:cs="Calibri"/>
                <w:b/>
                <w:color w:val="000000"/>
                <w:sz w:val="16"/>
                <w:szCs w:val="16"/>
              </w:rPr>
              <w:t>62.3</w:t>
            </w:r>
          </w:p>
        </w:tc>
        <w:tc>
          <w:tcPr>
            <w:tcW w:w="631" w:type="dxa"/>
            <w:vAlign w:val="center"/>
          </w:tcPr>
          <w:p w:rsidR="001E4FD3" w:rsidRPr="00715DB8" w:rsidRDefault="001E4FD3">
            <w:pPr>
              <w:jc w:val="center"/>
              <w:rPr>
                <w:rFonts w:cs="Calibri"/>
                <w:b/>
                <w:color w:val="000000"/>
                <w:sz w:val="16"/>
                <w:szCs w:val="16"/>
              </w:rPr>
            </w:pPr>
            <w:r w:rsidRPr="00E65C9D">
              <w:rPr>
                <w:rFonts w:cs="Calibri"/>
                <w:b/>
                <w:color w:val="000000"/>
                <w:sz w:val="16"/>
                <w:szCs w:val="16"/>
              </w:rPr>
              <w:t>63.5</w:t>
            </w:r>
          </w:p>
        </w:tc>
        <w:tc>
          <w:tcPr>
            <w:tcW w:w="631" w:type="dxa"/>
            <w:vAlign w:val="center"/>
          </w:tcPr>
          <w:p w:rsidR="001E4FD3" w:rsidRPr="00715DB8" w:rsidRDefault="001E4FD3">
            <w:pPr>
              <w:jc w:val="center"/>
              <w:rPr>
                <w:rFonts w:cs="Calibri"/>
                <w:b/>
                <w:color w:val="000000"/>
                <w:sz w:val="16"/>
                <w:szCs w:val="16"/>
              </w:rPr>
            </w:pPr>
            <w:r w:rsidRPr="00E65C9D">
              <w:rPr>
                <w:rFonts w:cs="Calibri"/>
                <w:b/>
                <w:color w:val="000000"/>
                <w:sz w:val="16"/>
                <w:szCs w:val="16"/>
              </w:rPr>
              <w:t>71.5</w:t>
            </w:r>
          </w:p>
        </w:tc>
        <w:tc>
          <w:tcPr>
            <w:tcW w:w="631" w:type="dxa"/>
            <w:vAlign w:val="center"/>
          </w:tcPr>
          <w:p w:rsidR="001E4FD3" w:rsidRPr="00715DB8" w:rsidRDefault="001E4FD3">
            <w:pPr>
              <w:jc w:val="center"/>
              <w:rPr>
                <w:rFonts w:cs="Calibri"/>
                <w:b/>
                <w:color w:val="000000"/>
                <w:sz w:val="16"/>
                <w:szCs w:val="16"/>
              </w:rPr>
            </w:pPr>
            <w:r w:rsidRPr="00E65C9D">
              <w:rPr>
                <w:rFonts w:cs="Calibri"/>
                <w:b/>
                <w:color w:val="000000"/>
                <w:sz w:val="16"/>
                <w:szCs w:val="16"/>
              </w:rPr>
              <w:t>80.6</w:t>
            </w:r>
          </w:p>
        </w:tc>
        <w:tc>
          <w:tcPr>
            <w:tcW w:w="631" w:type="dxa"/>
            <w:gridSpan w:val="3"/>
            <w:vAlign w:val="center"/>
          </w:tcPr>
          <w:p w:rsidR="001E4FD3" w:rsidRPr="00715DB8" w:rsidRDefault="001E4FD3">
            <w:pPr>
              <w:jc w:val="center"/>
              <w:rPr>
                <w:rFonts w:cs="Calibri"/>
                <w:b/>
                <w:color w:val="000000"/>
                <w:sz w:val="16"/>
                <w:szCs w:val="16"/>
              </w:rPr>
            </w:pPr>
            <w:r w:rsidRPr="00E65C9D">
              <w:rPr>
                <w:rFonts w:cs="Calibri"/>
                <w:b/>
                <w:color w:val="000000"/>
                <w:sz w:val="16"/>
                <w:szCs w:val="16"/>
              </w:rPr>
              <w:t>92.3</w:t>
            </w:r>
          </w:p>
        </w:tc>
      </w:tr>
    </w:tbl>
    <w:p w:rsidR="001677DD" w:rsidRPr="003637FD" w:rsidRDefault="00486FB4" w:rsidP="001677DD">
      <w:pPr>
        <w:rPr>
          <w:rFonts w:cstheme="majorHAnsi"/>
          <w:i/>
          <w:kern w:val="12"/>
          <w:sz w:val="16"/>
          <w:szCs w:val="16"/>
        </w:rPr>
        <w:sectPr w:rsidR="001677DD" w:rsidRPr="003637FD" w:rsidSect="00F10554">
          <w:footerReference w:type="default" r:id="rId67"/>
          <w:pgSz w:w="16834" w:h="11909" w:orient="landscape" w:code="9"/>
          <w:pgMar w:top="1440" w:right="1440" w:bottom="1440" w:left="1440" w:header="720" w:footer="567" w:gutter="0"/>
          <w:cols w:space="720"/>
          <w:docGrid w:linePitch="360"/>
        </w:sectPr>
      </w:pPr>
      <w:r w:rsidRPr="003637FD">
        <w:rPr>
          <w:rFonts w:cstheme="majorHAnsi"/>
          <w:i/>
          <w:kern w:val="12"/>
          <w:sz w:val="16"/>
          <w:szCs w:val="16"/>
        </w:rPr>
        <w:t>Sources for Table 41-46: EY analysis</w:t>
      </w:r>
    </w:p>
    <w:p w:rsidR="00D3438A" w:rsidRPr="002C2179" w:rsidRDefault="00DF0626" w:rsidP="002C2179">
      <w:pPr>
        <w:pStyle w:val="EYAppendix"/>
        <w:rPr>
          <w:lang w:val="en-AU"/>
        </w:rPr>
      </w:pPr>
      <w:bookmarkStart w:id="792" w:name="_Toc444699293"/>
      <w:bookmarkStart w:id="793" w:name="_Toc444700252"/>
      <w:bookmarkStart w:id="794" w:name="_Toc445151307"/>
      <w:bookmarkStart w:id="795" w:name="_Toc445208533"/>
      <w:bookmarkStart w:id="796" w:name="_Toc445218360"/>
      <w:bookmarkStart w:id="797" w:name="_Toc445219444"/>
      <w:bookmarkStart w:id="798" w:name="_Toc445219653"/>
      <w:bookmarkStart w:id="799" w:name="_Toc445220003"/>
      <w:bookmarkStart w:id="800" w:name="_Toc445220377"/>
      <w:bookmarkStart w:id="801" w:name="_Toc445220521"/>
      <w:bookmarkStart w:id="802" w:name="_Toc445220639"/>
      <w:bookmarkStart w:id="803" w:name="_Toc445239654"/>
      <w:bookmarkStart w:id="804" w:name="_Toc445240897"/>
      <w:bookmarkStart w:id="805" w:name="_Toc445382989"/>
      <w:bookmarkStart w:id="806" w:name="_Toc445383588"/>
      <w:bookmarkStart w:id="807" w:name="_Toc445383888"/>
      <w:bookmarkStart w:id="808" w:name="_Toc445384059"/>
      <w:bookmarkStart w:id="809" w:name="_Ref445136682"/>
      <w:bookmarkStart w:id="810" w:name="_Toc451847099"/>
      <w:bookmarkStart w:id="811" w:name="_Ref441154838"/>
      <w:bookmarkStart w:id="812" w:name="_Ref441154988"/>
      <w:bookmarkStart w:id="813" w:name="_Ref441246332"/>
      <w:bookmarkStart w:id="814" w:name="_Toc441435375"/>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2C2179">
        <w:rPr>
          <w:lang w:val="en-AU"/>
        </w:rPr>
        <w:lastRenderedPageBreak/>
        <w:t>Demand Scenarios Forecast - Maps</w:t>
      </w:r>
      <w:bookmarkEnd w:id="809"/>
      <w:bookmarkEnd w:id="810"/>
    </w:p>
    <w:p w:rsidR="00DF0626" w:rsidRPr="00D14CE9" w:rsidRDefault="00DF0626" w:rsidP="00E65C9D">
      <w:pPr>
        <w:pStyle w:val="EYBodytextwithparaspace"/>
      </w:pPr>
      <w:r w:rsidRPr="00D14CE9">
        <w:rPr>
          <w:rFonts w:cstheme="majorHAnsi"/>
          <w:szCs w:val="20"/>
          <w:lang w:val="en-AU"/>
        </w:rPr>
        <w:t xml:space="preserve">The following maps </w:t>
      </w:r>
      <w:r>
        <w:rPr>
          <w:rFonts w:cstheme="majorHAnsi"/>
          <w:szCs w:val="20"/>
          <w:lang w:val="en-AU"/>
        </w:rPr>
        <w:t>i</w:t>
      </w:r>
      <w:r w:rsidRPr="00D14CE9">
        <w:rPr>
          <w:rFonts w:cstheme="majorHAnsi"/>
          <w:szCs w:val="20"/>
          <w:lang w:val="en-AU"/>
        </w:rPr>
        <w:t>llustrate</w:t>
      </w:r>
      <w:r>
        <w:rPr>
          <w:rFonts w:cstheme="majorHAnsi"/>
          <w:szCs w:val="20"/>
          <w:lang w:val="en-AU"/>
        </w:rPr>
        <w:t xml:space="preserve"> for the following scenarios </w:t>
      </w:r>
      <w:r w:rsidRPr="00D14CE9">
        <w:rPr>
          <w:rFonts w:cstheme="majorHAnsi"/>
          <w:szCs w:val="20"/>
          <w:lang w:val="en-AU"/>
        </w:rPr>
        <w:t>the intensity of the aggregate demand for extractive resources per LGA, classified in terms of projected tonnes</w:t>
      </w:r>
      <w:r>
        <w:rPr>
          <w:rFonts w:cstheme="majorHAnsi"/>
          <w:szCs w:val="20"/>
          <w:lang w:val="en-AU"/>
        </w:rPr>
        <w:t>:</w:t>
      </w:r>
    </w:p>
    <w:p w:rsidR="005264FD" w:rsidRPr="00D14CE9" w:rsidRDefault="005264FD" w:rsidP="004839B9">
      <w:pPr>
        <w:pStyle w:val="ListParagraph"/>
        <w:numPr>
          <w:ilvl w:val="0"/>
          <w:numId w:val="11"/>
        </w:numPr>
        <w:contextualSpacing w:val="0"/>
        <w:rPr>
          <w:rFonts w:ascii="EYInterstate Light" w:hAnsi="EYInterstate Light"/>
        </w:rPr>
      </w:pPr>
      <w:r w:rsidRPr="00D14CE9">
        <w:rPr>
          <w:rFonts w:ascii="EYInterstate Light" w:hAnsi="EYInterstate Light"/>
        </w:rPr>
        <w:t xml:space="preserve">Scenario 1A: </w:t>
      </w:r>
      <w:r>
        <w:rPr>
          <w:rFonts w:ascii="EYInterstate Light" w:hAnsi="EYInterstate Light"/>
        </w:rPr>
        <w:t>p</w:t>
      </w:r>
      <w:r w:rsidRPr="00D14CE9">
        <w:rPr>
          <w:rFonts w:ascii="EYInterstate Light" w:hAnsi="EYInterstate Light"/>
        </w:rPr>
        <w:t>opulation and employment growth ahead of government projections</w:t>
      </w:r>
      <w:r>
        <w:rPr>
          <w:rFonts w:ascii="EYInterstate Light" w:hAnsi="EYInterstate Light"/>
        </w:rPr>
        <w:t xml:space="preserve"> in Victoria</w:t>
      </w:r>
      <w:r w:rsidRPr="00D14CE9">
        <w:rPr>
          <w:rFonts w:ascii="EYInterstate Light" w:hAnsi="EYInterstate Light"/>
        </w:rPr>
        <w:t xml:space="preserve"> </w:t>
      </w:r>
      <w:r>
        <w:rPr>
          <w:rFonts w:ascii="EYInterstate Light" w:hAnsi="EYInterstate Light"/>
        </w:rPr>
        <w:t>–</w:t>
      </w:r>
      <w:r w:rsidRPr="00D14CE9">
        <w:rPr>
          <w:rFonts w:ascii="EYInterstate Light" w:hAnsi="EYInterstate Light"/>
        </w:rPr>
        <w:t xml:space="preserve"> </w:t>
      </w:r>
      <w:r>
        <w:rPr>
          <w:rFonts w:ascii="EYInterstate Light" w:hAnsi="EYInterstate Light"/>
        </w:rPr>
        <w:t>(</w:t>
      </w:r>
      <w:r w:rsidRPr="00D14CE9">
        <w:rPr>
          <w:rFonts w:ascii="EYInterstate Light" w:hAnsi="EYInterstate Light"/>
        </w:rPr>
        <w:t>20% increase)</w:t>
      </w:r>
      <w:r>
        <w:rPr>
          <w:rFonts w:ascii="EYInterstate Light" w:hAnsi="EYInterstate Light"/>
        </w:rPr>
        <w:t>.</w:t>
      </w:r>
    </w:p>
    <w:p w:rsidR="005264FD" w:rsidRPr="00D14CE9" w:rsidRDefault="005264FD" w:rsidP="004839B9">
      <w:pPr>
        <w:pStyle w:val="ListParagraph"/>
        <w:numPr>
          <w:ilvl w:val="0"/>
          <w:numId w:val="11"/>
        </w:numPr>
        <w:contextualSpacing w:val="0"/>
        <w:rPr>
          <w:rFonts w:ascii="EYInterstate Light" w:hAnsi="EYInterstate Light"/>
        </w:rPr>
      </w:pPr>
      <w:r w:rsidRPr="00D14CE9">
        <w:rPr>
          <w:rFonts w:ascii="EYInterstate Light" w:hAnsi="EYInterstate Light"/>
        </w:rPr>
        <w:t xml:space="preserve">Scenario 2A: </w:t>
      </w:r>
      <w:r>
        <w:rPr>
          <w:rFonts w:ascii="EYInterstate Light" w:hAnsi="EYInterstate Light"/>
        </w:rPr>
        <w:t>p</w:t>
      </w:r>
      <w:r w:rsidRPr="00D14CE9">
        <w:rPr>
          <w:rFonts w:ascii="EYInterstate Light" w:hAnsi="EYInterstate Light"/>
        </w:rPr>
        <w:t xml:space="preserve">opulation and employment growth behind government projections </w:t>
      </w:r>
      <w:r>
        <w:rPr>
          <w:rFonts w:ascii="EYInterstate Light" w:hAnsi="EYInterstate Light"/>
        </w:rPr>
        <w:t>in Victoria</w:t>
      </w:r>
      <w:r w:rsidRPr="00D14CE9">
        <w:rPr>
          <w:rFonts w:ascii="EYInterstate Light" w:hAnsi="EYInterstate Light"/>
        </w:rPr>
        <w:t>– (20% decrease)</w:t>
      </w:r>
      <w:r>
        <w:rPr>
          <w:rFonts w:ascii="EYInterstate Light" w:hAnsi="EYInterstate Light"/>
        </w:rPr>
        <w:t>.</w:t>
      </w:r>
    </w:p>
    <w:p w:rsidR="005264FD" w:rsidRPr="00D14CE9" w:rsidRDefault="005264FD" w:rsidP="004839B9">
      <w:pPr>
        <w:pStyle w:val="ListParagraph"/>
        <w:numPr>
          <w:ilvl w:val="0"/>
          <w:numId w:val="11"/>
        </w:numPr>
        <w:contextualSpacing w:val="0"/>
        <w:rPr>
          <w:rFonts w:ascii="EYInterstate Light" w:hAnsi="EYInterstate Light"/>
        </w:rPr>
      </w:pPr>
      <w:r w:rsidRPr="00D14CE9">
        <w:rPr>
          <w:rFonts w:ascii="EYInterstate Light" w:hAnsi="EYInterstate Light"/>
        </w:rPr>
        <w:t xml:space="preserve">Scenario 3A: Redistribution toward Urban Infill </w:t>
      </w:r>
      <w:r>
        <w:rPr>
          <w:rFonts w:ascii="EYInterstate Light" w:hAnsi="EYInterstate Light"/>
        </w:rPr>
        <w:t>LGAs.</w:t>
      </w:r>
    </w:p>
    <w:p w:rsidR="005264FD" w:rsidRDefault="005264FD" w:rsidP="005264FD">
      <w:pPr>
        <w:pStyle w:val="ListParagraph"/>
        <w:numPr>
          <w:ilvl w:val="0"/>
          <w:numId w:val="11"/>
        </w:numPr>
        <w:rPr>
          <w:rFonts w:ascii="EYInterstate Light" w:hAnsi="EYInterstate Light"/>
        </w:rPr>
      </w:pPr>
      <w:r w:rsidRPr="00D14CE9">
        <w:rPr>
          <w:rFonts w:ascii="EYInterstate Light" w:hAnsi="EYInterstate Light"/>
        </w:rPr>
        <w:t>Scenario 3B: Redistribution towards Urban Growth Areas</w:t>
      </w:r>
      <w:r>
        <w:rPr>
          <w:rFonts w:ascii="EYInterstate Light" w:hAnsi="EYInterstate Light"/>
        </w:rPr>
        <w:t xml:space="preserve"> LGAs</w:t>
      </w:r>
      <w:r w:rsidR="00FB40A5">
        <w:rPr>
          <w:rFonts w:ascii="EYInterstate Light" w:hAnsi="EYInterstate Light"/>
        </w:rPr>
        <w:t>.</w:t>
      </w:r>
    </w:p>
    <w:p w:rsidR="00DF0626" w:rsidRDefault="00DF0626" w:rsidP="00DF0626">
      <w:pPr>
        <w:pStyle w:val="EYBodytextwithparaspace"/>
        <w:rPr>
          <w:rFonts w:cstheme="majorHAnsi"/>
          <w:szCs w:val="20"/>
          <w:lang w:val="en-AU"/>
        </w:rPr>
      </w:pPr>
      <w:r>
        <w:rPr>
          <w:rFonts w:cstheme="majorHAnsi"/>
          <w:szCs w:val="20"/>
          <w:lang w:val="en-AU"/>
        </w:rPr>
        <w:t>In relation to scenario 1B, consisting of forecasting a 20% increase in the population and employment growth ahead of government projections in Wyndham LGA only, the demand for extractive resources is illustrated through the change</w:t>
      </w:r>
      <w:r w:rsidR="005264FD">
        <w:rPr>
          <w:rFonts w:cstheme="majorHAnsi"/>
          <w:szCs w:val="20"/>
          <w:lang w:val="en-AU"/>
        </w:rPr>
        <w:t>s</w:t>
      </w:r>
      <w:r>
        <w:rPr>
          <w:rFonts w:cstheme="majorHAnsi"/>
          <w:szCs w:val="20"/>
          <w:lang w:val="en-AU"/>
        </w:rPr>
        <w:t xml:space="preserve"> in the demand compared to Wyndham baseline forecast. </w:t>
      </w:r>
    </w:p>
    <w:p w:rsidR="00DF0626" w:rsidRDefault="00DF0626" w:rsidP="00DF0626">
      <w:pPr>
        <w:pStyle w:val="EYBodytextwithparaspace"/>
        <w:rPr>
          <w:rFonts w:cstheme="majorHAnsi"/>
          <w:szCs w:val="20"/>
          <w:lang w:val="en-AU"/>
        </w:rPr>
      </w:pPr>
      <w:r>
        <w:rPr>
          <w:rFonts w:cstheme="majorHAnsi"/>
          <w:szCs w:val="20"/>
          <w:lang w:val="en-AU"/>
        </w:rPr>
        <w:t>For each scenario, two periods of analysis are illustrated:</w:t>
      </w:r>
    </w:p>
    <w:p w:rsidR="00DF0626" w:rsidRDefault="00DF0626" w:rsidP="004839B9">
      <w:pPr>
        <w:pStyle w:val="ListParagraph"/>
        <w:numPr>
          <w:ilvl w:val="0"/>
          <w:numId w:val="11"/>
        </w:numPr>
        <w:contextualSpacing w:val="0"/>
        <w:rPr>
          <w:rFonts w:ascii="EYInterstate Light" w:hAnsi="EYInterstate Light"/>
        </w:rPr>
      </w:pPr>
      <w:r>
        <w:rPr>
          <w:rFonts w:ascii="EYInterstate Light" w:hAnsi="EYInterstate Light"/>
        </w:rPr>
        <w:t>2015-2025</w:t>
      </w:r>
      <w:r w:rsidR="000B01DD">
        <w:rPr>
          <w:rFonts w:ascii="EYInterstate Light" w:hAnsi="EYInterstate Light"/>
        </w:rPr>
        <w:t>.</w:t>
      </w:r>
    </w:p>
    <w:p w:rsidR="00DF0626" w:rsidRPr="00D14CE9" w:rsidRDefault="00DF0626" w:rsidP="00DF0626">
      <w:pPr>
        <w:pStyle w:val="ListParagraph"/>
        <w:numPr>
          <w:ilvl w:val="0"/>
          <w:numId w:val="11"/>
        </w:numPr>
        <w:rPr>
          <w:rFonts w:ascii="EYInterstate Light" w:hAnsi="EYInterstate Light"/>
        </w:rPr>
      </w:pPr>
      <w:r>
        <w:rPr>
          <w:rFonts w:ascii="EYInterstate Light" w:hAnsi="EYInterstate Light"/>
        </w:rPr>
        <w:t>2026-2050</w:t>
      </w:r>
      <w:r w:rsidR="000B01DD">
        <w:rPr>
          <w:rFonts w:ascii="EYInterstate Light" w:hAnsi="EYInterstate Light"/>
        </w:rPr>
        <w:t>.</w:t>
      </w:r>
    </w:p>
    <w:p w:rsidR="00DF0626" w:rsidRDefault="00DF0626" w:rsidP="00D3438A">
      <w:pPr>
        <w:pStyle w:val="EYNormal"/>
        <w:rPr>
          <w:lang w:val="en-AU"/>
        </w:rPr>
        <w:sectPr w:rsidR="00DF0626" w:rsidSect="000B6297">
          <w:footerReference w:type="default" r:id="rId68"/>
          <w:pgSz w:w="11909" w:h="16834" w:code="9"/>
          <w:pgMar w:top="1440" w:right="1440" w:bottom="1440" w:left="1440" w:header="720" w:footer="567" w:gutter="0"/>
          <w:cols w:space="720"/>
          <w:docGrid w:linePitch="360"/>
        </w:sectPr>
      </w:pPr>
    </w:p>
    <w:p w:rsidR="000E4A68" w:rsidRPr="00D14CE9" w:rsidRDefault="000E4A68" w:rsidP="000E4A68">
      <w:pPr>
        <w:pStyle w:val="EYBodytextwithparaspace"/>
        <w:numPr>
          <w:ilvl w:val="4"/>
          <w:numId w:val="45"/>
        </w:numPr>
        <w:spacing w:after="120"/>
        <w:rPr>
          <w:b/>
          <w:lang w:val="en-AU"/>
        </w:rPr>
      </w:pPr>
      <w:bookmarkStart w:id="815" w:name="_Ref444604436"/>
      <w:r>
        <w:rPr>
          <w:b/>
          <w:lang w:val="en-AU"/>
        </w:rPr>
        <w:lastRenderedPageBreak/>
        <w:t>Scenario 1A</w:t>
      </w:r>
    </w:p>
    <w:p w:rsidR="00DF0626" w:rsidRPr="00D14CE9" w:rsidRDefault="00DF0626" w:rsidP="00DF0626">
      <w:pPr>
        <w:pStyle w:val="Caption"/>
        <w:rPr>
          <w:sz w:val="16"/>
          <w:szCs w:val="18"/>
        </w:rPr>
      </w:pPr>
      <w:bookmarkStart w:id="816" w:name="_Toc445240927"/>
      <w:bookmarkStart w:id="817" w:name="_Toc448914591"/>
      <w:r w:rsidRPr="00D14CE9">
        <w:rPr>
          <w:sz w:val="16"/>
          <w:szCs w:val="18"/>
        </w:rPr>
        <w:t xml:space="preserve">Figure </w:t>
      </w:r>
      <w:r w:rsidRPr="00474B05">
        <w:rPr>
          <w:sz w:val="16"/>
          <w:szCs w:val="18"/>
        </w:rPr>
        <w:fldChar w:fldCharType="begin"/>
      </w:r>
      <w:r w:rsidRPr="00D14CE9">
        <w:rPr>
          <w:sz w:val="16"/>
          <w:szCs w:val="18"/>
        </w:rPr>
        <w:instrText xml:space="preserve"> SEQ Figure \* ARABIC </w:instrText>
      </w:r>
      <w:r w:rsidRPr="00474B05">
        <w:rPr>
          <w:sz w:val="16"/>
          <w:szCs w:val="18"/>
        </w:rPr>
        <w:fldChar w:fldCharType="separate"/>
      </w:r>
      <w:r w:rsidR="00525C82">
        <w:rPr>
          <w:noProof/>
          <w:sz w:val="16"/>
          <w:szCs w:val="18"/>
        </w:rPr>
        <w:t>29</w:t>
      </w:r>
      <w:r w:rsidRPr="00474B05">
        <w:rPr>
          <w:sz w:val="16"/>
          <w:szCs w:val="18"/>
        </w:rPr>
        <w:fldChar w:fldCharType="end"/>
      </w:r>
      <w:bookmarkEnd w:id="815"/>
      <w:r w:rsidRPr="00D14CE9">
        <w:rPr>
          <w:sz w:val="16"/>
          <w:szCs w:val="18"/>
        </w:rPr>
        <w:t xml:space="preserve"> – Scenario 1A - Total demand for extractive resources by LGA over the period 2015-2025</w:t>
      </w:r>
      <w:bookmarkEnd w:id="816"/>
      <w:bookmarkEnd w:id="817"/>
      <w:r w:rsidRPr="00D14CE9">
        <w:rPr>
          <w:sz w:val="16"/>
          <w:szCs w:val="18"/>
        </w:rPr>
        <w:t xml:space="preserve"> </w:t>
      </w:r>
    </w:p>
    <w:p w:rsidR="00DF0626" w:rsidRDefault="0085251D" w:rsidP="00DF0626">
      <w:r>
        <w:rPr>
          <w:noProof/>
          <w:lang w:eastAsia="en-AU"/>
        </w:rPr>
        <w:drawing>
          <wp:inline distT="0" distB="0" distL="0" distR="0" wp14:anchorId="3F5D0F72" wp14:editId="70266433">
            <wp:extent cx="6875813" cy="5156860"/>
            <wp:effectExtent l="0" t="0" r="1270" b="5715"/>
            <wp:docPr id="2089" name="Picture 2089" descr="Figure 29 is a map of Victoria highlighting LGAs according to their projected demand for extractive resources for the period 2015 – 2025 according to Scenario 1A.  The most demand will come from Whittlesea, Hume, Melton, Wyndham, Casey and Melbourne LGAs (with over 30 million tonnes demanded by each LGA over the period)." title="Figure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ELBOURNE\MELBTAS\CF\Restricted\DEDJTR Demand Analysis for Extractive Resources\12. Maps\Scenario 1A - short term.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7909" t="5303" r="18630" b="16856"/>
                    <a:stretch/>
                  </pic:blipFill>
                  <pic:spPr bwMode="auto">
                    <a:xfrm>
                      <a:off x="0" y="0"/>
                      <a:ext cx="6881494" cy="5161120"/>
                    </a:xfrm>
                    <a:prstGeom prst="rect">
                      <a:avLst/>
                    </a:prstGeom>
                    <a:noFill/>
                    <a:ln>
                      <a:noFill/>
                    </a:ln>
                    <a:extLst>
                      <a:ext uri="{53640926-AAD7-44D8-BBD7-CCE9431645EC}">
                        <a14:shadowObscured xmlns:a14="http://schemas.microsoft.com/office/drawing/2010/main"/>
                      </a:ext>
                    </a:extLst>
                  </pic:spPr>
                </pic:pic>
              </a:graphicData>
            </a:graphic>
          </wp:inline>
        </w:drawing>
      </w:r>
    </w:p>
    <w:p w:rsidR="000E4A68" w:rsidRPr="00D14CE9" w:rsidRDefault="000E4A68" w:rsidP="000E4A68">
      <w:pPr>
        <w:rPr>
          <w:sz w:val="16"/>
          <w:szCs w:val="16"/>
        </w:rPr>
      </w:pPr>
      <w:r w:rsidRPr="00D14CE9">
        <w:rPr>
          <w:i/>
          <w:sz w:val="16"/>
          <w:szCs w:val="16"/>
        </w:rPr>
        <w:t>Source: EY analysis</w:t>
      </w:r>
    </w:p>
    <w:p w:rsidR="00DF0626" w:rsidRPr="00D14CE9" w:rsidRDefault="00DF0626" w:rsidP="00DF0626">
      <w:pPr>
        <w:pStyle w:val="Caption"/>
        <w:rPr>
          <w:sz w:val="16"/>
          <w:szCs w:val="18"/>
        </w:rPr>
      </w:pPr>
      <w:bookmarkStart w:id="818" w:name="_Ref444604437"/>
      <w:bookmarkStart w:id="819" w:name="_Toc445240928"/>
      <w:bookmarkStart w:id="820" w:name="_Toc448914592"/>
      <w:r w:rsidRPr="00D14CE9">
        <w:rPr>
          <w:sz w:val="16"/>
          <w:szCs w:val="18"/>
        </w:rPr>
        <w:lastRenderedPageBreak/>
        <w:t xml:space="preserve">Figure </w:t>
      </w:r>
      <w:r w:rsidRPr="00474B05">
        <w:rPr>
          <w:sz w:val="16"/>
          <w:szCs w:val="18"/>
        </w:rPr>
        <w:fldChar w:fldCharType="begin"/>
      </w:r>
      <w:r w:rsidRPr="00D14CE9">
        <w:rPr>
          <w:sz w:val="16"/>
          <w:szCs w:val="18"/>
        </w:rPr>
        <w:instrText xml:space="preserve"> SEQ Figure \* ARABIC </w:instrText>
      </w:r>
      <w:r w:rsidRPr="00474B05">
        <w:rPr>
          <w:sz w:val="16"/>
          <w:szCs w:val="18"/>
        </w:rPr>
        <w:fldChar w:fldCharType="separate"/>
      </w:r>
      <w:r w:rsidR="00525C82">
        <w:rPr>
          <w:noProof/>
          <w:sz w:val="16"/>
          <w:szCs w:val="18"/>
        </w:rPr>
        <w:t>30</w:t>
      </w:r>
      <w:r w:rsidRPr="00474B05">
        <w:rPr>
          <w:sz w:val="16"/>
          <w:szCs w:val="18"/>
        </w:rPr>
        <w:fldChar w:fldCharType="end"/>
      </w:r>
      <w:bookmarkEnd w:id="818"/>
      <w:r w:rsidRPr="00D14CE9">
        <w:rPr>
          <w:sz w:val="16"/>
          <w:szCs w:val="18"/>
        </w:rPr>
        <w:t xml:space="preserve"> – Scenario 1A - Total demand for extractive resources by LGA over the period 2026-2050</w:t>
      </w:r>
      <w:bookmarkEnd w:id="819"/>
      <w:bookmarkEnd w:id="820"/>
      <w:r w:rsidRPr="00D14CE9">
        <w:rPr>
          <w:sz w:val="16"/>
          <w:szCs w:val="18"/>
        </w:rPr>
        <w:t xml:space="preserve"> </w:t>
      </w:r>
    </w:p>
    <w:p w:rsidR="00DF0626" w:rsidRDefault="0085251D" w:rsidP="00DF0626">
      <w:pPr>
        <w:pStyle w:val="EYBodytextwithparaspace"/>
        <w:rPr>
          <w:rFonts w:cstheme="majorHAnsi"/>
          <w:szCs w:val="20"/>
          <w:lang w:val="en-AU"/>
        </w:rPr>
      </w:pPr>
      <w:r>
        <w:rPr>
          <w:rFonts w:cstheme="majorHAnsi"/>
          <w:noProof/>
          <w:szCs w:val="20"/>
          <w:lang w:val="en-AU" w:eastAsia="en-AU"/>
        </w:rPr>
        <w:drawing>
          <wp:inline distT="0" distB="0" distL="0" distR="0" wp14:anchorId="0BDEE5ED" wp14:editId="01277012">
            <wp:extent cx="6982691" cy="5262502"/>
            <wp:effectExtent l="0" t="0" r="8890" b="0"/>
            <wp:docPr id="2178" name="Picture 2178" descr="Figure 30 is a map of Victoria highlighting LGAs according to their projected demand for extractive resources for the period 2026 – 2050 according to Scenario 1A.  The most demand will come from Melton, Wyndham and Melbourne LGAs (with over 100 million tonnes demanded by each LGA over the period). &#10;&#10;"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ELBOURNE\MELBTAS\CF\Restricted\DEDJTR Demand Analysis for Extractive Resources\12. Maps\Scenario 1A - long term.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8042" t="5493" r="18496" b="16287"/>
                    <a:stretch/>
                  </pic:blipFill>
                  <pic:spPr bwMode="auto">
                    <a:xfrm>
                      <a:off x="0" y="0"/>
                      <a:ext cx="6997094" cy="5273356"/>
                    </a:xfrm>
                    <a:prstGeom prst="rect">
                      <a:avLst/>
                    </a:prstGeom>
                    <a:noFill/>
                    <a:ln>
                      <a:noFill/>
                    </a:ln>
                    <a:extLst>
                      <a:ext uri="{53640926-AAD7-44D8-BBD7-CCE9431645EC}">
                        <a14:shadowObscured xmlns:a14="http://schemas.microsoft.com/office/drawing/2010/main"/>
                      </a:ext>
                    </a:extLst>
                  </pic:spPr>
                </pic:pic>
              </a:graphicData>
            </a:graphic>
          </wp:inline>
        </w:drawing>
      </w:r>
    </w:p>
    <w:p w:rsidR="000E4A68" w:rsidRPr="00D14CE9" w:rsidRDefault="000E4A68" w:rsidP="000E4A68">
      <w:pPr>
        <w:rPr>
          <w:sz w:val="16"/>
          <w:szCs w:val="16"/>
        </w:rPr>
      </w:pPr>
      <w:r w:rsidRPr="00D14CE9">
        <w:rPr>
          <w:i/>
          <w:sz w:val="16"/>
          <w:szCs w:val="16"/>
        </w:rPr>
        <w:t>Source: EY analysis</w:t>
      </w:r>
    </w:p>
    <w:p w:rsidR="008467E9" w:rsidRPr="00D14CE9" w:rsidRDefault="008467E9" w:rsidP="008467E9">
      <w:pPr>
        <w:pStyle w:val="EYBodytextwithparaspace"/>
        <w:numPr>
          <w:ilvl w:val="4"/>
          <w:numId w:val="45"/>
        </w:numPr>
        <w:spacing w:after="120"/>
        <w:rPr>
          <w:b/>
          <w:lang w:val="en-AU"/>
        </w:rPr>
      </w:pPr>
      <w:r>
        <w:rPr>
          <w:b/>
          <w:lang w:val="en-AU"/>
        </w:rPr>
        <w:lastRenderedPageBreak/>
        <w:t>Scenario 1B</w:t>
      </w:r>
    </w:p>
    <w:p w:rsidR="00DF0626" w:rsidRPr="00D14CE9" w:rsidRDefault="00DF0626" w:rsidP="00DF0626">
      <w:pPr>
        <w:pStyle w:val="Caption"/>
        <w:rPr>
          <w:sz w:val="16"/>
          <w:szCs w:val="18"/>
        </w:rPr>
      </w:pPr>
      <w:bookmarkStart w:id="821" w:name="_Ref444701930"/>
      <w:bookmarkStart w:id="822" w:name="_Toc445240929"/>
      <w:bookmarkStart w:id="823" w:name="_Toc448914593"/>
      <w:r w:rsidRPr="00D14CE9">
        <w:rPr>
          <w:sz w:val="16"/>
          <w:szCs w:val="18"/>
        </w:rPr>
        <w:t xml:space="preserve">Figure </w:t>
      </w:r>
      <w:r w:rsidRPr="00474B05">
        <w:rPr>
          <w:sz w:val="16"/>
          <w:szCs w:val="18"/>
        </w:rPr>
        <w:fldChar w:fldCharType="begin"/>
      </w:r>
      <w:r w:rsidRPr="00D14CE9">
        <w:rPr>
          <w:sz w:val="16"/>
          <w:szCs w:val="18"/>
        </w:rPr>
        <w:instrText xml:space="preserve"> SEQ Figure \* ARABIC </w:instrText>
      </w:r>
      <w:r w:rsidRPr="00474B05">
        <w:rPr>
          <w:sz w:val="16"/>
          <w:szCs w:val="18"/>
        </w:rPr>
        <w:fldChar w:fldCharType="separate"/>
      </w:r>
      <w:r w:rsidR="00525C82">
        <w:rPr>
          <w:noProof/>
          <w:sz w:val="16"/>
          <w:szCs w:val="18"/>
        </w:rPr>
        <w:t>31</w:t>
      </w:r>
      <w:r w:rsidRPr="00474B05">
        <w:rPr>
          <w:sz w:val="16"/>
          <w:szCs w:val="18"/>
        </w:rPr>
        <w:fldChar w:fldCharType="end"/>
      </w:r>
      <w:bookmarkEnd w:id="821"/>
      <w:r w:rsidRPr="00D14CE9">
        <w:rPr>
          <w:sz w:val="16"/>
          <w:szCs w:val="18"/>
        </w:rPr>
        <w:t xml:space="preserve"> – Scenario 1</w:t>
      </w:r>
      <w:r>
        <w:rPr>
          <w:sz w:val="16"/>
          <w:szCs w:val="18"/>
        </w:rPr>
        <w:t>B</w:t>
      </w:r>
      <w:r w:rsidRPr="00D14CE9">
        <w:rPr>
          <w:sz w:val="16"/>
          <w:szCs w:val="18"/>
        </w:rPr>
        <w:t xml:space="preserve"> - Total demand for extractive resources </w:t>
      </w:r>
      <w:r>
        <w:rPr>
          <w:sz w:val="16"/>
          <w:szCs w:val="18"/>
        </w:rPr>
        <w:t>in Wyn</w:t>
      </w:r>
      <w:r w:rsidR="008467E9">
        <w:rPr>
          <w:sz w:val="16"/>
          <w:szCs w:val="18"/>
        </w:rPr>
        <w:t>d</w:t>
      </w:r>
      <w:r>
        <w:rPr>
          <w:sz w:val="16"/>
          <w:szCs w:val="18"/>
        </w:rPr>
        <w:t>ham</w:t>
      </w:r>
      <w:r w:rsidRPr="00D14CE9">
        <w:rPr>
          <w:sz w:val="16"/>
          <w:szCs w:val="18"/>
        </w:rPr>
        <w:t xml:space="preserve"> over the period 2015-2025</w:t>
      </w:r>
      <w:bookmarkEnd w:id="822"/>
      <w:bookmarkEnd w:id="823"/>
      <w:r w:rsidRPr="00D14CE9">
        <w:rPr>
          <w:sz w:val="16"/>
          <w:szCs w:val="18"/>
        </w:rPr>
        <w:t xml:space="preserve"> </w:t>
      </w:r>
    </w:p>
    <w:p w:rsidR="00DF0626" w:rsidRDefault="008467E9" w:rsidP="00DF0626">
      <w:r>
        <w:rPr>
          <w:noProof/>
          <w:lang w:eastAsia="en-AU"/>
        </w:rPr>
        <w:drawing>
          <wp:inline distT="0" distB="0" distL="0" distR="0" wp14:anchorId="61031424" wp14:editId="4E288C5C">
            <wp:extent cx="7044856" cy="5152333"/>
            <wp:effectExtent l="0" t="0" r="3810" b="0"/>
            <wp:docPr id="2075" name="Picture 2075" descr="Figure 31 is a map of Wyndham highlighting suburbs according to their projected demand for extractive resources for the period 2015 – 2025 based on Scenario 1B. The most demand will come from Werribee, Tarneit and Point Cook.&#10;&#10;"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ELBOURNE\MELBTAS\CF\Restricted\DEDJTR Demand Analysis for Extractive Resources\12. Maps\Scenario 1B vs Base - Wyndham_short term.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2693" t="4187" r="21429" b="17386"/>
                    <a:stretch/>
                  </pic:blipFill>
                  <pic:spPr bwMode="auto">
                    <a:xfrm>
                      <a:off x="0" y="0"/>
                      <a:ext cx="7060122" cy="5163498"/>
                    </a:xfrm>
                    <a:prstGeom prst="rect">
                      <a:avLst/>
                    </a:prstGeom>
                    <a:noFill/>
                    <a:ln>
                      <a:noFill/>
                    </a:ln>
                    <a:extLst>
                      <a:ext uri="{53640926-AAD7-44D8-BBD7-CCE9431645EC}">
                        <a14:shadowObscured xmlns:a14="http://schemas.microsoft.com/office/drawing/2010/main"/>
                      </a:ext>
                    </a:extLst>
                  </pic:spPr>
                </pic:pic>
              </a:graphicData>
            </a:graphic>
          </wp:inline>
        </w:drawing>
      </w:r>
    </w:p>
    <w:p w:rsidR="008467E9" w:rsidRPr="00D14CE9" w:rsidRDefault="008467E9" w:rsidP="008467E9">
      <w:pPr>
        <w:rPr>
          <w:sz w:val="16"/>
          <w:szCs w:val="16"/>
        </w:rPr>
      </w:pPr>
      <w:r w:rsidRPr="00D14CE9">
        <w:rPr>
          <w:i/>
          <w:sz w:val="16"/>
          <w:szCs w:val="16"/>
        </w:rPr>
        <w:t>Source: EY analysis</w:t>
      </w:r>
    </w:p>
    <w:p w:rsidR="00DF0626" w:rsidRPr="00D14CE9" w:rsidRDefault="00DF0626" w:rsidP="00DF0626">
      <w:pPr>
        <w:pStyle w:val="Caption"/>
        <w:rPr>
          <w:sz w:val="16"/>
          <w:szCs w:val="18"/>
        </w:rPr>
      </w:pPr>
      <w:bookmarkStart w:id="824" w:name="_Ref444701959"/>
      <w:bookmarkStart w:id="825" w:name="_Toc445240930"/>
      <w:bookmarkStart w:id="826" w:name="_Toc448914594"/>
      <w:r w:rsidRPr="00D14CE9">
        <w:rPr>
          <w:sz w:val="16"/>
          <w:szCs w:val="18"/>
        </w:rPr>
        <w:lastRenderedPageBreak/>
        <w:t xml:space="preserve">Figure </w:t>
      </w:r>
      <w:r w:rsidRPr="00474B05">
        <w:rPr>
          <w:sz w:val="16"/>
          <w:szCs w:val="18"/>
        </w:rPr>
        <w:fldChar w:fldCharType="begin"/>
      </w:r>
      <w:r w:rsidRPr="00D14CE9">
        <w:rPr>
          <w:sz w:val="16"/>
          <w:szCs w:val="18"/>
        </w:rPr>
        <w:instrText xml:space="preserve"> SEQ Figure \* ARABIC </w:instrText>
      </w:r>
      <w:r w:rsidRPr="00474B05">
        <w:rPr>
          <w:sz w:val="16"/>
          <w:szCs w:val="18"/>
        </w:rPr>
        <w:fldChar w:fldCharType="separate"/>
      </w:r>
      <w:r w:rsidR="00525C82">
        <w:rPr>
          <w:noProof/>
          <w:sz w:val="16"/>
          <w:szCs w:val="18"/>
        </w:rPr>
        <w:t>32</w:t>
      </w:r>
      <w:r w:rsidRPr="00474B05">
        <w:rPr>
          <w:sz w:val="16"/>
          <w:szCs w:val="18"/>
        </w:rPr>
        <w:fldChar w:fldCharType="end"/>
      </w:r>
      <w:bookmarkEnd w:id="824"/>
      <w:r w:rsidRPr="00D14CE9">
        <w:rPr>
          <w:sz w:val="16"/>
          <w:szCs w:val="18"/>
        </w:rPr>
        <w:t xml:space="preserve"> – Scenario 1</w:t>
      </w:r>
      <w:r>
        <w:rPr>
          <w:sz w:val="16"/>
          <w:szCs w:val="18"/>
        </w:rPr>
        <w:t>B</w:t>
      </w:r>
      <w:r w:rsidRPr="00D14CE9">
        <w:rPr>
          <w:sz w:val="16"/>
          <w:szCs w:val="18"/>
        </w:rPr>
        <w:t xml:space="preserve"> - Total demand for extractive resources </w:t>
      </w:r>
      <w:r>
        <w:rPr>
          <w:sz w:val="16"/>
          <w:szCs w:val="18"/>
        </w:rPr>
        <w:t>in Wyndham</w:t>
      </w:r>
      <w:r w:rsidRPr="00D14CE9">
        <w:rPr>
          <w:sz w:val="16"/>
          <w:szCs w:val="18"/>
        </w:rPr>
        <w:t xml:space="preserve"> over the period 2026-2050</w:t>
      </w:r>
      <w:bookmarkEnd w:id="825"/>
      <w:bookmarkEnd w:id="826"/>
      <w:r w:rsidRPr="00D14CE9">
        <w:rPr>
          <w:sz w:val="16"/>
          <w:szCs w:val="18"/>
        </w:rPr>
        <w:t xml:space="preserve"> </w:t>
      </w:r>
    </w:p>
    <w:p w:rsidR="00DF0626" w:rsidRPr="00D14CE9" w:rsidRDefault="008467E9" w:rsidP="00DF0626">
      <w:r w:rsidRPr="001D2778">
        <w:rPr>
          <w:noProof/>
          <w:lang w:eastAsia="en-AU"/>
        </w:rPr>
        <w:drawing>
          <wp:inline distT="0" distB="0" distL="0" distR="0" wp14:anchorId="049D7E37" wp14:editId="28FFC0D3">
            <wp:extent cx="7291346" cy="5386243"/>
            <wp:effectExtent l="0" t="0" r="5080" b="5080"/>
            <wp:docPr id="2077" name="Picture 2077" descr="Figure 32 is a map of Wyndham highlighting suburbs according to their projected demand for extractive resources for the period 2026 – 2050 based on Scenario 1B. The most demand will come from Werribee, Tarneit and Wyndham Vale.&#10;&#10;"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ELBOURNE\MELBTAS\CF\Restricted\DEDJTR Demand Analysis for Extractive Resources\12. Maps\Scenario 1B vs Base - Wyndham_long term.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2873" t="3934" r="21519" b="17132"/>
                    <a:stretch/>
                  </pic:blipFill>
                  <pic:spPr bwMode="auto">
                    <a:xfrm>
                      <a:off x="0" y="0"/>
                      <a:ext cx="7302627" cy="5394576"/>
                    </a:xfrm>
                    <a:prstGeom prst="rect">
                      <a:avLst/>
                    </a:prstGeom>
                    <a:noFill/>
                    <a:ln>
                      <a:noFill/>
                    </a:ln>
                    <a:extLst>
                      <a:ext uri="{53640926-AAD7-44D8-BBD7-CCE9431645EC}">
                        <a14:shadowObscured xmlns:a14="http://schemas.microsoft.com/office/drawing/2010/main"/>
                      </a:ext>
                    </a:extLst>
                  </pic:spPr>
                </pic:pic>
              </a:graphicData>
            </a:graphic>
          </wp:inline>
        </w:drawing>
      </w:r>
      <w:r w:rsidRPr="00E65C9D">
        <w:t xml:space="preserve"> </w:t>
      </w:r>
    </w:p>
    <w:p w:rsidR="008467E9" w:rsidRPr="00D14CE9" w:rsidRDefault="008467E9" w:rsidP="008467E9">
      <w:pPr>
        <w:rPr>
          <w:sz w:val="16"/>
          <w:szCs w:val="16"/>
        </w:rPr>
      </w:pPr>
      <w:r w:rsidRPr="00D14CE9">
        <w:rPr>
          <w:i/>
          <w:sz w:val="16"/>
          <w:szCs w:val="16"/>
        </w:rPr>
        <w:t>Source: EY analysis</w:t>
      </w:r>
    </w:p>
    <w:p w:rsidR="008467E9" w:rsidRDefault="008467E9" w:rsidP="00E65C9D">
      <w:pPr>
        <w:pStyle w:val="EYBodytextwithparaspace"/>
        <w:numPr>
          <w:ilvl w:val="4"/>
          <w:numId w:val="45"/>
        </w:numPr>
        <w:spacing w:after="120"/>
      </w:pPr>
      <w:bookmarkStart w:id="827" w:name="_Ref444604835"/>
      <w:r>
        <w:rPr>
          <w:b/>
          <w:lang w:val="en-AU"/>
        </w:rPr>
        <w:lastRenderedPageBreak/>
        <w:t>Scenario 2A</w:t>
      </w:r>
    </w:p>
    <w:p w:rsidR="00DF0626" w:rsidRPr="00E65C9D" w:rsidRDefault="00DF0626" w:rsidP="001D2778">
      <w:pPr>
        <w:pStyle w:val="Caption"/>
        <w:rPr>
          <w:sz w:val="16"/>
          <w:szCs w:val="18"/>
        </w:rPr>
      </w:pPr>
      <w:bookmarkStart w:id="828" w:name="_Toc445240931"/>
      <w:bookmarkStart w:id="829" w:name="_Toc448914595"/>
      <w:r w:rsidRPr="00E65C9D">
        <w:rPr>
          <w:sz w:val="16"/>
          <w:szCs w:val="18"/>
        </w:rPr>
        <w:t xml:space="preserve">Figure </w:t>
      </w:r>
      <w:r w:rsidRPr="00E65C9D">
        <w:rPr>
          <w:sz w:val="16"/>
          <w:szCs w:val="18"/>
        </w:rPr>
        <w:fldChar w:fldCharType="begin"/>
      </w:r>
      <w:r w:rsidRPr="00E65C9D">
        <w:rPr>
          <w:sz w:val="16"/>
          <w:szCs w:val="18"/>
        </w:rPr>
        <w:instrText xml:space="preserve"> SEQ Figure \* ARABIC </w:instrText>
      </w:r>
      <w:r w:rsidRPr="00E65C9D">
        <w:rPr>
          <w:sz w:val="16"/>
          <w:szCs w:val="18"/>
        </w:rPr>
        <w:fldChar w:fldCharType="separate"/>
      </w:r>
      <w:r w:rsidR="00525C82">
        <w:rPr>
          <w:noProof/>
          <w:sz w:val="16"/>
          <w:szCs w:val="18"/>
        </w:rPr>
        <w:t>33</w:t>
      </w:r>
      <w:r w:rsidRPr="00E65C9D">
        <w:rPr>
          <w:sz w:val="16"/>
          <w:szCs w:val="18"/>
        </w:rPr>
        <w:fldChar w:fldCharType="end"/>
      </w:r>
      <w:bookmarkEnd w:id="827"/>
      <w:r w:rsidRPr="00E65C9D">
        <w:rPr>
          <w:sz w:val="16"/>
          <w:szCs w:val="18"/>
        </w:rPr>
        <w:t xml:space="preserve"> – Scenario 2A - Total demand for extractive resources by LGA over the period 2015-2025</w:t>
      </w:r>
      <w:bookmarkEnd w:id="828"/>
      <w:bookmarkEnd w:id="829"/>
      <w:r w:rsidRPr="00E65C9D">
        <w:rPr>
          <w:sz w:val="16"/>
          <w:szCs w:val="18"/>
        </w:rPr>
        <w:t xml:space="preserve"> </w:t>
      </w:r>
    </w:p>
    <w:p w:rsidR="00DF0626" w:rsidRDefault="0085251D" w:rsidP="00DF0626">
      <w:r>
        <w:rPr>
          <w:noProof/>
          <w:lang w:eastAsia="en-AU"/>
        </w:rPr>
        <w:drawing>
          <wp:inline distT="0" distB="0" distL="0" distR="0" wp14:anchorId="76952502" wp14:editId="52B9AD12">
            <wp:extent cx="6923314" cy="5208250"/>
            <wp:effectExtent l="0" t="0" r="0" b="0"/>
            <wp:docPr id="2179" name="Picture 2179" descr="Figure 33 is a map of Victoria highlighting LGAs according to their projected demand for extractive resources for the period 2015 – 2025 according to Scenario 2A.  The most demand will come from Wyndham and Melbourne LGAs (with over 30 million tonnes demanded by each LGA over the period)."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ELBOURNE\MELBTAS\CF\Restricted\DEDJTR Demand Analysis for Extractive Resources\12. Maps\Scenario 2A - short term.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7909" t="5493" r="18496" b="16287"/>
                    <a:stretch/>
                  </pic:blipFill>
                  <pic:spPr bwMode="auto">
                    <a:xfrm>
                      <a:off x="0" y="0"/>
                      <a:ext cx="6940936" cy="5221506"/>
                    </a:xfrm>
                    <a:prstGeom prst="rect">
                      <a:avLst/>
                    </a:prstGeom>
                    <a:noFill/>
                    <a:ln>
                      <a:noFill/>
                    </a:ln>
                    <a:extLst>
                      <a:ext uri="{53640926-AAD7-44D8-BBD7-CCE9431645EC}">
                        <a14:shadowObscured xmlns:a14="http://schemas.microsoft.com/office/drawing/2010/main"/>
                      </a:ext>
                    </a:extLst>
                  </pic:spPr>
                </pic:pic>
              </a:graphicData>
            </a:graphic>
          </wp:inline>
        </w:drawing>
      </w:r>
    </w:p>
    <w:p w:rsidR="008467E9" w:rsidRPr="00D14CE9" w:rsidRDefault="008467E9" w:rsidP="008467E9">
      <w:pPr>
        <w:rPr>
          <w:sz w:val="16"/>
          <w:szCs w:val="16"/>
        </w:rPr>
      </w:pPr>
      <w:r w:rsidRPr="00D14CE9">
        <w:rPr>
          <w:i/>
          <w:sz w:val="16"/>
          <w:szCs w:val="16"/>
        </w:rPr>
        <w:t>Source: EY analysis</w:t>
      </w:r>
    </w:p>
    <w:p w:rsidR="00DF0626" w:rsidRPr="00D14CE9" w:rsidRDefault="00DF0626" w:rsidP="00DF0626">
      <w:pPr>
        <w:pStyle w:val="Caption"/>
        <w:rPr>
          <w:sz w:val="16"/>
          <w:szCs w:val="18"/>
        </w:rPr>
      </w:pPr>
      <w:bookmarkStart w:id="830" w:name="_Ref444604845"/>
      <w:bookmarkStart w:id="831" w:name="_Toc445240932"/>
      <w:bookmarkStart w:id="832" w:name="_Toc448914596"/>
      <w:r w:rsidRPr="00D14CE9">
        <w:rPr>
          <w:sz w:val="16"/>
          <w:szCs w:val="18"/>
        </w:rPr>
        <w:lastRenderedPageBreak/>
        <w:t xml:space="preserve">Figure </w:t>
      </w:r>
      <w:r w:rsidRPr="00855A0C">
        <w:rPr>
          <w:sz w:val="16"/>
          <w:szCs w:val="18"/>
        </w:rPr>
        <w:fldChar w:fldCharType="begin"/>
      </w:r>
      <w:r w:rsidRPr="00D14CE9">
        <w:rPr>
          <w:sz w:val="16"/>
          <w:szCs w:val="18"/>
        </w:rPr>
        <w:instrText xml:space="preserve"> SEQ Figure \* ARABIC </w:instrText>
      </w:r>
      <w:r w:rsidRPr="00855A0C">
        <w:rPr>
          <w:sz w:val="16"/>
          <w:szCs w:val="18"/>
        </w:rPr>
        <w:fldChar w:fldCharType="separate"/>
      </w:r>
      <w:r w:rsidR="00525C82">
        <w:rPr>
          <w:noProof/>
          <w:sz w:val="16"/>
          <w:szCs w:val="18"/>
        </w:rPr>
        <w:t>34</w:t>
      </w:r>
      <w:r w:rsidRPr="00855A0C">
        <w:rPr>
          <w:sz w:val="16"/>
          <w:szCs w:val="18"/>
        </w:rPr>
        <w:fldChar w:fldCharType="end"/>
      </w:r>
      <w:bookmarkEnd w:id="830"/>
      <w:r w:rsidRPr="00D14CE9">
        <w:rPr>
          <w:sz w:val="16"/>
          <w:szCs w:val="18"/>
        </w:rPr>
        <w:t xml:space="preserve"> – Scenario 2A - Total demand for extractive resources by LGA over the period 2026-2050</w:t>
      </w:r>
      <w:bookmarkEnd w:id="831"/>
      <w:bookmarkEnd w:id="832"/>
      <w:r w:rsidRPr="00D14CE9">
        <w:rPr>
          <w:sz w:val="16"/>
          <w:szCs w:val="18"/>
        </w:rPr>
        <w:t xml:space="preserve"> </w:t>
      </w:r>
    </w:p>
    <w:p w:rsidR="00D02C56" w:rsidRDefault="00F34BE3" w:rsidP="00D02C56">
      <w:pPr>
        <w:rPr>
          <w:i/>
          <w:sz w:val="16"/>
          <w:szCs w:val="16"/>
        </w:rPr>
      </w:pPr>
      <w:r>
        <w:rPr>
          <w:i/>
          <w:noProof/>
          <w:sz w:val="16"/>
          <w:szCs w:val="16"/>
          <w:lang w:eastAsia="en-AU"/>
        </w:rPr>
        <w:drawing>
          <wp:inline distT="0" distB="0" distL="0" distR="0" wp14:anchorId="38316262" wp14:editId="59981115">
            <wp:extent cx="7160821" cy="5360833"/>
            <wp:effectExtent l="0" t="0" r="2540" b="0"/>
            <wp:docPr id="2180" name="Picture 2180" descr="Figure 34 is a map of Victoria highlighting LGAs according to their projected demand for extractive resources for the period 2026 – 2050 according to Scenario 2A.  The most demand will come from Melbourne LGA (with over 100 million tonnes demanded over the period)."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MELBOURNE\MELBTAS\CF\Restricted\DEDJTR Demand Analysis for Extractive Resources\12. Maps\Scenario 2A - long term.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7775" t="5493" r="18630" b="16666"/>
                    <a:stretch/>
                  </pic:blipFill>
                  <pic:spPr bwMode="auto">
                    <a:xfrm>
                      <a:off x="0" y="0"/>
                      <a:ext cx="7169293" cy="5367175"/>
                    </a:xfrm>
                    <a:prstGeom prst="rect">
                      <a:avLst/>
                    </a:prstGeom>
                    <a:noFill/>
                    <a:ln>
                      <a:noFill/>
                    </a:ln>
                    <a:extLst>
                      <a:ext uri="{53640926-AAD7-44D8-BBD7-CCE9431645EC}">
                        <a14:shadowObscured xmlns:a14="http://schemas.microsoft.com/office/drawing/2010/main"/>
                      </a:ext>
                    </a:extLst>
                  </pic:spPr>
                </pic:pic>
              </a:graphicData>
            </a:graphic>
          </wp:inline>
        </w:drawing>
      </w:r>
    </w:p>
    <w:p w:rsidR="00D02C56" w:rsidRPr="00D14CE9" w:rsidRDefault="00D02C56" w:rsidP="00D02C56">
      <w:pPr>
        <w:rPr>
          <w:sz w:val="16"/>
          <w:szCs w:val="16"/>
        </w:rPr>
      </w:pPr>
      <w:r w:rsidRPr="00D14CE9">
        <w:rPr>
          <w:i/>
          <w:sz w:val="16"/>
          <w:szCs w:val="16"/>
        </w:rPr>
        <w:t>Source: EY analysis</w:t>
      </w:r>
    </w:p>
    <w:p w:rsidR="00D02C56" w:rsidRDefault="00D02C56" w:rsidP="00D02C56">
      <w:pPr>
        <w:pStyle w:val="EYBodytextwithparaspace"/>
        <w:numPr>
          <w:ilvl w:val="4"/>
          <w:numId w:val="45"/>
        </w:numPr>
        <w:spacing w:after="120"/>
        <w:rPr>
          <w:b/>
          <w:lang w:val="en-AU"/>
        </w:rPr>
      </w:pPr>
      <w:r>
        <w:rPr>
          <w:b/>
          <w:lang w:val="en-AU"/>
        </w:rPr>
        <w:lastRenderedPageBreak/>
        <w:t>Scenario 3A</w:t>
      </w:r>
    </w:p>
    <w:p w:rsidR="00DF0626" w:rsidRPr="00D14CE9" w:rsidRDefault="00DF0626" w:rsidP="00DF0626">
      <w:pPr>
        <w:pStyle w:val="Caption"/>
        <w:rPr>
          <w:sz w:val="16"/>
          <w:szCs w:val="18"/>
        </w:rPr>
      </w:pPr>
      <w:bookmarkStart w:id="833" w:name="_Ref444604886"/>
      <w:bookmarkStart w:id="834" w:name="_Toc445240933"/>
      <w:bookmarkStart w:id="835" w:name="_Toc448914597"/>
      <w:r w:rsidRPr="00D14CE9">
        <w:rPr>
          <w:sz w:val="16"/>
          <w:szCs w:val="18"/>
        </w:rPr>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35</w:t>
      </w:r>
      <w:r w:rsidRPr="00802792">
        <w:rPr>
          <w:sz w:val="16"/>
          <w:szCs w:val="18"/>
        </w:rPr>
        <w:fldChar w:fldCharType="end"/>
      </w:r>
      <w:bookmarkEnd w:id="833"/>
      <w:r w:rsidRPr="00D14CE9">
        <w:rPr>
          <w:sz w:val="16"/>
          <w:szCs w:val="18"/>
        </w:rPr>
        <w:t xml:space="preserve"> – Scenario 3A - Total demand for extractive resources by LGA over the period 2015-2025</w:t>
      </w:r>
      <w:bookmarkEnd w:id="834"/>
      <w:bookmarkEnd w:id="835"/>
      <w:r w:rsidRPr="00D14CE9">
        <w:rPr>
          <w:sz w:val="16"/>
          <w:szCs w:val="18"/>
        </w:rPr>
        <w:t xml:space="preserve"> </w:t>
      </w:r>
    </w:p>
    <w:p w:rsidR="00D02C56" w:rsidRDefault="00F34BE3" w:rsidP="00D02C56">
      <w:pPr>
        <w:rPr>
          <w:i/>
          <w:sz w:val="16"/>
          <w:szCs w:val="16"/>
        </w:rPr>
      </w:pPr>
      <w:r>
        <w:rPr>
          <w:i/>
          <w:noProof/>
          <w:sz w:val="16"/>
          <w:szCs w:val="16"/>
          <w:lang w:eastAsia="en-AU"/>
        </w:rPr>
        <w:drawing>
          <wp:inline distT="0" distB="0" distL="0" distR="0" wp14:anchorId="39D43768" wp14:editId="1D5E7663">
            <wp:extent cx="6828312" cy="5174482"/>
            <wp:effectExtent l="0" t="0" r="0" b="7620"/>
            <wp:docPr id="2181" name="Picture 2181" descr="Figure 35 is a map of Victoria highlighting LGAs according to their projected demand for extractive resources for the period 2015 – 2025 according to Scenario 3A.  The most demand will come from Casey and Melbourne LGAs (with over 30 million tonnes demanded by each LGA over the period).&#10;&#10;" title="Figure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ELBOURNE\MELBTAS\CF\Restricted\DEDJTR Demand Analysis for Extractive Resources\12. Maps\Scenario 3A - short term.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7909" t="5303" r="19033" b="16477"/>
                    <a:stretch/>
                  </pic:blipFill>
                  <pic:spPr bwMode="auto">
                    <a:xfrm>
                      <a:off x="0" y="0"/>
                      <a:ext cx="6829953" cy="5175725"/>
                    </a:xfrm>
                    <a:prstGeom prst="rect">
                      <a:avLst/>
                    </a:prstGeom>
                    <a:noFill/>
                    <a:ln>
                      <a:noFill/>
                    </a:ln>
                    <a:extLst>
                      <a:ext uri="{53640926-AAD7-44D8-BBD7-CCE9431645EC}">
                        <a14:shadowObscured xmlns:a14="http://schemas.microsoft.com/office/drawing/2010/main"/>
                      </a:ext>
                    </a:extLst>
                  </pic:spPr>
                </pic:pic>
              </a:graphicData>
            </a:graphic>
          </wp:inline>
        </w:drawing>
      </w:r>
    </w:p>
    <w:p w:rsidR="00D02C56" w:rsidRPr="00D14CE9" w:rsidRDefault="00D02C56" w:rsidP="00D02C56">
      <w:pPr>
        <w:rPr>
          <w:sz w:val="16"/>
          <w:szCs w:val="16"/>
        </w:rPr>
      </w:pPr>
      <w:r w:rsidRPr="00D14CE9">
        <w:rPr>
          <w:i/>
          <w:sz w:val="16"/>
          <w:szCs w:val="16"/>
        </w:rPr>
        <w:t>Source: EY analysis</w:t>
      </w:r>
    </w:p>
    <w:p w:rsidR="00DF0626" w:rsidRPr="00D14CE9" w:rsidRDefault="00DF0626" w:rsidP="00DF0626">
      <w:pPr>
        <w:pStyle w:val="Caption"/>
        <w:rPr>
          <w:sz w:val="16"/>
          <w:szCs w:val="18"/>
        </w:rPr>
      </w:pPr>
      <w:bookmarkStart w:id="836" w:name="_Ref444604894"/>
      <w:bookmarkStart w:id="837" w:name="_Toc445240934"/>
      <w:bookmarkStart w:id="838" w:name="_Toc448914598"/>
      <w:r w:rsidRPr="00D14CE9">
        <w:rPr>
          <w:sz w:val="16"/>
          <w:szCs w:val="18"/>
        </w:rPr>
        <w:lastRenderedPageBreak/>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36</w:t>
      </w:r>
      <w:r w:rsidRPr="00802792">
        <w:rPr>
          <w:sz w:val="16"/>
          <w:szCs w:val="18"/>
        </w:rPr>
        <w:fldChar w:fldCharType="end"/>
      </w:r>
      <w:bookmarkEnd w:id="836"/>
      <w:r w:rsidRPr="00D14CE9">
        <w:rPr>
          <w:sz w:val="16"/>
          <w:szCs w:val="18"/>
        </w:rPr>
        <w:t xml:space="preserve"> – Scenario 3A - Total demand for extractive resources by LGA over the period 2026-2050</w:t>
      </w:r>
      <w:bookmarkEnd w:id="837"/>
      <w:bookmarkEnd w:id="838"/>
      <w:r w:rsidRPr="00D14CE9">
        <w:rPr>
          <w:sz w:val="16"/>
          <w:szCs w:val="18"/>
        </w:rPr>
        <w:t xml:space="preserve"> </w:t>
      </w:r>
    </w:p>
    <w:p w:rsidR="00674CD8" w:rsidRDefault="00F34BE3" w:rsidP="00D02C56">
      <w:pPr>
        <w:rPr>
          <w:i/>
          <w:sz w:val="16"/>
          <w:szCs w:val="16"/>
        </w:rPr>
      </w:pPr>
      <w:r>
        <w:rPr>
          <w:i/>
          <w:noProof/>
          <w:sz w:val="16"/>
          <w:szCs w:val="16"/>
          <w:lang w:eastAsia="en-AU"/>
        </w:rPr>
        <w:drawing>
          <wp:inline distT="0" distB="0" distL="0" distR="0" wp14:anchorId="4BF07321" wp14:editId="627D978C">
            <wp:extent cx="7184571" cy="5401539"/>
            <wp:effectExtent l="0" t="0" r="0" b="8890"/>
            <wp:docPr id="2182" name="Picture 2182" descr="Figure 36 is a map of Victoria highlighting LGAs according to their projected demand for extractive resources for the period 2026 – 2050 according to Scenario 3A.  The most demand will come from Melbourne LGA (with over 100 million tonnes demanded over the period)."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MELBOURNE\MELBTAS\CF\Restricted\DEDJTR Demand Analysis for Extractive Resources\12. Maps\Scenario 3A - long term.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7909" t="5492" r="18630" b="16477"/>
                    <a:stretch/>
                  </pic:blipFill>
                  <pic:spPr bwMode="auto">
                    <a:xfrm>
                      <a:off x="0" y="0"/>
                      <a:ext cx="7186298" cy="5402837"/>
                    </a:xfrm>
                    <a:prstGeom prst="rect">
                      <a:avLst/>
                    </a:prstGeom>
                    <a:noFill/>
                    <a:ln>
                      <a:noFill/>
                    </a:ln>
                    <a:extLst>
                      <a:ext uri="{53640926-AAD7-44D8-BBD7-CCE9431645EC}">
                        <a14:shadowObscured xmlns:a14="http://schemas.microsoft.com/office/drawing/2010/main"/>
                      </a:ext>
                    </a:extLst>
                  </pic:spPr>
                </pic:pic>
              </a:graphicData>
            </a:graphic>
          </wp:inline>
        </w:drawing>
      </w:r>
    </w:p>
    <w:p w:rsidR="00D02C56" w:rsidRPr="00D14CE9" w:rsidRDefault="00D02C56" w:rsidP="00D02C56">
      <w:pPr>
        <w:rPr>
          <w:sz w:val="16"/>
          <w:szCs w:val="16"/>
        </w:rPr>
      </w:pPr>
      <w:r w:rsidRPr="00D14CE9">
        <w:rPr>
          <w:i/>
          <w:sz w:val="16"/>
          <w:szCs w:val="16"/>
        </w:rPr>
        <w:t>Source: EY analysis</w:t>
      </w:r>
    </w:p>
    <w:p w:rsidR="00674CD8" w:rsidRDefault="00674CD8" w:rsidP="00674CD8">
      <w:pPr>
        <w:pStyle w:val="EYBodytextwithparaspace"/>
        <w:numPr>
          <w:ilvl w:val="4"/>
          <w:numId w:val="45"/>
        </w:numPr>
        <w:spacing w:after="120"/>
        <w:rPr>
          <w:b/>
          <w:lang w:val="en-AU"/>
        </w:rPr>
      </w:pPr>
      <w:r>
        <w:rPr>
          <w:b/>
          <w:lang w:val="en-AU"/>
        </w:rPr>
        <w:lastRenderedPageBreak/>
        <w:t>Scenario 3B</w:t>
      </w:r>
    </w:p>
    <w:p w:rsidR="000E4A68" w:rsidRPr="00D14CE9" w:rsidRDefault="000E4A68" w:rsidP="000E4A68">
      <w:pPr>
        <w:pStyle w:val="Caption"/>
        <w:rPr>
          <w:sz w:val="16"/>
          <w:szCs w:val="18"/>
        </w:rPr>
      </w:pPr>
      <w:bookmarkStart w:id="839" w:name="_Ref444604935"/>
      <w:bookmarkStart w:id="840" w:name="_Toc445240935"/>
      <w:bookmarkStart w:id="841" w:name="_Toc448914599"/>
      <w:r w:rsidRPr="00D14CE9">
        <w:rPr>
          <w:sz w:val="16"/>
          <w:szCs w:val="18"/>
        </w:rPr>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37</w:t>
      </w:r>
      <w:r w:rsidRPr="00802792">
        <w:rPr>
          <w:sz w:val="16"/>
          <w:szCs w:val="18"/>
        </w:rPr>
        <w:fldChar w:fldCharType="end"/>
      </w:r>
      <w:bookmarkEnd w:id="839"/>
      <w:r w:rsidRPr="00D14CE9">
        <w:rPr>
          <w:sz w:val="16"/>
          <w:szCs w:val="18"/>
        </w:rPr>
        <w:t xml:space="preserve"> – Scenario 3B - Total demand for extractive resources by LGA over the period 2015-2025</w:t>
      </w:r>
      <w:bookmarkEnd w:id="840"/>
      <w:bookmarkEnd w:id="841"/>
      <w:r w:rsidRPr="00D14CE9">
        <w:rPr>
          <w:sz w:val="16"/>
          <w:szCs w:val="18"/>
        </w:rPr>
        <w:t xml:space="preserve"> </w:t>
      </w:r>
    </w:p>
    <w:p w:rsidR="00674CD8" w:rsidRDefault="00F34BE3" w:rsidP="00D02C56">
      <w:pPr>
        <w:rPr>
          <w:i/>
          <w:sz w:val="16"/>
          <w:szCs w:val="16"/>
        </w:rPr>
      </w:pPr>
      <w:r>
        <w:rPr>
          <w:i/>
          <w:noProof/>
          <w:sz w:val="16"/>
          <w:szCs w:val="16"/>
          <w:lang w:eastAsia="en-AU"/>
        </w:rPr>
        <w:drawing>
          <wp:inline distT="0" distB="0" distL="0" distR="0" wp14:anchorId="072BB88B" wp14:editId="33536871">
            <wp:extent cx="6542314" cy="4945748"/>
            <wp:effectExtent l="0" t="0" r="0" b="7620"/>
            <wp:docPr id="2183" name="Picture 2183" descr="Figure 37 is a map of Victoria highlighting LGAs according to their projected demand for extractive resources for the period 2015 – 2025 according to Scenario 3B.  The most demand will come from Casey, Wyndham, Hume, Melton and Whittlesea LGAs (with over 30 million tonnes demanded by each LGA over the period)."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ELBOURNE\MELBTAS\CF\Restricted\DEDJTR Demand Analysis for Extractive Resources\12. Maps\Scenario 3B - short term.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7774" t="5492" r="19166" b="16477"/>
                    <a:stretch/>
                  </pic:blipFill>
                  <pic:spPr bwMode="auto">
                    <a:xfrm>
                      <a:off x="0" y="0"/>
                      <a:ext cx="6569786" cy="4966516"/>
                    </a:xfrm>
                    <a:prstGeom prst="rect">
                      <a:avLst/>
                    </a:prstGeom>
                    <a:noFill/>
                    <a:ln>
                      <a:noFill/>
                    </a:ln>
                    <a:extLst>
                      <a:ext uri="{53640926-AAD7-44D8-BBD7-CCE9431645EC}">
                        <a14:shadowObscured xmlns:a14="http://schemas.microsoft.com/office/drawing/2010/main"/>
                      </a:ext>
                    </a:extLst>
                  </pic:spPr>
                </pic:pic>
              </a:graphicData>
            </a:graphic>
          </wp:inline>
        </w:drawing>
      </w:r>
    </w:p>
    <w:p w:rsidR="00D02C56" w:rsidRPr="00D14CE9" w:rsidRDefault="00D02C56" w:rsidP="00D02C56">
      <w:pPr>
        <w:rPr>
          <w:sz w:val="16"/>
          <w:szCs w:val="16"/>
        </w:rPr>
      </w:pPr>
      <w:r w:rsidRPr="00D14CE9">
        <w:rPr>
          <w:i/>
          <w:sz w:val="16"/>
          <w:szCs w:val="16"/>
        </w:rPr>
        <w:t>Source: EY analysis</w:t>
      </w:r>
    </w:p>
    <w:p w:rsidR="000E4A68" w:rsidRPr="00D14CE9" w:rsidRDefault="000E4A68" w:rsidP="000E4A68">
      <w:pPr>
        <w:pStyle w:val="Caption"/>
        <w:rPr>
          <w:sz w:val="16"/>
          <w:szCs w:val="18"/>
        </w:rPr>
      </w:pPr>
      <w:bookmarkStart w:id="842" w:name="_Ref444604945"/>
      <w:bookmarkStart w:id="843" w:name="_Toc445240936"/>
      <w:bookmarkStart w:id="844" w:name="_Toc448914600"/>
      <w:r w:rsidRPr="00D14CE9">
        <w:rPr>
          <w:sz w:val="16"/>
          <w:szCs w:val="18"/>
        </w:rPr>
        <w:lastRenderedPageBreak/>
        <w:t xml:space="preserve">Figure </w:t>
      </w:r>
      <w:r w:rsidRPr="00802792">
        <w:rPr>
          <w:sz w:val="16"/>
          <w:szCs w:val="18"/>
        </w:rPr>
        <w:fldChar w:fldCharType="begin"/>
      </w:r>
      <w:r w:rsidRPr="00D14CE9">
        <w:rPr>
          <w:sz w:val="16"/>
          <w:szCs w:val="18"/>
        </w:rPr>
        <w:instrText xml:space="preserve"> SEQ Figure \* ARABIC </w:instrText>
      </w:r>
      <w:r w:rsidRPr="00802792">
        <w:rPr>
          <w:sz w:val="16"/>
          <w:szCs w:val="18"/>
        </w:rPr>
        <w:fldChar w:fldCharType="separate"/>
      </w:r>
      <w:r w:rsidR="00525C82">
        <w:rPr>
          <w:noProof/>
          <w:sz w:val="16"/>
          <w:szCs w:val="18"/>
        </w:rPr>
        <w:t>38</w:t>
      </w:r>
      <w:r w:rsidRPr="00802792">
        <w:rPr>
          <w:sz w:val="16"/>
          <w:szCs w:val="18"/>
        </w:rPr>
        <w:fldChar w:fldCharType="end"/>
      </w:r>
      <w:bookmarkEnd w:id="842"/>
      <w:r w:rsidRPr="00D14CE9">
        <w:rPr>
          <w:sz w:val="16"/>
          <w:szCs w:val="18"/>
        </w:rPr>
        <w:t xml:space="preserve"> – Scenario 3B - Total demand for extractive resources by LGA over the period 2026-2050</w:t>
      </w:r>
      <w:bookmarkEnd w:id="843"/>
      <w:bookmarkEnd w:id="844"/>
      <w:r w:rsidRPr="00D14CE9">
        <w:rPr>
          <w:sz w:val="16"/>
          <w:szCs w:val="18"/>
        </w:rPr>
        <w:t xml:space="preserve"> </w:t>
      </w:r>
    </w:p>
    <w:p w:rsidR="00674CD8" w:rsidRDefault="00F34BE3" w:rsidP="00D02C56">
      <w:pPr>
        <w:rPr>
          <w:i/>
          <w:sz w:val="16"/>
          <w:szCs w:val="16"/>
        </w:rPr>
      </w:pPr>
      <w:r>
        <w:rPr>
          <w:i/>
          <w:noProof/>
          <w:sz w:val="16"/>
          <w:szCs w:val="16"/>
          <w:lang w:eastAsia="en-AU"/>
        </w:rPr>
        <w:drawing>
          <wp:inline distT="0" distB="0" distL="0" distR="0" wp14:anchorId="21DA7684" wp14:editId="55017A06">
            <wp:extent cx="7042245" cy="5281684"/>
            <wp:effectExtent l="0" t="0" r="6350" b="0"/>
            <wp:docPr id="2184" name="Picture 2184" descr="Figure 38 is a map of Victoria highlighting LGAs according to their projected demand for extractive resources for the period 2026 – 2050 according to Scenario 3B.  The most demand will come from Melbourne, Melton, Wyndham and Casey  LGAs (with over 100 million tonnes demanded from each LGA over the period)."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MELBOURNE\MELBTAS\CF\Restricted\DEDJTR Demand Analysis for Extractive Resources\12. Maps\Scenario 3B - long term.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8042" t="5682" r="18496" b="16477"/>
                    <a:stretch/>
                  </pic:blipFill>
                  <pic:spPr bwMode="auto">
                    <a:xfrm>
                      <a:off x="0" y="0"/>
                      <a:ext cx="7069173" cy="5301880"/>
                    </a:xfrm>
                    <a:prstGeom prst="rect">
                      <a:avLst/>
                    </a:prstGeom>
                    <a:noFill/>
                    <a:ln>
                      <a:noFill/>
                    </a:ln>
                    <a:extLst>
                      <a:ext uri="{53640926-AAD7-44D8-BBD7-CCE9431645EC}">
                        <a14:shadowObscured xmlns:a14="http://schemas.microsoft.com/office/drawing/2010/main"/>
                      </a:ext>
                    </a:extLst>
                  </pic:spPr>
                </pic:pic>
              </a:graphicData>
            </a:graphic>
          </wp:inline>
        </w:drawing>
      </w:r>
    </w:p>
    <w:p w:rsidR="00DF0626" w:rsidRDefault="00D02C56" w:rsidP="00E65C9D">
      <w:r w:rsidRPr="00D14CE9">
        <w:rPr>
          <w:i/>
          <w:sz w:val="16"/>
          <w:szCs w:val="16"/>
        </w:rPr>
        <w:t>Source: EY analysis</w:t>
      </w:r>
    </w:p>
    <w:p w:rsidR="00DF0626" w:rsidRDefault="00DF0626" w:rsidP="00D3438A">
      <w:pPr>
        <w:pStyle w:val="EYNormal"/>
        <w:rPr>
          <w:lang w:val="en-AU"/>
        </w:rPr>
        <w:sectPr w:rsidR="00DF0626" w:rsidSect="00D962E4">
          <w:footerReference w:type="default" r:id="rId79"/>
          <w:pgSz w:w="16834" w:h="11909" w:orient="landscape" w:code="9"/>
          <w:pgMar w:top="1440" w:right="1440" w:bottom="1440" w:left="1440" w:header="720" w:footer="567" w:gutter="0"/>
          <w:cols w:space="720"/>
          <w:docGrid w:linePitch="360"/>
        </w:sectPr>
      </w:pPr>
    </w:p>
    <w:p w:rsidR="000A067A" w:rsidRPr="00D14CE9" w:rsidRDefault="000A067A" w:rsidP="000A067A">
      <w:pPr>
        <w:pStyle w:val="EYAppendix"/>
        <w:pageBreakBefore/>
        <w:ind w:left="2275" w:hanging="2275"/>
        <w:rPr>
          <w:lang w:val="en-AU"/>
        </w:rPr>
      </w:pPr>
      <w:bookmarkStart w:id="845" w:name="_Ref445301730"/>
      <w:bookmarkStart w:id="846" w:name="_Toc451847100"/>
      <w:r w:rsidRPr="00D14CE9">
        <w:rPr>
          <w:lang w:val="en-AU"/>
        </w:rPr>
        <w:lastRenderedPageBreak/>
        <w:t>Assessment of the economic implications of resource constraints</w:t>
      </w:r>
      <w:bookmarkEnd w:id="845"/>
      <w:bookmarkEnd w:id="846"/>
    </w:p>
    <w:p w:rsidR="00895089" w:rsidRPr="00D14CE9" w:rsidRDefault="00895089" w:rsidP="00895089">
      <w:pPr>
        <w:pStyle w:val="EYBodytextwithparaspace"/>
        <w:rPr>
          <w:lang w:val="en-AU"/>
        </w:rPr>
      </w:pPr>
      <w:r w:rsidRPr="00D14CE9">
        <w:rPr>
          <w:rFonts w:cstheme="majorHAnsi"/>
          <w:szCs w:val="20"/>
          <w:lang w:val="en-AU"/>
        </w:rPr>
        <w:t xml:space="preserve">A cost reckoner was developed to support the analysis of the economic implications of resource constraints. </w:t>
      </w:r>
    </w:p>
    <w:p w:rsidR="00895089" w:rsidRPr="00D14CE9" w:rsidRDefault="00895089" w:rsidP="00895089">
      <w:pPr>
        <w:pStyle w:val="EYBodytextwithparaspace"/>
        <w:rPr>
          <w:lang w:val="en-AU"/>
        </w:rPr>
      </w:pPr>
      <w:r w:rsidRPr="00D14CE9">
        <w:rPr>
          <w:rFonts w:cstheme="majorHAnsi"/>
          <w:szCs w:val="20"/>
          <w:lang w:val="en-AU"/>
        </w:rPr>
        <w:t>This Appendix describes the methodology implemented to develop the cost reckoner and presents key outputs.</w:t>
      </w:r>
    </w:p>
    <w:p w:rsidR="00895089" w:rsidRPr="00D14CE9" w:rsidRDefault="00895089" w:rsidP="007513A5">
      <w:pPr>
        <w:pStyle w:val="ListParagraph"/>
        <w:numPr>
          <w:ilvl w:val="0"/>
          <w:numId w:val="40"/>
        </w:numPr>
        <w:ind w:left="709" w:hanging="709"/>
        <w:rPr>
          <w:rFonts w:ascii="EYInterstate Light" w:hAnsi="EYInterstate Light"/>
          <w:b/>
        </w:rPr>
      </w:pPr>
      <w:r w:rsidRPr="00D14CE9">
        <w:rPr>
          <w:rFonts w:ascii="EYInterstate Light" w:hAnsi="EYInterstate Light"/>
          <w:b/>
        </w:rPr>
        <w:t>Cost Reckoner - Methodology</w:t>
      </w:r>
    </w:p>
    <w:p w:rsidR="00895089" w:rsidRPr="00D14CE9" w:rsidRDefault="00895089" w:rsidP="00895089">
      <w:pPr>
        <w:pStyle w:val="ListParagraph"/>
        <w:widowControl/>
        <w:autoSpaceDE/>
        <w:adjustRightInd/>
        <w:spacing w:after="0"/>
        <w:ind w:left="0"/>
        <w:rPr>
          <w:rFonts w:ascii="EYInterstate Light" w:hAnsi="EYInterstate Light"/>
        </w:rPr>
      </w:pPr>
    </w:p>
    <w:p w:rsidR="00895089" w:rsidRPr="00D14CE9" w:rsidRDefault="00895089" w:rsidP="00895089">
      <w:pPr>
        <w:pStyle w:val="ListParagraph"/>
        <w:numPr>
          <w:ilvl w:val="1"/>
          <w:numId w:val="43"/>
        </w:numPr>
        <w:ind w:left="720" w:hanging="720"/>
        <w:rPr>
          <w:rFonts w:ascii="EYInterstate Light" w:hAnsi="EYInterstate Light"/>
          <w:b/>
        </w:rPr>
      </w:pPr>
      <w:r w:rsidRPr="00D14CE9">
        <w:rPr>
          <w:rFonts w:ascii="EYInterstate Light" w:hAnsi="EYInterstate Light"/>
          <w:b/>
        </w:rPr>
        <w:t>Unit cost of transporting extractive resources</w:t>
      </w:r>
    </w:p>
    <w:p w:rsidR="00895089" w:rsidRPr="00D14CE9" w:rsidRDefault="00895089" w:rsidP="00895089">
      <w:pPr>
        <w:pStyle w:val="EYBodytextwithparaspace"/>
        <w:rPr>
          <w:rFonts w:cstheme="majorHAnsi"/>
          <w:szCs w:val="20"/>
          <w:lang w:val="en-AU"/>
        </w:rPr>
      </w:pPr>
      <w:r w:rsidRPr="00D14CE9">
        <w:rPr>
          <w:rFonts w:cstheme="majorHAnsi"/>
          <w:szCs w:val="20"/>
          <w:lang w:val="en-AU"/>
        </w:rPr>
        <w:t>The cost reckoner was developed to calculate the total cost of transporting extractive resources. This cost was defined as including:</w:t>
      </w:r>
    </w:p>
    <w:p w:rsidR="00895089" w:rsidRPr="00D14CE9" w:rsidRDefault="00895089" w:rsidP="004839B9">
      <w:pPr>
        <w:pStyle w:val="ListParagraph"/>
        <w:numPr>
          <w:ilvl w:val="0"/>
          <w:numId w:val="11"/>
        </w:numPr>
        <w:contextualSpacing w:val="0"/>
        <w:rPr>
          <w:rFonts w:ascii="EYInterstate Light" w:hAnsi="EYInterstate Light"/>
        </w:rPr>
      </w:pPr>
      <w:r w:rsidRPr="00D14CE9">
        <w:rPr>
          <w:rFonts w:ascii="EYInterstate Light" w:hAnsi="EYInterstate Light"/>
        </w:rPr>
        <w:t>The vehicle cost of transporting extractive resources.</w:t>
      </w:r>
    </w:p>
    <w:p w:rsidR="00895089" w:rsidRPr="00D14CE9" w:rsidRDefault="00895089" w:rsidP="00895089">
      <w:pPr>
        <w:pStyle w:val="ListParagraph"/>
        <w:numPr>
          <w:ilvl w:val="0"/>
          <w:numId w:val="11"/>
        </w:numPr>
        <w:spacing w:after="240" w:line="0" w:lineRule="atLeast"/>
        <w:rPr>
          <w:rFonts w:ascii="EYInterstate Light" w:hAnsi="EYInterstate Light"/>
        </w:rPr>
      </w:pPr>
      <w:r w:rsidRPr="00D14CE9">
        <w:rPr>
          <w:rFonts w:ascii="EYInterstate Light" w:hAnsi="EYInterstate Light"/>
        </w:rPr>
        <w:t>The social and environmental cost (referred to as externalities cost) associated with the transportation of extractive resources. The externalities cost reflects the cost to the wider community rather than a cost to the industry.</w:t>
      </w:r>
    </w:p>
    <w:p w:rsidR="00895089" w:rsidRPr="00D14CE9" w:rsidRDefault="00895089" w:rsidP="00895089">
      <w:pPr>
        <w:spacing w:after="240" w:line="0" w:lineRule="atLeast"/>
      </w:pPr>
      <w:r w:rsidRPr="00D14CE9">
        <w:t>This is an economic cost that excludes taxes and subsidies.</w:t>
      </w:r>
    </w:p>
    <w:p w:rsidR="00895089" w:rsidRPr="00D14CE9" w:rsidRDefault="00895089" w:rsidP="00895089">
      <w:pPr>
        <w:pStyle w:val="EYBodytextwithparaspace"/>
        <w:rPr>
          <w:rFonts w:cstheme="majorHAnsi"/>
          <w:b/>
          <w:szCs w:val="20"/>
          <w:lang w:val="en-AU"/>
        </w:rPr>
      </w:pPr>
      <w:r w:rsidRPr="00D14CE9">
        <w:rPr>
          <w:rFonts w:cstheme="majorHAnsi"/>
          <w:b/>
          <w:szCs w:val="20"/>
          <w:lang w:val="en-AU"/>
        </w:rPr>
        <w:t>Vehicle Cost</w:t>
      </w:r>
    </w:p>
    <w:p w:rsidR="00895089" w:rsidRPr="00D14CE9" w:rsidRDefault="00895089" w:rsidP="00895089">
      <w:pPr>
        <w:pStyle w:val="EYBodytextwithparaspace"/>
        <w:rPr>
          <w:rFonts w:cstheme="majorHAnsi"/>
          <w:szCs w:val="20"/>
          <w:lang w:val="en-AU"/>
        </w:rPr>
      </w:pPr>
      <w:r w:rsidRPr="00D14CE9">
        <w:rPr>
          <w:rFonts w:cstheme="majorHAnsi"/>
          <w:szCs w:val="20"/>
          <w:lang w:val="en-AU"/>
        </w:rPr>
        <w:t xml:space="preserve">The vehicle cost was calculated based on standard Austroads methodologies and values provided in </w:t>
      </w:r>
      <w:r w:rsidRPr="00D14CE9">
        <w:rPr>
          <w:rFonts w:cstheme="majorHAnsi"/>
          <w:i/>
          <w:szCs w:val="20"/>
          <w:lang w:val="en-AU"/>
        </w:rPr>
        <w:t>2015 National Guidelines for Transport System Management in Australia, Transport and Infrastructure Council,</w:t>
      </w:r>
      <w:r w:rsidRPr="00D14CE9">
        <w:rPr>
          <w:rFonts w:cstheme="majorHAnsi"/>
          <w:szCs w:val="20"/>
          <w:lang w:val="en-AU"/>
        </w:rPr>
        <w:t xml:space="preserve"> to calculate the resource dollar cost per net tonne kilometre of transportation of extractive resources and key assumptions related to the heavy vehicle fleet, road types and locations and fuel prices. The vehicle cost considered for this study was assumed to include:</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The vehicle operating cost (VOC) per kilometre, allowing for fuel, oil, tyres, repairs &amp; maintenance and depreciation (through new vehicle prices). The VOC was calculated on a resource cost basis using standard Austroads rates. Separate calculations were applied for considering different transport models:</w:t>
      </w:r>
    </w:p>
    <w:p w:rsidR="00895089" w:rsidRPr="00D14CE9" w:rsidRDefault="00895089" w:rsidP="00895089">
      <w:pPr>
        <w:pStyle w:val="EYBulletedList1"/>
        <w:tabs>
          <w:tab w:val="clear" w:pos="288"/>
        </w:tabs>
        <w:spacing w:after="120"/>
        <w:ind w:left="567"/>
        <w:rPr>
          <w:rFonts w:cstheme="majorHAnsi"/>
          <w:szCs w:val="20"/>
          <w:lang w:val="en-AU"/>
        </w:rPr>
      </w:pPr>
      <w:r w:rsidRPr="00D14CE9">
        <w:rPr>
          <w:rFonts w:cstheme="majorHAnsi"/>
          <w:szCs w:val="20"/>
          <w:lang w:val="en-AU"/>
        </w:rPr>
        <w:t xml:space="preserve">Urban travel (interrupted): this interrupted model allows for stop-start model (&lt;60km/h) and free-flow model (&gt;60km/h) conditions. The choice of model should be based on judgment of the user. </w:t>
      </w:r>
    </w:p>
    <w:p w:rsidR="00895089" w:rsidRPr="00D14CE9" w:rsidRDefault="00895089" w:rsidP="00895089">
      <w:pPr>
        <w:pStyle w:val="EYBulletedList1"/>
        <w:tabs>
          <w:tab w:val="clear" w:pos="288"/>
        </w:tabs>
        <w:spacing w:after="120"/>
        <w:ind w:left="567"/>
        <w:rPr>
          <w:rFonts w:cstheme="majorHAnsi"/>
          <w:szCs w:val="20"/>
          <w:lang w:val="en-AU"/>
        </w:rPr>
      </w:pPr>
      <w:r w:rsidRPr="00D14CE9">
        <w:rPr>
          <w:rFonts w:cstheme="majorHAnsi"/>
          <w:szCs w:val="20"/>
          <w:lang w:val="en-AU"/>
        </w:rPr>
        <w:t>Rural travel (uninterrupted).</w:t>
      </w:r>
    </w:p>
    <w:p w:rsidR="00895089" w:rsidRPr="00D14CE9" w:rsidRDefault="00895089" w:rsidP="00895089">
      <w:pPr>
        <w:pStyle w:val="EYBulletedList1"/>
        <w:numPr>
          <w:ilvl w:val="0"/>
          <w:numId w:val="0"/>
        </w:numPr>
        <w:spacing w:after="120"/>
        <w:rPr>
          <w:rFonts w:cstheme="majorHAnsi"/>
          <w:szCs w:val="20"/>
          <w:lang w:val="en-AU"/>
        </w:rPr>
      </w:pPr>
      <w:r w:rsidRPr="00D14CE9">
        <w:rPr>
          <w:rFonts w:cstheme="majorHAnsi"/>
          <w:szCs w:val="20"/>
          <w:lang w:val="en-AU"/>
        </w:rPr>
        <w:t>Both the uninterrupted and interrupted VOC models include a number of assumptions, as follows:</w:t>
      </w:r>
    </w:p>
    <w:p w:rsidR="00895089" w:rsidRPr="00D14CE9" w:rsidRDefault="00895089" w:rsidP="00895089">
      <w:pPr>
        <w:pStyle w:val="EYBulletedList1"/>
        <w:tabs>
          <w:tab w:val="clear" w:pos="288"/>
          <w:tab w:val="num" w:pos="864"/>
        </w:tabs>
        <w:spacing w:after="120"/>
        <w:ind w:left="567"/>
        <w:rPr>
          <w:rFonts w:cstheme="majorHAnsi"/>
          <w:szCs w:val="20"/>
          <w:lang w:val="en-AU"/>
        </w:rPr>
      </w:pPr>
      <w:r w:rsidRPr="00D14CE9">
        <w:rPr>
          <w:rFonts w:cstheme="majorHAnsi"/>
          <w:szCs w:val="20"/>
          <w:lang w:val="en-AU"/>
        </w:rPr>
        <w:t>The urban travel (interrupted) VOC model includes an average travel speed assumption.</w:t>
      </w:r>
    </w:p>
    <w:p w:rsidR="00895089" w:rsidRPr="00D14CE9" w:rsidRDefault="00895089" w:rsidP="00895089">
      <w:pPr>
        <w:pStyle w:val="EYBulletedList1"/>
        <w:tabs>
          <w:tab w:val="clear" w:pos="288"/>
          <w:tab w:val="num" w:pos="864"/>
        </w:tabs>
        <w:spacing w:after="120"/>
        <w:ind w:left="567"/>
        <w:rPr>
          <w:rFonts w:cstheme="majorHAnsi"/>
          <w:szCs w:val="20"/>
          <w:lang w:val="en-AU"/>
        </w:rPr>
      </w:pPr>
      <w:r w:rsidRPr="00D14CE9">
        <w:rPr>
          <w:rFonts w:cstheme="majorHAnsi"/>
          <w:szCs w:val="20"/>
          <w:lang w:val="en-AU"/>
        </w:rPr>
        <w:t xml:space="preserve">The rural (uninterrupted) VOC model includes a number of assumptions including an average travel speed, an international roughness index and a gross vehicle mass </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 xml:space="preserve">The travel time cost per kilometre, provided for vehicle occupants (passenger and freight), and the value of travel time for freight. The travel time was calculated for each transport model based on Austroads values and included travel speed assumptions. </w:t>
      </w:r>
    </w:p>
    <w:p w:rsidR="00895089" w:rsidRPr="00D14CE9" w:rsidRDefault="00895089" w:rsidP="00895089">
      <w:pPr>
        <w:pStyle w:val="ListParagraph"/>
        <w:ind w:left="284"/>
        <w:rPr>
          <w:rFonts w:ascii="EYInterstate Light" w:hAnsi="EYInterstate Light"/>
          <w:kern w:val="12"/>
        </w:rPr>
      </w:pPr>
    </w:p>
    <w:p w:rsidR="00895089" w:rsidRPr="00D14CE9" w:rsidRDefault="00895089" w:rsidP="00895089">
      <w:pPr>
        <w:pStyle w:val="ListParagraph"/>
        <w:ind w:left="0"/>
        <w:rPr>
          <w:rFonts w:ascii="EYInterstate Light" w:hAnsi="EYInterstate Light"/>
          <w:kern w:val="12"/>
        </w:rPr>
      </w:pPr>
    </w:p>
    <w:p w:rsidR="00895089" w:rsidRPr="00D14CE9" w:rsidRDefault="00895089" w:rsidP="00895089">
      <w:pPr>
        <w:widowControl/>
        <w:autoSpaceDE/>
        <w:autoSpaceDN/>
        <w:adjustRightInd/>
        <w:rPr>
          <w:rFonts w:cstheme="majorHAnsi"/>
          <w:kern w:val="12"/>
        </w:rPr>
      </w:pPr>
      <w:r w:rsidRPr="00D14CE9">
        <w:rPr>
          <w:kern w:val="12"/>
        </w:rPr>
        <w:br w:type="page"/>
      </w:r>
    </w:p>
    <w:p w:rsidR="00895089" w:rsidRPr="00D14CE9" w:rsidRDefault="00895089" w:rsidP="00895089">
      <w:pPr>
        <w:pStyle w:val="ListParagraph"/>
        <w:ind w:left="0"/>
        <w:rPr>
          <w:rFonts w:ascii="EYInterstate Light" w:hAnsi="EYInterstate Light"/>
          <w:kern w:val="12"/>
        </w:rPr>
      </w:pPr>
      <w:r w:rsidRPr="00D14CE9">
        <w:rPr>
          <w:rFonts w:ascii="EYInterstate Light" w:hAnsi="EYInterstate Light"/>
          <w:kern w:val="12"/>
        </w:rPr>
        <w:lastRenderedPageBreak/>
        <w:t xml:space="preserve">The weighted average vehicle cost per net tonne kilometre was calculated based on an assumption of the vehicle mix used to transport extractive resources in Victoria, illustrated in the below table: </w:t>
      </w:r>
    </w:p>
    <w:tbl>
      <w:tblPr>
        <w:tblW w:w="91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47"/>
        <w:tblDescription w:val="Table 47 is a cost reckoner for vehicle types. Heavy rigid are 3%, artic 4 axle are 27%, artic 5 axle are 20%, artic 6 axle are 20%, rigid + 5 axle dog are 20%, and B-double are 10% of trucks. "/>
      </w:tblPr>
      <w:tblGrid>
        <w:gridCol w:w="988"/>
        <w:gridCol w:w="5120"/>
        <w:gridCol w:w="3054"/>
      </w:tblGrid>
      <w:tr w:rsidR="00895089" w:rsidRPr="00D14CE9" w:rsidTr="004A49C1">
        <w:trPr>
          <w:trHeight w:val="20"/>
        </w:trPr>
        <w:tc>
          <w:tcPr>
            <w:tcW w:w="9162" w:type="dxa"/>
            <w:gridSpan w:val="3"/>
            <w:shd w:val="clear" w:color="auto" w:fill="808080"/>
            <w:noWrap/>
            <w:vAlign w:val="bottom"/>
          </w:tcPr>
          <w:p w:rsidR="00895089" w:rsidRPr="00D14CE9" w:rsidRDefault="00895089" w:rsidP="0085251D">
            <w:pPr>
              <w:pStyle w:val="EYTableHeadingWhite"/>
              <w:rPr>
                <w:rFonts w:eastAsia="Arial Unicode MS"/>
              </w:rPr>
            </w:pPr>
            <w:bookmarkStart w:id="847" w:name="_Toc445240980"/>
            <w:bookmarkStart w:id="848" w:name="_Toc448914673"/>
            <w:bookmarkStart w:id="849" w:name="_Toc448920491"/>
            <w:r w:rsidRPr="00D14CE9">
              <w:t xml:space="preserve">Table </w:t>
            </w:r>
            <w:r w:rsidRPr="00802792">
              <w:fldChar w:fldCharType="begin"/>
            </w:r>
            <w:r w:rsidRPr="00D14CE9">
              <w:instrText xml:space="preserve"> SEQ Table \* ARABIC </w:instrText>
            </w:r>
            <w:r w:rsidRPr="00802792">
              <w:fldChar w:fldCharType="separate"/>
            </w:r>
            <w:r w:rsidR="00525C82">
              <w:rPr>
                <w:noProof/>
              </w:rPr>
              <w:t>47</w:t>
            </w:r>
            <w:r w:rsidRPr="00802792">
              <w:fldChar w:fldCharType="end"/>
            </w:r>
            <w:r w:rsidRPr="00D14CE9">
              <w:t xml:space="preserve"> – Cost Reckoner – Vehicle Mix</w:t>
            </w:r>
            <w:bookmarkEnd w:id="847"/>
            <w:bookmarkEnd w:id="848"/>
            <w:bookmarkEnd w:id="849"/>
          </w:p>
        </w:tc>
      </w:tr>
      <w:tr w:rsidR="00895089" w:rsidRPr="00D14CE9" w:rsidTr="004A49C1">
        <w:trPr>
          <w:trHeight w:val="20"/>
        </w:trPr>
        <w:tc>
          <w:tcPr>
            <w:tcW w:w="988" w:type="dxa"/>
            <w:shd w:val="clear" w:color="auto" w:fill="F0F0F0"/>
            <w:vAlign w:val="center"/>
          </w:tcPr>
          <w:p w:rsidR="00895089" w:rsidRPr="00D14CE9" w:rsidRDefault="00895089" w:rsidP="0085251D">
            <w:pPr>
              <w:pStyle w:val="EYTableHeading"/>
              <w:rPr>
                <w:rFonts w:eastAsia="Arial Unicode MS"/>
              </w:rPr>
            </w:pPr>
            <w:r w:rsidRPr="00D14CE9">
              <w:t>#</w:t>
            </w:r>
          </w:p>
        </w:tc>
        <w:tc>
          <w:tcPr>
            <w:tcW w:w="5120" w:type="dxa"/>
            <w:shd w:val="clear" w:color="auto" w:fill="F0F0F0"/>
            <w:vAlign w:val="center"/>
          </w:tcPr>
          <w:p w:rsidR="00895089" w:rsidRPr="00D14CE9" w:rsidRDefault="00895089" w:rsidP="0085251D">
            <w:pPr>
              <w:pStyle w:val="EYTableHeading"/>
              <w:rPr>
                <w:rFonts w:eastAsia="Arial Unicode MS"/>
              </w:rPr>
            </w:pPr>
            <w:r w:rsidRPr="00D14CE9">
              <w:t>Vehicle Type</w:t>
            </w:r>
          </w:p>
        </w:tc>
        <w:tc>
          <w:tcPr>
            <w:tcW w:w="3054" w:type="dxa"/>
            <w:shd w:val="clear" w:color="auto" w:fill="F0F0F0"/>
            <w:vAlign w:val="center"/>
          </w:tcPr>
          <w:p w:rsidR="00895089" w:rsidRPr="00D14CE9" w:rsidRDefault="00895089" w:rsidP="0085251D">
            <w:pPr>
              <w:pStyle w:val="EYTableHeading"/>
              <w:rPr>
                <w:rFonts w:eastAsia="Arial Unicode MS"/>
              </w:rPr>
            </w:pPr>
            <w:r w:rsidRPr="00D14CE9">
              <w:t>Percentage</w:t>
            </w:r>
          </w:p>
        </w:tc>
      </w:tr>
      <w:tr w:rsidR="00895089" w:rsidRPr="00D14CE9" w:rsidTr="004A49C1">
        <w:trPr>
          <w:trHeight w:val="20"/>
        </w:trPr>
        <w:tc>
          <w:tcPr>
            <w:tcW w:w="988" w:type="dxa"/>
            <w:noWrap/>
          </w:tcPr>
          <w:p w:rsidR="00895089" w:rsidRPr="00D14CE9" w:rsidRDefault="00895089" w:rsidP="004A49C1">
            <w:pPr>
              <w:pStyle w:val="EYTableNormal"/>
              <w:numPr>
                <w:ilvl w:val="0"/>
                <w:numId w:val="42"/>
              </w:numPr>
              <w:spacing w:after="0"/>
            </w:pPr>
          </w:p>
        </w:tc>
        <w:tc>
          <w:tcPr>
            <w:tcW w:w="5120" w:type="dxa"/>
            <w:noWrap/>
          </w:tcPr>
          <w:p w:rsidR="00895089" w:rsidRPr="00D14CE9" w:rsidRDefault="00895089" w:rsidP="004A49C1">
            <w:pPr>
              <w:rPr>
                <w:sz w:val="16"/>
                <w:szCs w:val="16"/>
              </w:rPr>
            </w:pPr>
            <w:r w:rsidRPr="00D14CE9">
              <w:rPr>
                <w:sz w:val="16"/>
                <w:szCs w:val="16"/>
              </w:rPr>
              <w:t>Heavy Rigid</w:t>
            </w:r>
          </w:p>
        </w:tc>
        <w:tc>
          <w:tcPr>
            <w:tcW w:w="3054" w:type="dxa"/>
            <w:noWrap/>
          </w:tcPr>
          <w:p w:rsidR="00895089" w:rsidRPr="00D14CE9" w:rsidRDefault="00895089" w:rsidP="004A49C1">
            <w:pPr>
              <w:pStyle w:val="ListParagraph"/>
              <w:spacing w:after="0"/>
              <w:ind w:left="155"/>
              <w:rPr>
                <w:rFonts w:ascii="EYInterstate Light" w:hAnsi="EYInterstate Light"/>
                <w:sz w:val="16"/>
                <w:szCs w:val="16"/>
              </w:rPr>
            </w:pPr>
            <w:r w:rsidRPr="00D14CE9">
              <w:rPr>
                <w:rFonts w:ascii="EYInterstate Light" w:hAnsi="EYInterstate Light"/>
                <w:sz w:val="16"/>
                <w:szCs w:val="16"/>
              </w:rPr>
              <w:t>3%</w:t>
            </w:r>
          </w:p>
        </w:tc>
      </w:tr>
      <w:tr w:rsidR="00895089" w:rsidRPr="00D14CE9" w:rsidTr="004A49C1">
        <w:trPr>
          <w:trHeight w:val="20"/>
        </w:trPr>
        <w:tc>
          <w:tcPr>
            <w:tcW w:w="988" w:type="dxa"/>
            <w:noWrap/>
          </w:tcPr>
          <w:p w:rsidR="00895089" w:rsidRPr="00D14CE9" w:rsidRDefault="00895089" w:rsidP="004A49C1">
            <w:pPr>
              <w:pStyle w:val="EYTableNormal"/>
              <w:numPr>
                <w:ilvl w:val="0"/>
                <w:numId w:val="42"/>
              </w:numPr>
              <w:spacing w:after="0"/>
            </w:pPr>
          </w:p>
        </w:tc>
        <w:tc>
          <w:tcPr>
            <w:tcW w:w="5120" w:type="dxa"/>
            <w:noWrap/>
          </w:tcPr>
          <w:p w:rsidR="00895089" w:rsidRPr="00D14CE9" w:rsidRDefault="00895089" w:rsidP="004A49C1">
            <w:pPr>
              <w:rPr>
                <w:sz w:val="16"/>
                <w:szCs w:val="16"/>
              </w:rPr>
            </w:pPr>
            <w:r w:rsidRPr="00D14CE9">
              <w:rPr>
                <w:sz w:val="16"/>
                <w:szCs w:val="16"/>
              </w:rPr>
              <w:t>Artic 4 Axle</w:t>
            </w:r>
          </w:p>
        </w:tc>
        <w:tc>
          <w:tcPr>
            <w:tcW w:w="3054" w:type="dxa"/>
            <w:noWrap/>
          </w:tcPr>
          <w:p w:rsidR="00895089" w:rsidRPr="00D14CE9" w:rsidRDefault="00895089" w:rsidP="004A49C1">
            <w:pPr>
              <w:pStyle w:val="ListParagraph"/>
              <w:spacing w:after="0"/>
              <w:ind w:left="155"/>
              <w:rPr>
                <w:rFonts w:ascii="EYInterstate Light" w:hAnsi="EYInterstate Light"/>
                <w:sz w:val="16"/>
                <w:szCs w:val="16"/>
              </w:rPr>
            </w:pPr>
            <w:r w:rsidRPr="00D14CE9">
              <w:rPr>
                <w:rFonts w:ascii="EYInterstate Light" w:hAnsi="EYInterstate Light"/>
                <w:sz w:val="16"/>
                <w:szCs w:val="16"/>
              </w:rPr>
              <w:t>27%</w:t>
            </w:r>
          </w:p>
        </w:tc>
      </w:tr>
      <w:tr w:rsidR="00895089" w:rsidRPr="00D14CE9" w:rsidTr="004A49C1">
        <w:trPr>
          <w:trHeight w:val="20"/>
        </w:trPr>
        <w:tc>
          <w:tcPr>
            <w:tcW w:w="988" w:type="dxa"/>
            <w:noWrap/>
          </w:tcPr>
          <w:p w:rsidR="00895089" w:rsidRPr="00D14CE9" w:rsidRDefault="00895089" w:rsidP="004A49C1">
            <w:pPr>
              <w:pStyle w:val="EYTableNormal"/>
              <w:numPr>
                <w:ilvl w:val="0"/>
                <w:numId w:val="42"/>
              </w:numPr>
              <w:spacing w:after="0"/>
            </w:pPr>
          </w:p>
        </w:tc>
        <w:tc>
          <w:tcPr>
            <w:tcW w:w="5120" w:type="dxa"/>
            <w:noWrap/>
          </w:tcPr>
          <w:p w:rsidR="00895089" w:rsidRPr="00D14CE9" w:rsidRDefault="00895089" w:rsidP="004A49C1">
            <w:pPr>
              <w:rPr>
                <w:sz w:val="16"/>
                <w:szCs w:val="16"/>
              </w:rPr>
            </w:pPr>
            <w:r w:rsidRPr="00D14CE9">
              <w:rPr>
                <w:sz w:val="16"/>
                <w:szCs w:val="16"/>
              </w:rPr>
              <w:t>Artic 5 Axle</w:t>
            </w:r>
          </w:p>
        </w:tc>
        <w:tc>
          <w:tcPr>
            <w:tcW w:w="3054" w:type="dxa"/>
            <w:noWrap/>
          </w:tcPr>
          <w:p w:rsidR="00895089" w:rsidRPr="00D14CE9" w:rsidRDefault="00895089" w:rsidP="004A49C1">
            <w:pPr>
              <w:pStyle w:val="ListParagraph"/>
              <w:spacing w:after="0"/>
              <w:ind w:left="155"/>
              <w:rPr>
                <w:rFonts w:ascii="EYInterstate Light" w:hAnsi="EYInterstate Light"/>
                <w:sz w:val="16"/>
                <w:szCs w:val="16"/>
              </w:rPr>
            </w:pPr>
            <w:r w:rsidRPr="00D14CE9">
              <w:rPr>
                <w:rFonts w:ascii="EYInterstate Light" w:hAnsi="EYInterstate Light"/>
                <w:sz w:val="16"/>
                <w:szCs w:val="16"/>
              </w:rPr>
              <w:t>20%</w:t>
            </w:r>
          </w:p>
        </w:tc>
      </w:tr>
      <w:tr w:rsidR="00895089" w:rsidRPr="00D14CE9" w:rsidTr="004A49C1">
        <w:trPr>
          <w:trHeight w:val="20"/>
        </w:trPr>
        <w:tc>
          <w:tcPr>
            <w:tcW w:w="988" w:type="dxa"/>
            <w:noWrap/>
          </w:tcPr>
          <w:p w:rsidR="00895089" w:rsidRPr="00D14CE9" w:rsidRDefault="00895089" w:rsidP="004A49C1">
            <w:pPr>
              <w:pStyle w:val="EYTableNormal"/>
              <w:numPr>
                <w:ilvl w:val="0"/>
                <w:numId w:val="42"/>
              </w:numPr>
              <w:spacing w:after="0"/>
            </w:pPr>
          </w:p>
        </w:tc>
        <w:tc>
          <w:tcPr>
            <w:tcW w:w="5120" w:type="dxa"/>
            <w:noWrap/>
          </w:tcPr>
          <w:p w:rsidR="00895089" w:rsidRPr="00D14CE9" w:rsidRDefault="00895089" w:rsidP="004A49C1">
            <w:pPr>
              <w:rPr>
                <w:sz w:val="16"/>
                <w:szCs w:val="16"/>
              </w:rPr>
            </w:pPr>
            <w:r w:rsidRPr="00D14CE9">
              <w:rPr>
                <w:sz w:val="16"/>
                <w:szCs w:val="16"/>
              </w:rPr>
              <w:t>Artic 6 Axle</w:t>
            </w:r>
          </w:p>
        </w:tc>
        <w:tc>
          <w:tcPr>
            <w:tcW w:w="3054" w:type="dxa"/>
            <w:noWrap/>
          </w:tcPr>
          <w:p w:rsidR="00895089" w:rsidRPr="00D14CE9" w:rsidRDefault="00895089" w:rsidP="004A49C1">
            <w:pPr>
              <w:pStyle w:val="ListParagraph"/>
              <w:spacing w:after="0"/>
              <w:ind w:left="155"/>
              <w:rPr>
                <w:rFonts w:ascii="EYInterstate Light" w:hAnsi="EYInterstate Light"/>
                <w:sz w:val="16"/>
                <w:szCs w:val="16"/>
              </w:rPr>
            </w:pPr>
            <w:r w:rsidRPr="00D14CE9">
              <w:rPr>
                <w:rFonts w:ascii="EYInterstate Light" w:hAnsi="EYInterstate Light"/>
                <w:sz w:val="16"/>
                <w:szCs w:val="16"/>
              </w:rPr>
              <w:t>20%</w:t>
            </w:r>
          </w:p>
        </w:tc>
      </w:tr>
      <w:tr w:rsidR="00895089" w:rsidRPr="00D14CE9" w:rsidTr="004A49C1">
        <w:trPr>
          <w:trHeight w:val="20"/>
        </w:trPr>
        <w:tc>
          <w:tcPr>
            <w:tcW w:w="988" w:type="dxa"/>
            <w:noWrap/>
          </w:tcPr>
          <w:p w:rsidR="00895089" w:rsidRPr="00D14CE9" w:rsidRDefault="00895089" w:rsidP="004A49C1">
            <w:pPr>
              <w:pStyle w:val="EYTableNormal"/>
              <w:numPr>
                <w:ilvl w:val="0"/>
                <w:numId w:val="42"/>
              </w:numPr>
              <w:spacing w:after="0"/>
            </w:pPr>
          </w:p>
        </w:tc>
        <w:tc>
          <w:tcPr>
            <w:tcW w:w="5120" w:type="dxa"/>
            <w:noWrap/>
          </w:tcPr>
          <w:p w:rsidR="00895089" w:rsidRPr="00D14CE9" w:rsidRDefault="00895089" w:rsidP="004A49C1">
            <w:pPr>
              <w:rPr>
                <w:sz w:val="16"/>
                <w:szCs w:val="16"/>
              </w:rPr>
            </w:pPr>
            <w:r w:rsidRPr="00D14CE9">
              <w:rPr>
                <w:sz w:val="16"/>
                <w:szCs w:val="16"/>
              </w:rPr>
              <w:t>Rigid + 5 Axle Dog</w:t>
            </w:r>
          </w:p>
        </w:tc>
        <w:tc>
          <w:tcPr>
            <w:tcW w:w="3054" w:type="dxa"/>
            <w:noWrap/>
          </w:tcPr>
          <w:p w:rsidR="00895089" w:rsidRPr="00D14CE9" w:rsidRDefault="00895089" w:rsidP="004A49C1">
            <w:pPr>
              <w:pStyle w:val="ListParagraph"/>
              <w:spacing w:after="0"/>
              <w:ind w:left="155"/>
              <w:rPr>
                <w:rFonts w:ascii="EYInterstate Light" w:hAnsi="EYInterstate Light"/>
                <w:sz w:val="16"/>
                <w:szCs w:val="16"/>
              </w:rPr>
            </w:pPr>
            <w:r w:rsidRPr="00D14CE9">
              <w:rPr>
                <w:rFonts w:ascii="EYInterstate Light" w:hAnsi="EYInterstate Light"/>
                <w:sz w:val="16"/>
                <w:szCs w:val="16"/>
              </w:rPr>
              <w:t>20%</w:t>
            </w:r>
          </w:p>
        </w:tc>
      </w:tr>
      <w:tr w:rsidR="00895089" w:rsidRPr="00D14CE9" w:rsidTr="004A49C1">
        <w:trPr>
          <w:trHeight w:val="20"/>
        </w:trPr>
        <w:tc>
          <w:tcPr>
            <w:tcW w:w="988" w:type="dxa"/>
            <w:noWrap/>
          </w:tcPr>
          <w:p w:rsidR="00895089" w:rsidRPr="00D14CE9" w:rsidRDefault="00895089" w:rsidP="004A49C1">
            <w:pPr>
              <w:pStyle w:val="EYTableNormal"/>
              <w:numPr>
                <w:ilvl w:val="0"/>
                <w:numId w:val="42"/>
              </w:numPr>
              <w:spacing w:after="0"/>
            </w:pPr>
          </w:p>
        </w:tc>
        <w:tc>
          <w:tcPr>
            <w:tcW w:w="5120" w:type="dxa"/>
            <w:noWrap/>
          </w:tcPr>
          <w:p w:rsidR="00895089" w:rsidRPr="00D14CE9" w:rsidRDefault="00895089" w:rsidP="004A49C1">
            <w:pPr>
              <w:rPr>
                <w:sz w:val="16"/>
                <w:szCs w:val="16"/>
              </w:rPr>
            </w:pPr>
            <w:r w:rsidRPr="00D14CE9">
              <w:rPr>
                <w:sz w:val="16"/>
                <w:szCs w:val="16"/>
              </w:rPr>
              <w:t>B-Double</w:t>
            </w:r>
          </w:p>
        </w:tc>
        <w:tc>
          <w:tcPr>
            <w:tcW w:w="3054" w:type="dxa"/>
            <w:noWrap/>
          </w:tcPr>
          <w:p w:rsidR="00895089" w:rsidRPr="00D14CE9" w:rsidRDefault="00895089" w:rsidP="004A49C1">
            <w:pPr>
              <w:pStyle w:val="ListParagraph"/>
              <w:spacing w:after="0"/>
              <w:ind w:left="155"/>
              <w:rPr>
                <w:rFonts w:ascii="EYInterstate Light" w:hAnsi="EYInterstate Light"/>
                <w:sz w:val="16"/>
                <w:szCs w:val="16"/>
              </w:rPr>
            </w:pPr>
            <w:r w:rsidRPr="00D14CE9">
              <w:rPr>
                <w:rFonts w:ascii="EYInterstate Light" w:hAnsi="EYInterstate Light"/>
                <w:sz w:val="16"/>
                <w:szCs w:val="16"/>
              </w:rPr>
              <w:t>10%</w:t>
            </w:r>
          </w:p>
        </w:tc>
      </w:tr>
      <w:tr w:rsidR="00895089" w:rsidRPr="00D14CE9" w:rsidTr="004A49C1">
        <w:trPr>
          <w:trHeight w:val="20"/>
        </w:trPr>
        <w:tc>
          <w:tcPr>
            <w:tcW w:w="6108" w:type="dxa"/>
            <w:gridSpan w:val="2"/>
            <w:noWrap/>
          </w:tcPr>
          <w:p w:rsidR="00895089" w:rsidRPr="00D14CE9" w:rsidRDefault="00895089" w:rsidP="0085251D">
            <w:pPr>
              <w:rPr>
                <w:sz w:val="16"/>
                <w:szCs w:val="16"/>
              </w:rPr>
            </w:pPr>
            <w:r w:rsidRPr="00D14CE9">
              <w:rPr>
                <w:sz w:val="16"/>
                <w:szCs w:val="16"/>
              </w:rPr>
              <w:t>TOTAL</w:t>
            </w:r>
          </w:p>
        </w:tc>
        <w:tc>
          <w:tcPr>
            <w:tcW w:w="3054" w:type="dxa"/>
            <w:noWrap/>
          </w:tcPr>
          <w:p w:rsidR="00895089" w:rsidRPr="00D14CE9" w:rsidRDefault="00895089" w:rsidP="0085251D">
            <w:pPr>
              <w:pStyle w:val="ListParagraph"/>
              <w:spacing w:after="0"/>
              <w:ind w:left="155"/>
              <w:rPr>
                <w:rFonts w:ascii="EYInterstate Light" w:hAnsi="EYInterstate Light"/>
                <w:sz w:val="16"/>
                <w:szCs w:val="16"/>
              </w:rPr>
            </w:pPr>
            <w:r w:rsidRPr="00D14CE9">
              <w:rPr>
                <w:rFonts w:ascii="EYInterstate Light" w:hAnsi="EYInterstate Light"/>
                <w:sz w:val="16"/>
                <w:szCs w:val="16"/>
              </w:rPr>
              <w:t>100%</w:t>
            </w:r>
          </w:p>
        </w:tc>
      </w:tr>
    </w:tbl>
    <w:p w:rsidR="00895089" w:rsidRPr="00D14CE9" w:rsidRDefault="00895089" w:rsidP="00895089">
      <w:pPr>
        <w:pStyle w:val="EYSource"/>
        <w:rPr>
          <w:lang w:val="en-AU"/>
        </w:rPr>
      </w:pPr>
      <w:r w:rsidRPr="00D14CE9">
        <w:rPr>
          <w:lang w:val="en-AU"/>
        </w:rPr>
        <w:t>Source: Economic contribution of the extractive industries in Victoria, Access Economics, May 2006</w:t>
      </w:r>
    </w:p>
    <w:p w:rsidR="00895089" w:rsidRPr="00D14CE9" w:rsidRDefault="00895089" w:rsidP="00895089"/>
    <w:p w:rsidR="00895089" w:rsidRPr="00D14CE9" w:rsidRDefault="00895089" w:rsidP="00895089">
      <w:pPr>
        <w:pStyle w:val="EYBodytextwithparaspace"/>
        <w:numPr>
          <w:ilvl w:val="3"/>
          <w:numId w:val="9"/>
        </w:numPr>
        <w:rPr>
          <w:rFonts w:cstheme="majorHAnsi"/>
          <w:szCs w:val="20"/>
          <w:lang w:val="en-AU"/>
        </w:rPr>
      </w:pPr>
      <w:r w:rsidRPr="00D14CE9">
        <w:rPr>
          <w:rFonts w:cstheme="majorHAnsi"/>
          <w:szCs w:val="20"/>
          <w:lang w:val="en-AU"/>
        </w:rPr>
        <w:t>To calculate the weighted average cost per net tonne kilometre of extractive resources, the vehicle cost per kilometre was divided by the average truck payload, resulting from the vehicle mix presented in the above table.</w:t>
      </w:r>
    </w:p>
    <w:p w:rsidR="00895089" w:rsidRPr="00D14CE9" w:rsidRDefault="00895089" w:rsidP="00895089">
      <w:pPr>
        <w:pStyle w:val="EYBodytextwithparaspace"/>
        <w:numPr>
          <w:ilvl w:val="3"/>
          <w:numId w:val="9"/>
        </w:numPr>
        <w:rPr>
          <w:rFonts w:cstheme="majorHAnsi"/>
          <w:szCs w:val="20"/>
          <w:lang w:val="en-AU"/>
        </w:rPr>
      </w:pPr>
      <w:r w:rsidRPr="00D14CE9">
        <w:rPr>
          <w:rFonts w:cstheme="majorHAnsi"/>
          <w:szCs w:val="20"/>
          <w:lang w:val="en-AU"/>
        </w:rPr>
        <w:t>The vehicle cost then calculated was presented in nominal 2013 Australian prices.</w:t>
      </w:r>
    </w:p>
    <w:p w:rsidR="00895089" w:rsidRPr="00D14CE9" w:rsidRDefault="00895089" w:rsidP="00895089">
      <w:pPr>
        <w:pStyle w:val="EYBodytextwithparaspace"/>
        <w:numPr>
          <w:ilvl w:val="0"/>
          <w:numId w:val="9"/>
        </w:numPr>
        <w:rPr>
          <w:rFonts w:cstheme="majorHAnsi"/>
          <w:b/>
          <w:szCs w:val="20"/>
          <w:lang w:val="en-AU"/>
        </w:rPr>
      </w:pPr>
      <w:r w:rsidRPr="00D14CE9">
        <w:rPr>
          <w:rFonts w:cstheme="majorHAnsi"/>
          <w:b/>
          <w:szCs w:val="20"/>
          <w:lang w:val="en-AU"/>
        </w:rPr>
        <w:t>Externalities Cost</w:t>
      </w:r>
    </w:p>
    <w:p w:rsidR="00895089" w:rsidRPr="00D14CE9" w:rsidRDefault="00895089" w:rsidP="00895089">
      <w:pPr>
        <w:pStyle w:val="EYBodytextwithparaspace"/>
        <w:rPr>
          <w:lang w:val="en-AU"/>
        </w:rPr>
      </w:pPr>
      <w:r w:rsidRPr="00D14CE9">
        <w:rPr>
          <w:lang w:val="en-AU"/>
        </w:rPr>
        <w:t xml:space="preserve">The externalities cost was calculated per tonne kilometre based on estimated urban and rural values of externalities for freight heavy vehicles (middle range) provided in </w:t>
      </w:r>
      <w:r w:rsidRPr="00D14CE9">
        <w:rPr>
          <w:rFonts w:cstheme="majorHAnsi"/>
          <w:i/>
          <w:szCs w:val="20"/>
          <w:lang w:val="en-AU"/>
        </w:rPr>
        <w:t>Transport for New South Wales, Principles and guidelines for economic appraisal of transport initiatives March 2013.</w:t>
      </w:r>
      <w:r w:rsidRPr="00D14CE9">
        <w:rPr>
          <w:rFonts w:cstheme="majorHAnsi"/>
          <w:szCs w:val="20"/>
          <w:lang w:val="en-AU"/>
        </w:rPr>
        <w:t xml:space="preserve"> </w:t>
      </w:r>
    </w:p>
    <w:p w:rsidR="00895089" w:rsidRPr="00D14CE9" w:rsidRDefault="00895089" w:rsidP="00895089">
      <w:pPr>
        <w:pStyle w:val="EYBodytextwithparaspace"/>
        <w:rPr>
          <w:lang w:val="en-AU"/>
        </w:rPr>
      </w:pPr>
      <w:r w:rsidRPr="00D14CE9">
        <w:rPr>
          <w:lang w:val="en-AU"/>
        </w:rPr>
        <w:t>The externalities cost are composed of the following externalities types:</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Air pollution</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Greenhouse Gas Emissions</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Noise pollution</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Water Pollution</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Nature and Landscape</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Urban Separation</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Upstream and downstream costs</w:t>
      </w:r>
    </w:p>
    <w:p w:rsidR="00895089" w:rsidRDefault="00895089" w:rsidP="00895089">
      <w:pPr>
        <w:pStyle w:val="EYBodytextwithparaspace"/>
        <w:numPr>
          <w:ilvl w:val="3"/>
          <w:numId w:val="9"/>
        </w:numPr>
        <w:rPr>
          <w:rFonts w:cstheme="majorHAnsi"/>
          <w:szCs w:val="20"/>
          <w:lang w:val="en-AU"/>
        </w:rPr>
      </w:pPr>
      <w:r w:rsidRPr="00D14CE9">
        <w:rPr>
          <w:rFonts w:cstheme="majorHAnsi"/>
          <w:szCs w:val="20"/>
          <w:lang w:val="en-AU"/>
        </w:rPr>
        <w:t>The externalities cost</w:t>
      </w:r>
      <w:r>
        <w:rPr>
          <w:rFonts w:cstheme="majorHAnsi"/>
          <w:szCs w:val="20"/>
          <w:lang w:val="en-AU"/>
        </w:rPr>
        <w:t>s</w:t>
      </w:r>
      <w:r w:rsidRPr="00D14CE9">
        <w:rPr>
          <w:rFonts w:cstheme="majorHAnsi"/>
          <w:szCs w:val="20"/>
          <w:lang w:val="en-AU"/>
        </w:rPr>
        <w:t xml:space="preserve"> then calculated w</w:t>
      </w:r>
      <w:r>
        <w:rPr>
          <w:rFonts w:cstheme="majorHAnsi"/>
          <w:szCs w:val="20"/>
          <w:lang w:val="en-AU"/>
        </w:rPr>
        <w:t>ere</w:t>
      </w:r>
      <w:r w:rsidRPr="00D14CE9">
        <w:rPr>
          <w:rFonts w:cstheme="majorHAnsi"/>
          <w:szCs w:val="20"/>
          <w:lang w:val="en-AU"/>
        </w:rPr>
        <w:t xml:space="preserve"> presented in nominal 2011 Australian prices</w:t>
      </w:r>
      <w:r>
        <w:rPr>
          <w:rFonts w:cstheme="majorHAnsi"/>
          <w:szCs w:val="20"/>
          <w:lang w:val="en-AU"/>
        </w:rPr>
        <w:t>, as follows</w:t>
      </w:r>
      <w:r w:rsidRPr="00D14CE9">
        <w:rPr>
          <w:rFonts w:cstheme="majorHAnsi"/>
          <w:szCs w:val="20"/>
          <w:lang w:val="en-AU"/>
        </w:rPr>
        <w:t>.</w:t>
      </w:r>
    </w:p>
    <w:tbl>
      <w:tblPr>
        <w:tblW w:w="91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48 "/>
        <w:tblDescription w:val="Table 48 shows estimated values of externalities for freight heavy vehicles in 2011 dollars. The externalities are: air pollution, greenhouse gas emissions, noise, water pollution, nature and landscape, urban separation, upstream and downstream costs. Together they total, per 1000 tonne – kilometres travelled, $61.83 in urban areas and $33.05 in rural areas."/>
      </w:tblPr>
      <w:tblGrid>
        <w:gridCol w:w="3054"/>
        <w:gridCol w:w="3054"/>
        <w:gridCol w:w="3054"/>
      </w:tblGrid>
      <w:tr w:rsidR="00895089" w:rsidRPr="00D14CE9" w:rsidTr="004A49C1">
        <w:trPr>
          <w:trHeight w:val="20"/>
        </w:trPr>
        <w:tc>
          <w:tcPr>
            <w:tcW w:w="9162" w:type="dxa"/>
            <w:gridSpan w:val="3"/>
            <w:shd w:val="clear" w:color="auto" w:fill="808080"/>
            <w:noWrap/>
            <w:vAlign w:val="bottom"/>
          </w:tcPr>
          <w:p w:rsidR="00895089" w:rsidRPr="00D14CE9" w:rsidRDefault="00895089" w:rsidP="004A49C1">
            <w:pPr>
              <w:pStyle w:val="EYTableHeadingWhite"/>
              <w:spacing w:after="0"/>
              <w:rPr>
                <w:rFonts w:eastAsia="Arial Unicode MS"/>
              </w:rPr>
            </w:pPr>
            <w:bookmarkStart w:id="850" w:name="_Toc445240981"/>
            <w:bookmarkStart w:id="851" w:name="_Toc448914674"/>
            <w:bookmarkStart w:id="852" w:name="_Toc448920492"/>
            <w:r w:rsidRPr="00D14CE9">
              <w:t xml:space="preserve">Table </w:t>
            </w:r>
            <w:r w:rsidRPr="00372DE0">
              <w:fldChar w:fldCharType="begin"/>
            </w:r>
            <w:r w:rsidRPr="00D14CE9">
              <w:instrText xml:space="preserve"> SEQ Table \* ARABIC </w:instrText>
            </w:r>
            <w:r w:rsidRPr="00372DE0">
              <w:fldChar w:fldCharType="separate"/>
            </w:r>
            <w:r w:rsidR="00525C82">
              <w:rPr>
                <w:noProof/>
              </w:rPr>
              <w:t>48</w:t>
            </w:r>
            <w:r w:rsidRPr="00372DE0">
              <w:fldChar w:fldCharType="end"/>
            </w:r>
            <w:r w:rsidRPr="00D14CE9">
              <w:t xml:space="preserve"> – </w:t>
            </w:r>
            <w:r>
              <w:t>Estimated values of externalities for freight heavy vehicles, 2011 Australian dollars</w:t>
            </w:r>
            <w:bookmarkEnd w:id="850"/>
            <w:bookmarkEnd w:id="851"/>
            <w:bookmarkEnd w:id="852"/>
          </w:p>
        </w:tc>
      </w:tr>
      <w:tr w:rsidR="00895089" w:rsidRPr="00D14CE9" w:rsidTr="004A49C1">
        <w:trPr>
          <w:trHeight w:val="20"/>
        </w:trPr>
        <w:tc>
          <w:tcPr>
            <w:tcW w:w="3054" w:type="dxa"/>
            <w:shd w:val="clear" w:color="auto" w:fill="F0F0F0"/>
            <w:vAlign w:val="center"/>
          </w:tcPr>
          <w:p w:rsidR="00895089" w:rsidRPr="00D14CE9" w:rsidRDefault="00895089" w:rsidP="004A49C1">
            <w:pPr>
              <w:pStyle w:val="EYTableHeading"/>
              <w:spacing w:after="0"/>
              <w:rPr>
                <w:rFonts w:eastAsia="Arial Unicode MS"/>
              </w:rPr>
            </w:pPr>
            <w:r>
              <w:rPr>
                <w:rFonts w:eastAsia="Arial Unicode MS"/>
              </w:rPr>
              <w:t>Externalities type</w:t>
            </w:r>
          </w:p>
        </w:tc>
        <w:tc>
          <w:tcPr>
            <w:tcW w:w="3054" w:type="dxa"/>
            <w:shd w:val="clear" w:color="auto" w:fill="F0F0F0"/>
            <w:vAlign w:val="center"/>
          </w:tcPr>
          <w:p w:rsidR="00895089" w:rsidRPr="00D14CE9" w:rsidRDefault="00895089" w:rsidP="004A49C1">
            <w:pPr>
              <w:pStyle w:val="EYTableHeading"/>
              <w:spacing w:after="0"/>
              <w:jc w:val="center"/>
              <w:rPr>
                <w:rFonts w:eastAsia="Arial Unicode MS"/>
              </w:rPr>
            </w:pPr>
            <w:r>
              <w:t>Urban Value ($/per 1000 tonne -kilometre travelled)</w:t>
            </w:r>
          </w:p>
        </w:tc>
        <w:tc>
          <w:tcPr>
            <w:tcW w:w="3054" w:type="dxa"/>
            <w:shd w:val="clear" w:color="auto" w:fill="F0F0F0"/>
            <w:vAlign w:val="center"/>
          </w:tcPr>
          <w:p w:rsidR="00895089" w:rsidRPr="00D14CE9" w:rsidRDefault="00895089" w:rsidP="004A49C1">
            <w:pPr>
              <w:pStyle w:val="EYTableHeading"/>
              <w:spacing w:after="0"/>
              <w:jc w:val="center"/>
              <w:rPr>
                <w:rFonts w:eastAsia="Arial Unicode MS"/>
              </w:rPr>
            </w:pPr>
            <w:r>
              <w:t>Rural Value ($/per 1000 tonne-kilometre travelled)</w:t>
            </w:r>
          </w:p>
        </w:tc>
      </w:tr>
      <w:tr w:rsidR="00895089" w:rsidRPr="00D14CE9" w:rsidTr="004A49C1">
        <w:trPr>
          <w:trHeight w:val="20"/>
        </w:trPr>
        <w:tc>
          <w:tcPr>
            <w:tcW w:w="3054" w:type="dxa"/>
            <w:noWrap/>
          </w:tcPr>
          <w:p w:rsidR="00895089" w:rsidRPr="00D14CE9" w:rsidRDefault="00895089" w:rsidP="004A49C1">
            <w:pPr>
              <w:pStyle w:val="EYTableNormal"/>
              <w:spacing w:after="0"/>
            </w:pPr>
            <w:r>
              <w:t>Air pollution</w:t>
            </w:r>
          </w:p>
        </w:tc>
        <w:tc>
          <w:tcPr>
            <w:tcW w:w="3054" w:type="dxa"/>
            <w:noWrap/>
          </w:tcPr>
          <w:p w:rsidR="00895089" w:rsidRPr="00D14CE9" w:rsidRDefault="00895089" w:rsidP="004A49C1">
            <w:pPr>
              <w:jc w:val="center"/>
              <w:rPr>
                <w:sz w:val="16"/>
                <w:szCs w:val="16"/>
              </w:rPr>
            </w:pPr>
            <w:r>
              <w:rPr>
                <w:sz w:val="16"/>
                <w:szCs w:val="16"/>
              </w:rPr>
              <w:t>24.18</w:t>
            </w:r>
          </w:p>
        </w:tc>
        <w:tc>
          <w:tcPr>
            <w:tcW w:w="3054" w:type="dxa"/>
            <w:noWrap/>
          </w:tcPr>
          <w:p w:rsidR="00895089" w:rsidRPr="00D14CE9" w:rsidRDefault="00895089" w:rsidP="004A49C1">
            <w:pPr>
              <w:pStyle w:val="ListParagraph"/>
              <w:spacing w:after="0"/>
              <w:ind w:left="155"/>
              <w:jc w:val="center"/>
              <w:rPr>
                <w:rFonts w:ascii="EYInterstate Light" w:hAnsi="EYInterstate Light"/>
                <w:sz w:val="16"/>
                <w:szCs w:val="16"/>
              </w:rPr>
            </w:pPr>
            <w:r>
              <w:rPr>
                <w:rFonts w:ascii="EYInterstate Light" w:hAnsi="EYInterstate Light"/>
                <w:sz w:val="16"/>
                <w:szCs w:val="16"/>
              </w:rPr>
              <w:t>0.24</w:t>
            </w:r>
          </w:p>
        </w:tc>
      </w:tr>
      <w:tr w:rsidR="00895089" w:rsidRPr="00D14CE9" w:rsidTr="004A49C1">
        <w:trPr>
          <w:trHeight w:val="20"/>
        </w:trPr>
        <w:tc>
          <w:tcPr>
            <w:tcW w:w="3054" w:type="dxa"/>
            <w:noWrap/>
          </w:tcPr>
          <w:p w:rsidR="00895089" w:rsidRPr="00D14CE9" w:rsidRDefault="00895089" w:rsidP="004A49C1">
            <w:pPr>
              <w:pStyle w:val="EYTableNormal"/>
              <w:spacing w:after="0"/>
            </w:pPr>
            <w:r>
              <w:t>Greenhouse Gas Emissions</w:t>
            </w:r>
          </w:p>
        </w:tc>
        <w:tc>
          <w:tcPr>
            <w:tcW w:w="3054" w:type="dxa"/>
            <w:noWrap/>
          </w:tcPr>
          <w:p w:rsidR="00895089" w:rsidRPr="00D14CE9" w:rsidRDefault="00895089" w:rsidP="004A49C1">
            <w:pPr>
              <w:jc w:val="center"/>
              <w:rPr>
                <w:sz w:val="16"/>
                <w:szCs w:val="16"/>
              </w:rPr>
            </w:pPr>
            <w:r>
              <w:rPr>
                <w:sz w:val="16"/>
                <w:szCs w:val="16"/>
              </w:rPr>
              <w:t>5.38</w:t>
            </w:r>
          </w:p>
        </w:tc>
        <w:tc>
          <w:tcPr>
            <w:tcW w:w="3054" w:type="dxa"/>
            <w:noWrap/>
          </w:tcPr>
          <w:p w:rsidR="00895089" w:rsidRPr="00D14CE9" w:rsidRDefault="00895089" w:rsidP="004A49C1">
            <w:pPr>
              <w:pStyle w:val="ListParagraph"/>
              <w:spacing w:after="0"/>
              <w:ind w:left="155"/>
              <w:jc w:val="center"/>
              <w:rPr>
                <w:rFonts w:ascii="EYInterstate Light" w:hAnsi="EYInterstate Light"/>
                <w:sz w:val="16"/>
                <w:szCs w:val="16"/>
              </w:rPr>
            </w:pPr>
            <w:r>
              <w:rPr>
                <w:rFonts w:ascii="EYInterstate Light" w:hAnsi="EYInterstate Light"/>
                <w:sz w:val="16"/>
                <w:szCs w:val="16"/>
              </w:rPr>
              <w:t>5.38</w:t>
            </w:r>
          </w:p>
        </w:tc>
      </w:tr>
      <w:tr w:rsidR="00895089" w:rsidRPr="00D14CE9" w:rsidTr="004A49C1">
        <w:trPr>
          <w:trHeight w:val="20"/>
        </w:trPr>
        <w:tc>
          <w:tcPr>
            <w:tcW w:w="3054" w:type="dxa"/>
            <w:noWrap/>
          </w:tcPr>
          <w:p w:rsidR="00895089" w:rsidRPr="00D14CE9" w:rsidRDefault="00895089" w:rsidP="004A49C1">
            <w:pPr>
              <w:pStyle w:val="EYTableNormal"/>
              <w:spacing w:after="0"/>
            </w:pPr>
            <w:r>
              <w:t>Noise</w:t>
            </w:r>
          </w:p>
        </w:tc>
        <w:tc>
          <w:tcPr>
            <w:tcW w:w="3054" w:type="dxa"/>
            <w:noWrap/>
          </w:tcPr>
          <w:p w:rsidR="00895089" w:rsidRPr="00D14CE9" w:rsidRDefault="00895089" w:rsidP="004A49C1">
            <w:pPr>
              <w:jc w:val="center"/>
              <w:rPr>
                <w:sz w:val="16"/>
                <w:szCs w:val="16"/>
              </w:rPr>
            </w:pPr>
            <w:r>
              <w:rPr>
                <w:sz w:val="16"/>
                <w:szCs w:val="16"/>
              </w:rPr>
              <w:t>4.03</w:t>
            </w:r>
          </w:p>
        </w:tc>
        <w:tc>
          <w:tcPr>
            <w:tcW w:w="3054" w:type="dxa"/>
            <w:noWrap/>
          </w:tcPr>
          <w:p w:rsidR="00895089" w:rsidRPr="00D14CE9" w:rsidRDefault="00895089" w:rsidP="004A49C1">
            <w:pPr>
              <w:pStyle w:val="ListParagraph"/>
              <w:spacing w:after="0"/>
              <w:ind w:left="155"/>
              <w:jc w:val="center"/>
              <w:rPr>
                <w:rFonts w:ascii="EYInterstate Light" w:hAnsi="EYInterstate Light"/>
                <w:sz w:val="16"/>
                <w:szCs w:val="16"/>
              </w:rPr>
            </w:pPr>
            <w:r>
              <w:rPr>
                <w:rFonts w:ascii="EYInterstate Light" w:hAnsi="EYInterstate Light"/>
                <w:sz w:val="16"/>
                <w:szCs w:val="16"/>
              </w:rPr>
              <w:t>0.41</w:t>
            </w:r>
          </w:p>
        </w:tc>
      </w:tr>
      <w:tr w:rsidR="00895089" w:rsidRPr="00D14CE9" w:rsidTr="004A49C1">
        <w:trPr>
          <w:trHeight w:val="20"/>
        </w:trPr>
        <w:tc>
          <w:tcPr>
            <w:tcW w:w="3054" w:type="dxa"/>
            <w:noWrap/>
          </w:tcPr>
          <w:p w:rsidR="00895089" w:rsidRPr="00D14CE9" w:rsidRDefault="00895089" w:rsidP="004A49C1">
            <w:pPr>
              <w:pStyle w:val="EYTableNormal"/>
              <w:spacing w:after="0"/>
            </w:pPr>
            <w:r>
              <w:t>Water Pollution</w:t>
            </w:r>
          </w:p>
        </w:tc>
        <w:tc>
          <w:tcPr>
            <w:tcW w:w="3054" w:type="dxa"/>
            <w:noWrap/>
          </w:tcPr>
          <w:p w:rsidR="00895089" w:rsidRPr="00D14CE9" w:rsidRDefault="00895089" w:rsidP="004A49C1">
            <w:pPr>
              <w:jc w:val="center"/>
              <w:rPr>
                <w:sz w:val="16"/>
                <w:szCs w:val="16"/>
              </w:rPr>
            </w:pPr>
            <w:r>
              <w:rPr>
                <w:sz w:val="16"/>
                <w:szCs w:val="16"/>
              </w:rPr>
              <w:t>3.62</w:t>
            </w:r>
          </w:p>
        </w:tc>
        <w:tc>
          <w:tcPr>
            <w:tcW w:w="3054" w:type="dxa"/>
            <w:noWrap/>
          </w:tcPr>
          <w:p w:rsidR="00895089" w:rsidRPr="00D14CE9" w:rsidRDefault="00895089" w:rsidP="004A49C1">
            <w:pPr>
              <w:pStyle w:val="ListParagraph"/>
              <w:spacing w:after="0"/>
              <w:ind w:left="155"/>
              <w:jc w:val="center"/>
              <w:rPr>
                <w:rFonts w:ascii="EYInterstate Light" w:hAnsi="EYInterstate Light"/>
                <w:sz w:val="16"/>
                <w:szCs w:val="16"/>
              </w:rPr>
            </w:pPr>
            <w:r>
              <w:rPr>
                <w:rFonts w:ascii="EYInterstate Light" w:hAnsi="EYInterstate Light"/>
                <w:sz w:val="16"/>
                <w:szCs w:val="16"/>
              </w:rPr>
              <w:t>1.45</w:t>
            </w:r>
          </w:p>
        </w:tc>
      </w:tr>
      <w:tr w:rsidR="00895089" w:rsidRPr="00D14CE9" w:rsidTr="004A49C1">
        <w:trPr>
          <w:trHeight w:val="20"/>
        </w:trPr>
        <w:tc>
          <w:tcPr>
            <w:tcW w:w="3054" w:type="dxa"/>
            <w:noWrap/>
          </w:tcPr>
          <w:p w:rsidR="00895089" w:rsidRPr="00D14CE9" w:rsidRDefault="00895089" w:rsidP="004A49C1">
            <w:pPr>
              <w:pStyle w:val="EYTableNormal"/>
              <w:spacing w:after="0"/>
            </w:pPr>
            <w:r>
              <w:t>Nature and Landscape</w:t>
            </w:r>
          </w:p>
        </w:tc>
        <w:tc>
          <w:tcPr>
            <w:tcW w:w="3054" w:type="dxa"/>
            <w:noWrap/>
          </w:tcPr>
          <w:p w:rsidR="00895089" w:rsidRPr="00D14CE9" w:rsidRDefault="00895089" w:rsidP="004A49C1">
            <w:pPr>
              <w:jc w:val="center"/>
              <w:rPr>
                <w:sz w:val="16"/>
                <w:szCs w:val="16"/>
              </w:rPr>
            </w:pPr>
            <w:r>
              <w:rPr>
                <w:sz w:val="16"/>
                <w:szCs w:val="16"/>
              </w:rPr>
              <w:t>0.4</w:t>
            </w:r>
          </w:p>
        </w:tc>
        <w:tc>
          <w:tcPr>
            <w:tcW w:w="3054" w:type="dxa"/>
            <w:noWrap/>
          </w:tcPr>
          <w:p w:rsidR="00895089" w:rsidRPr="00D14CE9" w:rsidRDefault="00895089" w:rsidP="004A49C1">
            <w:pPr>
              <w:pStyle w:val="ListParagraph"/>
              <w:spacing w:after="0"/>
              <w:ind w:left="155"/>
              <w:jc w:val="center"/>
              <w:rPr>
                <w:rFonts w:ascii="EYInterstate Light" w:hAnsi="EYInterstate Light"/>
                <w:sz w:val="16"/>
                <w:szCs w:val="16"/>
              </w:rPr>
            </w:pPr>
            <w:r>
              <w:rPr>
                <w:rFonts w:ascii="EYInterstate Light" w:hAnsi="EYInterstate Light"/>
                <w:sz w:val="16"/>
                <w:szCs w:val="16"/>
              </w:rPr>
              <w:t>4.04</w:t>
            </w:r>
          </w:p>
        </w:tc>
      </w:tr>
      <w:tr w:rsidR="00895089" w:rsidRPr="00D14CE9" w:rsidTr="004A49C1">
        <w:trPr>
          <w:trHeight w:val="20"/>
        </w:trPr>
        <w:tc>
          <w:tcPr>
            <w:tcW w:w="3054" w:type="dxa"/>
            <w:noWrap/>
          </w:tcPr>
          <w:p w:rsidR="00895089" w:rsidRPr="00D14CE9" w:rsidRDefault="00895089" w:rsidP="004A49C1">
            <w:pPr>
              <w:pStyle w:val="EYTableNormal"/>
              <w:spacing w:after="0"/>
            </w:pPr>
            <w:r>
              <w:t>Urban Separation</w:t>
            </w:r>
          </w:p>
        </w:tc>
        <w:tc>
          <w:tcPr>
            <w:tcW w:w="3054" w:type="dxa"/>
            <w:noWrap/>
          </w:tcPr>
          <w:p w:rsidR="00895089" w:rsidRPr="00D14CE9" w:rsidRDefault="00895089" w:rsidP="004A49C1">
            <w:pPr>
              <w:jc w:val="center"/>
              <w:rPr>
                <w:sz w:val="16"/>
                <w:szCs w:val="16"/>
              </w:rPr>
            </w:pPr>
            <w:r>
              <w:rPr>
                <w:sz w:val="16"/>
                <w:szCs w:val="16"/>
              </w:rPr>
              <w:t>2.69</w:t>
            </w:r>
          </w:p>
        </w:tc>
        <w:tc>
          <w:tcPr>
            <w:tcW w:w="3054" w:type="dxa"/>
            <w:noWrap/>
          </w:tcPr>
          <w:p w:rsidR="00895089" w:rsidRPr="00D14CE9" w:rsidRDefault="00895089" w:rsidP="004A49C1">
            <w:pPr>
              <w:pStyle w:val="ListParagraph"/>
              <w:spacing w:after="0"/>
              <w:ind w:left="155"/>
              <w:jc w:val="center"/>
              <w:rPr>
                <w:rFonts w:ascii="EYInterstate Light" w:hAnsi="EYInterstate Light"/>
                <w:sz w:val="16"/>
                <w:szCs w:val="16"/>
              </w:rPr>
            </w:pPr>
            <w:r>
              <w:rPr>
                <w:rFonts w:ascii="EYInterstate Light" w:hAnsi="EYInterstate Light"/>
                <w:sz w:val="16"/>
                <w:szCs w:val="16"/>
              </w:rPr>
              <w:t>-</w:t>
            </w:r>
          </w:p>
        </w:tc>
      </w:tr>
      <w:tr w:rsidR="00895089" w:rsidRPr="00D14CE9" w:rsidTr="004A49C1">
        <w:trPr>
          <w:trHeight w:val="20"/>
        </w:trPr>
        <w:tc>
          <w:tcPr>
            <w:tcW w:w="3054" w:type="dxa"/>
            <w:noWrap/>
          </w:tcPr>
          <w:p w:rsidR="00895089" w:rsidRDefault="00895089" w:rsidP="004A49C1">
            <w:pPr>
              <w:pStyle w:val="EYTableNormal"/>
              <w:spacing w:after="0"/>
            </w:pPr>
            <w:r>
              <w:t>Upstream and downstream costs</w:t>
            </w:r>
          </w:p>
        </w:tc>
        <w:tc>
          <w:tcPr>
            <w:tcW w:w="3054" w:type="dxa"/>
            <w:noWrap/>
          </w:tcPr>
          <w:p w:rsidR="00895089" w:rsidRPr="00D14CE9" w:rsidRDefault="00895089" w:rsidP="004A49C1">
            <w:pPr>
              <w:jc w:val="center"/>
              <w:rPr>
                <w:sz w:val="16"/>
                <w:szCs w:val="16"/>
              </w:rPr>
            </w:pPr>
            <w:r>
              <w:rPr>
                <w:sz w:val="16"/>
                <w:szCs w:val="16"/>
              </w:rPr>
              <w:t>21.53</w:t>
            </w:r>
          </w:p>
        </w:tc>
        <w:tc>
          <w:tcPr>
            <w:tcW w:w="3054" w:type="dxa"/>
            <w:noWrap/>
          </w:tcPr>
          <w:p w:rsidR="00895089" w:rsidRPr="00D14CE9" w:rsidRDefault="00895089" w:rsidP="004A49C1">
            <w:pPr>
              <w:pStyle w:val="ListParagraph"/>
              <w:spacing w:after="0"/>
              <w:ind w:left="155"/>
              <w:jc w:val="center"/>
              <w:rPr>
                <w:rFonts w:ascii="EYInterstate Light" w:hAnsi="EYInterstate Light"/>
                <w:sz w:val="16"/>
                <w:szCs w:val="16"/>
              </w:rPr>
            </w:pPr>
            <w:r>
              <w:rPr>
                <w:rFonts w:ascii="EYInterstate Light" w:hAnsi="EYInterstate Light"/>
                <w:sz w:val="16"/>
                <w:szCs w:val="16"/>
              </w:rPr>
              <w:t>21.53</w:t>
            </w:r>
          </w:p>
        </w:tc>
      </w:tr>
      <w:tr w:rsidR="00895089" w:rsidRPr="00D14CE9" w:rsidTr="004A49C1">
        <w:trPr>
          <w:trHeight w:val="20"/>
        </w:trPr>
        <w:tc>
          <w:tcPr>
            <w:tcW w:w="3054" w:type="dxa"/>
            <w:noWrap/>
          </w:tcPr>
          <w:p w:rsidR="00895089" w:rsidRPr="001B623F" w:rsidRDefault="00895089" w:rsidP="004A49C1">
            <w:pPr>
              <w:pStyle w:val="EYTableNormal"/>
              <w:spacing w:after="0"/>
            </w:pPr>
            <w:r w:rsidRPr="001B623F">
              <w:t>Total</w:t>
            </w:r>
          </w:p>
        </w:tc>
        <w:tc>
          <w:tcPr>
            <w:tcW w:w="3054" w:type="dxa"/>
            <w:noWrap/>
          </w:tcPr>
          <w:p w:rsidR="00895089" w:rsidRPr="001B623F" w:rsidRDefault="00895089" w:rsidP="004A49C1">
            <w:pPr>
              <w:jc w:val="center"/>
              <w:rPr>
                <w:b/>
                <w:sz w:val="16"/>
                <w:szCs w:val="16"/>
              </w:rPr>
            </w:pPr>
            <w:r w:rsidRPr="001B623F">
              <w:rPr>
                <w:b/>
                <w:sz w:val="16"/>
                <w:szCs w:val="16"/>
              </w:rPr>
              <w:t>61.83</w:t>
            </w:r>
          </w:p>
        </w:tc>
        <w:tc>
          <w:tcPr>
            <w:tcW w:w="3054" w:type="dxa"/>
            <w:noWrap/>
          </w:tcPr>
          <w:p w:rsidR="00895089" w:rsidRPr="001B623F" w:rsidRDefault="00895089" w:rsidP="004A49C1">
            <w:pPr>
              <w:pStyle w:val="ListParagraph"/>
              <w:spacing w:after="0"/>
              <w:ind w:left="155"/>
              <w:jc w:val="center"/>
              <w:rPr>
                <w:rFonts w:ascii="EYInterstate Light" w:hAnsi="EYInterstate Light"/>
                <w:b/>
                <w:sz w:val="16"/>
                <w:szCs w:val="16"/>
              </w:rPr>
            </w:pPr>
            <w:r w:rsidRPr="001B623F">
              <w:rPr>
                <w:rFonts w:ascii="EYInterstate Light" w:hAnsi="EYInterstate Light"/>
                <w:b/>
                <w:sz w:val="16"/>
                <w:szCs w:val="16"/>
              </w:rPr>
              <w:t>33.05</w:t>
            </w:r>
          </w:p>
        </w:tc>
      </w:tr>
    </w:tbl>
    <w:p w:rsidR="00895089" w:rsidRPr="00D14CE9" w:rsidRDefault="00895089" w:rsidP="00895089">
      <w:pPr>
        <w:pStyle w:val="EYSource"/>
        <w:numPr>
          <w:ilvl w:val="0"/>
          <w:numId w:val="9"/>
        </w:numPr>
        <w:rPr>
          <w:lang w:val="en-AU"/>
        </w:rPr>
      </w:pPr>
      <w:r w:rsidRPr="00D14CE9">
        <w:rPr>
          <w:lang w:val="en-AU"/>
        </w:rPr>
        <w:t xml:space="preserve">Source: </w:t>
      </w:r>
      <w:r w:rsidRPr="002818A7">
        <w:rPr>
          <w:lang w:val="en-AU"/>
        </w:rPr>
        <w:t>Transport for New South Wales, Principles and guidelines for economic appraisal of transport initiatives March 2013</w:t>
      </w:r>
    </w:p>
    <w:p w:rsidR="00895089" w:rsidRPr="003637FD" w:rsidRDefault="00895089" w:rsidP="003637FD"/>
    <w:p w:rsidR="00895089" w:rsidRPr="006A7DDB" w:rsidRDefault="00895089" w:rsidP="00895089">
      <w:pPr>
        <w:pStyle w:val="EYBodytextwithparaspace"/>
        <w:numPr>
          <w:ilvl w:val="1"/>
          <w:numId w:val="9"/>
        </w:numPr>
        <w:rPr>
          <w:rFonts w:cstheme="majorHAnsi"/>
          <w:szCs w:val="20"/>
          <w:lang w:val="en-AU"/>
        </w:rPr>
      </w:pPr>
      <w:r w:rsidRPr="0089661F">
        <w:rPr>
          <w:rFonts w:cstheme="majorHAnsi"/>
          <w:szCs w:val="20"/>
          <w:lang w:val="en-AU"/>
        </w:rPr>
        <w:t xml:space="preserve">Note that these calculations exclude accident costs as the focus of the study was more on environmental externalities. </w:t>
      </w:r>
      <w:r w:rsidRPr="00855A0C">
        <w:rPr>
          <w:rFonts w:cstheme="majorHAnsi"/>
          <w:szCs w:val="20"/>
          <w:lang w:val="en-AU"/>
        </w:rPr>
        <w:t>The weighted average crash cost by road type provided in the Transport for New S</w:t>
      </w:r>
      <w:r w:rsidRPr="00802792">
        <w:rPr>
          <w:rFonts w:cstheme="majorHAnsi"/>
          <w:szCs w:val="20"/>
          <w:lang w:val="en-AU"/>
        </w:rPr>
        <w:t xml:space="preserve">outh Wales study is </w:t>
      </w:r>
      <w:r w:rsidRPr="00133B47">
        <w:rPr>
          <w:rFonts w:cstheme="majorHAnsi"/>
          <w:szCs w:val="20"/>
          <w:lang w:val="en-AU"/>
        </w:rPr>
        <w:t>$58.5</w:t>
      </w:r>
      <w:r w:rsidRPr="001E4FD3">
        <w:rPr>
          <w:rFonts w:cstheme="majorHAnsi"/>
          <w:szCs w:val="20"/>
          <w:lang w:val="en-AU"/>
        </w:rPr>
        <w:t xml:space="preserve"> per thousand vehicle kilometres travelled on a m</w:t>
      </w:r>
      <w:r w:rsidRPr="00715DB8">
        <w:rPr>
          <w:rFonts w:cstheme="majorHAnsi"/>
          <w:szCs w:val="20"/>
          <w:lang w:val="en-AU"/>
        </w:rPr>
        <w:t xml:space="preserve">ix of local roads, arterial roads and freeways. </w:t>
      </w:r>
      <w:r w:rsidRPr="0063661C">
        <w:rPr>
          <w:rFonts w:cstheme="majorHAnsi"/>
          <w:szCs w:val="20"/>
          <w:lang w:val="en-AU"/>
        </w:rPr>
        <w:t xml:space="preserve"> </w:t>
      </w:r>
    </w:p>
    <w:p w:rsidR="009956A1" w:rsidRDefault="009956A1" w:rsidP="00895089">
      <w:pPr>
        <w:pStyle w:val="EYBodytextwithparaspace"/>
        <w:numPr>
          <w:ilvl w:val="0"/>
          <w:numId w:val="9"/>
        </w:numPr>
        <w:rPr>
          <w:rFonts w:cstheme="majorHAnsi"/>
          <w:b/>
          <w:szCs w:val="20"/>
          <w:lang w:val="en-AU"/>
        </w:rPr>
      </w:pPr>
    </w:p>
    <w:p w:rsidR="009956A1" w:rsidRDefault="009956A1" w:rsidP="00895089">
      <w:pPr>
        <w:pStyle w:val="EYBodytextwithparaspace"/>
        <w:numPr>
          <w:ilvl w:val="0"/>
          <w:numId w:val="9"/>
        </w:numPr>
        <w:rPr>
          <w:rFonts w:cstheme="majorHAnsi"/>
          <w:b/>
          <w:szCs w:val="20"/>
          <w:lang w:val="en-AU"/>
        </w:rPr>
      </w:pPr>
    </w:p>
    <w:p w:rsidR="00B86723" w:rsidRDefault="00B86723" w:rsidP="00895089">
      <w:pPr>
        <w:pStyle w:val="EYBodytextwithparaspace"/>
        <w:numPr>
          <w:ilvl w:val="0"/>
          <w:numId w:val="9"/>
        </w:numPr>
        <w:rPr>
          <w:rFonts w:cstheme="majorHAnsi"/>
          <w:b/>
          <w:szCs w:val="20"/>
          <w:lang w:val="en-AU"/>
        </w:rPr>
      </w:pPr>
      <w:r>
        <w:rPr>
          <w:rFonts w:cstheme="majorHAnsi"/>
          <w:b/>
          <w:szCs w:val="20"/>
          <w:lang w:val="en-AU"/>
        </w:rPr>
        <w:br w:type="page"/>
      </w:r>
    </w:p>
    <w:p w:rsidR="00895089" w:rsidRPr="00D14CE9" w:rsidRDefault="00895089" w:rsidP="00895089">
      <w:pPr>
        <w:pStyle w:val="EYBodytextwithparaspace"/>
        <w:numPr>
          <w:ilvl w:val="0"/>
          <w:numId w:val="9"/>
        </w:numPr>
        <w:rPr>
          <w:rFonts w:cstheme="majorHAnsi"/>
          <w:b/>
          <w:szCs w:val="20"/>
          <w:lang w:val="en-AU"/>
        </w:rPr>
      </w:pPr>
      <w:r w:rsidRPr="00D14CE9">
        <w:rPr>
          <w:rFonts w:cstheme="majorHAnsi"/>
          <w:b/>
          <w:szCs w:val="20"/>
          <w:lang w:val="en-AU"/>
        </w:rPr>
        <w:lastRenderedPageBreak/>
        <w:t>Escalation</w:t>
      </w:r>
    </w:p>
    <w:p w:rsidR="00895089" w:rsidRPr="00D14CE9" w:rsidRDefault="00895089" w:rsidP="00895089">
      <w:pPr>
        <w:pStyle w:val="EYBodytextwithparaspace"/>
        <w:rPr>
          <w:rFonts w:cstheme="majorHAnsi"/>
          <w:szCs w:val="20"/>
          <w:lang w:val="en-AU"/>
        </w:rPr>
      </w:pPr>
      <w:r w:rsidRPr="00D14CE9">
        <w:rPr>
          <w:rFonts w:cstheme="majorHAnsi"/>
          <w:szCs w:val="20"/>
          <w:lang w:val="en-AU"/>
        </w:rPr>
        <w:t>The vehicle cost and the externalities cost were ultimately provided in 2015 Australian prices from 2015 to 2050. An escalation profile was then built to convert those costs to 2015 values, including forward escalation rates for forecasting purposes.</w:t>
      </w:r>
    </w:p>
    <w:p w:rsidR="00895089" w:rsidRPr="00D14CE9" w:rsidRDefault="009956A1" w:rsidP="00895089">
      <w:pPr>
        <w:pStyle w:val="EYBodytextwithparaspace"/>
        <w:rPr>
          <w:rFonts w:cstheme="majorHAnsi"/>
          <w:szCs w:val="20"/>
          <w:lang w:val="en-AU"/>
        </w:rPr>
      </w:pPr>
      <w:r>
        <w:rPr>
          <w:rFonts w:cstheme="majorHAnsi"/>
          <w:szCs w:val="20"/>
          <w:lang w:val="en-AU"/>
        </w:rPr>
        <w:fldChar w:fldCharType="begin"/>
      </w:r>
      <w:r>
        <w:rPr>
          <w:rFonts w:cstheme="majorHAnsi"/>
          <w:szCs w:val="20"/>
          <w:lang w:val="en-AU"/>
        </w:rPr>
        <w:instrText xml:space="preserve"> REF _Ref448906683 \h </w:instrText>
      </w:r>
      <w:r>
        <w:rPr>
          <w:rFonts w:cstheme="majorHAnsi"/>
          <w:szCs w:val="20"/>
          <w:lang w:val="en-AU"/>
        </w:rPr>
      </w:r>
      <w:r>
        <w:rPr>
          <w:rFonts w:cstheme="majorHAnsi"/>
          <w:szCs w:val="20"/>
          <w:lang w:val="en-AU"/>
        </w:rPr>
        <w:fldChar w:fldCharType="separate"/>
      </w:r>
      <w:r w:rsidR="00525C82" w:rsidRPr="00D14CE9">
        <w:t xml:space="preserve">Table </w:t>
      </w:r>
      <w:r w:rsidR="00525C82">
        <w:rPr>
          <w:noProof/>
        </w:rPr>
        <w:t>49</w:t>
      </w:r>
      <w:r>
        <w:rPr>
          <w:rFonts w:cstheme="majorHAnsi"/>
          <w:szCs w:val="20"/>
          <w:lang w:val="en-AU"/>
        </w:rPr>
        <w:fldChar w:fldCharType="end"/>
      </w:r>
      <w:r w:rsidR="00895089" w:rsidRPr="00D14CE9">
        <w:rPr>
          <w:rFonts w:cstheme="majorHAnsi"/>
          <w:szCs w:val="20"/>
          <w:lang w:val="en-AU"/>
        </w:rPr>
        <w:t xml:space="preserve"> below indicates the sources of escalation used to escalate the vehicle and externalities costs.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000" w:firstRow="0" w:lastRow="0" w:firstColumn="0" w:lastColumn="0" w:noHBand="0" w:noVBand="0"/>
        <w:tblCaption w:val="Table 49"/>
        <w:tblDescription w:val="Table 49 is a list of the sources for the cost reckoner escalation profile."/>
      </w:tblPr>
      <w:tblGrid>
        <w:gridCol w:w="2340"/>
        <w:gridCol w:w="5201"/>
        <w:gridCol w:w="1707"/>
      </w:tblGrid>
      <w:tr w:rsidR="00895089" w:rsidRPr="00D14CE9" w:rsidTr="004839B9">
        <w:trPr>
          <w:trHeight w:val="315"/>
          <w:tblHeader/>
        </w:trPr>
        <w:tc>
          <w:tcPr>
            <w:tcW w:w="5000" w:type="pct"/>
            <w:gridSpan w:val="3"/>
            <w:shd w:val="clear" w:color="auto" w:fill="808080"/>
            <w:noWrap/>
            <w:tcMar>
              <w:left w:w="28" w:type="dxa"/>
              <w:right w:w="28" w:type="dxa"/>
            </w:tcMar>
            <w:vAlign w:val="bottom"/>
          </w:tcPr>
          <w:p w:rsidR="00895089" w:rsidRPr="00D14CE9" w:rsidRDefault="00895089" w:rsidP="0085251D">
            <w:pPr>
              <w:pStyle w:val="EYTableHeadingWhite"/>
            </w:pPr>
            <w:bookmarkStart w:id="853" w:name="_Ref448906683"/>
            <w:bookmarkStart w:id="854" w:name="_Toc445240982"/>
            <w:bookmarkStart w:id="855" w:name="_Toc448914675"/>
            <w:bookmarkStart w:id="856" w:name="_Toc448920493"/>
            <w:r w:rsidRPr="00D14CE9">
              <w:t xml:space="preserve">Table </w:t>
            </w:r>
            <w:r w:rsidR="000701D2">
              <w:fldChar w:fldCharType="begin"/>
            </w:r>
            <w:r w:rsidR="000701D2">
              <w:instrText xml:space="preserve"> SEQ Table \* ARABIC </w:instrText>
            </w:r>
            <w:r w:rsidR="000701D2">
              <w:fldChar w:fldCharType="separate"/>
            </w:r>
            <w:r w:rsidR="00525C82">
              <w:rPr>
                <w:noProof/>
              </w:rPr>
              <w:t>49</w:t>
            </w:r>
            <w:r w:rsidR="000701D2">
              <w:rPr>
                <w:noProof/>
              </w:rPr>
              <w:fldChar w:fldCharType="end"/>
            </w:r>
            <w:bookmarkEnd w:id="853"/>
            <w:r w:rsidRPr="00D14CE9">
              <w:t xml:space="preserve"> – Cost Reckoner Escalation Profile - Sources</w:t>
            </w:r>
            <w:bookmarkEnd w:id="854"/>
            <w:bookmarkEnd w:id="855"/>
            <w:bookmarkEnd w:id="856"/>
          </w:p>
        </w:tc>
      </w:tr>
      <w:tr w:rsidR="00895089" w:rsidRPr="00D14CE9" w:rsidTr="004839B9">
        <w:trPr>
          <w:tblHeader/>
        </w:trPr>
        <w:tc>
          <w:tcPr>
            <w:tcW w:w="1265" w:type="pct"/>
            <w:shd w:val="clear" w:color="auto" w:fill="F0F0F0"/>
            <w:tcMar>
              <w:left w:w="28" w:type="dxa"/>
              <w:right w:w="28" w:type="dxa"/>
            </w:tcMar>
            <w:vAlign w:val="center"/>
          </w:tcPr>
          <w:p w:rsidR="00895089" w:rsidRPr="00D14CE9" w:rsidRDefault="00895089" w:rsidP="0085251D">
            <w:pPr>
              <w:pStyle w:val="EYTableHeading"/>
              <w:rPr>
                <w:rFonts w:eastAsia="Arial Unicode MS"/>
              </w:rPr>
            </w:pPr>
            <w:r w:rsidRPr="00D14CE9">
              <w:t>Item</w:t>
            </w:r>
          </w:p>
        </w:tc>
        <w:tc>
          <w:tcPr>
            <w:tcW w:w="2812" w:type="pct"/>
            <w:shd w:val="clear" w:color="auto" w:fill="F0F0F0"/>
            <w:tcMar>
              <w:left w:w="28" w:type="dxa"/>
              <w:right w:w="28" w:type="dxa"/>
            </w:tcMar>
            <w:vAlign w:val="center"/>
          </w:tcPr>
          <w:p w:rsidR="00895089" w:rsidRPr="00D14CE9" w:rsidRDefault="00895089" w:rsidP="0085251D">
            <w:pPr>
              <w:pStyle w:val="EYTableHeading"/>
              <w:rPr>
                <w:rFonts w:eastAsia="Arial Unicode MS"/>
              </w:rPr>
            </w:pPr>
            <w:r w:rsidRPr="00D14CE9">
              <w:t>Sources</w:t>
            </w:r>
          </w:p>
        </w:tc>
        <w:tc>
          <w:tcPr>
            <w:tcW w:w="923" w:type="pct"/>
            <w:shd w:val="clear" w:color="auto" w:fill="F0F0F0"/>
            <w:tcMar>
              <w:left w:w="28" w:type="dxa"/>
              <w:right w:w="28" w:type="dxa"/>
            </w:tcMar>
          </w:tcPr>
          <w:p w:rsidR="00895089" w:rsidRPr="00D14CE9" w:rsidRDefault="00895089" w:rsidP="0085251D">
            <w:pPr>
              <w:pStyle w:val="EYTableHeading"/>
            </w:pPr>
            <w:r w:rsidRPr="00D14CE9">
              <w:t>Cost Type applied to</w:t>
            </w:r>
          </w:p>
        </w:tc>
      </w:tr>
      <w:tr w:rsidR="00895089" w:rsidRPr="00D14CE9" w:rsidTr="004839B9">
        <w:trPr>
          <w:trHeight w:val="315"/>
        </w:trPr>
        <w:tc>
          <w:tcPr>
            <w:tcW w:w="1265" w:type="pct"/>
            <w:noWrap/>
            <w:tcMar>
              <w:left w:w="28" w:type="dxa"/>
              <w:right w:w="28" w:type="dxa"/>
            </w:tcMar>
          </w:tcPr>
          <w:p w:rsidR="00895089" w:rsidRPr="00D14CE9" w:rsidRDefault="00895089" w:rsidP="0085251D">
            <w:pPr>
              <w:rPr>
                <w:sz w:val="16"/>
                <w:szCs w:val="16"/>
              </w:rPr>
            </w:pPr>
            <w:r w:rsidRPr="00D14CE9">
              <w:rPr>
                <w:sz w:val="16"/>
                <w:szCs w:val="16"/>
              </w:rPr>
              <w:t>Fuel Price Forecast, assuming a nil impact from vehicle fuel efficiency</w:t>
            </w:r>
          </w:p>
        </w:tc>
        <w:tc>
          <w:tcPr>
            <w:tcW w:w="2812" w:type="pct"/>
            <w:noWrap/>
            <w:tcMar>
              <w:left w:w="28" w:type="dxa"/>
              <w:right w:w="28" w:type="dxa"/>
            </w:tcMar>
          </w:tcPr>
          <w:p w:rsidR="00895089" w:rsidRPr="00D14CE9" w:rsidRDefault="00895089" w:rsidP="0085251D">
            <w:pPr>
              <w:rPr>
                <w:sz w:val="16"/>
                <w:szCs w:val="16"/>
              </w:rPr>
            </w:pPr>
            <w:r w:rsidRPr="00D14CE9">
              <w:rPr>
                <w:sz w:val="16"/>
                <w:szCs w:val="16"/>
              </w:rPr>
              <w:t>Frontier analysis, DTPLI</w:t>
            </w:r>
          </w:p>
        </w:tc>
        <w:tc>
          <w:tcPr>
            <w:tcW w:w="923" w:type="pct"/>
            <w:tcMar>
              <w:left w:w="28" w:type="dxa"/>
              <w:right w:w="28" w:type="dxa"/>
            </w:tcMar>
          </w:tcPr>
          <w:p w:rsidR="00895089" w:rsidRPr="00D14CE9" w:rsidRDefault="00895089" w:rsidP="0085251D">
            <w:pPr>
              <w:rPr>
                <w:sz w:val="16"/>
                <w:szCs w:val="16"/>
              </w:rPr>
            </w:pPr>
            <w:r w:rsidRPr="00D14CE9">
              <w:rPr>
                <w:sz w:val="16"/>
                <w:szCs w:val="16"/>
              </w:rPr>
              <w:t>VOC</w:t>
            </w:r>
          </w:p>
        </w:tc>
      </w:tr>
      <w:tr w:rsidR="00895089" w:rsidRPr="00D14CE9" w:rsidTr="004839B9">
        <w:trPr>
          <w:trHeight w:val="315"/>
        </w:trPr>
        <w:tc>
          <w:tcPr>
            <w:tcW w:w="1265" w:type="pct"/>
            <w:noWrap/>
            <w:tcMar>
              <w:left w:w="28" w:type="dxa"/>
              <w:right w:w="28" w:type="dxa"/>
            </w:tcMar>
          </w:tcPr>
          <w:p w:rsidR="00895089" w:rsidRPr="00D14CE9" w:rsidRDefault="00895089" w:rsidP="0085251D">
            <w:pPr>
              <w:rPr>
                <w:sz w:val="16"/>
                <w:szCs w:val="16"/>
              </w:rPr>
            </w:pPr>
            <w:r w:rsidRPr="00D14CE9">
              <w:rPr>
                <w:sz w:val="16"/>
                <w:szCs w:val="16"/>
              </w:rPr>
              <w:t>Consumer Price Index</w:t>
            </w:r>
          </w:p>
        </w:tc>
        <w:tc>
          <w:tcPr>
            <w:tcW w:w="2812" w:type="pct"/>
            <w:noWrap/>
            <w:tcMar>
              <w:left w:w="28" w:type="dxa"/>
              <w:right w:w="28" w:type="dxa"/>
            </w:tcMar>
          </w:tcPr>
          <w:p w:rsidR="00895089" w:rsidRPr="00D14CE9" w:rsidRDefault="00895089" w:rsidP="0085251D">
            <w:pPr>
              <w:rPr>
                <w:sz w:val="16"/>
                <w:szCs w:val="16"/>
              </w:rPr>
            </w:pPr>
            <w:r w:rsidRPr="00D14CE9">
              <w:rPr>
                <w:sz w:val="16"/>
                <w:szCs w:val="16"/>
              </w:rPr>
              <w:t>Victorian Department of Treasury and Finance – Melbourne Price Index, 2015-2016 Budget Update (Australian Bureau of Statistics)</w:t>
            </w:r>
          </w:p>
        </w:tc>
        <w:tc>
          <w:tcPr>
            <w:tcW w:w="923" w:type="pct"/>
            <w:tcMar>
              <w:left w:w="28" w:type="dxa"/>
              <w:right w:w="28" w:type="dxa"/>
            </w:tcMar>
          </w:tcPr>
          <w:p w:rsidR="00895089" w:rsidRPr="00D14CE9" w:rsidRDefault="00895089" w:rsidP="0085251D">
            <w:pPr>
              <w:rPr>
                <w:sz w:val="16"/>
                <w:szCs w:val="16"/>
              </w:rPr>
            </w:pPr>
            <w:r w:rsidRPr="00D14CE9">
              <w:rPr>
                <w:sz w:val="16"/>
                <w:szCs w:val="16"/>
              </w:rPr>
              <w:t>VOC</w:t>
            </w:r>
          </w:p>
        </w:tc>
      </w:tr>
      <w:tr w:rsidR="00895089" w:rsidRPr="00D14CE9" w:rsidTr="004839B9">
        <w:trPr>
          <w:trHeight w:val="315"/>
        </w:trPr>
        <w:tc>
          <w:tcPr>
            <w:tcW w:w="1265" w:type="pct"/>
            <w:noWrap/>
            <w:tcMar>
              <w:left w:w="28" w:type="dxa"/>
              <w:right w:w="28" w:type="dxa"/>
            </w:tcMar>
          </w:tcPr>
          <w:p w:rsidR="00895089" w:rsidRPr="00D14CE9" w:rsidRDefault="00895089" w:rsidP="0085251D">
            <w:pPr>
              <w:rPr>
                <w:sz w:val="16"/>
                <w:szCs w:val="16"/>
              </w:rPr>
            </w:pPr>
            <w:r w:rsidRPr="00D14CE9">
              <w:rPr>
                <w:sz w:val="16"/>
                <w:szCs w:val="16"/>
              </w:rPr>
              <w:t>Producer Price Index</w:t>
            </w:r>
          </w:p>
        </w:tc>
        <w:tc>
          <w:tcPr>
            <w:tcW w:w="2812" w:type="pct"/>
            <w:noWrap/>
            <w:tcMar>
              <w:left w:w="28" w:type="dxa"/>
              <w:right w:w="28" w:type="dxa"/>
            </w:tcMar>
          </w:tcPr>
          <w:p w:rsidR="00895089" w:rsidRPr="00D14CE9" w:rsidRDefault="00895089" w:rsidP="0085251D">
            <w:pPr>
              <w:rPr>
                <w:sz w:val="16"/>
                <w:szCs w:val="16"/>
              </w:rPr>
            </w:pPr>
            <w:r w:rsidRPr="00D14CE9">
              <w:rPr>
                <w:sz w:val="16"/>
                <w:szCs w:val="16"/>
              </w:rPr>
              <w:t>ABS 6427.0 Producer Price Index Australia Table 21. Output of the Transport, postal and warehousing industries, group and class index numbers, Index Numbers 461 Road freight transport, 10 year average</w:t>
            </w:r>
          </w:p>
        </w:tc>
        <w:tc>
          <w:tcPr>
            <w:tcW w:w="923" w:type="pct"/>
            <w:tcMar>
              <w:left w:w="28" w:type="dxa"/>
              <w:right w:w="28" w:type="dxa"/>
            </w:tcMar>
          </w:tcPr>
          <w:p w:rsidR="00895089" w:rsidRPr="00D14CE9" w:rsidRDefault="00895089" w:rsidP="0085251D">
            <w:pPr>
              <w:rPr>
                <w:sz w:val="16"/>
                <w:szCs w:val="16"/>
              </w:rPr>
            </w:pPr>
            <w:r w:rsidRPr="00D14CE9">
              <w:rPr>
                <w:sz w:val="16"/>
                <w:szCs w:val="16"/>
              </w:rPr>
              <w:t>Travel Time (Freight)</w:t>
            </w:r>
          </w:p>
        </w:tc>
      </w:tr>
      <w:tr w:rsidR="00895089" w:rsidRPr="00D14CE9" w:rsidTr="004839B9">
        <w:trPr>
          <w:trHeight w:val="315"/>
        </w:trPr>
        <w:tc>
          <w:tcPr>
            <w:tcW w:w="1265" w:type="pct"/>
            <w:noWrap/>
            <w:tcMar>
              <w:left w:w="28" w:type="dxa"/>
              <w:right w:w="28" w:type="dxa"/>
            </w:tcMar>
          </w:tcPr>
          <w:p w:rsidR="00895089" w:rsidRPr="00D14CE9" w:rsidRDefault="00895089" w:rsidP="0085251D">
            <w:pPr>
              <w:rPr>
                <w:sz w:val="16"/>
                <w:szCs w:val="16"/>
              </w:rPr>
            </w:pPr>
            <w:r w:rsidRPr="00D14CE9">
              <w:rPr>
                <w:sz w:val="16"/>
                <w:szCs w:val="16"/>
              </w:rPr>
              <w:t>Wage Price Index</w:t>
            </w:r>
          </w:p>
        </w:tc>
        <w:tc>
          <w:tcPr>
            <w:tcW w:w="2812" w:type="pct"/>
            <w:noWrap/>
            <w:tcMar>
              <w:left w:w="28" w:type="dxa"/>
              <w:right w:w="28" w:type="dxa"/>
            </w:tcMar>
          </w:tcPr>
          <w:p w:rsidR="00895089" w:rsidRPr="00D14CE9" w:rsidRDefault="00895089" w:rsidP="0085251D">
            <w:pPr>
              <w:rPr>
                <w:sz w:val="16"/>
                <w:szCs w:val="16"/>
              </w:rPr>
            </w:pPr>
            <w:r w:rsidRPr="00D14CE9">
              <w:rPr>
                <w:sz w:val="16"/>
                <w:szCs w:val="16"/>
              </w:rPr>
              <w:t>Victorian Department of Treasury and Finance – Melbourne Price Index, 2015-2016 Budget Update (Australian Bureau of Statistics)</w:t>
            </w:r>
          </w:p>
        </w:tc>
        <w:tc>
          <w:tcPr>
            <w:tcW w:w="923" w:type="pct"/>
            <w:tcMar>
              <w:left w:w="28" w:type="dxa"/>
              <w:right w:w="28" w:type="dxa"/>
            </w:tcMar>
          </w:tcPr>
          <w:p w:rsidR="00895089" w:rsidRPr="00D14CE9" w:rsidRDefault="00895089" w:rsidP="0085251D">
            <w:pPr>
              <w:rPr>
                <w:sz w:val="16"/>
                <w:szCs w:val="16"/>
              </w:rPr>
            </w:pPr>
            <w:r w:rsidRPr="00D14CE9">
              <w:rPr>
                <w:sz w:val="16"/>
                <w:szCs w:val="16"/>
              </w:rPr>
              <w:t>Travel Time (Passenger / Driver)</w:t>
            </w:r>
          </w:p>
        </w:tc>
      </w:tr>
      <w:tr w:rsidR="00895089" w:rsidRPr="00D14CE9" w:rsidTr="004839B9">
        <w:trPr>
          <w:trHeight w:val="315"/>
        </w:trPr>
        <w:tc>
          <w:tcPr>
            <w:tcW w:w="1265" w:type="pct"/>
            <w:noWrap/>
            <w:tcMar>
              <w:left w:w="28" w:type="dxa"/>
              <w:right w:w="28" w:type="dxa"/>
            </w:tcMar>
          </w:tcPr>
          <w:p w:rsidR="00895089" w:rsidRPr="00D14CE9" w:rsidRDefault="00895089" w:rsidP="0085251D">
            <w:pPr>
              <w:rPr>
                <w:sz w:val="16"/>
                <w:szCs w:val="16"/>
              </w:rPr>
            </w:pPr>
            <w:r w:rsidRPr="00D14CE9">
              <w:rPr>
                <w:sz w:val="16"/>
                <w:szCs w:val="16"/>
              </w:rPr>
              <w:t>Per Capita Real Gross Domestic Product</w:t>
            </w:r>
          </w:p>
        </w:tc>
        <w:tc>
          <w:tcPr>
            <w:tcW w:w="2812" w:type="pct"/>
            <w:noWrap/>
            <w:tcMar>
              <w:left w:w="28" w:type="dxa"/>
              <w:right w:w="28" w:type="dxa"/>
            </w:tcMar>
          </w:tcPr>
          <w:p w:rsidR="00895089" w:rsidRPr="00D14CE9" w:rsidRDefault="00895089" w:rsidP="0085251D">
            <w:pPr>
              <w:rPr>
                <w:sz w:val="16"/>
                <w:szCs w:val="16"/>
              </w:rPr>
            </w:pPr>
            <w:r w:rsidRPr="00D14CE9">
              <w:rPr>
                <w:sz w:val="16"/>
                <w:szCs w:val="16"/>
              </w:rPr>
              <w:t>Victorian Department of Treasury and Finance – Melbourne Price Index, 2015-2016 Budget Update (Australian Bureau of Statistics)</w:t>
            </w:r>
          </w:p>
        </w:tc>
        <w:tc>
          <w:tcPr>
            <w:tcW w:w="923" w:type="pct"/>
            <w:tcMar>
              <w:left w:w="28" w:type="dxa"/>
              <w:right w:w="28" w:type="dxa"/>
            </w:tcMar>
          </w:tcPr>
          <w:p w:rsidR="00895089" w:rsidRPr="00D14CE9" w:rsidRDefault="00895089" w:rsidP="0085251D">
            <w:pPr>
              <w:rPr>
                <w:sz w:val="16"/>
                <w:szCs w:val="16"/>
              </w:rPr>
            </w:pPr>
            <w:r w:rsidRPr="00D14CE9">
              <w:rPr>
                <w:sz w:val="16"/>
                <w:szCs w:val="16"/>
              </w:rPr>
              <w:t>Externalities Cost</w:t>
            </w:r>
          </w:p>
        </w:tc>
      </w:tr>
    </w:tbl>
    <w:p w:rsidR="00895089" w:rsidRPr="003637FD" w:rsidRDefault="00486FB4" w:rsidP="00895089">
      <w:pPr>
        <w:rPr>
          <w:i/>
          <w:sz w:val="16"/>
          <w:szCs w:val="16"/>
        </w:rPr>
      </w:pPr>
      <w:r w:rsidRPr="003637FD">
        <w:rPr>
          <w:i/>
          <w:sz w:val="16"/>
          <w:szCs w:val="16"/>
        </w:rPr>
        <w:t>Source: EY data</w:t>
      </w:r>
    </w:p>
    <w:p w:rsidR="00486FB4" w:rsidRPr="00D14CE9" w:rsidRDefault="00486FB4" w:rsidP="00895089"/>
    <w:p w:rsidR="00895089" w:rsidRPr="00D14CE9" w:rsidRDefault="00895089" w:rsidP="00895089">
      <w:pPr>
        <w:pStyle w:val="ListParagraph"/>
        <w:numPr>
          <w:ilvl w:val="1"/>
          <w:numId w:val="43"/>
        </w:numPr>
        <w:ind w:left="720" w:hanging="720"/>
        <w:rPr>
          <w:rFonts w:ascii="EYInterstate Light" w:hAnsi="EYInterstate Light"/>
          <w:b/>
        </w:rPr>
      </w:pPr>
      <w:r w:rsidRPr="00D14CE9">
        <w:rPr>
          <w:rFonts w:ascii="EYInterstate Light" w:hAnsi="EYInterstate Light"/>
          <w:b/>
        </w:rPr>
        <w:t>Calculation of transport costs from origin to destination</w:t>
      </w:r>
    </w:p>
    <w:p w:rsidR="00895089" w:rsidRPr="00D14CE9" w:rsidRDefault="00895089" w:rsidP="00895089">
      <w:r w:rsidRPr="00D14CE9">
        <w:t>A cost reckoner, i.e. an origin-destination cost matrix (from the origin LGA to the destination LGA), was then developed, using either rural or urban transport unit costs multiplied by the distance between the origin LGA and the destination LGA.</w:t>
      </w:r>
    </w:p>
    <w:p w:rsidR="00895089" w:rsidRPr="00D14CE9" w:rsidRDefault="00895089" w:rsidP="00895089"/>
    <w:p w:rsidR="00895089" w:rsidRPr="00D14CE9" w:rsidRDefault="00895089" w:rsidP="004A49C1">
      <w:pPr>
        <w:pStyle w:val="EYBodytextwithparaspace"/>
      </w:pPr>
      <w:r w:rsidRPr="00D14CE9">
        <w:t>The VOC costs were calculated taking into account the different transport models identified to calculate the unit VOC, based on the following assumptions:</w:t>
      </w:r>
    </w:p>
    <w:p w:rsidR="00895089" w:rsidRPr="00D14CE9" w:rsidRDefault="00895089" w:rsidP="004839B9">
      <w:pPr>
        <w:pStyle w:val="ListParagraph"/>
        <w:numPr>
          <w:ilvl w:val="0"/>
          <w:numId w:val="11"/>
        </w:numPr>
        <w:contextualSpacing w:val="0"/>
        <w:rPr>
          <w:rFonts w:ascii="EYInterstate Light" w:hAnsi="EYInterstate Light"/>
          <w:kern w:val="12"/>
        </w:rPr>
      </w:pPr>
      <w:r w:rsidRPr="00D14CE9">
        <w:rPr>
          <w:rFonts w:ascii="EYInterstate Light" w:hAnsi="EYInterstate Light"/>
          <w:kern w:val="12"/>
        </w:rPr>
        <w:t xml:space="preserve">Urban LGA to Urban LGA </w:t>
      </w:r>
      <w:r w:rsidRPr="00D14CE9">
        <w:rPr>
          <w:rFonts w:ascii="EYInterstate Light" w:hAnsi="EYInterstate Light" w:cs="Times New Roman"/>
        </w:rPr>
        <w:t>(&lt;20km)</w:t>
      </w:r>
      <w:r w:rsidRPr="00D14CE9">
        <w:rPr>
          <w:rFonts w:ascii="EYInterstate Light" w:hAnsi="EYInterstate Light"/>
          <w:kern w:val="12"/>
        </w:rPr>
        <w:t>: 100% urban stop start model.</w:t>
      </w:r>
    </w:p>
    <w:p w:rsidR="00895089" w:rsidRPr="00D14CE9" w:rsidRDefault="00895089" w:rsidP="004839B9">
      <w:pPr>
        <w:pStyle w:val="ListParagraph"/>
        <w:numPr>
          <w:ilvl w:val="0"/>
          <w:numId w:val="11"/>
        </w:numPr>
        <w:contextualSpacing w:val="0"/>
        <w:rPr>
          <w:rFonts w:ascii="EYInterstate Light" w:hAnsi="EYInterstate Light"/>
          <w:kern w:val="12"/>
        </w:rPr>
      </w:pPr>
      <w:r w:rsidRPr="00D14CE9">
        <w:rPr>
          <w:rFonts w:ascii="EYInterstate Light" w:hAnsi="EYInterstate Light"/>
          <w:kern w:val="12"/>
        </w:rPr>
        <w:t>Urban LGA to Urban LGA (&gt;20km): 50% urban stop start model + 50% urban free flow model.</w:t>
      </w:r>
    </w:p>
    <w:p w:rsidR="00895089" w:rsidRPr="00D14CE9" w:rsidRDefault="00895089" w:rsidP="004839B9">
      <w:pPr>
        <w:pStyle w:val="ListParagraph"/>
        <w:numPr>
          <w:ilvl w:val="0"/>
          <w:numId w:val="11"/>
        </w:numPr>
        <w:contextualSpacing w:val="0"/>
        <w:rPr>
          <w:rFonts w:ascii="EYInterstate Light" w:hAnsi="EYInterstate Light"/>
          <w:kern w:val="12"/>
        </w:rPr>
      </w:pPr>
      <w:r w:rsidRPr="00D14CE9">
        <w:rPr>
          <w:rFonts w:ascii="EYInterstate Light" w:hAnsi="EYInterstate Light"/>
          <w:kern w:val="12"/>
        </w:rPr>
        <w:t xml:space="preserve">Urban LGA to Regional LGA </w:t>
      </w:r>
      <w:r w:rsidRPr="00D14CE9">
        <w:rPr>
          <w:rFonts w:ascii="EYInterstate Light" w:hAnsi="EYInterstate Light" w:cs="Times New Roman"/>
        </w:rPr>
        <w:t>(&lt;100km): 25% urban stop start model + 25% urban free flow model + 50% rural model.</w:t>
      </w:r>
    </w:p>
    <w:p w:rsidR="00895089" w:rsidRPr="00D14CE9" w:rsidRDefault="00895089" w:rsidP="004839B9">
      <w:pPr>
        <w:pStyle w:val="ListParagraph"/>
        <w:numPr>
          <w:ilvl w:val="0"/>
          <w:numId w:val="11"/>
        </w:numPr>
        <w:contextualSpacing w:val="0"/>
        <w:rPr>
          <w:rFonts w:ascii="EYInterstate Light" w:hAnsi="EYInterstate Light"/>
          <w:kern w:val="12"/>
        </w:rPr>
      </w:pPr>
      <w:r w:rsidRPr="00D14CE9">
        <w:rPr>
          <w:rFonts w:ascii="EYInterstate Light" w:hAnsi="EYInterstate Light"/>
          <w:kern w:val="12"/>
        </w:rPr>
        <w:t xml:space="preserve">Urban LGA to Regional LGA </w:t>
      </w:r>
      <w:r w:rsidRPr="00D14CE9">
        <w:rPr>
          <w:rFonts w:ascii="EYInterstate Light" w:hAnsi="EYInterstate Light" w:cs="Times New Roman"/>
        </w:rPr>
        <w:t>(&gt;100km): 25km urban stop start model + 25km urban free flow model + (total distance – 50km) rural model.</w:t>
      </w:r>
    </w:p>
    <w:p w:rsidR="00895089" w:rsidRPr="00D14CE9" w:rsidRDefault="00895089" w:rsidP="004839B9">
      <w:pPr>
        <w:pStyle w:val="ListParagraph"/>
        <w:numPr>
          <w:ilvl w:val="0"/>
          <w:numId w:val="11"/>
        </w:numPr>
        <w:contextualSpacing w:val="0"/>
        <w:rPr>
          <w:rFonts w:ascii="EYInterstate Light" w:hAnsi="EYInterstate Light"/>
          <w:kern w:val="12"/>
        </w:rPr>
      </w:pPr>
      <w:r w:rsidRPr="00D14CE9">
        <w:rPr>
          <w:rFonts w:ascii="EYInterstate Light" w:hAnsi="EYInterstate Light"/>
          <w:kern w:val="12"/>
        </w:rPr>
        <w:t xml:space="preserve">Regional LGA to Urban LGA (&lt;100km): </w:t>
      </w:r>
      <w:r w:rsidRPr="00D14CE9">
        <w:rPr>
          <w:rFonts w:ascii="EYInterstate Light" w:hAnsi="EYInterstate Light" w:cs="Times New Roman"/>
        </w:rPr>
        <w:t>25% urban stop start model + 25% urban free flow model + 50% rural model.</w:t>
      </w:r>
    </w:p>
    <w:p w:rsidR="00895089" w:rsidRPr="00D14CE9" w:rsidRDefault="00895089" w:rsidP="004839B9">
      <w:pPr>
        <w:pStyle w:val="ListParagraph"/>
        <w:numPr>
          <w:ilvl w:val="0"/>
          <w:numId w:val="11"/>
        </w:numPr>
        <w:contextualSpacing w:val="0"/>
        <w:rPr>
          <w:rFonts w:ascii="EYInterstate Light" w:hAnsi="EYInterstate Light"/>
          <w:kern w:val="12"/>
        </w:rPr>
      </w:pPr>
      <w:r w:rsidRPr="00D14CE9">
        <w:rPr>
          <w:rFonts w:ascii="EYInterstate Light" w:hAnsi="EYInterstate Light"/>
          <w:kern w:val="12"/>
        </w:rPr>
        <w:t xml:space="preserve">Regional LGA to Urban LGA (&gt;100km): </w:t>
      </w:r>
      <w:r w:rsidRPr="00D14CE9">
        <w:rPr>
          <w:rFonts w:ascii="EYInterstate Light" w:hAnsi="EYInterstate Light" w:cs="Times New Roman"/>
        </w:rPr>
        <w:t>25km urban stop start model + 25km urban free flow model + (total distance – 50km) rural model.</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Regional LGA to Regional LGA: rural model</w:t>
      </w:r>
    </w:p>
    <w:p w:rsidR="00895089" w:rsidRPr="00D14CE9" w:rsidRDefault="00895089" w:rsidP="004A49C1">
      <w:pPr>
        <w:pStyle w:val="EYBodytextwithparaspace"/>
      </w:pPr>
      <w:r w:rsidRPr="00D14CE9">
        <w:t>Within the same LGA, transport costs calculation was based on the following travel distance assumptions, determined relying upon the average size of each LGA and the potential distance travelled:</w:t>
      </w:r>
    </w:p>
    <w:p w:rsidR="00895089" w:rsidRPr="00D14CE9" w:rsidRDefault="00895089" w:rsidP="004839B9">
      <w:pPr>
        <w:pStyle w:val="ListParagraph"/>
        <w:numPr>
          <w:ilvl w:val="0"/>
          <w:numId w:val="11"/>
        </w:numPr>
        <w:contextualSpacing w:val="0"/>
        <w:rPr>
          <w:rFonts w:ascii="EYInterstate Light" w:hAnsi="EYInterstate Light"/>
          <w:kern w:val="12"/>
        </w:rPr>
      </w:pPr>
      <w:r w:rsidRPr="00D14CE9">
        <w:rPr>
          <w:rFonts w:ascii="EYInterstate Light" w:hAnsi="EYInterstate Light"/>
          <w:kern w:val="12"/>
        </w:rPr>
        <w:t>Urban LGA: 10km</w:t>
      </w:r>
    </w:p>
    <w:p w:rsidR="0089508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Regional LGA: 25 km</w:t>
      </w:r>
    </w:p>
    <w:p w:rsidR="0051430B" w:rsidRPr="00D14CE9" w:rsidRDefault="0051430B" w:rsidP="003637FD">
      <w:pPr>
        <w:pStyle w:val="ListParagraph"/>
        <w:ind w:left="284"/>
        <w:rPr>
          <w:rFonts w:ascii="EYInterstate Light" w:hAnsi="EYInterstate Light"/>
          <w:kern w:val="12"/>
        </w:rPr>
      </w:pPr>
    </w:p>
    <w:p w:rsidR="00895089" w:rsidRPr="00D14CE9" w:rsidRDefault="00895089" w:rsidP="003637FD">
      <w:pPr>
        <w:pStyle w:val="ListParagraph"/>
        <w:numPr>
          <w:ilvl w:val="0"/>
          <w:numId w:val="40"/>
        </w:numPr>
        <w:ind w:left="709" w:hanging="709"/>
        <w:rPr>
          <w:rFonts w:ascii="EYInterstate Light" w:hAnsi="EYInterstate Light"/>
          <w:b/>
        </w:rPr>
      </w:pPr>
      <w:r w:rsidRPr="00D14CE9">
        <w:rPr>
          <w:rFonts w:ascii="EYInterstate Light" w:hAnsi="EYInterstate Light"/>
          <w:b/>
        </w:rPr>
        <w:t>Cost Reckoner – Key Outputs</w:t>
      </w:r>
    </w:p>
    <w:p w:rsidR="00895089" w:rsidRPr="00D14CE9" w:rsidRDefault="00895089" w:rsidP="003637FD">
      <w:pPr>
        <w:pStyle w:val="EYBodytextwithparaspace"/>
        <w:spacing w:after="120"/>
      </w:pPr>
      <w:r w:rsidRPr="00D14CE9">
        <w:t>Key outputs were provided to PwC on 8 January 2016, including:</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 xml:space="preserve">Weighted average unit transport cost per net tonne km, including and excluding externalities cost, in 2015 Australian prices. </w:t>
      </w:r>
    </w:p>
    <w:p w:rsidR="00895089" w:rsidRPr="00D14CE9" w:rsidRDefault="00895089" w:rsidP="00895089">
      <w:pPr>
        <w:pStyle w:val="ListParagraph"/>
        <w:numPr>
          <w:ilvl w:val="0"/>
          <w:numId w:val="11"/>
        </w:numPr>
        <w:rPr>
          <w:rFonts w:ascii="EYInterstate Light" w:hAnsi="EYInterstate Light"/>
          <w:kern w:val="12"/>
        </w:rPr>
      </w:pPr>
      <w:r w:rsidRPr="00D14CE9">
        <w:rPr>
          <w:rFonts w:ascii="EYInterstate Light" w:hAnsi="EYInterstate Light"/>
          <w:kern w:val="12"/>
        </w:rPr>
        <w:t>Cost reckoner matrix.</w:t>
      </w:r>
    </w:p>
    <w:p w:rsidR="00D3438A" w:rsidRPr="00D14CE9" w:rsidRDefault="00895089" w:rsidP="00895089">
      <w:pPr>
        <w:pStyle w:val="EYNormal"/>
        <w:rPr>
          <w:lang w:val="en-AU"/>
        </w:rPr>
      </w:pPr>
      <w:r w:rsidRPr="00D14CE9">
        <w:t>Forward escalation profile to convert 2016 to 2050 costs to 2015 prices.</w:t>
      </w:r>
    </w:p>
    <w:bookmarkEnd w:id="811"/>
    <w:bookmarkEnd w:id="812"/>
    <w:bookmarkEnd w:id="813"/>
    <w:bookmarkEnd w:id="814"/>
    <w:p w:rsidR="00CD3505" w:rsidRDefault="00CD3505" w:rsidP="00C1011B">
      <w:pPr>
        <w:sectPr w:rsidR="00CD3505" w:rsidSect="003637FD">
          <w:footerReference w:type="default" r:id="rId80"/>
          <w:pgSz w:w="11909" w:h="16834" w:code="9"/>
          <w:pgMar w:top="1440" w:right="1277" w:bottom="1134" w:left="1440" w:header="720" w:footer="567" w:gutter="0"/>
          <w:cols w:space="720"/>
          <w:docGrid w:linePitch="360"/>
        </w:sectPr>
      </w:pPr>
    </w:p>
    <w:p w:rsidR="00133B47" w:rsidRDefault="00133B47" w:rsidP="00C1011B"/>
    <w:p w:rsidR="00133B47" w:rsidRPr="0092642A" w:rsidRDefault="00133B47" w:rsidP="00133B47">
      <w:pPr>
        <w:rPr>
          <w:rFonts w:ascii="EYInterstate" w:hAnsi="EYInterstate" w:cs="Arial"/>
          <w:color w:val="000000" w:themeColor="text1"/>
        </w:rPr>
      </w:pPr>
      <w:r w:rsidRPr="0092642A">
        <w:rPr>
          <w:rFonts w:ascii="EYInterstate" w:hAnsi="EYInterstate" w:cs="Arial"/>
          <w:color w:val="000000" w:themeColor="text1"/>
        </w:rPr>
        <w:t>EY | Assurance | Tax | Transactions | Advisory</w:t>
      </w:r>
    </w:p>
    <w:p w:rsidR="00133B47" w:rsidRPr="0092642A" w:rsidRDefault="00133B47" w:rsidP="00133B47">
      <w:pPr>
        <w:rPr>
          <w:rFonts w:cs="Arial"/>
          <w:color w:val="000000" w:themeColor="text1"/>
        </w:rPr>
      </w:pPr>
    </w:p>
    <w:p w:rsidR="00133B47" w:rsidRPr="0092642A" w:rsidRDefault="00133B47" w:rsidP="00133B47">
      <w:pPr>
        <w:rPr>
          <w:rFonts w:ascii="EYInterstate" w:hAnsi="EYInterstate" w:cs="Arial"/>
          <w:color w:val="000000" w:themeColor="text1"/>
        </w:rPr>
      </w:pPr>
      <w:r w:rsidRPr="0092642A">
        <w:rPr>
          <w:rFonts w:ascii="EYInterstate" w:hAnsi="EYInterstate" w:cs="Arial"/>
          <w:color w:val="000000" w:themeColor="text1"/>
        </w:rPr>
        <w:t>About EY</w:t>
      </w:r>
    </w:p>
    <w:p w:rsidR="00133B47" w:rsidRPr="0092642A" w:rsidRDefault="00133B47" w:rsidP="00133B47">
      <w:pPr>
        <w:rPr>
          <w:rFonts w:cs="Arial"/>
          <w:color w:val="000000" w:themeColor="text1"/>
          <w:sz w:val="16"/>
          <w:szCs w:val="16"/>
        </w:rPr>
      </w:pPr>
      <w:r w:rsidRPr="0092642A">
        <w:rPr>
          <w:rFonts w:cs="Arial"/>
          <w:color w:val="000000" w:themeColor="text1"/>
          <w:sz w:val="16"/>
          <w:szCs w:val="16"/>
        </w:rPr>
        <w:t>EY is a global leader in assurance, tax, transaction and advisory</w:t>
      </w:r>
    </w:p>
    <w:p w:rsidR="00133B47" w:rsidRPr="0092642A" w:rsidRDefault="00133B47" w:rsidP="00133B47">
      <w:pPr>
        <w:rPr>
          <w:rFonts w:cs="Arial"/>
          <w:color w:val="000000" w:themeColor="text1"/>
          <w:sz w:val="16"/>
          <w:szCs w:val="16"/>
        </w:rPr>
      </w:pPr>
      <w:r w:rsidRPr="0092642A">
        <w:rPr>
          <w:rFonts w:cs="Arial"/>
          <w:color w:val="000000" w:themeColor="text1"/>
          <w:sz w:val="16"/>
          <w:szCs w:val="16"/>
        </w:rPr>
        <w:t>services. The insights and quality services we deliver help build trust and</w:t>
      </w:r>
    </w:p>
    <w:p w:rsidR="00133B47" w:rsidRPr="0092642A" w:rsidRDefault="00133B47" w:rsidP="00133B47">
      <w:pPr>
        <w:rPr>
          <w:rFonts w:cs="Arial"/>
          <w:color w:val="000000" w:themeColor="text1"/>
          <w:sz w:val="16"/>
          <w:szCs w:val="16"/>
        </w:rPr>
      </w:pPr>
      <w:r w:rsidRPr="0092642A">
        <w:rPr>
          <w:rFonts w:cs="Arial"/>
          <w:color w:val="000000" w:themeColor="text1"/>
          <w:sz w:val="16"/>
          <w:szCs w:val="16"/>
        </w:rPr>
        <w:t>confidence in the capital markets and in economies the world over. We</w:t>
      </w:r>
    </w:p>
    <w:p w:rsidR="00133B47" w:rsidRPr="0092642A" w:rsidRDefault="00133B47" w:rsidP="00133B47">
      <w:pPr>
        <w:rPr>
          <w:rFonts w:cs="Arial"/>
          <w:color w:val="000000" w:themeColor="text1"/>
          <w:sz w:val="16"/>
          <w:szCs w:val="16"/>
        </w:rPr>
      </w:pPr>
      <w:r w:rsidRPr="0092642A">
        <w:rPr>
          <w:rFonts w:cs="Arial"/>
          <w:color w:val="000000" w:themeColor="text1"/>
          <w:sz w:val="16"/>
          <w:szCs w:val="16"/>
        </w:rPr>
        <w:t>develop outstanding leaders who team to deliver on our promises to all</w:t>
      </w:r>
    </w:p>
    <w:p w:rsidR="00133B47" w:rsidRPr="0092642A" w:rsidRDefault="00133B47" w:rsidP="00133B47">
      <w:pPr>
        <w:rPr>
          <w:rFonts w:cs="Arial"/>
          <w:color w:val="000000" w:themeColor="text1"/>
          <w:sz w:val="16"/>
          <w:szCs w:val="16"/>
        </w:rPr>
      </w:pPr>
      <w:r w:rsidRPr="0092642A">
        <w:rPr>
          <w:rFonts w:cs="Arial"/>
          <w:color w:val="000000" w:themeColor="text1"/>
          <w:sz w:val="16"/>
          <w:szCs w:val="16"/>
        </w:rPr>
        <w:t>of our stakeholders. In so doing, we play a critical role in building a better</w:t>
      </w:r>
    </w:p>
    <w:p w:rsidR="00133B47" w:rsidRPr="0092642A" w:rsidRDefault="00133B47" w:rsidP="00133B47">
      <w:pPr>
        <w:rPr>
          <w:rFonts w:cs="Arial"/>
          <w:color w:val="000000" w:themeColor="text1"/>
          <w:sz w:val="16"/>
          <w:szCs w:val="16"/>
        </w:rPr>
      </w:pPr>
      <w:r w:rsidRPr="0092642A">
        <w:rPr>
          <w:rFonts w:cs="Arial"/>
          <w:color w:val="000000" w:themeColor="text1"/>
          <w:sz w:val="16"/>
          <w:szCs w:val="16"/>
        </w:rPr>
        <w:t>working world for our people, for our clients and for our communities.</w:t>
      </w:r>
    </w:p>
    <w:p w:rsidR="00133B47" w:rsidRPr="0092642A" w:rsidRDefault="00133B47" w:rsidP="00133B47">
      <w:pPr>
        <w:rPr>
          <w:rFonts w:cs="Arial"/>
          <w:color w:val="000000" w:themeColor="text1"/>
          <w:sz w:val="16"/>
          <w:szCs w:val="16"/>
        </w:rPr>
      </w:pPr>
    </w:p>
    <w:p w:rsidR="00133B47" w:rsidRPr="0092642A" w:rsidRDefault="00133B47" w:rsidP="00133B47">
      <w:pPr>
        <w:rPr>
          <w:rFonts w:cs="Arial"/>
          <w:color w:val="000000" w:themeColor="text1"/>
          <w:sz w:val="16"/>
          <w:szCs w:val="16"/>
        </w:rPr>
      </w:pPr>
      <w:r w:rsidRPr="0092642A">
        <w:rPr>
          <w:rFonts w:cs="Arial"/>
          <w:color w:val="000000" w:themeColor="text1"/>
          <w:sz w:val="16"/>
          <w:szCs w:val="16"/>
        </w:rPr>
        <w:t>EY refers to the global organisation and may refer to one or more of the member</w:t>
      </w:r>
    </w:p>
    <w:p w:rsidR="00133B47" w:rsidRPr="0092642A" w:rsidRDefault="00133B47" w:rsidP="00133B47">
      <w:pPr>
        <w:rPr>
          <w:rFonts w:cs="Arial"/>
          <w:color w:val="000000" w:themeColor="text1"/>
          <w:sz w:val="16"/>
          <w:szCs w:val="16"/>
        </w:rPr>
      </w:pPr>
      <w:r w:rsidRPr="0092642A">
        <w:rPr>
          <w:rFonts w:cs="Arial"/>
          <w:color w:val="000000" w:themeColor="text1"/>
          <w:sz w:val="16"/>
          <w:szCs w:val="16"/>
        </w:rPr>
        <w:t>firms of Ernst &amp; Young Global Limited, each of which is a separate legal</w:t>
      </w:r>
    </w:p>
    <w:p w:rsidR="00133B47" w:rsidRPr="0092642A" w:rsidRDefault="00133B47" w:rsidP="00133B47">
      <w:pPr>
        <w:rPr>
          <w:rFonts w:cs="Arial"/>
          <w:color w:val="000000" w:themeColor="text1"/>
          <w:sz w:val="16"/>
          <w:szCs w:val="16"/>
        </w:rPr>
      </w:pPr>
      <w:r w:rsidRPr="0092642A">
        <w:rPr>
          <w:rFonts w:cs="Arial"/>
          <w:color w:val="000000" w:themeColor="text1"/>
          <w:sz w:val="16"/>
          <w:szCs w:val="16"/>
        </w:rPr>
        <w:t>entity. Ernst &amp; Young Global Limited, a UK company limited by guarantee,</w:t>
      </w:r>
    </w:p>
    <w:p w:rsidR="00133B47" w:rsidRPr="0092642A" w:rsidRDefault="00133B47" w:rsidP="00133B47">
      <w:pPr>
        <w:rPr>
          <w:rFonts w:cs="Arial"/>
          <w:color w:val="000000" w:themeColor="text1"/>
          <w:sz w:val="16"/>
          <w:szCs w:val="16"/>
        </w:rPr>
      </w:pPr>
      <w:r w:rsidRPr="0092642A">
        <w:rPr>
          <w:rFonts w:cs="Arial"/>
          <w:color w:val="000000" w:themeColor="text1"/>
          <w:sz w:val="16"/>
          <w:szCs w:val="16"/>
        </w:rPr>
        <w:t>does not provide services to clients. For more information about our</w:t>
      </w:r>
    </w:p>
    <w:p w:rsidR="00133B47" w:rsidRPr="0092642A" w:rsidRDefault="00133B47" w:rsidP="00133B47">
      <w:pPr>
        <w:rPr>
          <w:rFonts w:cs="Helv"/>
          <w:color w:val="000000" w:themeColor="text1"/>
          <w:sz w:val="16"/>
          <w:szCs w:val="16"/>
        </w:rPr>
      </w:pPr>
      <w:r w:rsidRPr="0092642A">
        <w:rPr>
          <w:rFonts w:cs="Arial"/>
          <w:color w:val="000000" w:themeColor="text1"/>
          <w:sz w:val="16"/>
          <w:szCs w:val="16"/>
        </w:rPr>
        <w:t>organisation, please visit ey.com.</w:t>
      </w:r>
      <w:r w:rsidRPr="0092642A">
        <w:rPr>
          <w:rFonts w:cs="Helv"/>
          <w:color w:val="000000" w:themeColor="text1"/>
          <w:sz w:val="16"/>
          <w:szCs w:val="16"/>
        </w:rPr>
        <w:br/>
      </w:r>
    </w:p>
    <w:p w:rsidR="00133B47" w:rsidRPr="0092642A" w:rsidRDefault="00133B47" w:rsidP="00133B47">
      <w:pPr>
        <w:rPr>
          <w:rFonts w:cs="Arial"/>
          <w:color w:val="000000" w:themeColor="text1"/>
          <w:sz w:val="16"/>
          <w:szCs w:val="16"/>
        </w:rPr>
      </w:pPr>
      <w:r w:rsidRPr="001178FD" w:rsidDel="001178FD">
        <w:rPr>
          <w:rFonts w:cs="Arial"/>
          <w:color w:val="000000" w:themeColor="text1"/>
          <w:sz w:val="16"/>
          <w:szCs w:val="16"/>
        </w:rPr>
        <w:t xml:space="preserve"> </w:t>
      </w:r>
      <w:r w:rsidRPr="00BC1353">
        <w:rPr>
          <w:rFonts w:cs="Arial"/>
          <w:color w:val="000000" w:themeColor="text1"/>
          <w:sz w:val="16"/>
          <w:szCs w:val="16"/>
        </w:rPr>
        <w:t>© 20</w:t>
      </w:r>
      <w:r w:rsidRPr="00E502DC">
        <w:rPr>
          <w:rFonts w:cs="Arial"/>
          <w:color w:val="000000" w:themeColor="text1"/>
          <w:sz w:val="16"/>
          <w:szCs w:val="16"/>
        </w:rPr>
        <w:t>16</w:t>
      </w:r>
      <w:r>
        <w:rPr>
          <w:rFonts w:cs="Arial"/>
          <w:color w:val="000000" w:themeColor="text1"/>
          <w:sz w:val="16"/>
          <w:szCs w:val="16"/>
        </w:rPr>
        <w:t xml:space="preserve"> </w:t>
      </w:r>
      <w:r w:rsidRPr="0092642A">
        <w:rPr>
          <w:rFonts w:cs="Arial"/>
          <w:color w:val="000000" w:themeColor="text1"/>
          <w:sz w:val="16"/>
          <w:szCs w:val="16"/>
        </w:rPr>
        <w:t xml:space="preserve">Ernst &amp; Young, </w:t>
      </w:r>
      <w:r>
        <w:rPr>
          <w:rFonts w:cs="Arial"/>
          <w:color w:val="000000" w:themeColor="text1"/>
          <w:sz w:val="16"/>
          <w:szCs w:val="16"/>
        </w:rPr>
        <w:t>Australia</w:t>
      </w:r>
      <w:r w:rsidRPr="0092642A">
        <w:rPr>
          <w:rFonts w:cs="Arial"/>
          <w:color w:val="000000" w:themeColor="text1"/>
          <w:sz w:val="16"/>
          <w:szCs w:val="16"/>
        </w:rPr>
        <w:t>.</w:t>
      </w:r>
    </w:p>
    <w:p w:rsidR="00133B47" w:rsidRPr="0092642A" w:rsidRDefault="00133B47" w:rsidP="00133B47">
      <w:pPr>
        <w:rPr>
          <w:rFonts w:cs="Arial"/>
          <w:color w:val="000000" w:themeColor="text1"/>
          <w:sz w:val="16"/>
          <w:szCs w:val="16"/>
        </w:rPr>
      </w:pPr>
      <w:r w:rsidRPr="0092642A">
        <w:rPr>
          <w:rFonts w:cs="Arial"/>
          <w:color w:val="000000" w:themeColor="text1"/>
          <w:sz w:val="16"/>
          <w:szCs w:val="16"/>
        </w:rPr>
        <w:t>All Rights Reserved.</w:t>
      </w:r>
    </w:p>
    <w:p w:rsidR="00133B47" w:rsidRPr="0092642A" w:rsidRDefault="00133B47" w:rsidP="00133B47">
      <w:pPr>
        <w:rPr>
          <w:rFonts w:cs="Arial"/>
          <w:color w:val="000000" w:themeColor="text1"/>
          <w:sz w:val="16"/>
          <w:szCs w:val="16"/>
        </w:rPr>
      </w:pPr>
    </w:p>
    <w:p w:rsidR="00133B47" w:rsidRPr="006C430A" w:rsidRDefault="00133B47" w:rsidP="00133B47">
      <w:pPr>
        <w:rPr>
          <w:rFonts w:cs="Arial"/>
          <w:color w:val="000000" w:themeColor="text1"/>
          <w:sz w:val="12"/>
          <w:szCs w:val="12"/>
        </w:rPr>
      </w:pPr>
      <w:r w:rsidRPr="006C430A">
        <w:rPr>
          <w:rFonts w:cs="Arial"/>
          <w:color w:val="000000" w:themeColor="text1"/>
          <w:sz w:val="12"/>
          <w:szCs w:val="12"/>
        </w:rPr>
        <w:t>This communication provides general information which is current at the time of production. The information contained in this communication does not constitute advice and should not be relied on as such. Professional advice should be sought prior to any action being taken in reliance on any of the information. Ernst &amp; Young disclaims all responsibility and liability (including, without limitation, for any direct or indirect or consequential costs, loss or damage or loss of profits) arising from anything done or omitted to be done by any party in reliance, whether wholly or partially, on any of the information. Any party that relies on the information does so at its own risk. Liability limited by a scheme approved under Professional Standards Legislation.</w:t>
      </w:r>
    </w:p>
    <w:p w:rsidR="00133B47" w:rsidRPr="006C430A" w:rsidRDefault="00133B47" w:rsidP="00133B47">
      <w:pPr>
        <w:rPr>
          <w:rFonts w:cs="Arial"/>
          <w:color w:val="000000" w:themeColor="text1"/>
          <w:sz w:val="12"/>
          <w:szCs w:val="12"/>
        </w:rPr>
      </w:pPr>
    </w:p>
    <w:p w:rsidR="00133B47" w:rsidRPr="0092642A" w:rsidRDefault="00133B47" w:rsidP="00133B47">
      <w:pPr>
        <w:rPr>
          <w:rFonts w:cs="Arial"/>
          <w:color w:val="000000" w:themeColor="text1"/>
          <w:sz w:val="16"/>
          <w:szCs w:val="16"/>
        </w:rPr>
      </w:pPr>
    </w:p>
    <w:p w:rsidR="00133B47" w:rsidRPr="00E576AB" w:rsidRDefault="00133B47" w:rsidP="00133B47">
      <w:r w:rsidRPr="0092642A">
        <w:rPr>
          <w:rFonts w:ascii="EYInterstate" w:hAnsi="EYInterstate" w:cs="Arial"/>
          <w:color w:val="000000" w:themeColor="text1"/>
        </w:rPr>
        <w:t>ey.com</w:t>
      </w:r>
      <w:r>
        <w:rPr>
          <w:rFonts w:ascii="EYInterstate" w:hAnsi="EYInterstate" w:cs="Arial"/>
          <w:color w:val="000000" w:themeColor="text1"/>
        </w:rPr>
        <w:t>/au</w:t>
      </w:r>
    </w:p>
    <w:p w:rsidR="00133B47" w:rsidRPr="00E576AB" w:rsidRDefault="00133B47" w:rsidP="00133B47">
      <w:pPr>
        <w:pStyle w:val="CopyCover"/>
      </w:pPr>
    </w:p>
    <w:p w:rsidR="00133B47" w:rsidRDefault="00133B47" w:rsidP="00C1011B"/>
    <w:p w:rsidR="00133B47" w:rsidRDefault="00133B47" w:rsidP="00C1011B"/>
    <w:p w:rsidR="00133B47" w:rsidRDefault="00133B47" w:rsidP="00C1011B"/>
    <w:p w:rsidR="00133B47" w:rsidRDefault="00133B47" w:rsidP="00C1011B"/>
    <w:p w:rsidR="00133B47" w:rsidRDefault="00133B47" w:rsidP="00C1011B"/>
    <w:p w:rsidR="00133B47" w:rsidRDefault="00133B47" w:rsidP="00C1011B"/>
    <w:p w:rsidR="00133B47" w:rsidRDefault="00133B47" w:rsidP="00C1011B"/>
    <w:p w:rsidR="00133B47" w:rsidRDefault="00133B47" w:rsidP="00C1011B"/>
    <w:p w:rsidR="00133B47" w:rsidRPr="00D14CE9" w:rsidRDefault="00133B47" w:rsidP="00C1011B"/>
    <w:sectPr w:rsidR="00133B47" w:rsidRPr="00D14CE9" w:rsidSect="000B6297">
      <w:headerReference w:type="default" r:id="rId81"/>
      <w:footerReference w:type="default" r:id="rId82"/>
      <w:pgSz w:w="11909" w:h="16834" w:code="9"/>
      <w:pgMar w:top="1440" w:right="1440" w:bottom="1440" w:left="1440"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754" w:rsidRDefault="003C7754">
      <w:r>
        <w:separator/>
      </w:r>
    </w:p>
    <w:p w:rsidR="003C7754" w:rsidRDefault="003C7754"/>
    <w:p w:rsidR="003C7754" w:rsidRDefault="003C7754"/>
    <w:p w:rsidR="003C7754" w:rsidRDefault="003C7754"/>
    <w:p w:rsidR="003C7754" w:rsidRDefault="003C7754"/>
    <w:p w:rsidR="003C7754" w:rsidRDefault="003C7754"/>
    <w:p w:rsidR="003C7754" w:rsidRDefault="003C7754"/>
  </w:endnote>
  <w:endnote w:type="continuationSeparator" w:id="0">
    <w:p w:rsidR="003C7754" w:rsidRDefault="003C7754">
      <w:r>
        <w:continuationSeparator/>
      </w:r>
    </w:p>
    <w:p w:rsidR="003C7754" w:rsidRDefault="003C7754"/>
    <w:p w:rsidR="003C7754" w:rsidRDefault="003C7754"/>
    <w:p w:rsidR="003C7754" w:rsidRDefault="003C7754"/>
    <w:p w:rsidR="003C7754" w:rsidRDefault="003C7754"/>
    <w:p w:rsidR="003C7754" w:rsidRDefault="003C7754"/>
    <w:p w:rsidR="003C7754" w:rsidRDefault="003C7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YInterstate Light">
    <w:altName w:val="Franklin Gothic Medium Cond"/>
    <w:charset w:val="00"/>
    <w:family w:val="auto"/>
    <w:pitch w:val="variable"/>
    <w:sig w:usb0="A00002AF" w:usb1="5000206A"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EYInterstate">
    <w:altName w:val="Corbel"/>
    <w:charset w:val="00"/>
    <w:family w:val="auto"/>
    <w:pitch w:val="variable"/>
    <w:sig w:usb0="00000001" w:usb1="5000206A"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EYInterstate Regular">
    <w:altName w:val="Corbel"/>
    <w:charset w:val="00"/>
    <w:family w:val="auto"/>
    <w:pitch w:val="variable"/>
    <w:sig w:usb0="00000001" w:usb1="5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EYInterstate-Regular">
    <w:altName w:val="EYInterstate Regular"/>
    <w:panose1 w:val="00000000000000000000"/>
    <w:charset w:val="4D"/>
    <w:family w:val="auto"/>
    <w:notTrueType/>
    <w:pitch w:val="default"/>
    <w:sig w:usb0="00000003" w:usb1="00000000" w:usb2="00000000" w:usb3="00000000" w:csb0="00000001" w:csb1="00000000"/>
  </w:font>
  <w:font w:name="EYInterstate-Light">
    <w:altName w:val="EYInterstate Light"/>
    <w:panose1 w:val="00000000000000000000"/>
    <w:charset w:val="4D"/>
    <w:family w:val="auto"/>
    <w:notTrueType/>
    <w:pitch w:val="default"/>
    <w:sig w:usb0="00000003" w:usb1="00000000" w:usb2="00000000" w:usb3="00000000" w:csb0="00000001" w:csb1="00000000"/>
  </w:font>
  <w:font w:name="EYInterstate-LightItalic">
    <w:altName w:val="EYInterstate Light Italic"/>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ZWAdobeF">
    <w:altName w:val="Times New Roman"/>
    <w:charset w:val="00"/>
    <w:family w:val="auto"/>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754" w:rsidRPr="004C6662" w:rsidRDefault="003C7754" w:rsidP="000F0894">
    <w:pPr>
      <w:tabs>
        <w:tab w:val="right" w:pos="9360"/>
      </w:tabs>
      <w:jc w:val="right"/>
    </w:pPr>
    <w:r w:rsidRPr="00567ACB">
      <w:rPr>
        <w:noProof/>
      </w:rPr>
      <w:t>{20150214 00575203}</w:t>
    </w:r>
    <w:r w:rsidRPr="004C6662">
      <w:t xml:space="preserve">Ernst &amp; Young | </w:t>
    </w:r>
    <w:r w:rsidRPr="004C6662">
      <w:fldChar w:fldCharType="begin"/>
    </w:r>
    <w:r w:rsidRPr="004C6662">
      <w:instrText xml:space="preserve"> PAGE </w:instrText>
    </w:r>
    <w:r w:rsidRPr="004C6662">
      <w:fldChar w:fldCharType="separate"/>
    </w:r>
    <w:r w:rsidRPr="004C6662">
      <w:rPr>
        <w:noProof/>
      </w:rPr>
      <w:t>15</w:t>
    </w:r>
    <w:r w:rsidRPr="004C6662">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11744"/>
      <w:gridCol w:w="2426"/>
    </w:tblGrid>
    <w:tr w:rsidR="003C7754" w:rsidRPr="004C6662" w:rsidTr="00D00F13">
      <w:trPr>
        <w:trHeight w:val="187"/>
        <w:jc w:val="right"/>
      </w:trPr>
      <w:tc>
        <w:tcPr>
          <w:tcW w:w="4144" w:type="pct"/>
        </w:tcPr>
        <w:p w:rsidR="003C7754" w:rsidRPr="004C6662" w:rsidRDefault="003C7754" w:rsidP="00D00F13">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A10AB7">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81</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7662"/>
      <w:gridCol w:w="1583"/>
    </w:tblGrid>
    <w:tr w:rsidR="003C7754" w:rsidRPr="004C6662" w:rsidTr="00D00F13">
      <w:trPr>
        <w:trHeight w:val="187"/>
        <w:jc w:val="right"/>
      </w:trPr>
      <w:tc>
        <w:tcPr>
          <w:tcW w:w="4144" w:type="pct"/>
        </w:tcPr>
        <w:p w:rsidR="003C7754" w:rsidRPr="004C6662" w:rsidRDefault="003C7754" w:rsidP="00D00F13">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585BCC">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86</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7662"/>
      <w:gridCol w:w="1583"/>
    </w:tblGrid>
    <w:tr w:rsidR="003C7754" w:rsidRPr="004C6662" w:rsidTr="00D00F13">
      <w:trPr>
        <w:trHeight w:val="187"/>
        <w:jc w:val="right"/>
      </w:trPr>
      <w:tc>
        <w:tcPr>
          <w:tcW w:w="4144" w:type="pct"/>
        </w:tcPr>
        <w:p w:rsidR="003C7754" w:rsidRPr="004C6662" w:rsidRDefault="003C7754" w:rsidP="00D00F13">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585BCC">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87</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11744"/>
      <w:gridCol w:w="2426"/>
    </w:tblGrid>
    <w:tr w:rsidR="003C7754" w:rsidRPr="004C6662" w:rsidTr="00D00F13">
      <w:trPr>
        <w:trHeight w:val="187"/>
        <w:jc w:val="right"/>
      </w:trPr>
      <w:tc>
        <w:tcPr>
          <w:tcW w:w="4144" w:type="pct"/>
        </w:tcPr>
        <w:p w:rsidR="003C7754" w:rsidRPr="004C6662" w:rsidRDefault="003C7754" w:rsidP="00585BCC">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585BCC">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89</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7662"/>
      <w:gridCol w:w="1583"/>
    </w:tblGrid>
    <w:tr w:rsidR="003C7754" w:rsidRPr="004C6662" w:rsidTr="00D00F13">
      <w:trPr>
        <w:trHeight w:val="187"/>
        <w:jc w:val="right"/>
      </w:trPr>
      <w:tc>
        <w:tcPr>
          <w:tcW w:w="4144" w:type="pct"/>
        </w:tcPr>
        <w:p w:rsidR="003C7754" w:rsidRPr="004C6662" w:rsidRDefault="003C7754" w:rsidP="00585BCC">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585BCC">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90</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11744"/>
      <w:gridCol w:w="2426"/>
    </w:tblGrid>
    <w:tr w:rsidR="003C7754" w:rsidRPr="004C6662" w:rsidTr="00D00F13">
      <w:trPr>
        <w:trHeight w:val="187"/>
        <w:jc w:val="right"/>
      </w:trPr>
      <w:tc>
        <w:tcPr>
          <w:tcW w:w="4144" w:type="pct"/>
        </w:tcPr>
        <w:p w:rsidR="003C7754" w:rsidRPr="004C6662" w:rsidRDefault="003C7754" w:rsidP="00585BCC">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585BCC">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100</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7797"/>
      <w:gridCol w:w="1611"/>
    </w:tblGrid>
    <w:tr w:rsidR="003C7754" w:rsidRPr="004C6662" w:rsidTr="00D00F13">
      <w:trPr>
        <w:trHeight w:val="187"/>
        <w:jc w:val="right"/>
      </w:trPr>
      <w:tc>
        <w:tcPr>
          <w:tcW w:w="4144" w:type="pct"/>
        </w:tcPr>
        <w:p w:rsidR="003C7754" w:rsidRPr="004C6662" w:rsidRDefault="003C7754" w:rsidP="00D00F13">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585BCC">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103</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754" w:rsidRPr="004C6662" w:rsidRDefault="003C7754" w:rsidP="00CD3505">
    <w:pPr>
      <w:pStyle w:val="Footer"/>
      <w:rPr>
        <w:sz w:val="2"/>
        <w:szCs w:val="2"/>
      </w:rPr>
    </w:pPr>
    <w:r w:rsidRPr="00567ACB">
      <w:rPr>
        <w:noProof/>
        <w:sz w:val="2"/>
        <w:szCs w:val="2"/>
      </w:rPr>
      <w:t>{20150214 00575203}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7662"/>
      <w:gridCol w:w="1583"/>
    </w:tblGrid>
    <w:tr w:rsidR="003C7754" w:rsidRPr="004C6662" w:rsidTr="00D00F13">
      <w:trPr>
        <w:trHeight w:val="187"/>
        <w:jc w:val="right"/>
      </w:trPr>
      <w:tc>
        <w:tcPr>
          <w:tcW w:w="4144" w:type="pct"/>
        </w:tcPr>
        <w:p w:rsidR="003C7754" w:rsidRPr="004C6662" w:rsidRDefault="003C7754" w:rsidP="00A10AB7">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A10AB7">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3</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11744"/>
      <w:gridCol w:w="2426"/>
    </w:tblGrid>
    <w:tr w:rsidR="003C7754" w:rsidRPr="004C6662" w:rsidTr="00D00F13">
      <w:trPr>
        <w:trHeight w:val="187"/>
        <w:jc w:val="right"/>
      </w:trPr>
      <w:tc>
        <w:tcPr>
          <w:tcW w:w="4144" w:type="pct"/>
        </w:tcPr>
        <w:p w:rsidR="003C7754" w:rsidRPr="004C6662" w:rsidRDefault="003C7754" w:rsidP="00D00F13">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A10AB7">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4</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7662"/>
      <w:gridCol w:w="1583"/>
    </w:tblGrid>
    <w:tr w:rsidR="003C7754" w:rsidRPr="004C6662" w:rsidTr="00D00F13">
      <w:trPr>
        <w:trHeight w:val="187"/>
        <w:jc w:val="right"/>
      </w:trPr>
      <w:tc>
        <w:tcPr>
          <w:tcW w:w="4144" w:type="pct"/>
        </w:tcPr>
        <w:p w:rsidR="003C7754" w:rsidRPr="004C6662" w:rsidRDefault="003C7754" w:rsidP="00D00F13">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A10AB7">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6</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11744"/>
      <w:gridCol w:w="2426"/>
    </w:tblGrid>
    <w:tr w:rsidR="003C7754" w:rsidRPr="004C6662" w:rsidTr="00D00F13">
      <w:trPr>
        <w:trHeight w:val="187"/>
        <w:jc w:val="right"/>
      </w:trPr>
      <w:tc>
        <w:tcPr>
          <w:tcW w:w="4144" w:type="pct"/>
        </w:tcPr>
        <w:p w:rsidR="003C7754" w:rsidRPr="004C6662" w:rsidRDefault="003C7754" w:rsidP="00D00F13">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A10AB7">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 xml:space="preserve">16 May </w:t>
          </w:r>
          <w:r w:rsidRPr="004C6662">
            <w:rPr>
              <w:sz w:val="14"/>
              <w:szCs w:val="14"/>
            </w:rPr>
            <w:t>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16</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8032"/>
      <w:gridCol w:w="1659"/>
    </w:tblGrid>
    <w:tr w:rsidR="003C7754" w:rsidRPr="004C6662" w:rsidTr="00D00F13">
      <w:trPr>
        <w:trHeight w:val="187"/>
        <w:jc w:val="right"/>
      </w:trPr>
      <w:tc>
        <w:tcPr>
          <w:tcW w:w="4144" w:type="pct"/>
        </w:tcPr>
        <w:p w:rsidR="003C7754" w:rsidRPr="004C6662" w:rsidRDefault="003C7754" w:rsidP="00A10AB7">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A10AB7">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20</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7662"/>
      <w:gridCol w:w="1583"/>
    </w:tblGrid>
    <w:tr w:rsidR="003C7754" w:rsidRPr="004C6662" w:rsidTr="00D00F13">
      <w:trPr>
        <w:trHeight w:val="187"/>
        <w:jc w:val="right"/>
      </w:trPr>
      <w:tc>
        <w:tcPr>
          <w:tcW w:w="4144" w:type="pct"/>
        </w:tcPr>
        <w:p w:rsidR="003C7754" w:rsidRPr="004C6662" w:rsidRDefault="003C7754" w:rsidP="00D00F13">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A10AB7">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42</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11744"/>
      <w:gridCol w:w="2426"/>
    </w:tblGrid>
    <w:tr w:rsidR="003C7754" w:rsidRPr="004C6662" w:rsidTr="00D00F13">
      <w:trPr>
        <w:trHeight w:val="187"/>
        <w:jc w:val="right"/>
      </w:trPr>
      <w:tc>
        <w:tcPr>
          <w:tcW w:w="4144" w:type="pct"/>
        </w:tcPr>
        <w:p w:rsidR="003C7754" w:rsidRPr="004C6662" w:rsidRDefault="003C7754" w:rsidP="00D00F13">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A10AB7">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44</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Look w:val="0000" w:firstRow="0" w:lastRow="0" w:firstColumn="0" w:lastColumn="0" w:noHBand="0" w:noVBand="0"/>
    </w:tblPr>
    <w:tblGrid>
      <w:gridCol w:w="7662"/>
      <w:gridCol w:w="1583"/>
    </w:tblGrid>
    <w:tr w:rsidR="003C7754" w:rsidRPr="004C6662" w:rsidTr="00D00F13">
      <w:trPr>
        <w:trHeight w:val="187"/>
        <w:jc w:val="right"/>
      </w:trPr>
      <w:tc>
        <w:tcPr>
          <w:tcW w:w="4144" w:type="pct"/>
        </w:tcPr>
        <w:p w:rsidR="003C7754" w:rsidRPr="004C6662" w:rsidRDefault="003C7754" w:rsidP="00D00F13">
          <w:pPr>
            <w:pStyle w:val="Footer"/>
            <w:rPr>
              <w:color w:val="000000" w:themeColor="text1"/>
              <w:sz w:val="14"/>
              <w:szCs w:val="14"/>
            </w:rPr>
          </w:pPr>
          <w:r w:rsidRPr="004C6662">
            <w:rPr>
              <w:color w:val="000000" w:themeColor="text1"/>
              <w:sz w:val="14"/>
              <w:szCs w:val="14"/>
            </w:rPr>
            <w:t>Department of Economic Development, Jobs, Transport and Resources</w:t>
          </w:r>
        </w:p>
      </w:tc>
      <w:tc>
        <w:tcPr>
          <w:tcW w:w="856" w:type="pct"/>
        </w:tcPr>
        <w:p w:rsidR="003C7754" w:rsidRPr="004C6662" w:rsidRDefault="003C7754" w:rsidP="00D00F13">
          <w:pPr>
            <w:pStyle w:val="Footer"/>
            <w:rPr>
              <w:sz w:val="14"/>
              <w:szCs w:val="14"/>
            </w:rPr>
          </w:pPr>
        </w:p>
      </w:tc>
    </w:tr>
    <w:tr w:rsidR="003C7754" w:rsidRPr="004C6662" w:rsidTr="00D00F13">
      <w:trPr>
        <w:trHeight w:val="187"/>
        <w:jc w:val="right"/>
      </w:trPr>
      <w:tc>
        <w:tcPr>
          <w:tcW w:w="4144" w:type="pct"/>
        </w:tcPr>
        <w:p w:rsidR="003C7754" w:rsidRPr="004C6662" w:rsidRDefault="003C7754" w:rsidP="00A10AB7">
          <w:pPr>
            <w:pStyle w:val="Footer"/>
            <w:rPr>
              <w:rFonts w:ascii="EYInterstate" w:hAnsi="EYInterstate"/>
              <w:color w:val="000000" w:themeColor="text1"/>
              <w:sz w:val="14"/>
              <w:szCs w:val="14"/>
            </w:rPr>
          </w:pPr>
          <w:r w:rsidRPr="004C6662">
            <w:rPr>
              <w:sz w:val="14"/>
              <w:szCs w:val="14"/>
            </w:rPr>
            <w:t xml:space="preserve">Demand analysis of extractive resources in Victoria  |  </w:t>
          </w:r>
          <w:r>
            <w:rPr>
              <w:sz w:val="14"/>
              <w:szCs w:val="14"/>
            </w:rPr>
            <w:t>16 May</w:t>
          </w:r>
          <w:r w:rsidRPr="004C6662">
            <w:rPr>
              <w:sz w:val="14"/>
              <w:szCs w:val="14"/>
            </w:rPr>
            <w:t xml:space="preserve"> 2016</w:t>
          </w:r>
        </w:p>
      </w:tc>
      <w:tc>
        <w:tcPr>
          <w:tcW w:w="856" w:type="pct"/>
        </w:tcPr>
        <w:p w:rsidR="003C7754" w:rsidRPr="004C6662" w:rsidRDefault="003C7754" w:rsidP="00D00F13">
          <w:pPr>
            <w:pStyle w:val="Footer"/>
            <w:jc w:val="right"/>
            <w:rPr>
              <w:sz w:val="14"/>
              <w:szCs w:val="14"/>
            </w:rPr>
          </w:pPr>
          <w:r w:rsidRPr="004C6662">
            <w:rPr>
              <w:sz w:val="14"/>
              <w:szCs w:val="14"/>
            </w:rPr>
            <w:t xml:space="preserve">EY  </w:t>
          </w:r>
          <w:r w:rsidRPr="004C6662">
            <w:rPr>
              <w:sz w:val="14"/>
              <w:szCs w:val="14"/>
            </w:rPr>
            <w:sym w:font="Symbol" w:char="F0F7"/>
          </w:r>
          <w:r w:rsidRPr="004C6662">
            <w:rPr>
              <w:sz w:val="14"/>
              <w:szCs w:val="14"/>
            </w:rPr>
            <w:t xml:space="preserve"> </w:t>
          </w:r>
          <w:r w:rsidRPr="004C6662">
            <w:rPr>
              <w:sz w:val="14"/>
              <w:szCs w:val="14"/>
            </w:rPr>
            <w:fldChar w:fldCharType="begin"/>
          </w:r>
          <w:r w:rsidRPr="004C6662">
            <w:rPr>
              <w:sz w:val="14"/>
              <w:szCs w:val="14"/>
            </w:rPr>
            <w:instrText xml:space="preserve"> PAGE   \* MERGEFORMAT </w:instrText>
          </w:r>
          <w:r w:rsidRPr="004C6662">
            <w:rPr>
              <w:sz w:val="14"/>
              <w:szCs w:val="14"/>
            </w:rPr>
            <w:fldChar w:fldCharType="separate"/>
          </w:r>
          <w:r w:rsidR="000701D2">
            <w:rPr>
              <w:noProof/>
              <w:sz w:val="14"/>
              <w:szCs w:val="14"/>
            </w:rPr>
            <w:t>77</w:t>
          </w:r>
          <w:r w:rsidRPr="004C6662">
            <w:rPr>
              <w:noProof/>
              <w:sz w:val="14"/>
              <w:szCs w:val="14"/>
            </w:rPr>
            <w:fldChar w:fldCharType="end"/>
          </w:r>
          <w:r w:rsidRPr="004C6662">
            <w:rPr>
              <w:sz w:val="14"/>
              <w:szCs w:val="14"/>
            </w:rPr>
            <w:t xml:space="preserve"> </w:t>
          </w:r>
        </w:p>
      </w:tc>
    </w:tr>
  </w:tbl>
  <w:p w:rsidR="003C7754" w:rsidRPr="004C6662" w:rsidRDefault="003C7754" w:rsidP="00931CB2">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754" w:rsidRPr="009F10D4" w:rsidRDefault="003C7754" w:rsidP="009F10D4">
      <w:pPr>
        <w:rPr>
          <w:noProof/>
        </w:rPr>
      </w:pPr>
      <w:r>
        <w:rPr>
          <w:noProof/>
        </w:rPr>
        <w:separator/>
      </w:r>
    </w:p>
  </w:footnote>
  <w:footnote w:type="continuationSeparator" w:id="0">
    <w:p w:rsidR="003C7754" w:rsidRDefault="003C7754">
      <w:r>
        <w:continuationSeparator/>
      </w:r>
    </w:p>
    <w:p w:rsidR="003C7754" w:rsidRDefault="003C7754"/>
    <w:p w:rsidR="003C7754" w:rsidRDefault="003C7754"/>
    <w:p w:rsidR="003C7754" w:rsidRDefault="003C7754"/>
    <w:p w:rsidR="003C7754" w:rsidRDefault="003C7754"/>
    <w:p w:rsidR="003C7754" w:rsidRDefault="003C7754"/>
    <w:p w:rsidR="003C7754" w:rsidRDefault="003C7754"/>
  </w:footnote>
  <w:footnote w:type="continuationNotice" w:id="1">
    <w:p w:rsidR="003C7754" w:rsidRDefault="003C7754"/>
  </w:footnote>
  <w:footnote w:id="2">
    <w:p w:rsidR="003C7754" w:rsidRPr="00A6359C" w:rsidRDefault="003C7754" w:rsidP="006878C0">
      <w:pPr>
        <w:pStyle w:val="FootnoteText"/>
      </w:pPr>
      <w:r>
        <w:rPr>
          <w:rStyle w:val="FootnoteReference"/>
        </w:rPr>
        <w:footnoteRef/>
      </w:r>
      <w:r>
        <w:t xml:space="preserve"> </w:t>
      </w:r>
      <w:r w:rsidRPr="00A6359C">
        <w:rPr>
          <w:sz w:val="16"/>
          <w:szCs w:val="16"/>
        </w:rPr>
        <w:t xml:space="preserve">Under the </w:t>
      </w:r>
      <w:r>
        <w:rPr>
          <w:sz w:val="16"/>
          <w:szCs w:val="16"/>
        </w:rPr>
        <w:t xml:space="preserve">Mineral Resources </w:t>
      </w:r>
      <w:r w:rsidRPr="00A6359C">
        <w:rPr>
          <w:sz w:val="16"/>
          <w:szCs w:val="16"/>
        </w:rPr>
        <w:t xml:space="preserve">Extractive Industries </w:t>
      </w:r>
      <w:r>
        <w:rPr>
          <w:sz w:val="16"/>
          <w:szCs w:val="16"/>
        </w:rPr>
        <w:t xml:space="preserve">Regulations </w:t>
      </w:r>
      <w:r w:rsidRPr="00A6359C">
        <w:rPr>
          <w:sz w:val="16"/>
          <w:szCs w:val="16"/>
        </w:rPr>
        <w:t xml:space="preserve">Act </w:t>
      </w:r>
      <w:r>
        <w:rPr>
          <w:sz w:val="16"/>
          <w:szCs w:val="16"/>
        </w:rPr>
        <w:t>2010 (Schedule 2)</w:t>
      </w:r>
      <w:r w:rsidRPr="00A6359C">
        <w:rPr>
          <w:sz w:val="16"/>
          <w:szCs w:val="16"/>
        </w:rPr>
        <w:t xml:space="preserve">, </w:t>
      </w:r>
      <w:r>
        <w:rPr>
          <w:sz w:val="16"/>
          <w:szCs w:val="16"/>
        </w:rPr>
        <w:t>the hard rock category of extractive resources consists of the following rock types: b</w:t>
      </w:r>
      <w:r w:rsidRPr="00F56830">
        <w:rPr>
          <w:sz w:val="16"/>
          <w:szCs w:val="16"/>
        </w:rPr>
        <w:t xml:space="preserve">asalt </w:t>
      </w:r>
      <w:r>
        <w:rPr>
          <w:sz w:val="16"/>
          <w:szCs w:val="16"/>
        </w:rPr>
        <w:t>o</w:t>
      </w:r>
      <w:r w:rsidRPr="00F56830">
        <w:rPr>
          <w:sz w:val="16"/>
          <w:szCs w:val="16"/>
        </w:rPr>
        <w:t>ld</w:t>
      </w:r>
      <w:r>
        <w:rPr>
          <w:sz w:val="16"/>
          <w:szCs w:val="16"/>
        </w:rPr>
        <w:t>, b</w:t>
      </w:r>
      <w:r w:rsidRPr="00F56830">
        <w:rPr>
          <w:sz w:val="16"/>
          <w:szCs w:val="16"/>
        </w:rPr>
        <w:t xml:space="preserve">asalt </w:t>
      </w:r>
      <w:r>
        <w:rPr>
          <w:sz w:val="16"/>
          <w:szCs w:val="16"/>
        </w:rPr>
        <w:t>n</w:t>
      </w:r>
      <w:r w:rsidRPr="00F56830">
        <w:rPr>
          <w:sz w:val="16"/>
          <w:szCs w:val="16"/>
        </w:rPr>
        <w:t>ew</w:t>
      </w:r>
      <w:r>
        <w:rPr>
          <w:sz w:val="16"/>
          <w:szCs w:val="16"/>
        </w:rPr>
        <w:t>, t</w:t>
      </w:r>
      <w:r w:rsidRPr="00F56830">
        <w:rPr>
          <w:sz w:val="16"/>
          <w:szCs w:val="16"/>
        </w:rPr>
        <w:t>rachyte</w:t>
      </w:r>
      <w:r>
        <w:rPr>
          <w:sz w:val="16"/>
          <w:szCs w:val="16"/>
        </w:rPr>
        <w:t>, d</w:t>
      </w:r>
      <w:r w:rsidRPr="00F56830">
        <w:rPr>
          <w:sz w:val="16"/>
          <w:szCs w:val="16"/>
        </w:rPr>
        <w:t>olerite</w:t>
      </w:r>
      <w:r>
        <w:rPr>
          <w:sz w:val="16"/>
          <w:szCs w:val="16"/>
        </w:rPr>
        <w:t>, g</w:t>
      </w:r>
      <w:r w:rsidRPr="00F56830">
        <w:rPr>
          <w:sz w:val="16"/>
          <w:szCs w:val="16"/>
        </w:rPr>
        <w:t>ranite (incl. granodiorite, porphyry, microgranites)</w:t>
      </w:r>
      <w:r>
        <w:rPr>
          <w:sz w:val="16"/>
          <w:szCs w:val="16"/>
        </w:rPr>
        <w:t>, r</w:t>
      </w:r>
      <w:r w:rsidRPr="00F56830">
        <w:rPr>
          <w:sz w:val="16"/>
          <w:szCs w:val="16"/>
        </w:rPr>
        <w:t>hyodacite (incl. dacite, rhyolite)</w:t>
      </w:r>
      <w:r>
        <w:rPr>
          <w:sz w:val="16"/>
          <w:szCs w:val="16"/>
        </w:rPr>
        <w:t>, s</w:t>
      </w:r>
      <w:r w:rsidRPr="00F56830">
        <w:rPr>
          <w:sz w:val="16"/>
          <w:szCs w:val="16"/>
        </w:rPr>
        <w:t>coria</w:t>
      </w:r>
      <w:r>
        <w:rPr>
          <w:sz w:val="16"/>
          <w:szCs w:val="16"/>
        </w:rPr>
        <w:t>, t</w:t>
      </w:r>
      <w:r w:rsidRPr="00F56830">
        <w:rPr>
          <w:sz w:val="16"/>
          <w:szCs w:val="16"/>
        </w:rPr>
        <w:t>uff</w:t>
      </w:r>
      <w:r>
        <w:rPr>
          <w:sz w:val="16"/>
          <w:szCs w:val="16"/>
        </w:rPr>
        <w:t>, g</w:t>
      </w:r>
      <w:r w:rsidRPr="00F56830">
        <w:rPr>
          <w:sz w:val="16"/>
          <w:szCs w:val="16"/>
        </w:rPr>
        <w:t>neiss</w:t>
      </w:r>
      <w:r>
        <w:rPr>
          <w:sz w:val="16"/>
          <w:szCs w:val="16"/>
        </w:rPr>
        <w:t>, h</w:t>
      </w:r>
      <w:r w:rsidRPr="00F56830">
        <w:rPr>
          <w:sz w:val="16"/>
          <w:szCs w:val="16"/>
        </w:rPr>
        <w:t>ornfels</w:t>
      </w:r>
      <w:r>
        <w:rPr>
          <w:sz w:val="16"/>
          <w:szCs w:val="16"/>
        </w:rPr>
        <w:t>, m</w:t>
      </w:r>
      <w:r w:rsidRPr="00F56830">
        <w:rPr>
          <w:sz w:val="16"/>
          <w:szCs w:val="16"/>
        </w:rPr>
        <w:t>arble</w:t>
      </w:r>
      <w:r>
        <w:rPr>
          <w:sz w:val="16"/>
          <w:szCs w:val="16"/>
        </w:rPr>
        <w:t>, q</w:t>
      </w:r>
      <w:r w:rsidRPr="00F56830">
        <w:rPr>
          <w:sz w:val="16"/>
          <w:szCs w:val="16"/>
        </w:rPr>
        <w:t>uartzite</w:t>
      </w:r>
      <w:r>
        <w:rPr>
          <w:sz w:val="16"/>
          <w:szCs w:val="16"/>
        </w:rPr>
        <w:t>, s</w:t>
      </w:r>
      <w:r w:rsidRPr="00F56830">
        <w:rPr>
          <w:sz w:val="16"/>
          <w:szCs w:val="16"/>
        </w:rPr>
        <w:t>chist</w:t>
      </w:r>
      <w:r>
        <w:rPr>
          <w:sz w:val="16"/>
          <w:szCs w:val="16"/>
        </w:rPr>
        <w:t>, s</w:t>
      </w:r>
      <w:r w:rsidRPr="00F56830">
        <w:rPr>
          <w:sz w:val="16"/>
          <w:szCs w:val="16"/>
        </w:rPr>
        <w:t>late</w:t>
      </w:r>
      <w:r>
        <w:rPr>
          <w:sz w:val="16"/>
          <w:szCs w:val="16"/>
        </w:rPr>
        <w:t xml:space="preserve"> and s</w:t>
      </w:r>
      <w:r w:rsidRPr="00F56830">
        <w:rPr>
          <w:sz w:val="16"/>
          <w:szCs w:val="16"/>
        </w:rPr>
        <w:t>edimentary (usually rippable rocks incl. sandstone, shale, siltstone chert, mudstone, claystone)</w:t>
      </w:r>
      <w:r>
        <w:rPr>
          <w:sz w:val="16"/>
          <w:szCs w:val="16"/>
        </w:rPr>
        <w:t>.</w:t>
      </w:r>
    </w:p>
  </w:footnote>
  <w:footnote w:id="3">
    <w:p w:rsidR="003C7754" w:rsidRPr="002A1D72" w:rsidRDefault="003C7754">
      <w:pPr>
        <w:pStyle w:val="FootnoteText"/>
        <w:rPr>
          <w:sz w:val="16"/>
          <w:szCs w:val="16"/>
        </w:rPr>
      </w:pPr>
      <w:r w:rsidRPr="002A1D72">
        <w:rPr>
          <w:rStyle w:val="FootnoteReference"/>
          <w:sz w:val="16"/>
          <w:szCs w:val="16"/>
        </w:rPr>
        <w:footnoteRef/>
      </w:r>
      <w:r w:rsidRPr="002A1D72">
        <w:rPr>
          <w:sz w:val="16"/>
          <w:szCs w:val="16"/>
        </w:rPr>
        <w:t xml:space="preserve"> The detailed industry analysis identified that the use of Sand and Gravel soft rocks as subsurface drainage sand seems mainly related to the transport construction activity.</w:t>
      </w:r>
    </w:p>
  </w:footnote>
  <w:footnote w:id="4">
    <w:p w:rsidR="003C7754" w:rsidRPr="00820007" w:rsidRDefault="003C7754" w:rsidP="00333DED">
      <w:pPr>
        <w:pStyle w:val="FootnoteText"/>
        <w:rPr>
          <w:sz w:val="16"/>
          <w:szCs w:val="16"/>
        </w:rPr>
      </w:pPr>
      <w:r w:rsidRPr="002A1D72">
        <w:rPr>
          <w:rStyle w:val="FootnoteReference"/>
          <w:sz w:val="16"/>
          <w:szCs w:val="16"/>
        </w:rPr>
        <w:footnoteRef/>
      </w:r>
      <w:r w:rsidRPr="002A1D72">
        <w:rPr>
          <w:sz w:val="16"/>
          <w:szCs w:val="16"/>
        </w:rPr>
        <w:t xml:space="preserve"> </w:t>
      </w:r>
      <w:r w:rsidRPr="00820007">
        <w:rPr>
          <w:sz w:val="16"/>
          <w:szCs w:val="16"/>
        </w:rPr>
        <w:t>B</w:t>
      </w:r>
      <w:r w:rsidRPr="00554AFE">
        <w:rPr>
          <w:sz w:val="16"/>
          <w:szCs w:val="16"/>
        </w:rPr>
        <w:t xml:space="preserve">ased on information available, the detailed industry analysis </w:t>
      </w:r>
      <w:r w:rsidRPr="00820007">
        <w:rPr>
          <w:sz w:val="16"/>
          <w:szCs w:val="16"/>
        </w:rPr>
        <w:t>only enables to identify the share of sand and gravel attributable to concrete sand for the construction of wind farms, in lieu of the Energy and Utilities construction activity.</w:t>
      </w:r>
    </w:p>
  </w:footnote>
  <w:footnote w:id="5">
    <w:p w:rsidR="003C7754" w:rsidRDefault="003C7754">
      <w:pPr>
        <w:pStyle w:val="FootnoteText"/>
      </w:pPr>
      <w:r w:rsidRPr="002A1D72">
        <w:rPr>
          <w:rStyle w:val="FootnoteReference"/>
          <w:sz w:val="16"/>
          <w:szCs w:val="16"/>
        </w:rPr>
        <w:footnoteRef/>
      </w:r>
      <w:r>
        <w:t xml:space="preserve"> </w:t>
      </w:r>
      <w:r w:rsidRPr="002A1D72">
        <w:rPr>
          <w:sz w:val="16"/>
          <w:szCs w:val="16"/>
        </w:rPr>
        <w:t>Water for Victoria Discussion Paper, 2016</w:t>
      </w:r>
    </w:p>
  </w:footnote>
  <w:footnote w:id="6">
    <w:p w:rsidR="003C7754" w:rsidRPr="00E65C9D" w:rsidRDefault="003C7754">
      <w:pPr>
        <w:pStyle w:val="FootnoteText"/>
        <w:rPr>
          <w:sz w:val="16"/>
          <w:szCs w:val="16"/>
        </w:rPr>
      </w:pPr>
      <w:r>
        <w:rPr>
          <w:rStyle w:val="FootnoteReference"/>
        </w:rPr>
        <w:footnoteRef/>
      </w:r>
      <w:r>
        <w:t xml:space="preserve"> </w:t>
      </w:r>
      <w:r w:rsidRPr="00E65C9D">
        <w:rPr>
          <w:sz w:val="16"/>
          <w:szCs w:val="16"/>
        </w:rPr>
        <w:t xml:space="preserve">The assumption taken by this study was to account for longer term use of extractive resources across the Energy and Utilities sector. Relying upon our detailed industry analysis, as indicated in </w:t>
      </w:r>
      <w:r w:rsidRPr="00E65C9D">
        <w:rPr>
          <w:sz w:val="16"/>
          <w:szCs w:val="16"/>
        </w:rPr>
        <w:fldChar w:fldCharType="begin" w:fldLock="1"/>
      </w:r>
      <w:r w:rsidRPr="00E65C9D">
        <w:rPr>
          <w:sz w:val="16"/>
          <w:szCs w:val="16"/>
        </w:rPr>
        <w:instrText xml:space="preserve"> REF _Ref441133802 \r \h </w:instrText>
      </w:r>
      <w:r>
        <w:rPr>
          <w:sz w:val="16"/>
          <w:szCs w:val="16"/>
        </w:rPr>
        <w:instrText xml:space="preserve"> \* MERGEFORMAT </w:instrText>
      </w:r>
      <w:r w:rsidRPr="00E65C9D">
        <w:rPr>
          <w:sz w:val="16"/>
          <w:szCs w:val="16"/>
        </w:rPr>
      </w:r>
      <w:r w:rsidRPr="00E65C9D">
        <w:rPr>
          <w:sz w:val="16"/>
          <w:szCs w:val="16"/>
        </w:rPr>
        <w:fldChar w:fldCharType="separate"/>
      </w:r>
      <w:r>
        <w:rPr>
          <w:sz w:val="16"/>
          <w:szCs w:val="16"/>
        </w:rPr>
        <w:t>Appendix C</w:t>
      </w:r>
      <w:r w:rsidRPr="00E65C9D">
        <w:rPr>
          <w:sz w:val="16"/>
          <w:szCs w:val="16"/>
        </w:rPr>
        <w:fldChar w:fldCharType="end"/>
      </w:r>
      <w:r w:rsidRPr="00E65C9D">
        <w:rPr>
          <w:sz w:val="16"/>
          <w:szCs w:val="16"/>
        </w:rPr>
        <w:t xml:space="preserve"> </w:t>
      </w:r>
      <w:r>
        <w:rPr>
          <w:sz w:val="16"/>
          <w:szCs w:val="16"/>
        </w:rPr>
        <w:t xml:space="preserve">sub-section </w:t>
      </w:r>
      <w:r w:rsidRPr="00E65C9D">
        <w:rPr>
          <w:sz w:val="16"/>
          <w:szCs w:val="16"/>
        </w:rPr>
        <w:t>Section 2.4</w:t>
      </w:r>
      <w:r>
        <w:rPr>
          <w:sz w:val="16"/>
          <w:szCs w:val="16"/>
        </w:rPr>
        <w:t xml:space="preserve"> of the Report</w:t>
      </w:r>
      <w:r w:rsidRPr="00E65C9D">
        <w:rPr>
          <w:sz w:val="16"/>
          <w:szCs w:val="16"/>
        </w:rPr>
        <w:t>, it is acknowledged that the construction of wind turbines may require the use</w:t>
      </w:r>
      <w:r>
        <w:rPr>
          <w:sz w:val="16"/>
          <w:szCs w:val="16"/>
        </w:rPr>
        <w:t xml:space="preserve"> (estimate)</w:t>
      </w:r>
      <w:r w:rsidRPr="00E65C9D">
        <w:rPr>
          <w:sz w:val="16"/>
          <w:szCs w:val="16"/>
        </w:rPr>
        <w:t xml:space="preserve"> of 93% hard rock, 2% limestone, 0.3% clay and clay shale and 5% sand and gravel. However, further discussion with AECOM indicated that from an Energy and Utilities sector perspective, most of the materials required for new builds would be hard rock and soil. As a result, the assumption taken by the study was to reflect broader patterns of demand for extractive resources across the Energy and Utilities sector, leading to consider that hard rock represent 100% of the extractive resources required by the sector.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754" w:rsidRDefault="003C7754">
    <w:pPr>
      <w:pStyle w:val="Header"/>
    </w:pPr>
    <w:r>
      <w:rPr>
        <w:noProof/>
        <w:lang w:eastAsia="en-AU"/>
      </w:rPr>
      <mc:AlternateContent>
        <mc:Choice Requires="wps">
          <w:drawing>
            <wp:anchor distT="0" distB="0" distL="114300" distR="114300" simplePos="0" relativeHeight="251646976" behindDoc="1" locked="0" layoutInCell="1" allowOverlap="1" wp14:anchorId="5F9F7260" wp14:editId="02F3BD6C">
              <wp:simplePos x="0" y="0"/>
              <wp:positionH relativeFrom="column">
                <wp:posOffset>1543685</wp:posOffset>
              </wp:positionH>
              <wp:positionV relativeFrom="paragraph">
                <wp:posOffset>3886200</wp:posOffset>
              </wp:positionV>
              <wp:extent cx="2575560" cy="914400"/>
              <wp:effectExtent l="0" t="504825" r="33655" b="495300"/>
              <wp:wrapNone/>
              <wp:docPr id="2059"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9" o:spid="_x0000_s1037" type="#_x0000_t202" style="position:absolute;margin-left:121.55pt;margin-top:306pt;width:202.8pt;height:1in;rotation:-3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jVwxAIAALUFAAAOAAAAZHJzL2Uyb0RvYy54bWysVE2PmzAQvVfqf7C4s3wsJAEtWSXZ0Mu2&#10;XWlT7dnBJrgF7NpOIFr1v3dsSLJpL1VbDpYZj998vOe5u++bGh2oVIy3mRPc+A6ibcEJa3eZ82WT&#10;uzMHKY1bgmve0sw5UuXcz9+/u+tESkNe8ZpQiQCkVWknMqfSWqSep4qKNljdcEFbOCy5bLCGX7nz&#10;iMQdoDe1F/r+xOu4JELygioF1ofh0Jlb/LKkhf5clopqVGcO5KbtKu26Nas3v8PpTmJRsWJMA/9F&#10;Fg1mLQQ9Qz1gjdFest+gGlZIrnipbwreeLwsWUFtDVBN4P9SzXOFBbW1QHOUOLdJ/T/Y4tPhSSJG&#10;Mif048RBLW6ApQ3tNVryHlkj9KgTKgXXZwHOuocT4NrWq8QjL74p1PJVhdsdXUjJu4piAjkGADea&#10;bSWbowBsazUB1oQBHYGhwHuDPwRTJtK2+8gJXMF7zW20vpQNkhyuucHMN581QxsRZAT8Hs+cmgoK&#10;MIbxNI4ncFTAWRJEEdwxEXFqwAxlQir9gfIGmU3mSNCMRcWHR6UH15OLcQdgsI+7gePXJAgjfxkm&#10;bj6ZTd0oj2I3mfoz1w+SZTLxoyR6yH8Y0CBKK0YIbR9ZS096C6I/43NU/qAUqzjUQU1xGNt8Fa8Z&#10;yVldm9yU3G1XtUQHbIQ/tGqo5cpN8n1LwI5Tw9l63GvM6mHvXWds+wYNuK5+kcf+NLqdudNpfOtG&#10;t2vfXc7ylbtYBZPJdL1cLdfBdfVr+zLVvzfAJmLBTlydOzzGuKQMlJ+4s3ozEhvEpvttD00wItxy&#10;cgTldTARMkd932NJQcX7ZsWhjyDdUvLmBUbOQoJUhidgxLHpX7AUo4I0hHmqTxPBysjkuSPj68Lk&#10;KwA1NQwaoAfFVscDOaMzpHpBNXeVWMAbyJnV4yXP8eXAbLBljnPMDJ+3/9brMm3nPwEAAP//AwBQ&#10;SwMEFAAGAAgAAAAhAFc7qM7gAAAACwEAAA8AAABkcnMvZG93bnJldi54bWxMj8tOwzAQRfdI/IM1&#10;SGwQdRKKW4VMKgRiAbu2SLB0ExNHjcdR7Dz4e4YVLEdzdO+5xW5xnZjMEFpPCOkqAWGo8nVLDcL7&#10;8eV2CyJETbXuPBmEbxNgV15eFDqv/Ux7Mx1iIziEQq4RbIx9LmWorHE6rHxviH9ffnA68jk0sh70&#10;zOGuk1mSKOl0S9xgdW+erKnOh9EhzL16I/n8ua+m8GHHcBxfz+kN4vXV8vgAIpol/sHwq8/qULLT&#10;yY9UB9EhZOu7lFEElWY8igm13m5AnBA29yoBWRby/4byBwAA//8DAFBLAQItABQABgAIAAAAIQC2&#10;gziS/gAAAOEBAAATAAAAAAAAAAAAAAAAAAAAAABbQ29udGVudF9UeXBlc10ueG1sUEsBAi0AFAAG&#10;AAgAAAAhADj9If/WAAAAlAEAAAsAAAAAAAAAAAAAAAAALwEAAF9yZWxzLy5yZWxzUEsBAi0AFAAG&#10;AAgAAAAhAGneNXDEAgAAtQUAAA4AAAAAAAAAAAAAAAAALgIAAGRycy9lMm9Eb2MueG1sUEsBAi0A&#10;FAAGAAgAAAAhAFc7qM7gAAAACwEAAA8AAAAAAAAAAAAAAAAAHgUAAGRycy9kb3ducmV2LnhtbFBL&#10;BQYAAAAABAAEAPMAAAAr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754" w:rsidRPr="00EB369F" w:rsidRDefault="003C7754" w:rsidP="00001F56">
    <w:pPr>
      <w:rPr>
        <w:color w:val="333333"/>
      </w:rPr>
    </w:pPr>
    <w:r>
      <w:rPr>
        <w:color w:val="333333"/>
      </w:rPr>
      <w:t>Header text</w:t>
    </w:r>
    <w:r w:rsidRPr="00EB369F">
      <w:rPr>
        <w:color w:val="333333"/>
      </w:rPr>
      <w:tab/>
    </w:r>
    <w:r w:rsidRPr="00EB369F">
      <w:rPr>
        <w:color w:val="333333"/>
      </w:rPr>
      <w:tab/>
    </w:r>
  </w:p>
  <w:p w:rsidR="003C7754" w:rsidRPr="00645D25" w:rsidRDefault="003C7754" w:rsidP="00645D25">
    <w:pPr>
      <w:tabs>
        <w:tab w:val="right" w:pos="9360"/>
      </w:tabs>
    </w:pPr>
    <w:r w:rsidRPr="00EB369F">
      <w:rPr>
        <w:b/>
        <w:color w:val="333333"/>
      </w:rPr>
      <w:t>XX Month Year</w:t>
    </w:r>
    <w:r>
      <w:tab/>
    </w:r>
    <w:r>
      <w:tab/>
    </w:r>
    <w:r>
      <w:rPr>
        <w:noProof/>
        <w:lang w:eastAsia="en-AU"/>
      </w:rPr>
      <mc:AlternateContent>
        <mc:Choice Requires="wps">
          <w:drawing>
            <wp:anchor distT="0" distB="0" distL="114300" distR="114300" simplePos="0" relativeHeight="251645952" behindDoc="1" locked="0" layoutInCell="1" allowOverlap="1" wp14:anchorId="5BB684F7" wp14:editId="0417E26F">
              <wp:simplePos x="0" y="0"/>
              <wp:positionH relativeFrom="column">
                <wp:posOffset>1543685</wp:posOffset>
              </wp:positionH>
              <wp:positionV relativeFrom="paragraph">
                <wp:posOffset>3886200</wp:posOffset>
              </wp:positionV>
              <wp:extent cx="2575560" cy="914400"/>
              <wp:effectExtent l="0" t="504825" r="33655" b="4953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8" type="#_x0000_t202" style="position:absolute;margin-left:121.55pt;margin-top:306pt;width:202.8pt;height:1in;rotation:-3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JuwwIAALYFAAAOAAAAZHJzL2Uyb0RvYy54bWysVMGOmzAQvVfqP1jcWSALIaAlqyQbetm2&#10;K22qPTvYBLeAXdsJRKv+e8eGJJv2UrXNATnj8fObec9zd983NTpQqRhvMye48R1E24IT1u4y58sm&#10;d2cOUhq3BNe8pZlzpMq5n79/d9eJlE54xWtCJQKQVqWdyJxKa5F6nioq2mB1wwVtYbPkssEa/sqd&#10;RyTuAL2pvYnvT72OSyIkL6hSEH0YNp25xS9LWujPZamoRnXmADdtv9J+t+brze9wupNYVKwYaeC/&#10;YNFg1sKlZ6gHrDHaS/YbVMMKyRUv9U3BG4+XJSuorQGqCfxfqnmusKC2FmiOEuc2qf8HW3w6PEnE&#10;SOaEDmpxAxJtaK/RkvcoNN3phEoh6VlAmu4hDCrbSpV45MU3hVq+qnC7owspeVdRTIBdAFhj2Naw&#10;OQoAtlGDviYMhAgMvPcGf7hMmZu23UdO4Ajea25v60vZIMnhmBvMfPOzYWggAkag7PGspqFfQHAS&#10;xVE0ha0C9pIgDOGMuRGnBsyIJaTSHyhvkFlkjgS3WFR8eFR6SD2lmHQAhvi4GtR9TYJJ6C8niZtP&#10;Z7Eb5mHkJrE/c/0gWSZTP0zCh/yHAQ3CtGKE0PaRtfTktCD8MyVHzw8esV5DHdQUTSLLV/GakZzV&#10;teGm5G67qiU6YGP5oVVDLVdpku9bAnGcGs3W41pjVg9r75qx7Rs04Lr6RR75cXg7c+M4unXD27Xv&#10;Lmf5yl2sguk0Xi9Xy3VwXf3avkn17w2wRCzYSatzh8c7LpRB8pN21m/GYoPZdL/trfutGY0Xt5wc&#10;wYAdjITMUd/3WFIw875ZcWgnOLiUvHmBmbOQ4JjhJRiPbPoXLMVoJA23PdWnkWDdZOjuyPjCMPkK&#10;QE0NkwZUQpG186DRmAyML6jmrBILeAo5s7a88BwfEAwHW+04yMz0efvfZl3G7fwnAAAA//8DAFBL&#10;AwQUAAYACAAAACEAVzuozuAAAAALAQAADwAAAGRycy9kb3ducmV2LnhtbEyPy07DMBBF90j8gzVI&#10;bBB1EopbhUwqBGIBu7ZIsHQTE0eNx1HsPPh7hhUsR3N077nFbnGdmMwQWk8I6SoBYajydUsNwvvx&#10;5XYLIkRNte48GYRvE2BXXl4UOq/9THszHWIjOIRCrhFsjH0uZaiscTqsfG+If19+cDryOTSyHvTM&#10;4a6TWZIo6XRL3GB1b56sqc6H0SHMvXoj+fy5r6bwYcdwHF/P6Q3i9dXy+AAimiX+wfCrz+pQstPJ&#10;j1QH0SFk67uUUQSVZjyKCbXebkCcEDb3KgFZFvL/hvIHAAD//wMAUEsBAi0AFAAGAAgAAAAhALaD&#10;OJL+AAAA4QEAABMAAAAAAAAAAAAAAAAAAAAAAFtDb250ZW50X1R5cGVzXS54bWxQSwECLQAUAAYA&#10;CAAAACEAOP0h/9YAAACUAQAACwAAAAAAAAAAAAAAAAAvAQAAX3JlbHMvLnJlbHNQSwECLQAUAAYA&#10;CAAAACEAxQ3CbsMCAAC2BQAADgAAAAAAAAAAAAAAAAAuAgAAZHJzL2Uyb0RvYy54bWxQSwECLQAU&#10;AAYACAAAACEAVzuozuAAAAALAQAADwAAAAAAAAAAAAAAAAAdBQAAZHJzL2Rvd25yZXYueG1sUEsF&#10;BgAAAAAEAAQA8wAAACoGA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754" w:rsidRPr="00622DC9" w:rsidRDefault="007362B1" w:rsidP="00BB704C">
    <w:pPr>
      <w:rPr>
        <w:szCs w:val="24"/>
      </w:rPr>
    </w:pPr>
    <w:r>
      <w:rPr>
        <w:noProof/>
        <w:lang w:eastAsia="en-AU"/>
      </w:rPr>
      <w:drawing>
        <wp:anchor distT="0" distB="0" distL="114300" distR="114300" simplePos="0" relativeHeight="251544576" behindDoc="0" locked="0" layoutInCell="1" allowOverlap="1" wp14:anchorId="49218735" wp14:editId="264CDE30">
          <wp:simplePos x="0" y="0"/>
          <wp:positionH relativeFrom="page">
            <wp:posOffset>514350</wp:posOffset>
          </wp:positionH>
          <wp:positionV relativeFrom="page">
            <wp:posOffset>628650</wp:posOffset>
          </wp:positionV>
          <wp:extent cx="3721100" cy="4380865"/>
          <wp:effectExtent l="0" t="0" r="0" b="635"/>
          <wp:wrapNone/>
          <wp:docPr id="7" name="Picture 7" descr="C:\Users\sanish.raju\Desktop\1503-1413062_Brand update template creation\13-May-2015\A4 pieces\EY Panel_3-3_A4_propos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ish.raju\Desktop\1503-1413062_Brand update template creation\13-May-2015\A4 pieces\EY Panel_3-3_A4_proposal.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21100" cy="438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754" w:rsidRPr="00D00F13">
      <w:rPr>
        <w:noProof/>
        <w:lang w:eastAsia="en-AU"/>
      </w:rPr>
      <w:drawing>
        <wp:anchor distT="0" distB="0" distL="114300" distR="114300" simplePos="0" relativeHeight="251771904" behindDoc="0" locked="0" layoutInCell="1" allowOverlap="1" wp14:anchorId="18C358D9" wp14:editId="19343CE6">
          <wp:simplePos x="0" y="0"/>
          <wp:positionH relativeFrom="column">
            <wp:posOffset>2903855</wp:posOffset>
          </wp:positionH>
          <wp:positionV relativeFrom="paragraph">
            <wp:posOffset>8220710</wp:posOffset>
          </wp:positionV>
          <wp:extent cx="1370965" cy="1579245"/>
          <wp:effectExtent l="0" t="0" r="635" b="1905"/>
          <wp:wrapNone/>
          <wp:docPr id="2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 cstate="print">
                    <a:extLst>
                      <a:ext uri="{28A0092B-C50C-407E-A947-70E740481C1C}">
                        <a14:useLocalDpi xmlns:a14="http://schemas.microsoft.com/office/drawing/2010/main" val="0"/>
                      </a:ext>
                    </a:extLst>
                  </a:blip>
                  <a:srcRect r="59148"/>
                  <a:stretch/>
                </pic:blipFill>
                <pic:spPr>
                  <a:xfrm>
                    <a:off x="0" y="0"/>
                    <a:ext cx="1370965" cy="1579245"/>
                  </a:xfrm>
                  <a:prstGeom prst="rect">
                    <a:avLst/>
                  </a:prstGeom>
                </pic:spPr>
              </pic:pic>
            </a:graphicData>
          </a:graphic>
          <wp14:sizeRelH relativeFrom="page">
            <wp14:pctWidth>0</wp14:pctWidth>
          </wp14:sizeRelH>
          <wp14:sizeRelV relativeFrom="page">
            <wp14:pctHeight>0</wp14:pctHeight>
          </wp14:sizeRelV>
        </wp:anchor>
      </w:drawing>
    </w:r>
    <w:r w:rsidR="003C7754">
      <w:rPr>
        <w:noProof/>
        <w:lang w:eastAsia="en-AU"/>
      </w:rPr>
      <w:drawing>
        <wp:anchor distT="0" distB="0" distL="114300" distR="114300" simplePos="0" relativeHeight="251543552" behindDoc="1" locked="1" layoutInCell="1" allowOverlap="1" wp14:anchorId="041102A6" wp14:editId="1B9F4B89">
          <wp:simplePos x="0" y="0"/>
          <wp:positionH relativeFrom="column">
            <wp:posOffset>-3220085</wp:posOffset>
          </wp:positionH>
          <wp:positionV relativeFrom="paragraph">
            <wp:posOffset>-567055</wp:posOffset>
          </wp:positionV>
          <wp:extent cx="7980045" cy="1078293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7980045" cy="1078293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754" w:rsidRDefault="003C7754"/>
  <w:p w:rsidR="003C7754" w:rsidRDefault="003C7754"/>
  <w:p w:rsidR="003C7754" w:rsidRDefault="003C7754">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Privileged And Confidential</w:t>
    </w:r>
  </w:p>
  <w:p w:rsidR="003C7754" w:rsidRDefault="003C7754">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Privileged And Confidential</w:t>
    </w:r>
  </w:p>
  <w:p w:rsidR="003C7754" w:rsidRDefault="003C7754">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Privileged And Confidential</w:t>
    </w:r>
  </w:p>
  <w:p w:rsidR="003C7754" w:rsidRDefault="003C7754">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Privileged And Confidential</w:t>
    </w:r>
  </w:p>
  <w:p w:rsidR="003C7754" w:rsidRDefault="003C7754">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Privileged And Confidential</w:t>
    </w:r>
  </w:p>
  <w:p w:rsidR="003C7754" w:rsidRDefault="003C7754"/>
  <w:p w:rsidR="003C7754" w:rsidRDefault="003C7754">
    <w:r>
      <w:rPr>
        <w:noProof/>
        <w:lang w:eastAsia="en-AU"/>
      </w:rPr>
      <mc:AlternateContent>
        <mc:Choice Requires="wps">
          <w:drawing>
            <wp:anchor distT="0" distB="0" distL="114300" distR="114300" simplePos="0" relativeHeight="251560448" behindDoc="1" locked="0" layoutInCell="1" allowOverlap="1" wp14:anchorId="5045B62A" wp14:editId="1D6A4559">
              <wp:simplePos x="0" y="0"/>
              <wp:positionH relativeFrom="column">
                <wp:posOffset>1543685</wp:posOffset>
              </wp:positionH>
              <wp:positionV relativeFrom="paragraph">
                <wp:posOffset>3886200</wp:posOffset>
              </wp:positionV>
              <wp:extent cx="2575560" cy="914400"/>
              <wp:effectExtent l="0" t="504825" r="33655" b="495300"/>
              <wp:wrapNone/>
              <wp:docPr id="2066"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6" o:spid="_x0000_s1039" type="#_x0000_t202" style="position:absolute;margin-left:121.55pt;margin-top:306pt;width:202.8pt;height:1in;rotation:-3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DqxgIAALwFAAAOAAAAZHJzL2Uyb0RvYy54bWysVE2PmzAQvVfqf7C4s0AWSEBLVkk29LJt&#10;V9pUe3awCW4Bu7YTiFb97x0bkmzaS9WWg2XG4zcf73nu7vumRgcqFeNt5gQ3voNoW3DC2l3mfNnk&#10;7sxBSuOW4Jq3NHOOVDn38/fv7jqR0gmveE2oRADSqrQTmVNpLVLPU0VFG6xuuKAtHJZcNljDr9x5&#10;ROIO0Jvam/h+7HVcEiF5QZUC68Nw6MwtflnSQn8uS0U1qjMHctN2lXbdmtWb3+F0J7GoWDGmgf8i&#10;iwazFoKeoR6wxmgv2W9QDSskV7zUNwVvPF6WrKC2Bqgm8H+p5rnCgtpaoDlKnNuk/h9s8enwJBEj&#10;mTPx49hBLW6ApQ3tNVryHlkj9KgTKgXXZwHOuocT4NrWq8QjL74p1PJVhdsdXUjJu4piAjkGADea&#10;bSWbowBsazUB1oQBHYGhwHuDPwRTJtK2+8gJXMF7zW20vpQNkhyuucHMN581QxsRZAT8Hs+cmgoK&#10;ME6iaRTFcFTAWRKEIdwxEXFqwAxlQir9gfIGmU3mSNCMRcWHR6UH15OLcQdgsI+7gePXJJiE/nKS&#10;uHk8m7phHkZuMvVnrh8kyyT2wyR8yH8Y0CBMK0YIbR9ZS096C8I/43NU/qAUqzjUQU3RJLL5Kl4z&#10;krO6NrkpuduuaokO2Ah/aNVQy5Wb5PuWgB2nhrP1uNeY1cPeu87Y9g0acF39Io/8aXg7c6fT6NYN&#10;b9e+u5zlK3exCuJ4ul6uluvguvq1fZnq3xtgE7FgJ67OHR5jXFIGyk/cWb0ZiQ1i0/22H96AkYbR&#10;4paTIwiwg8GQOer7HksKYt43Kw7tBAWXkjcvMHkWEhQzvASjkU3/gqUYhaQh2lN9GgxWTSbdHRkf&#10;GSZfAaipYd4ASyiych44Gp0h4wuquavEAp5CzqwsL3mODwhGhK12HGdmBr39t16XoTv/CQAA//8D&#10;AFBLAwQUAAYACAAAACEAVzuozuAAAAALAQAADwAAAGRycy9kb3ducmV2LnhtbEyPy07DMBBF90j8&#10;gzVIbBB1EopbhUwqBGIBu7ZIsHQTE0eNx1HsPPh7hhUsR3N077nFbnGdmMwQWk8I6SoBYajydUsN&#10;wvvx5XYLIkRNte48GYRvE2BXXl4UOq/9THszHWIjOIRCrhFsjH0uZaiscTqsfG+If19+cDryOTSy&#10;HvTM4a6TWZIo6XRL3GB1b56sqc6H0SHMvXoj+fy5r6bwYcdwHF/P6Q3i9dXy+AAimiX+wfCrz+pQ&#10;stPJj1QH0SFk67uUUQSVZjyKCbXebkCcEDb3KgFZFvL/hvIHAAD//wMAUEsBAi0AFAAGAAgAAAAh&#10;ALaDOJL+AAAA4QEAABMAAAAAAAAAAAAAAAAAAAAAAFtDb250ZW50X1R5cGVzXS54bWxQSwECLQAU&#10;AAYACAAAACEAOP0h/9YAAACUAQAACwAAAAAAAAAAAAAAAAAvAQAAX3JlbHMvLnJlbHNQSwECLQAU&#10;AAYACAAAACEArC3g6sYCAAC8BQAADgAAAAAAAAAAAAAAAAAuAgAAZHJzL2Uyb0RvYy54bWxQSwEC&#10;LQAUAAYACAAAACEAVzuozuAAAAALAQAADwAAAAAAAAAAAAAAAAAgBQAAZHJzL2Rvd25yZXYueG1s&#10;UEsFBgAAAAAEAAQA8wAAAC0GA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566592" behindDoc="1" locked="0" layoutInCell="1" allowOverlap="1" wp14:anchorId="10F323E1" wp14:editId="5AB41939">
              <wp:simplePos x="0" y="0"/>
              <wp:positionH relativeFrom="column">
                <wp:posOffset>1543685</wp:posOffset>
              </wp:positionH>
              <wp:positionV relativeFrom="paragraph">
                <wp:posOffset>3886200</wp:posOffset>
              </wp:positionV>
              <wp:extent cx="2575560" cy="914400"/>
              <wp:effectExtent l="0" t="504825" r="33655" b="495300"/>
              <wp:wrapNone/>
              <wp:docPr id="2070"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070" o:spid="_x0000_s1040" type="#_x0000_t202" style="position:absolute;margin-left:121.55pt;margin-top:306pt;width:202.8pt;height:1in;rotation:-3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BfxwIAALwFAAAOAAAAZHJzL2Uyb0RvYy54bWysVMGOmzAQvVfqP1jcWSCBENCSKsmGXrbt&#10;Sptqzw42wS1g13YCUdV/79iQZNNeqrYcLDMev3kz8zz37/qmRkcqFeNt5gR3voNoW3DC2n3mfN7m&#10;7txBSuOW4Jq3NHNOVDnvFm/f3HcipRNe8ZpQiQCkVWknMqfSWqSep4qKNljdcUFbOCy5bLCGX7n3&#10;iMQdoDe1N/H9mddxSYTkBVUKrA/DobOw+GVJC/2pLBXVqM4c4KbtKu26M6u3uMfpXmJRsWKkgf+C&#10;RYNZC0EvUA9YY3SQ7DeohhWSK17qu4I3Hi9LVlCbA2QT+L9k81xhQW0uUBwlLmVS/w+2+Hh8koiR&#10;zJn4MRSoxQ10aUt7jVa8R9YINeqESsH1WYCz7uEEem3zVeKRF18Vavm6wu2eLqXkXUUxAY4BwI1m&#10;m8n2JADbWk2ADWHQjsC0wHuFPwRTJtKu+8AJXMEHzW20vpQNkhyuucHcN581QxkRMAL6p0tPTQYF&#10;GCdRHEUzOCrgLAnCEO6YiDg1YKZlQir9nvIGmU3mSNCMRcXHR6UH17OLcQdgsI+7ocffk2AS+qtJ&#10;4uazeeyGeRi5SezPXT9IVsnMD5PwIf9hQIMwrRghtH1kLT3rLQj/rJ+j8gelWMWhDnKKJpHlq3jN&#10;SM7q2nBTcr9b1xIdsRH+UKohlxs3yQ8tATtOTc82415jVg9775axrRsU4Db7ZR75cTidu3EcTd1w&#10;uvHd1Txfu8t1MJvFm9V6tQlus9/Yl6n+vQCWiAU79+pS4THGlTK0/Nw7qzcjsUFsut/19g1MjTSM&#10;FnecnECAHQyGzFHfDlhSEPOhWXMoJyi4lLx5gcmzlKCY4SUYjWz7FyzFKCQN0Z7q82CwajJ092R8&#10;ZJh8AaCmhnkDXUKRlfPQo9EZGF9RzV0llvAUcmZleeU5PiAYETbbcZyZGfT633pdh+7iJwA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FoZQF/HAgAAvA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572736" behindDoc="1" locked="0" layoutInCell="1" allowOverlap="1" wp14:anchorId="4A38792C" wp14:editId="738D622D">
              <wp:simplePos x="0" y="0"/>
              <wp:positionH relativeFrom="column">
                <wp:posOffset>1543685</wp:posOffset>
              </wp:positionH>
              <wp:positionV relativeFrom="paragraph">
                <wp:posOffset>3886200</wp:posOffset>
              </wp:positionV>
              <wp:extent cx="2575560" cy="914400"/>
              <wp:effectExtent l="0" t="504825" r="33655" b="495300"/>
              <wp:wrapNone/>
              <wp:docPr id="2084" name="Text 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084" o:spid="_x0000_s1041" type="#_x0000_t202" style="position:absolute;margin-left:121.55pt;margin-top:306pt;width:202.8pt;height:1in;rotation:-3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ZxwIAALwFAAAOAAAAZHJzL2Uyb0RvYy54bWysVE2PmzAQvVfqf7C4s3wshAQtWSXZ0Mu2&#10;XWlT7dnBJrgF7NpOIFr1v3dsSLJpL1VbDpYZj998vOe5u++bGh2oVIy3mRPc+A6ibcEJa3eZ82WT&#10;u1MHKY1bgmve0sw5UuXcz9+/u+tESkNe8ZpQiQCkVWknMqfSWqSep4qKNljdcEFbOCy5bLCGX7nz&#10;iMQdoDe1F/r+xOu4JELygioF1ofh0Jlb/LKkhf5clopqVGcO5KbtKu26Nas3v8PpTmJRsWJMA/9F&#10;Fg1mLQQ9Qz1gjdFest+gGlZIrnipbwreeLwsWUFtDVBN4P9SzXOFBbW1QHOUOLdJ/T/Y4tPhSSJG&#10;Mif0p5GDWtwASxvaa7TkPbJG6FEnVAquzwKcdQ8nwLWtV4lHXnxTqOWrCrc7upCSdxXFBHIMAG40&#10;20o2RwHY1moCrAkDOgJDgfcGfwimTKRt95ETuIL3mttofSkbJDlcc4Opbz5rhjYiyAj4PZ45NRUU&#10;YAzjJI4ncFTA2SyIIrhjIuLUgBnKhFT6A+UNMpvMkaAZi4oPj0oPricX4w7AYB93A8evsyCM/GU4&#10;c/PJNHGjPIrdWeJPXT+YLWcTP5pFD/kPAxpEacUIoe0ja+lJb0H0Z3yOyh+UYhWHOqgpDmObr+I1&#10;Izmra5ObkrvtqpbogI3wh1YNtVy5Sb5vCdhxajhbj3uNWT3sveuMbd+gAdfVL/LYT6LbqZsk8a0b&#10;3a59dznNV+5iFUwmyXq5Wq6D6+rX9mWqf2+ATcSCnbg6d3iMcUkZKD9xZ/VmJDaITffb3r6ByEjD&#10;aHHLyREE2MFgyBz1fY8lBTHvmxWHdoKCS8mbF5g8CwmKGV6C0cimf8FSjELSEO2pPg0GqyaT7o6M&#10;jwyTrwDU1DBvgCUUWzkPHI3OkPEF1dxVYgFPIWdWlpc8xwcEI8JWO44zM4Pe/luvy9Cd/wQ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GhmD5nHAgAAvA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578880" behindDoc="1" locked="0" layoutInCell="1" allowOverlap="1" wp14:anchorId="11FC4658" wp14:editId="16236A53">
              <wp:simplePos x="0" y="0"/>
              <wp:positionH relativeFrom="column">
                <wp:posOffset>1543685</wp:posOffset>
              </wp:positionH>
              <wp:positionV relativeFrom="paragraph">
                <wp:posOffset>3886200</wp:posOffset>
              </wp:positionV>
              <wp:extent cx="2575560" cy="914400"/>
              <wp:effectExtent l="0" t="504825" r="33655" b="495300"/>
              <wp:wrapNone/>
              <wp:docPr id="2087"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087" o:spid="_x0000_s1042" type="#_x0000_t202" style="position:absolute;margin-left:121.55pt;margin-top:306pt;width:202.8pt;height:1in;rotation:-3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ZcxwIAALwFAAAOAAAAZHJzL2Uyb0RvYy54bWysVE2PmzAQvVfqf7C4s0AWAkFLVkk29LJt&#10;V9pUe3awCW4Bu7YTiFb97x0bkmzaS9WWg2XG4zcf73nu7vumRgcqFeNt5gQ3voNoW3DC2l3mfNnk&#10;buIgpXFLcM1bmjlHqpz7+ft3d51I6YRXvCZUIgBpVdqJzKm0FqnnqaKiDVY3XNAWDksuG6zhV+48&#10;InEH6E3tTXx/6nVcEiF5QZUC68Nw6MwtflnSQn8uS0U1qjMHctN2lXbdmtWb3+F0J7GoWDGmgf8i&#10;iwazFoKeoR6wxmgv2W9QDSskV7zUNwVvPF6WrKC2Bqgm8H+p5rnCgtpaoDlKnNuk/h9s8enwJBEj&#10;mTPxk9hBLW6ApQ3tNVryHlkj9KgTKgXXZwHOuocT4NrWq8QjL74p1PJVhdsdXUjJu4piAjkGADea&#10;bSWbowBsazUB1oQBHYGhwHuDPwRTJtK2+8gJXMF7zW20vpQNkhyuuUHim8+aoY0IMgJ+j2dOTQUF&#10;GCdRHEVTOCrgbBaEIdwxEXFqwAxlQir9gfIGmU3mSNCMRcWHR6UH15OLcQdgsI+7gePXWTAJ/eVk&#10;5ubTJHbDPIzcWewnrh/MlrOpH87Ch/yHAQ3CtGKE0PaRtfSktyD8Mz5H5Q9KsYpDHdQUTSKbr+I1&#10;Izmra5ObkrvtqpbogI3wh1YNtVy5Sb5vCdhxajhbj3uNWT3sveuMbd+gAdfVL/LIj8PbxI3j6NYN&#10;b9e+u0zylbtYBdNpvF6uluvguvq1fZnq3xtgE7FgJ67OHR5jXFIGyk/cWb0ZiQ1i0/22t28gMtIw&#10;WtxycgQBdjAYMkd932NJQcz7ZsWhnaDgUvLmBSbPQoJihpdgNLLpX7AUo5A0RHuqT4PBqsmkuyPj&#10;I8PkKwA1NcwbYAlFVs4DR6MzZHxBNXeVWMBTyJmV5SXP8QHBiLDVjuPMzKC3/9brMnTnPwE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PRdplzHAgAAvA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585024" behindDoc="1" locked="0" layoutInCell="1" allowOverlap="1" wp14:anchorId="67B2A926" wp14:editId="4C0FFD15">
              <wp:simplePos x="0" y="0"/>
              <wp:positionH relativeFrom="column">
                <wp:posOffset>1543685</wp:posOffset>
              </wp:positionH>
              <wp:positionV relativeFrom="paragraph">
                <wp:posOffset>3886200</wp:posOffset>
              </wp:positionV>
              <wp:extent cx="2575560" cy="914400"/>
              <wp:effectExtent l="0" t="504825" r="33655" b="495300"/>
              <wp:wrapNone/>
              <wp:docPr id="2098" name="Text 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098" o:spid="_x0000_s1043" type="#_x0000_t202" style="position:absolute;margin-left:121.55pt;margin-top:306pt;width:202.8pt;height:1in;rotation:-3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8nxwIAALwFAAAOAAAAZHJzL2Uyb0RvYy54bWysVE2PmzAQvVfqf7C4s3wsJAEtWSXZ0Mu2&#10;XWlT7dnBJrgF7NpOIFr1v3dsSLJpL1VbDpYZj998vOe5u++bGh2oVIy3mRPc+A6ibcEJa3eZ82WT&#10;uzMHKY1bgmve0sw5UuXcz9+/u+tESkNe8ZpQiQCkVWknMqfSWqSep4qKNljdcEFbOCy5bLCGX7nz&#10;iMQdoDe1F/r+xOu4JELygioF1ofh0Jlb/LKkhf5clopqVGcO5KbtKu26Nas3v8PpTmJRsWJMA/9F&#10;Fg1mLQQ9Qz1gjdFest+gGlZIrnipbwreeLwsWUFtDVBN4P9SzXOFBbW1QHOUOLdJ/T/Y4tPhSSJG&#10;Mif0E+CqxQ2wtKG9RkveI2uEHnVCpeD6LMBZ93ACXNt6lXjkxTeFWr6qcLujCyl5V1FMIMcA4Eaz&#10;rWRzFIBtrSbAmjCgIzAUeG/wh2DKRNp2HzmBK3ivuY3Wl7JBksM1N5j55rNmaCOCjIDf45lTU0EB&#10;xjCexvEEjgo4S4IogjsmIk4NmKFMSKU/UN4gs8kcCZqxqPjwqPTgenIx7gAM9nE3cPyaBGHkL8PE&#10;zSezqRvlUewmU3/m+kGyTCZ+lEQP+Q8DGkRpxQih7SNr6UlvQfRnfI7KH5RiFYc6qCkOY5uv4jUj&#10;Oatrk5uSu+2qluiAjfCHVg21XLlJvm8J2HFqOFuPe41ZPey964xt36AB19Uv8tifRrczdzqNb93o&#10;du27y1m+cherYDKZrper5Tq4rn5tX6b69wbYRCzYiatzh8cYl5SB8hN3Vm9GYoPYdL/t7RuYGGkY&#10;LW45OYIAOxgMmaO+77GkIOZ9s+LQTlBwKXnzApNnIUExw0swGtn0L1iKUUgaoj3Vp8Fg1WTS3ZHx&#10;kWHyFYCaGuYNsIRiK+eBo9EZMr6gmrtKLOAp5MzK8pLn+IBgRNhqx3FmZtDbf+t1GbrznwA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JDpfyfHAgAAvA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608576" behindDoc="1" locked="0" layoutInCell="1" allowOverlap="1" wp14:anchorId="1C6CE626" wp14:editId="18C5F947">
              <wp:simplePos x="0" y="0"/>
              <wp:positionH relativeFrom="column">
                <wp:posOffset>1543685</wp:posOffset>
              </wp:positionH>
              <wp:positionV relativeFrom="paragraph">
                <wp:posOffset>3886200</wp:posOffset>
              </wp:positionV>
              <wp:extent cx="2575560" cy="914400"/>
              <wp:effectExtent l="0" t="504825" r="33655" b="495300"/>
              <wp:wrapNone/>
              <wp:docPr id="2101"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01" o:spid="_x0000_s1044" type="#_x0000_t202" style="position:absolute;margin-left:121.55pt;margin-top:306pt;width:202.8pt;height:1in;rotation:-3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WdxgIAALwFAAAOAAAAZHJzL2Uyb0RvYy54bWysVE2PmzAQvVfqf7C4s0AWQkBLVkk29LJt&#10;V9pUe3awCW4Bu7YTiFb97x0bkmzaS9WWg2XG4zcf73nu7vumRgcqFeNt5gQ3voNoW3DC2l3mfNnk&#10;7sxBSuOW4Jq3NHOOVDn38/fv7jqR0gmveE2oRADSqrQTmVNpLVLPU0VFG6xuuKAtHJZcNljDr9x5&#10;ROIO0Jvam/j+1Ou4JELygioF1ofh0Jlb/LKkhf5clopqVGcO5KbtKu26Nas3v8PpTmJRsWJMA/9F&#10;Fg1mLQQ9Qz1gjdFest+gGlZIrnipbwreeLwsWUFtDVBN4P9SzXOFBbW1QHOUOLdJ/T/Y4tPhSSJG&#10;MmcS+IGDWtwASxvaa7TkPbJG6FEnVAquzwKcdQ8nwLWtV4lHXnxTqOWrCrc7upCSdxXFBHI0cKPZ&#10;VrI5CsC2VhNgTRjQERgKvDf4QzBlIm27j5zAFbzX3EbrS9kgyeGaG8x881kztBFBRsDv8cypqaAA&#10;4ySKo2gKRwWcJUEYwh0TEacGzFAmpNIfKG+Q2WSOBM1YVHx4VHpwPbkYdwAG+7gbOH5NgknoLyeJ&#10;m09nsRvmYeQmsT9z/SBZJlM/TMKH/IcBDcK0YoTQ9pG19KS3IPwzPkflD0qxikMd1BRNIpuv4jUj&#10;Oatrk5uSu+2qluiAjfCHVg21XLlJvm8J2HFqOFuPe41ZPey964xt36AB19Uv8siPw9uZG8fRrRve&#10;rn13OctX7mIVTKfxerlaroPr6tf2Zap/b4BNxIKduDp3eIxxSRkoP3Fn9WYkNohN99vevoHYSMNo&#10;ccvJEQTYwWDIHPV9jyUFMe+bFYd2goJLyZsXmDwLCYoZXoLRyKZ/wVKMQtIQ7ak+DQarJpPujoyP&#10;DJOvANTUMG+AJRRZOQ8cjc6Q8QXV3FViAU8hZ1aWlzzHBwQjwlY7jjMzg97+W6/L0J3/BAAA//8D&#10;AFBLAwQUAAYACAAAACEAVzuozuAAAAALAQAADwAAAGRycy9kb3ducmV2LnhtbEyPy07DMBBF90j8&#10;gzVIbBB1EopbhUwqBGIBu7ZIsHQTE0eNx1HsPPh7hhUsR3N077nFbnGdmMwQWk8I6SoBYajydUsN&#10;wvvx5XYLIkRNte48GYRvE2BXXl4UOq/9THszHWIjOIRCrhFsjH0uZaiscTqsfG+If19+cDryOTSy&#10;HvTM4a6TWZIo6XRL3GB1b56sqc6H0SHMvXoj+fy5r6bwYcdwHF/P6Q3i9dXy+AAimiX+wfCrz+pQ&#10;stPJj1QH0SFk67uUUQSVZjyKCbXebkCcEDb3KgFZFvL/hvIHAAD//wMAUEsBAi0AFAAGAAgAAAAh&#10;ALaDOJL+AAAA4QEAABMAAAAAAAAAAAAAAAAAAAAAAFtDb250ZW50X1R5cGVzXS54bWxQSwECLQAU&#10;AAYACAAAACEAOP0h/9YAAACUAQAACwAAAAAAAAAAAAAAAAAvAQAAX3JlbHMvLnJlbHNQSwECLQAU&#10;AAYACAAAACEAo4xVncYCAAC8BQAADgAAAAAAAAAAAAAAAAAuAgAAZHJzL2Uyb0RvYy54bWxQSwEC&#10;LQAUAAYACAAAACEAVzuozuAAAAALAQAADwAAAAAAAAAAAAAAAAAgBQAAZHJzL2Rvd25yZXYueG1s&#10;UEsFBgAAAAAEAAQA8wAAAC0GA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674112" behindDoc="1" locked="0" layoutInCell="1" allowOverlap="1" wp14:anchorId="7DF8D87B" wp14:editId="4E95CFA8">
              <wp:simplePos x="0" y="0"/>
              <wp:positionH relativeFrom="column">
                <wp:posOffset>1543685</wp:posOffset>
              </wp:positionH>
              <wp:positionV relativeFrom="paragraph">
                <wp:posOffset>3886200</wp:posOffset>
              </wp:positionV>
              <wp:extent cx="2575560" cy="914400"/>
              <wp:effectExtent l="0" t="504825" r="33655" b="495300"/>
              <wp:wrapNone/>
              <wp:docPr id="2104" name="Text Box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04" o:spid="_x0000_s1045" type="#_x0000_t202" style="position:absolute;margin-left:121.55pt;margin-top:306pt;width:202.8pt;height:1in;rotation:-3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I/xwIAALwFAAAOAAAAZHJzL2Uyb0RvYy54bWysVE2PmzAQvVfqf7C4s3wshAQtWSXZ0Mu2&#10;XWlT7dnBJrgF7NpOIFr1v3dsSLJpL1VbDpYZj998vOe5u++bGh2oVIy3mRPc+A6ibcEJa3eZ82WT&#10;u1MHKY1bgmve0sw5UuXcz9+/u+tESkNe8ZpQiQCkVWknMqfSWqSep4qKNljdcEFbOCy5bLCGX7nz&#10;iMQdoDe1F/r+xOu4JELygioF1ofh0Jlb/LKkhf5clopqVGcO5KbtKu26Nas3v8PpTmJRsWJMA/9F&#10;Fg1mLQQ9Qz1gjdFest+gGlZIrnipbwreeLwsWUFtDVBN4P9SzXOFBbW1QHOUOLdJ/T/Y4tPhSSJG&#10;MicM/MhBLW6ApQ3tNVryHlkj9KgTKgXXZwHOuocT4NrWq8QjL74p1PJVhdsdXUjJu4piAjkGADea&#10;bSWbowBsazUB1oQBHYGhwHuDPwRTJtK2+8gJXMF7zW20vpQNkhyuucHUN581QxsRZAT8Hs+cmgoK&#10;MIZxEscTOCrgbBZEEdwxEXFqwAxlQir9gfIGmU3mSNCMRcWHR6UH15OLcQdgsI+7gePXWRBG/jKc&#10;uflkmrhRHsXuLPGnrh/MlrOJH82ih/yHAQ2itGKE0PaRtfSktyD6Mz5H5Q9KsYpDHdQUh7HNV/Ga&#10;kZzVtclNyd12VUt0wEb4Q6uGWq7cJN+3BOw4NZytx73GrB723nXGtm/QgOvqF3nsJ9Ht1E2S+NaN&#10;bte+u5zmK3exCiaTZL1cLdfBdfVr+zLVvzfAJmLBTlydOzzGuKQMlJ+4s3ozEhvEpvttb9/A1EjD&#10;aHHLyREE2MFgyBz1fY8lBTHvmxWHdoKCS8mbF5g8CwmKGV6C0cimf8FSjELSEO2pPg0GqyaT7o6M&#10;jwyTrwDU1DBvgCUUWzkPHI3OkPEF1dxVYgFPIWdWlpc8xwcEI8JWO44zM4Pe/luvy9Cd/wQ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DRcMj/HAgAAvA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680256" behindDoc="1" locked="0" layoutInCell="1" allowOverlap="1" wp14:anchorId="644C4C4D" wp14:editId="5E1811DE">
              <wp:simplePos x="0" y="0"/>
              <wp:positionH relativeFrom="column">
                <wp:posOffset>1543685</wp:posOffset>
              </wp:positionH>
              <wp:positionV relativeFrom="paragraph">
                <wp:posOffset>3886200</wp:posOffset>
              </wp:positionV>
              <wp:extent cx="2575560" cy="914400"/>
              <wp:effectExtent l="0" t="504825" r="33655" b="495300"/>
              <wp:wrapNone/>
              <wp:docPr id="2107" name="Text 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07" o:spid="_x0000_s1046" type="#_x0000_t202" style="position:absolute;margin-left:121.55pt;margin-top:306pt;width:202.8pt;height:1in;rotation:-3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v6xwIAALwFAAAOAAAAZHJzL2Uyb0RvYy54bWysVE2PmzAQvVfqf7C4s0AWQkBLVkk29LJt&#10;V9pUe3awCW4Bu7YTiFb97x0bkmzaS9WWg2XG4zcf73nu7vumRgcqFeNt5gQ3voNoW3DC2l3mfNnk&#10;7sxBSuOW4Jq3NHOOVDn38/fv7jqR0gmveE2oRADSqrQTmVNpLVLPU0VFG6xuuKAtHJZcNljDr9x5&#10;ROIO0Jvam/j+1Ou4JELygioF1ofh0Jlb/LKkhf5clopqVGcO5KbtKu26Nas3v8PpTmJRsWJMA/9F&#10;Fg1mLQQ9Qz1gjdFest+gGlZIrnipbwreeLwsWUFtDVBN4P9SzXOFBbW1QHOUOLdJ/T/Y4tPhSSJG&#10;MmcS+LGDWtwASxvaa7TkPbJG6FEnVAquzwKcdQ8nwLWtV4lHXnxTqOWrCrc7upCSdxXFBHIMAG40&#10;20o2RwHY1moCrAkDOgJDgfcGfwimTKRt95ETuIL3mttofSkbJDlcc4OZbz5rhjYiyAj4PZ45NRUU&#10;YJxEcRRN4aiAsyQIQ7hjIuLUgBnKhFT6A+UNMpvMkaAZi4oPj0oPricX4w7AYB93A8evSTAJ/eUk&#10;cfPpLHbDPIzcJPZnrh8ky2Tqh0n4kP8woEGYVowQ2j6ylp70FoR/xueo/EEpVnGog5qiSWTzVbxm&#10;JGd1bXJTcrdd1RIdsBH+0Kqhlis3yfctATtODWfrca8xq4e9d52x7Rs04Lr6RR75cXg7c+M4unXD&#10;27XvLmf5yl2sguk0Xi9Xy3VwXf3avkz17w2wiViwE1fnDo8xLikD5SfurN6MxAax6X7b2zeQGGkY&#10;LW45OYIAOxgMmaO+77GkIOZ9s+LQTlBwKXnzApNnIUExw0swGtn0L1iKUUgaoj3Vp8Fg1WTS3ZHx&#10;kWHyFYCaGuYNsIQiK+eBo9EZMr6gmrtKLOAp5MzK8pLn+IBgRNhqx3FmZtDbf+t1GbrznwA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Khnm/rHAgAAvA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686400" behindDoc="1" locked="0" layoutInCell="1" allowOverlap="1" wp14:anchorId="5C726111" wp14:editId="2B02A6D6">
              <wp:simplePos x="0" y="0"/>
              <wp:positionH relativeFrom="column">
                <wp:posOffset>1543685</wp:posOffset>
              </wp:positionH>
              <wp:positionV relativeFrom="paragraph">
                <wp:posOffset>3886200</wp:posOffset>
              </wp:positionV>
              <wp:extent cx="2575560" cy="914400"/>
              <wp:effectExtent l="0" t="504825" r="33655" b="495300"/>
              <wp:wrapNone/>
              <wp:docPr id="2114"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14" o:spid="_x0000_s1047" type="#_x0000_t202" style="position:absolute;margin-left:121.55pt;margin-top:306pt;width:202.8pt;height:1in;rotation:-3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mYxwIAAL0FAAAOAAAAZHJzL2Uyb0RvYy54bWysVE2PmzAQvVfqf7C4s+As5AMtWSXZ0Mu2&#10;XWlT7dnBJrgF7NpOIFr1v3dsSLJpL1VbDpYZj998vOe5u+/qCh2Y0lw0qYdvQg+xJheUN7vU+7LJ&#10;/KmHtCENJZVoWOodmfbu5+/f3bUyYSNRiooyhQCk0UkrU680RiZBoPOS1UTfCMkaOCyEqomBX7UL&#10;qCItoNdVMArDcdAKRaUSOdMarA/9oTd3+EXBcvO5KDQzqEo9yM24Vbl1a9dgfkeSnSKy5PmQBvmL&#10;LGrCGwh6hnoghqC94r9B1TxXQovC3OSiDkRR8Jy5GqAaHP5SzXNJJHO1QHO0PLdJ/z/Y/NPhSSFO&#10;U2+EceShhtTA0oZ1Bi1Fh5wRetRKnYDrswRn08EJcO3q1fJR5N80asSqJM2OLZQSbckIhRwxwA1m&#10;V8nmKAHbWW2ANeVAB7YUBG/w+2DaRtq2HwWFK2RvhIvWFapGSsA1H09D+zkztBFBRsDv8cyprSAH&#10;4yiexPEYjnI4m+Eogjs2IkksmKVMKm0+MFEju0k9BZpxqOTwqE3venKx7gAM9mHXc/w6w6MoXI5m&#10;fjaeTvwoi2J/Ngmnfohny9k4jGbRQ/bDguIoKTmlrHnkDTvpDUd/xueg/F4pTnGohZriUezy1aLi&#10;NONVZXPTarddVQodiBV+36q+lis3JfYNBTtJLGfrYW8Ir/p9cJ2x6xs04Lr6RRaHk+h26k8m8a0f&#10;3a5DfznNVv5ihcfjyXq5Wq7xdfVr9zL1vzfAJeLATlydOzzEuKQMlJ+4c3qzEuvFZrpt594Adtqw&#10;YtwKegQFtjAZUk9/3xPFQM37eiWgnyDhQon6BUbPQoFk+qdgRbLpXoiSg5IMhHuqTpPBycnmu6PD&#10;KyP0KwDVFQwcoAnFTs89SYMzpHxBtXe1XMBbyLjT5SXP4QXBjHDlDvPMDqG3/87rMnXnPwE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EtvuZjHAgAAvQ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692544" behindDoc="1" locked="0" layoutInCell="1" allowOverlap="1" wp14:anchorId="1FC73B88" wp14:editId="39439770">
              <wp:simplePos x="0" y="0"/>
              <wp:positionH relativeFrom="column">
                <wp:posOffset>1543685</wp:posOffset>
              </wp:positionH>
              <wp:positionV relativeFrom="paragraph">
                <wp:posOffset>3886200</wp:posOffset>
              </wp:positionV>
              <wp:extent cx="2575560" cy="914400"/>
              <wp:effectExtent l="0" t="504825" r="33655" b="495300"/>
              <wp:wrapNone/>
              <wp:docPr id="2117"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17" o:spid="_x0000_s1048" type="#_x0000_t202" style="position:absolute;margin-left:121.55pt;margin-top:306pt;width:202.8pt;height:1in;rotation:-3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nJxwIAAL0FAAAOAAAAZHJzL2Uyb0RvYy54bWysVE2PmzAQvVfqf7C4s+AshAQtqZJs6GXb&#10;rrSp9uxgE9wCdm0nsKr63zs2JNm0l6otB8uMx28+3vPcveubGh2Z0ly0mYdvQg+xthCUt/vM+7zN&#10;/ZmHtCEtJbVoWea9MO29W7x9c9fJlE1EJWrKFAKQVqedzLzKGJkGgS4q1hB9IyRr4bAUqiEGftU+&#10;oIp0gN7UwSQMp0EnFJVKFExrsN4Ph97C4ZclK8ynstTMoDrzIDfjVuXWnV2DxR1J94rIihdjGuQv&#10;smgIbyHoGeqeGIIOiv8G1fBCCS1Kc1OIJhBlyQvmaoBqcPhLNU8VkczVAs3R8twm/f9gi4/HR4U4&#10;zbwJxomHWtIAS1vWG7QSPXJG6FEndQquTxKcTQ8nwLWrV8sHUXzVqBXrirR7tlRKdBUjFHLEADea&#10;XSXbFwnYzmoDbCgHOrClIHiFPwTTNtKu+yAoXCEHI1y0vlQNUgKu+XgW2s+ZoY0IMgJ+X86c2goK&#10;ME7iJI6ncFTA2RxHEdyxEUlqwSxlUmnznokG2U3mKdCMQyXHB20G15OLdQdgsI+7gePvczyJwtVk&#10;7ufTWeJHeRT78ySc+SGer+bTMJpH9/kPC4qjtOKUsvaBt+ykNxz9GZ+j8gelOMWhDmqKJ7HLV4ua&#10;05zXtc1Nq/1uXSt0JFb4Q6uGWq7clDi0FOwktZxtxr0hvB72wXXGrm/QgOvql3kcJtHtzE+S+NaP&#10;bjehv5rla3+5xtNpslmtVxt8Xf3GvUz97w1wiTiwE1fnDo8xLikD5SfunN6sxAaxmX7XuzeAnRqt&#10;GHeCvoACO5gMmae/HYhioOZDsxbQT5BwqUTzDKNnqUAyw1OwItn2z0TJUUkGwj3Wp8ng5GTz3dPx&#10;lRH6BYCaGgYO0IRip+eBpNEZUr6g2rtaLuEt5Nzp8pLn+IJgRrhyx3lmh9Drf+d1mbqLnwA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IrTOcnHAgAAvQ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698688" behindDoc="1" locked="0" layoutInCell="1" allowOverlap="1" wp14:anchorId="71158504" wp14:editId="619CE8C8">
              <wp:simplePos x="0" y="0"/>
              <wp:positionH relativeFrom="column">
                <wp:posOffset>1543685</wp:posOffset>
              </wp:positionH>
              <wp:positionV relativeFrom="paragraph">
                <wp:posOffset>3886200</wp:posOffset>
              </wp:positionV>
              <wp:extent cx="2575560" cy="914400"/>
              <wp:effectExtent l="0" t="504825" r="33655" b="495300"/>
              <wp:wrapNone/>
              <wp:docPr id="2120"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20" o:spid="_x0000_s1049" type="#_x0000_t202" style="position:absolute;margin-left:121.55pt;margin-top:306pt;width:202.8pt;height:1in;rotation:-3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YryAIAAL0FAAAOAAAAZHJzL2Uyb0RvYy54bWysVE2PmzAQvVfqf7C4s3wsJAEtWSXZ0Mu2&#10;XWlT7dnBJrgF7NpOIFr1v3dsSLJpL1VbDpYZj9+8mXmeu/u+qdGBSsV4mznBje8g2hacsHaXOV82&#10;uTtzkNK4JbjmLc2cI1XO/fz9u7tOpDTkFa8JlQhAWpV2InMqrUXqeaqoaIPVDRe0hcOSywZr+JU7&#10;j0jcAXpTe6HvT7yOSyIkL6hSYH0YDp25xS9LWujPZamoRnXmADdtV2nXrVm9+R1OdxKLihUjDfwX&#10;LBrMWgh6hnrAGqO9ZL9BNayQXPFS3xS88XhZsoLaHCCbwP8lm+cKC2pzgeIocS6T+n+wxafDk0SM&#10;ZE4YhFCgFjfQpQ3tNVryHlkj1KgTKgXXZwHOuocT6LXNV4lHXnxTqOWrCrc7upCSdxXFBDgGADea&#10;bSabowBsazUB1oRBOwLTAu8N/hBMmUjb7iMncAXvNbfR+lI2SHK45gYz33zWDGVEwAjoH889NRkU&#10;YAzjaRxP4KiAsySIIrhjIuLUgJmWCan0B8obZDaZI0EzFhUfHpUeXE8uxh2AwT7uhh6/JkEY+csw&#10;cfPJbOpGeRS7ydSfuX6QLJOJHyXRQ/7DgAZRWjFCaPvIWnrSWxD9WT9H5Q9KsYpDHeQUh7Hlq3jN&#10;SM7q2nBTcrdd1RIdsBH+UKohlys3yfctATtOTc/W415jVg9775qxrRsU4Dr7RR770+h25k6n8a0b&#10;3a59dznLV+5iFUwm0/VytVwH19mv7ctU/14AS8SCnXp1rvAY40IZWn7qndWbkdggNt1ve/sGgtBo&#10;w4hxy8kRFNjBZMgc9X2PJQU175sVh3qChEvJmxcYPQsJkhmeghHJpn/BUoxK0hDuqT5NBisnw3dH&#10;xleGyVcAamoYONAmFFs9D00anYHyBdXcVWIBbyFnVpcXnuMLghlh0x3nmRlCb/+t12Xqzn8CAAD/&#10;/wMAUEsDBBQABgAIAAAAIQBXO6jO4AAAAAsBAAAPAAAAZHJzL2Rvd25yZXYueG1sTI/LTsMwEEX3&#10;SPyDNUhsEHUSiluFTCoEYgG7tkiwdBMTR43HUew8+HuGFSxHc3TvucVucZ2YzBBaTwjpKgFhqPJ1&#10;Sw3C+/HldgsiRE217jwZhG8TYFdeXhQ6r/1MezMdYiM4hEKuEWyMfS5lqKxxOqx8b4h/X35wOvI5&#10;NLIe9MzhrpNZkijpdEvcYHVvnqypzofRIcy9eiP5/LmvpvBhx3AcX8/pDeL11fL4ACKaJf7B8KvP&#10;6lCy08mPVAfRIWTru5RRBJVmPIoJtd5uQJwQNvcqAVkW8v+G8gcAAP//AwBQSwECLQAUAAYACAAA&#10;ACEAtoM4kv4AAADhAQAAEwAAAAAAAAAAAAAAAAAAAAAAW0NvbnRlbnRfVHlwZXNdLnhtbFBLAQIt&#10;ABQABgAIAAAAIQA4/SH/1gAAAJQBAAALAAAAAAAAAAAAAAAAAC8BAABfcmVscy8ucmVsc1BLAQIt&#10;ABQABgAIAAAAIQA0sjYryAIAAL0FAAAOAAAAAAAAAAAAAAAAAC4CAABkcnMvZTJvRG9jLnhtbFBL&#10;AQItABQABgAIAAAAIQBXO6jO4AAAAAsBAAAPAAAAAAAAAAAAAAAAACIFAABkcnMvZG93bnJldi54&#10;bWxQSwUGAAAAAAQABADzAAAALwY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704832" behindDoc="1" locked="0" layoutInCell="1" allowOverlap="1" wp14:anchorId="5B9B2416" wp14:editId="69C43B41">
              <wp:simplePos x="0" y="0"/>
              <wp:positionH relativeFrom="column">
                <wp:posOffset>1543685</wp:posOffset>
              </wp:positionH>
              <wp:positionV relativeFrom="paragraph">
                <wp:posOffset>3886200</wp:posOffset>
              </wp:positionV>
              <wp:extent cx="2575560" cy="914400"/>
              <wp:effectExtent l="0" t="504825" r="33655" b="495300"/>
              <wp:wrapNone/>
              <wp:docPr id="2123"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23" o:spid="_x0000_s1050" type="#_x0000_t202" style="position:absolute;margin-left:121.55pt;margin-top:306pt;width:202.8pt;height:1in;rotation:-3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Z6yAIAAL0FAAAOAAAAZHJzL2Uyb0RvYy54bWysVE2PmzAQvVfqf7C4s3wEkoCWVEk29LJt&#10;V9pUe3awCW4Bu7YTiKr+944NSTbtpWrLwTLj8ZuP9zz37/qmRkcqFeNt5gR3voNoW3DC2n3mfN7m&#10;7txBSuOW4Jq3NHNOVDnvFm/f3HcipSGveE2oRADSqrQTmVNpLVLPU0VFG6zuuKAtHJZcNljDr9x7&#10;ROIO0JvaC31/6nVcEiF5QZUC68Nw6CwsflnSQn8qS0U1qjMHctN2lXbdmdVb3ON0L7GoWDGmgf8i&#10;iwazFoJeoB6wxugg2W9QDSskV7zUdwVvPF6WrKC2Bqgm8H+p5rnCgtpaoDlKXNqk/h9s8fH4JBEj&#10;mRMG4cRBLW6ApS3tNVrxHlkj9KgTKgXXZwHOuocT4NrWq8QjL74q1PJ1hds9XUrJu4piAjkGADea&#10;bSXbkwBsazUBNoQBHYGhwHuFPwRTJtKu+8AJXMEHzW20vpQNkhyuucHcN581QxsRZAT8ni6cmgoK&#10;MIbxLI6ncFTAWRJEEdwxEXFqwAxlQir9nvIGmU3mSNCMRcXHR6UH17OLcQdgsI+7gePvSRBG/ipM&#10;3Hw6n7lRHsVuMvPnrh8kq2TqR0n0kP8woEGUVowQ2j6ylp71FkR/xueo/EEpVnGog5riMLb5Kl4z&#10;krO6Nrkpud+ta4mO2Ah/aNVQy42b5IeWgB2nhrPNuNeY1cPeu83Y9g0acFv9Mo/9WTSZu7NZPHGj&#10;ycZ3V/N87S7XwXQ626zWq01wW/3Gvkz17w2wiViwM1eXDo8xrikD5WfurN6MxAax6X7X2zcQTIw2&#10;jBh3nJxAgR1MhsxR3w5YUlDzoVlz6CdIuJS8eYHRs5QgmeEpGJFs+xcsxagkDeGe6vNksHIy+e7J&#10;+Mow+QJATQ0DB2hCsdXzQNLoDClfUc1dJZbwFnJmdXnNc3xBMCNsueM8M0Po9b/1uk7dxU8AAAD/&#10;/wMAUEsDBBQABgAIAAAAIQBXO6jO4AAAAAsBAAAPAAAAZHJzL2Rvd25yZXYueG1sTI/LTsMwEEX3&#10;SPyDNUhsEHUSiluFTCoEYgG7tkiwdBMTR43HUew8+HuGFSxHc3TvucVucZ2YzBBaTwjpKgFhqPJ1&#10;Sw3C+/HldgsiRE217jwZhG8TYFdeXhQ6r/1MezMdYiM4hEKuEWyMfS5lqKxxOqx8b4h/X35wOvI5&#10;NLIe9MzhrpNZkijpdEvcYHVvnqypzofRIcy9eiP5/LmvpvBhx3AcX8/pDeL11fL4ACKaJf7B8KvP&#10;6lCy08mPVAfRIWTru5RRBJVmPIoJtd5uQJwQNvcqAVkW8v+G8gcAAP//AwBQSwECLQAUAAYACAAA&#10;ACEAtoM4kv4AAADhAQAAEwAAAAAAAAAAAAAAAAAAAAAAW0NvbnRlbnRfVHlwZXNdLnhtbFBLAQIt&#10;ABQABgAIAAAAIQA4/SH/1gAAAJQBAAALAAAAAAAAAAAAAAAAAC8BAABfcmVscy8ucmVsc1BLAQIt&#10;ABQABgAIAAAAIQD1DrZ6yAIAAL0FAAAOAAAAAAAAAAAAAAAAAC4CAABkcnMvZTJvRG9jLnhtbFBL&#10;AQItABQABgAIAAAAIQBXO6jO4AAAAAsBAAAPAAAAAAAAAAAAAAAAACIFAABkcnMvZG93bnJldi54&#10;bWxQSwUGAAAAAAQABADzAAAALwY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710976" behindDoc="1" locked="0" layoutInCell="1" allowOverlap="1" wp14:anchorId="28220F98" wp14:editId="3DBD1209">
              <wp:simplePos x="0" y="0"/>
              <wp:positionH relativeFrom="column">
                <wp:posOffset>1543685</wp:posOffset>
              </wp:positionH>
              <wp:positionV relativeFrom="paragraph">
                <wp:posOffset>3886200</wp:posOffset>
              </wp:positionV>
              <wp:extent cx="2575560" cy="914400"/>
              <wp:effectExtent l="0" t="504825" r="33655" b="495300"/>
              <wp:wrapNone/>
              <wp:docPr id="2126" name="Text Box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26" o:spid="_x0000_s1051" type="#_x0000_t202" style="position:absolute;margin-left:121.55pt;margin-top:306pt;width:202.8pt;height:1in;rotation:-3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MsyAIAAL0FAAAOAAAAZHJzL2Uyb0RvYy54bWysVE2PmzAQvVfqf7C4s3wsJAEtWSXZ0Mu2&#10;XWlT7dnBJrgF7NpOIFr1v3dsSLJpL1VbDpYZj998vOe5u++bGh2oVIy3mRPc+A6ibcEJa3eZ82WT&#10;uzMHKY1bgmve0sw5UuXcz9+/u+tESkNe8ZpQiQCkVWknMqfSWqSep4qKNljdcEFbOCy5bLCGX7nz&#10;iMQdoDe1F/r+xOu4JELygioF1ofh0Jlb/LKkhf5clopqVGcO5KbtKu26Nas3v8PpTmJRsWJMA/9F&#10;Fg1mLQQ9Qz1gjdFest+gGlZIrnipbwreeLwsWUFtDVBN4P9SzXOFBbW1QHOUOLdJ/T/Y4tPhSSJG&#10;MicMwomDWtwASxvaa7TkPbJG6FEnVAquzwKcdQ8nwLWtV4lHXnxTqOWrCrc7upCSdxXFBHIMAG40&#10;20o2RwHY1moCrAkDOgJDgfcGfwimTKRt95ETuIL3mttofSkbJDlcc4OZbz5rhjYiyAj4PZ45NRUU&#10;YAzjaRxP4KiAsySIIrhjIuLUgBnKhFT6A+UNMpvMkaAZi4oPj0oPricX4w7AYB93A8evSRBG/jJM&#10;3Hwym7pRHsVuMvVnrh8ky2TiR0n0kP8woEGUVowQ2j6ylp70FkR/xueo/EEpVnGog5riMLb5Kl4z&#10;krO6NrkpuduuaokO2Ah/aNVQy5Wb5PuWgB2nhrP1uNeY1cPeu87Y9g0acF39Io/9aXQ7c6fT+NaN&#10;bte+u5zlK3exCiaT6Xq5Wq6D6+rX9mWqf2+ATcSCnbg6d3iMcUkZKD9xZ/VmJDaITffb3r6BIDLa&#10;MGLccnIEBXYwGTJHfd9jSUHN+2bFoZ8g4VLy5gVGz0KCZIanYESy6V+wFKOSNIR7qk+TwcrJ5Lsj&#10;4yvD5CsANTUMHKAJxVbPA0mjM6R8QTV3lVjAW8iZ1eUlz/EFwYyw5Y7zzAyht//W6zJ15z8BAAD/&#10;/wMAUEsDBBQABgAIAAAAIQBXO6jO4AAAAAsBAAAPAAAAZHJzL2Rvd25yZXYueG1sTI/LTsMwEEX3&#10;SPyDNUhsEHUSiluFTCoEYgG7tkiwdBMTR43HUew8+HuGFSxHc3TvucVucZ2YzBBaTwjpKgFhqPJ1&#10;Sw3C+/HldgsiRE217jwZhG8TYFdeXhQ6r/1MezMdYiM4hEKuEWyMfS5lqKxxOqx8b4h/X35wOvI5&#10;NLIe9MzhrpNZkijpdEvcYHVvnqypzofRIcy9eiP5/LmvpvBhx3AcX8/pDeL11fL4ACKaJf7B8KvP&#10;6lCy08mPVAfRIWTru5RRBJVmPIoJtd5uQJwQNvcqAVkW8v+G8gcAAP//AwBQSwECLQAUAAYACAAA&#10;ACEAtoM4kv4AAADhAQAAEwAAAAAAAAAAAAAAAAAAAAAAW0NvbnRlbnRfVHlwZXNdLnhtbFBLAQIt&#10;ABQABgAIAAAAIQA4/SH/1gAAAJQBAAALAAAAAAAAAAAAAAAAAC8BAABfcmVscy8ucmVsc1BLAQIt&#10;ABQABgAIAAAAIQCnv0MsyAIAAL0FAAAOAAAAAAAAAAAAAAAAAC4CAABkcnMvZTJvRG9jLnhtbFBL&#10;AQItABQABgAIAAAAIQBXO6jO4AAAAAsBAAAPAAAAAAAAAAAAAAAAACIFAABkcnMvZG93bnJldi54&#10;bWxQSwUGAAAAAAQABADzAAAALwY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717120" behindDoc="1" locked="0" layoutInCell="1" allowOverlap="1" wp14:anchorId="1969B89E" wp14:editId="07DC349B">
              <wp:simplePos x="0" y="0"/>
              <wp:positionH relativeFrom="column">
                <wp:posOffset>1543685</wp:posOffset>
              </wp:positionH>
              <wp:positionV relativeFrom="paragraph">
                <wp:posOffset>3886200</wp:posOffset>
              </wp:positionV>
              <wp:extent cx="2575560" cy="914400"/>
              <wp:effectExtent l="0" t="504825" r="33655" b="495300"/>
              <wp:wrapNone/>
              <wp:docPr id="2129"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29" o:spid="_x0000_s1052" type="#_x0000_t202" style="position:absolute;margin-left:121.55pt;margin-top:306pt;width:202.8pt;height:1in;rotation:-3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REyAIAAL0FAAAOAAAAZHJzL2Uyb0RvYy54bWysVE2PmzAQvVfqf7C4s3wsJAEtWSXZ0Mu2&#10;XWlT7dnBJrgF7NpOIFr1v3dsSLJpL1VbDpYZj998vOe5u++bGh2oVIy3mRPc+A6ibcEJa3eZ82WT&#10;uzMHKY1bgmve0sw5UuXcz9+/u+tESkNe8ZpQiQCkVWknMqfSWqSep4qKNljdcEFbOCy5bLCGX7nz&#10;iMQdoDe1F/r+xOu4JELygioF1ofh0Jlb/LKkhf5clopqVGcO5KbtKu26Nas3v8PpTmJRsWJMA/9F&#10;Fg1mLQQ9Qz1gjdFest+gGlZIrnipbwreeLwsWUFtDVBN4P9SzXOFBbW1QHOUOLdJ/T/Y4tPhSSJG&#10;MicMwsRBLW6ApQ3tNVryHlkj9KgTKgXXZwHOuocT4NrWq8QjL74p1PJVhdsdXUjJu4piAjkGADea&#10;bSWbowBsazUB1oQBHYGhwHuDPwRTJtK2+8gJXMF7zW20vpQNkhyuucHMN581QxsRZAT8Hs+cmgoK&#10;MIbxNI4ncFTAWRJEEdwxEXFqwAxlQir9gfIGmU3mSNCMRcWHR6UH15OLcQdgsI+7gePXJAgjfxkm&#10;bj6ZTd0oj2I3mfoz1w+SZTLxoyR6yH8Y0CBKK0YIbR9ZS096C6I/43NU/qAUqzjUQU1xGNt8Fa8Z&#10;yVldm9yU3G1XtUQHbIQ/tGqo5cpN8n1LwI5Tw9l63GvM6mHvXWds+wYNuK5+kcf+NLqdudNpfOtG&#10;t2vfXc7ylbtYBZPJdL1cLdfBdfVr+zLVvzfAJmLBTlydOzzGuKQMlJ+4s3ozEhvEpvttb99AEBtt&#10;GDFuOTmCAjuYDJmjvu+xpKDmfbPi0E+QcCl58wKjZyFBMsNTMCLZ9C9YilFJGsI91afJYOVk8t2R&#10;8ZVh8hWAmhoGDtCEYqvngaTRGVK+oJq7SizgLeTM6vKS5/iCYEbYcsd5ZobQ23/rdZm6858AAAD/&#10;/wMAUEsDBBQABgAIAAAAIQBXO6jO4AAAAAsBAAAPAAAAZHJzL2Rvd25yZXYueG1sTI/LTsMwEEX3&#10;SPyDNUhsEHUSiluFTCoEYgG7tkiwdBMTR43HUew8+HuGFSxHc3TvucVucZ2YzBBaTwjpKgFhqPJ1&#10;Sw3C+/HldgsiRE217jwZhG8TYFdeXhQ6r/1MezMdYiM4hEKuEWyMfS5lqKxxOqx8b4h/X35wOvI5&#10;NLIe9MzhrpNZkijpdEvcYHVvnqypzofRIcy9eiP5/LmvpvBhx3AcX8/pDeL11fL4ACKaJf7B8KvP&#10;6lCy08mPVAfRIWTru5RRBJVmPIoJtd5uQJwQNvcqAVkW8v+G8gcAAP//AwBQSwECLQAUAAYACAAA&#10;ACEAtoM4kv4AAADhAQAAEwAAAAAAAAAAAAAAAAAAAAAAW0NvbnRlbnRfVHlwZXNdLnhtbFBLAQIt&#10;ABQABgAIAAAAIQA4/SH/1gAAAJQBAAALAAAAAAAAAAAAAAAAAC8BAABfcmVscy8ucmVsc1BLAQIt&#10;ABQABgAIAAAAIQAygsREyAIAAL0FAAAOAAAAAAAAAAAAAAAAAC4CAABkcnMvZTJvRG9jLnhtbFBL&#10;AQItABQABgAIAAAAIQBXO6jO4AAAAAsBAAAPAAAAAAAAAAAAAAAAACIFAABkcnMvZG93bnJldi54&#10;bWxQSwUGAAAAAAQABADzAAAALwY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723264" behindDoc="1" locked="0" layoutInCell="1" allowOverlap="1" wp14:anchorId="25DAE26C" wp14:editId="592D00FB">
              <wp:simplePos x="0" y="0"/>
              <wp:positionH relativeFrom="column">
                <wp:posOffset>1543685</wp:posOffset>
              </wp:positionH>
              <wp:positionV relativeFrom="paragraph">
                <wp:posOffset>3886200</wp:posOffset>
              </wp:positionV>
              <wp:extent cx="2575560" cy="914400"/>
              <wp:effectExtent l="0" t="504825" r="33655" b="495300"/>
              <wp:wrapNone/>
              <wp:docPr id="2132" name="Text Box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32" o:spid="_x0000_s1053" type="#_x0000_t202" style="position:absolute;margin-left:121.55pt;margin-top:306pt;width:202.8pt;height:1in;rotation:-3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Y7yAIAAL0FAAAOAAAAZHJzL2Uyb0RvYy54bWysVE2PmzAQvVfqf7C4s3wEkoCWVEk29LJt&#10;V9pUe3awCW4Bu7YTiKr+944NSTbtpWrLwTLj8ZuP9zz37/qmRkcqFeNt5gR3voNoW3DC2n3mfN7m&#10;7txBSuOW4Jq3NHNOVDnvFm/f3HcipSGveE2oRADSqrQTmVNpLVLPU0VFG6zuuKAtHJZcNljDr9x7&#10;ROIO0JvaC31/6nVcEiF5QZUC68Nw6CwsflnSQn8qS0U1qjMHctN2lXbdmdVb3ON0L7GoWDGmgf8i&#10;iwazFoJeoB6wxugg2W9QDSskV7zUdwVvPF6WrKC2Bqgm8H+p5rnCgtpaoDlKXNqk/h9s8fH4JBEj&#10;mRMGk9BBLW6ApS3tNVrxHlkj9KgTKgXXZwHOuocT4NrWq8QjL74q1PJ1hds9XUrJu4piAjkGADea&#10;bSXbkwBsazUBNoQBHYGhwHuFPwRTJtKu+8AJXMEHzW20vpQNkhyuucHcN581QxsRZAT8ni6cmgoK&#10;MIbxLI6ncFTAWRJEEdwxEXFqwAxlQir9nvIGmU3mSNCMRcXHR6UH17OLcQdgsI+7gePvSRBG/ipM&#10;3Hw6n7lRHsVuMvPnrh8kq2TqR0n0kP8woEGUVowQ2j6ylp71FkR/xueo/EEpVnGog5riMLb5Kl4z&#10;krO6Nrkpud+ta4mO2Ah/aNVQy42b5IeWgB2nhrPNuNeY1cPeu83Y9g0acFv9Mo/9WTSZu7NZPHGj&#10;ycZ3V/N87S7XwXQ626zWq01wW/3Gvkz17w2wiViwM1eXDo8xrikD5WfurN6MxAax6X7X2zcQTI02&#10;jBh3nJxAgR1MhsxR3w5YUlDzoVlz6CdIuJS8eYHRs5QgmeEpGJFs+xcsxagkDeGe6vNksHIy+e7J&#10;+Mow+QJATQ0DB2hCsdXzQNLoDClfUc1dJZbwFnJmdXnNc3xBMCNsueM8M0Po9b/1uk7dxU8AAAD/&#10;/wMAUEsDBBQABgAIAAAAIQBXO6jO4AAAAAsBAAAPAAAAZHJzL2Rvd25yZXYueG1sTI/LTsMwEEX3&#10;SPyDNUhsEHUSiluFTCoEYgG7tkiwdBMTR43HUew8+HuGFSxHc3TvucVucZ2YzBBaTwjpKgFhqPJ1&#10;Sw3C+/HldgsiRE217jwZhG8TYFdeXhQ6r/1MezMdYiM4hEKuEWyMfS5lqKxxOqx8b4h/X35wOvI5&#10;NLIe9MzhrpNZkijpdEvcYHVvnqypzofRIcy9eiP5/LmvpvBhx3AcX8/pDeL11fL4ACKaJf7B8KvP&#10;6lCy08mPVAfRIWTru5RRBJVmPIoJtd5uQJwQNvcqAVkW8v+G8gcAAP//AwBQSwECLQAUAAYACAAA&#10;ACEAtoM4kv4AAADhAQAAEwAAAAAAAAAAAAAAAAAAAAAAW0NvbnRlbnRfVHlwZXNdLnhtbFBLAQIt&#10;ABQABgAIAAAAIQA4/SH/1gAAAJQBAAALAAAAAAAAAAAAAAAAAC8BAABfcmVscy8ucmVsc1BLAQIt&#10;ABQABgAIAAAAIQD1JxY7yAIAAL0FAAAOAAAAAAAAAAAAAAAAAC4CAABkcnMvZTJvRG9jLnhtbFBL&#10;AQItABQABgAIAAAAIQBXO6jO4AAAAAsBAAAPAAAAAAAAAAAAAAAAACIFAABkcnMvZG93bnJldi54&#10;bWxQSwUGAAAAAAQABADzAAAALwY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729408" behindDoc="1" locked="0" layoutInCell="1" allowOverlap="1" wp14:anchorId="2E8B7C6B" wp14:editId="3830E98A">
              <wp:simplePos x="0" y="0"/>
              <wp:positionH relativeFrom="column">
                <wp:posOffset>1543685</wp:posOffset>
              </wp:positionH>
              <wp:positionV relativeFrom="paragraph">
                <wp:posOffset>3886200</wp:posOffset>
              </wp:positionV>
              <wp:extent cx="2575560" cy="914400"/>
              <wp:effectExtent l="0" t="504825" r="33655" b="495300"/>
              <wp:wrapNone/>
              <wp:docPr id="2135" name="Text Box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35" o:spid="_x0000_s1054" type="#_x0000_t202" style="position:absolute;margin-left:121.55pt;margin-top:306pt;width:202.8pt;height:1in;rotation:-30;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5R9xwIAAL0FAAAOAAAAZHJzL2Uyb0RvYy54bWysVE2PmzAQvVfqf7C4s0ACIaAlVZINvWzb&#10;lTbVnh1sglvAru0Eoqr/vWNDkk17qdpysMx4/ObjPc/9u76p0ZFKxXibOcGd7yDaFpywdp85n7e5&#10;O3eQ0rgluOYtzZwTVc67xds3951I6YRXvCZUIgBpVdqJzKm0FqnnqaKiDVZ3XNAWDksuG6zhV+49&#10;InEH6E3tTXx/5nVcEiF5QZUC68Nw6CwsflnSQn8qS0U1qjMHctN2lXbdmdVb3ON0L7GoWDGmgf8i&#10;iwazFoJeoB6wxugg2W9QDSskV7zUdwVvPF6WrKC2Bqgm8H+p5rnCgtpaoDlKXNqk/h9s8fH4JBEj&#10;mTMJppGDWtwAS1vaa7TiPbJG6FEnVAquzwKcdQ8nwLWtV4lHXnxVqOXrCrd7upSSdxXFBHIMAG40&#10;20q2JwHY1moCbAgDOgJDgfcKfwimTKRd94ETuIIPmttofSkbJDlcc4O5bz5rhjYiyAj4PV04NRUU&#10;YJxEcRTN4KiAsyQIQ7hjIuLUgBnKhFT6PeUNMpvMkaAZi4qPj0oPrmcX4w7AYB93A8ffk2AS+qtJ&#10;4uazeeyGeRi5SezPXT9IVsnMD5PwIf9hQIMwrRghtH1kLT3rLQj/jM9R+YNSrOJQBzVFk8jmq3jN&#10;SM7q2uSm5H63riU6YiP8oVVDLTdukh9aAnacGs42415jVg977zZj2zdowG31yzzy43A6d+M4mrrh&#10;dOO7q3m+dpfrYDaLN6v1ahPcVr+xL1P9ewNsIhbszNWlw2OMa8pA+Zk7qzcjsUFsut/19g0EsdGG&#10;EeOOkxMosIPJkDnq2wFLCmo+NGsO/QQJl5I3LzB6lhIkMzwFI5Jt/4KlGJWkIdxTfZ4MVk4m3z0Z&#10;XxkmXwCoqWHgAE0osnoeSBqdIeUrqrmrxBLeQs6sLq95ji8IZoQtd5xnZgi9/rde16m7+Ak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PgblH3HAgAAvQ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735552" behindDoc="1" locked="0" layoutInCell="1" allowOverlap="1" wp14:anchorId="477C36B6" wp14:editId="034BCD52">
              <wp:simplePos x="0" y="0"/>
              <wp:positionH relativeFrom="column">
                <wp:posOffset>1543685</wp:posOffset>
              </wp:positionH>
              <wp:positionV relativeFrom="paragraph">
                <wp:posOffset>3886200</wp:posOffset>
              </wp:positionV>
              <wp:extent cx="2575560" cy="914400"/>
              <wp:effectExtent l="0" t="504825" r="33655" b="495300"/>
              <wp:wrapNone/>
              <wp:docPr id="2138"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38" o:spid="_x0000_s1055" type="#_x0000_t202" style="position:absolute;margin-left:121.55pt;margin-top:306pt;width:202.8pt;height:1in;rotation:-3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2WxwIAAL0FAAAOAAAAZHJzL2Uyb0RvYy54bWysVE2PmzAQvVfqf7C4s3wEQoKWVEk29LJt&#10;V9pUe3awCW4Bu7YTiKr+944NSTbtpWrLwTLj8ZuP9zz37/qmRkcqFeNt5gR3voNoW3DC2n3mfN7m&#10;7sxBSuOW4Jq3NHNOVDnvFm/f3HcipSGveE2oRADSqrQTmVNpLVLPU0VFG6zuuKAtHJZcNljDr9x7&#10;ROIO0JvaC31/6nVcEiF5QZUC68Nw6CwsflnSQn8qS0U1qjMHctN2lXbdmdVb3ON0L7GoWDGmgf8i&#10;iwazFoJeoB6wxugg2W9QDSskV7zUdwVvPF6WrKC2Bqgm8H+p5rnCgtpaoDlKXNqk/h9s8fH4JBEj&#10;mRMGE+CqxQ2wtKW9RiveI2uEHnVCpeD6LMBZ93ACXNt6lXjkxVeFWr6ucLunSyl5V1FMIMcA4Eaz&#10;rWR7EoBtrSbAhjCgIzAUeK/wh2DKRNp1HziBK/iguY3Wl7JBksM1N5j55rNmaCOCjIDf04VTU0EB&#10;xjBO4ngKRwWczYMogjsmIk4NmKFMSKXfU94gs8kcCZqxqPj4qPTgenYx7gAM9nE3cPx9HoSRvwrn&#10;bj6dJW6UR7E7T/yZ6wfz1XzqR/PoIf9hQIMorRghtH1kLT3rLYj+jM9R+YNSrOJQBzXFYWzzVbxm&#10;JGd1bXJTcr9b1xIdsRH+0Kqhlhs3yQ8tATtODWebca8xq4e9d5ux7Rs04Lb6ZR77STSZuUkST9xo&#10;svHd1Sxfu8t1MJ0mm9V6tQluq9/Yl6n+vQE2EQt25urS4THGNWWg/Myd1ZuR2CA23e96+waCmdGG&#10;EeOOkxMosIPJkDnq2wFLCmo+NGsO/QQJl5I3LzB6lhIkMzwFI5Jt/4KlGJWkIdxTfZ4MVk4m3z0Z&#10;XxkmXwCoqWHgAE0otnoeSBqdIeUrqrmrxBLeQs6sLq95ji8IZoQtd5xnZgi9/rde16m7+Ak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FFF/ZbHAgAAvQ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741696" behindDoc="1" locked="0" layoutInCell="1" allowOverlap="1" wp14:anchorId="0E10772B" wp14:editId="28B85ED4">
              <wp:simplePos x="0" y="0"/>
              <wp:positionH relativeFrom="column">
                <wp:posOffset>1543685</wp:posOffset>
              </wp:positionH>
              <wp:positionV relativeFrom="paragraph">
                <wp:posOffset>3886200</wp:posOffset>
              </wp:positionV>
              <wp:extent cx="2575560" cy="914400"/>
              <wp:effectExtent l="0" t="504825" r="33655" b="495300"/>
              <wp:wrapNone/>
              <wp:docPr id="2141" name="Text Box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41" o:spid="_x0000_s1056" type="#_x0000_t202" style="position:absolute;margin-left:121.55pt;margin-top:306pt;width:202.8pt;height:1in;rotation:-3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NrxwIAAL0FAAAOAAAAZHJzL2Uyb0RvYy54bWysVE2PmzAQvVfqf7C4s3wsJAEtWSXZ0Mu2&#10;XWlT7dnBJrgF7NpOIFr1v3dsSLJpL1VbDpYZj998vOe5u++bGh2oVIy3mRPc+A6ibcEJa3eZ82WT&#10;uzMHKY1bgmve0sw5UuXcz9+/u+tESkNe8ZpQiQCkVWknMqfSWqSep4qKNljdcEFbOCy5bLCGX7nz&#10;iMQdoDe1F/r+xOu4JELygioF1ofh0Jlb/LKkhf5clopqVGcO5KbtKu26Nas3v8PpTmJRsWJMA/9F&#10;Fg1mLQQ9Qz1gjdFest+gGlZIrnipbwreeLwsWUFtDVBN4P9SzXOFBbW1QHOUOLdJ/T/Y4tPhSSJG&#10;MicMosBBLW6ApQ3tNVryHlkj9KgTKgXXZwHOuocT4NrWq8QjL74p1PJVhdsdXUjJu4piAjkauNFs&#10;K9kcBWBbqwmwJgzoCAwF3hv8IZgykbbdR07gCt5rbqP1pWyQ5HDNDWa++awZ2oggI+D3eObUVFCA&#10;MYyncTyBowLOkiCK4I6JiFMDZigTUukPlDfIbDJHgmYsKj48Kj24nlyMOwCDfdwNHL8mQRj5yzBx&#10;88ls6kZ5FLvJ1J+5fpAsk4kfJdFD/sOABlFaMUJo+8haetJbEP0Zn6PyB6VYxaEOaorD2OareM1I&#10;zura5KbkbruqJTpgI/yhVUMtV26S71sCdpwaztbjXmNWD3vvOmPbN2jAdfWLPPan0e3MnU7jWze6&#10;Xfvucpav3MUqmEym6+VquQ6uq1/bl6n+vQE2EQt24urc4THGJWWg/MSd1ZuR2CA23W97+waCxGjD&#10;iHHLyREU2MFkyBz1fY8lBTXvmxWHfoKES8mbFxg9CwmSGZ6CEcmmf8FSjErSEO6pPk0GKyeT746M&#10;rwyTrwDU1DBwgCYUWz0PJI3OkPIF1dxVYgFvIWdWl5c8xxcEM8KWO84zM4Te/luvy9Sd/wQ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O7QM2vHAgAAvQ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747840" behindDoc="1" locked="0" layoutInCell="1" allowOverlap="1" wp14:anchorId="441AA9F5" wp14:editId="4DF6E5A8">
              <wp:simplePos x="0" y="0"/>
              <wp:positionH relativeFrom="column">
                <wp:posOffset>1543685</wp:posOffset>
              </wp:positionH>
              <wp:positionV relativeFrom="paragraph">
                <wp:posOffset>3886200</wp:posOffset>
              </wp:positionV>
              <wp:extent cx="2575560" cy="914400"/>
              <wp:effectExtent l="0" t="504825" r="33655" b="495300"/>
              <wp:wrapNone/>
              <wp:docPr id="2144" name="Text Box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44" o:spid="_x0000_s1057" type="#_x0000_t202" style="position:absolute;margin-left:121.55pt;margin-top:306pt;width:202.8pt;height:1in;rotation:-30;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3xgIAAL0FAAAOAAAAZHJzL2Uyb0RvYy54bWysVE2PmzAQvVfqf7C4s3wsJAEtWSXZ0Mu2&#10;XWlT7dnBJrgF7NpOIFr1v3dsSLJpL1VbDpYZj998vOe5u++bGh2oVIy3mRPc+A6ibcEJa3eZ82WT&#10;uzMHKY1bgmve0sw5UuXcz9+/u+tESkNe8ZpQiQCkVWknMqfSWqSep4qKNljdcEFbOCy5bLCGX7nz&#10;iMQdoDe1F/r+xOu4JELygioF1ofh0Jlb/LKkhf5clopqVGcO5KbtKu26Nas3v8PpTmJRsWJMA/9F&#10;Fg1mLQQ9Qz1gjdFest+gGlZIrnipbwreeLwsWUFtDVBN4P9SzXOFBbW1QHOUOLdJ/T/Y4tPhSSJG&#10;MicMoshBLW6ApQ3tNVryHlkj9KgTKgXXZwHOuocT4NrWq8QjL74p1PJVhdsdXUjJu4piAjkGADea&#10;bSWbowBsazUB1oQBHYGhwHuDPwRTJtK2+8gJXMF7zW20vpQNkhyuucHMN581QxsRZAT8Hs+cmgoK&#10;MIbxNI4ncFTAWQI1wh0TEacGzFAmpNIfKG+Q2WSOBM1YVHx4VHpwPbkYdwAG+7gbOH5NgjDyl2Hi&#10;5pPZ1I3yKHaTqT9z/SBZJhM/SqKH/IcBDaK0YoTQ9pG19KS3IPozPkflD0qxikMd1BSHsc1X8ZqR&#10;nNW1yU3J3XZVS3TARvhDq4Zartwk37cE7Dg1nK3HvcasHvbedca2b9CA6+oXeexPo9uZO53Gt250&#10;u/bd5SxfuYtVMJlM18vVch1cV7+2L1P9ewNsIhbsxNW5w2OMS8pA+Yk7qzcjsUFsut/2wxuw2jBi&#10;3HJyBAV2MBkyR33fY0lBzftmxaGfIOFS8uYFRs9CgmSGp2BEsulfsBSjkjSEe6pPk8HKyeS7I+Mr&#10;w+QrADU1DBygCcVWzwNJozOkfEE1d5VYwFvImdXlJc/xBcGMsOWO88wMobf/1usydec/AQAA//8D&#10;AFBLAwQUAAYACAAAACEAVzuozuAAAAALAQAADwAAAGRycy9kb3ducmV2LnhtbEyPy07DMBBF90j8&#10;gzVIbBB1EopbhUwqBGIBu7ZIsHQTE0eNx1HsPPh7hhUsR3N077nFbnGdmMwQWk8I6SoBYajydUsN&#10;wvvx5XYLIkRNte48GYRvE2BXXl4UOq/9THszHWIjOIRCrhFsjH0uZaiscTqsfG+If19+cDryOTSy&#10;HvTM4a6TWZIo6XRL3GB1b56sqc6H0SHMvXoj+fy5r6bwYcdwHF/P6Q3i9dXy+AAimiX+wfCrz+pQ&#10;stPJj1QH0SFk67uUUQSVZjyKCbXebkCcEDb3KgFZFvL/hvIHAAD//wMAUEsBAi0AFAAGAAgAAAAh&#10;ALaDOJL+AAAA4QEAABMAAAAAAAAAAAAAAAAAAAAAAFtDb250ZW50X1R5cGVzXS54bWxQSwECLQAU&#10;AAYACAAAACEAOP0h/9YAAACUAQAACwAAAAAAAAAAAAAAAAAvAQAAX3JlbHMvLnJlbHNQSwECLQAU&#10;AAYACAAAACEApP6ed8YCAAC9BQAADgAAAAAAAAAAAAAAAAAuAgAAZHJzL2Uyb0RvYy54bWxQSwEC&#10;LQAUAAYACAAAACEAVzuozuAAAAALAQAADwAAAAAAAAAAAAAAAAAgBQAAZHJzL2Rvd25yZXYueG1s&#10;UEsFBgAAAAAEAAQA8wAAAC0GA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753984" behindDoc="1" locked="0" layoutInCell="1" allowOverlap="1" wp14:anchorId="13D54D14" wp14:editId="78FAB315">
              <wp:simplePos x="0" y="0"/>
              <wp:positionH relativeFrom="column">
                <wp:posOffset>1543685</wp:posOffset>
              </wp:positionH>
              <wp:positionV relativeFrom="paragraph">
                <wp:posOffset>3886200</wp:posOffset>
              </wp:positionV>
              <wp:extent cx="2575560" cy="914400"/>
              <wp:effectExtent l="0" t="504825" r="33655" b="495300"/>
              <wp:wrapNone/>
              <wp:docPr id="2147"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47" o:spid="_x0000_s1058" type="#_x0000_t202" style="position:absolute;margin-left:121.55pt;margin-top:306pt;width:202.8pt;height:1in;rotation:-30;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4mxgIAAL0FAAAOAAAAZHJzL2Uyb0RvYy54bWysVE2PmzAQvVfqf7C4s0AWQkBLVkk29LJt&#10;V9pUe3awCW4Bu7YTiFb97x0bkmzaS9WWg2XG4zcf73nu7vumRgcqFeNt5gQ3voNoW3DC2l3mfNnk&#10;7sxBSuOW4Jq3NHOOVDn38/fv7jqR0gmveE2oRADSqrQTmVNpLVLPU0VFG6xuuKAtHJZcNljDr9x5&#10;ROIO0Jvam/j+1Ou4JELygioF1ofh0Jlb/LKkhf5clopqVGcO5KbtKu26Nas3v8PpTmJRsWJMA/9F&#10;Fg1mLQQ9Qz1gjdFest+gGlZIrnipbwreeLwsWUFtDVBN4P9SzXOFBbW1QHOUOLdJ/T/Y4tPhSSJG&#10;MmcShLGDWtwASxvaa7TkPbJG6FEnVAquzwKcdQ8nwLWtV4lHXnxTqOWrCrc7upCSdxXFBHIMAG40&#10;20o2RwHY1moCrAkDOgJDgfcGfwimTKRt95ETuIL3mttofSkbJDlcc4OZbz5rhjYiyAj4PZ45NRUU&#10;YJxEcRRN4aiAsyQIQ7hjIuLUgBnKhFT6A+UNMpvMkaAZi4oPj0oPricX4w7AYB93A8evSTAJ/eUk&#10;cfPpLHbDPIzcJPZnrh8ky2Tqh0n4kP8woEGYVowQ2j6ylp70FoR/xueo/EEpVnGog5qiSWTzVbxm&#10;JGd1bXJTcrdd1RIdsBH+0Kqhlis3yfctATtODWfrca8xq4e9d52x7Rs04Lr6RR75cXg7c+M4unXD&#10;27XvLmf5yl2sguk0Xi9Xy3VwXf3avkz17w2wiViwE1fnDo8xLikD5SfurN6MxAax6X7bj2/AaMOI&#10;ccvJERTYwWTIHPV9jyUFNe+bFYd+goRLyZsXGD0LCZIZnoIRyaZ/wVKMStIQ7qk+TQYrJ5Pvjoyv&#10;DJOvANTUMHCAJhRZPQ8kjc6Q8gXV3FViAW8hZ1aXlzzHFwQzwpY7zjMzhN7+W6/L1J3/BAAA//8D&#10;AFBLAwQUAAYACAAAACEAVzuozuAAAAALAQAADwAAAGRycy9kb3ducmV2LnhtbEyPy07DMBBF90j8&#10;gzVIbBB1EopbhUwqBGIBu7ZIsHQTE0eNx1HsPPh7hhUsR3N077nFbnGdmMwQWk8I6SoBYajydUsN&#10;wvvx5XYLIkRNte48GYRvE2BXXl4UOq/9THszHWIjOIRCrhFsjH0uZaiscTqsfG+If19+cDryOTSy&#10;HvTM4a6TWZIo6XRL3GB1b56sqc6H0SHMvXoj+fy5r6bwYcdwHF/P6Q3i9dXy+AAimiX+wfCrz+pQ&#10;stPJj1QH0SFk67uUUQSVZjyKCbXebkCcEDb3KgFZFvL/hvIHAAD//wMAUEsBAi0AFAAGAAgAAAAh&#10;ALaDOJL+AAAA4QEAABMAAAAAAAAAAAAAAAAAAAAAAFtDb250ZW50X1R5cGVzXS54bWxQSwECLQAU&#10;AAYACAAAACEAOP0h/9YAAACUAQAACwAAAAAAAAAAAAAAAAAvAQAAX3JlbHMvLnJlbHNQSwECLQAU&#10;AAYACAAAACEAZUIeJsYCAAC9BQAADgAAAAAAAAAAAAAAAAAuAgAAZHJzL2Uyb0RvYy54bWxQSwEC&#10;LQAUAAYACAAAACEAVzuozuAAAAALAQAADwAAAAAAAAAAAAAAAAAgBQAAZHJzL2Rvd25yZXYueG1s&#10;UEsFBgAAAAAEAAQA8wAAAC0GA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757056" behindDoc="1" locked="0" layoutInCell="1" allowOverlap="1" wp14:anchorId="44B51D05" wp14:editId="73273456">
              <wp:simplePos x="0" y="0"/>
              <wp:positionH relativeFrom="column">
                <wp:posOffset>1543685</wp:posOffset>
              </wp:positionH>
              <wp:positionV relativeFrom="paragraph">
                <wp:posOffset>3886200</wp:posOffset>
              </wp:positionV>
              <wp:extent cx="2575560" cy="914400"/>
              <wp:effectExtent l="0" t="504825" r="33655" b="495300"/>
              <wp:wrapNone/>
              <wp:docPr id="215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50" o:spid="_x0000_s1059" type="#_x0000_t202" style="position:absolute;margin-left:121.55pt;margin-top:306pt;width:202.8pt;height:1in;rotation:-30;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tgxwIAAL0FAAAOAAAAZHJzL2Uyb0RvYy54bWysVE2PmzAQvVfqf7C4s3wsJAEtWSXZ0Mu2&#10;XWlT7dnBJrgF7NpOIFr1v3dsSLJpL1VbDpYZj9+8mXmeu/u+qdGBSsV4mznBje8g2hacsHaXOV82&#10;uTtzkNK4JbjmLc2cI1XO/fz9u7tOpDTkFa8JlQhAWpV2InMqrUXqeaqoaIPVDRe0hcOSywZr+JU7&#10;j0jcAXpTe6HvT7yOSyIkL6hSYH0YDp25xS9LWujPZamoRnXmADdtV2nXrVm9+R1OdxKLihUjDfwX&#10;LBrMWgh6hnrAGqO9ZL9BNayQXPFS3xS88XhZsoLaHCCbwP8lm+cKC2pzgeIocS6T+n+wxafDk0SM&#10;ZE4YxFCgFjfQpQ3tNVryHlkj1KgTKgXXZwHOuocT6LXNV4lHXnxTqOWrCrc7upCSdxXFBDgGADea&#10;bSabowBsazUB1oRBOwLTAu8N/hBMmUjb7iMncAXvNbfR+lI2SHK45gYz33zWDGVEwAjoH889NRkU&#10;YAzjaRxP4KiAsySIIrhjIuLUgJmWCan0B8obZDaZI0EzFhUfHpUeXE8uxh2AwT7uhh6/JkEY+csw&#10;cfPJbOpGeRS7ydSfuX6QLJOJHyXRQ/7DgAZRWjFCaPvIWnrSWxD9WT9H5Q9KsYpDHeQUh7Hlq3jN&#10;SM7q2nBTcrdd1RIdsBH+UKohlys3yfctATtOTc/W415jVg9775qxrRsU4Dr7RR770+h25k6n8a0b&#10;3a59dznLV+5iFUwm0/VytVwH19mv7ctU/14AS8SCnXp1rvAY40IZWn7qndWbkdggNt1v++ENhEYb&#10;RoxbTo6gwA4mQ+ao73ssKah536w41BMkXErevMDoWUiQzPAUjEg2/QuWYlSShnBP9WkyWDkZvjsy&#10;vjJMvgJQU8PAgTah2Op5aNLoDJQvqOauEgt4CzmzurzwHF8QzAib7jjPzBB6+2+9LlN3/hM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PZmy2DHAgAAvQ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r>
      <w:rPr>
        <w:noProof/>
        <w:lang w:eastAsia="en-AU"/>
      </w:rPr>
      <mc:AlternateContent>
        <mc:Choice Requires="wps">
          <w:drawing>
            <wp:anchor distT="0" distB="0" distL="114300" distR="114300" simplePos="0" relativeHeight="251671040" behindDoc="1" locked="0" layoutInCell="1" allowOverlap="1" wp14:anchorId="420FBA2F" wp14:editId="70666920">
              <wp:simplePos x="0" y="0"/>
              <wp:positionH relativeFrom="column">
                <wp:posOffset>1543685</wp:posOffset>
              </wp:positionH>
              <wp:positionV relativeFrom="paragraph">
                <wp:posOffset>3886200</wp:posOffset>
              </wp:positionV>
              <wp:extent cx="2575560" cy="914400"/>
              <wp:effectExtent l="0" t="504825" r="33655" b="495300"/>
              <wp:wrapNone/>
              <wp:docPr id="2153"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2575560" cy="914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53" o:spid="_x0000_s1060" type="#_x0000_t202" style="position:absolute;margin-left:121.55pt;margin-top:306pt;width:202.8pt;height:1in;rotation:-3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ksxxwIAAL0FAAAOAAAAZHJzL2Uyb0RvYy54bWysVE2PmzAQvVfqf7C4s3wEkoCWVEk29LJt&#10;V9pUe3awCW4Bu7YTiKr+944NSTbtpWrLwTLj8ZuP9zz37/qmRkcqFeNt5gR3voNoW3DC2n3mfN7m&#10;7txBSuOW4Jq3NHNOVDnvFm/f3HcipSGveE2oRADSqrQTmVNpLVLPU0VFG6zuuKAtHJZcNljDr9x7&#10;ROIO0JvaC31/6nVcEiF5QZUC68Nw6CwsflnSQn8qS0U1qjMHctN2lXbdmdVb3ON0L7GoWDGmgf8i&#10;iwazFoJeoB6wxugg2W9QDSskV7zUdwVvPF6WrKC2Bqgm8H+p5rnCgtpaoDlKXNqk/h9s8fH4JBEj&#10;mRMG8cRBLW6ApS3tNVrxHlkj9KgTKgXXZwHOuocT4NrWq8QjL74q1PJ1hds9XUrJu4piAjkGADea&#10;bSXbkwBsazUBNoQBHYGhwHuFPwRTJtKu+8AJXMEHzW20vpQNkhyuucHcN581QxsRZAT8ni6cmgoK&#10;MIbxLI6ncFTAWRJEEdwxEXFqwAxlQir9nvIGmU3mSNCMRcXHR6UH17OLcQdgsI+7gePvSRBG/ipM&#10;3Hw6n7lRHsVuMvPnrh8kq2TqR0n0kP8woEGUVowQ2j6ylp71FkR/xueo/EEpVnGog5riMLb5Kl4z&#10;krO6Nrkpud+ta4mO2Ah/aNVQy42b5IeWgB2nhrPNuNeY1cPeu83Y9g0acFv9Mo/9WTSZu7NZPHGj&#10;ycZ3V/N87S7XwXQ626zWq01wW/3Gvkz17w2wiViwM1eXDo8xrikD5WfurN6MxAax6X7XD29gYrRh&#10;xLjj5AQK7GAyZI76dsCSgpoPzZpDP0HCpeTNC4yepQTJDE/BiGTbv2ApRiVpCPdUnyeDlZPJd0/G&#10;V4bJFwBqahg4QBOKrZ4HkkZnSPmKau4qsYS3kDOry2ue4wuCGWHLHeeZGUKv/63XdeoufgIAAP//&#10;AwBQSwMEFAAGAAgAAAAhAFc7qM7gAAAACwEAAA8AAABkcnMvZG93bnJldi54bWxMj8tOwzAQRfdI&#10;/IM1SGwQdRKKW4VMKgRiAbu2SLB0ExNHjcdR7Dz4e4YVLEdzdO+5xW5xnZjMEFpPCOkqAWGo8nVL&#10;DcL78eV2CyJETbXuPBmEbxNgV15eFDqv/Ux7Mx1iIziEQq4RbIx9LmWorHE6rHxviH9ffnA68jk0&#10;sh70zOGuk1mSKOl0S9xgdW+erKnOh9EhzL16I/n8ua+m8GHHcBxfz+kN4vXV8vgAIpol/sHwq8/q&#10;ULLTyY9UB9EhZOu7lFEElWY8igm13m5AnBA29yoBWRby/4byBwAA//8DAFBLAQItABQABgAIAAAA&#10;IQC2gziS/gAAAOEBAAATAAAAAAAAAAAAAAAAAAAAAABbQ29udGVudF9UeXBlc10ueG1sUEsBAi0A&#10;FAAGAAgAAAAhADj9If/WAAAAlAEAAAsAAAAAAAAAAAAAAAAALwEAAF9yZWxzLy5yZWxzUEsBAi0A&#10;FAAGAAgAAAAhADfaSzHHAgAAvQUAAA4AAAAAAAAAAAAAAAAALgIAAGRycy9lMm9Eb2MueG1sUEsB&#10;Ai0AFAAGAAgAAAAhAFc7qM7gAAAACwEAAA8AAAAAAAAAAAAAAAAAIQUAAGRycy9kb3ducmV2Lnht&#10;bFBLBQYAAAAABAAEAPMAAAAuBgAAAAA=&#10;" filled="f" stroked="f">
              <v:stroke joinstyle="round"/>
              <o:lock v:ext="edit" shapetype="t"/>
              <v:textbox style="mso-fit-shape-to-text:t">
                <w:txbxContent>
                  <w:p w:rsidR="003C7754" w:rsidRDefault="003C7754" w:rsidP="00661FCF">
                    <w:pPr>
                      <w:pStyle w:val="NormalWeb"/>
                      <w:spacing w:before="0" w:beforeAutospacing="0" w:after="0" w:afterAutospacing="0"/>
                      <w:jc w:val="center"/>
                      <w:rPr>
                        <w:sz w:val="24"/>
                      </w:rPr>
                    </w:pPr>
                    <w:r>
                      <w:rPr>
                        <w:rFonts w:ascii="EYInterstate" w:hAnsi="EYInterstate"/>
                        <w:color w:val="FFD200"/>
                        <w:sz w:val="88"/>
                        <w:szCs w:val="88"/>
                      </w:rPr>
                      <w:t>draft</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754" w:rsidRDefault="003C7754"/>
  <w:p w:rsidR="003C7754" w:rsidRDefault="003C775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754" w:rsidRDefault="003C7754"/>
  <w:p w:rsidR="003C7754" w:rsidRDefault="003C775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754" w:rsidRDefault="003C7754"/>
  <w:p w:rsidR="003C7754" w:rsidRDefault="003C77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F04F08C"/>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D0D8752A"/>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7B8AED6E"/>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05C514A8"/>
    <w:multiLevelType w:val="multilevel"/>
    <w:tmpl w:val="5FD04144"/>
    <w:lvl w:ilvl="0">
      <w:start w:val="1"/>
      <w:numFmt w:val="decimal"/>
      <w:lvlRestart w:val="0"/>
      <w:lvlText w:val="%1."/>
      <w:lvlJc w:val="left"/>
      <w:pPr>
        <w:tabs>
          <w:tab w:val="num" w:pos="0"/>
        </w:tabs>
        <w:ind w:left="0" w:hanging="850"/>
      </w:pPr>
      <w:rPr>
        <w:rFonts w:ascii="EYInterstate Light" w:hAnsi="EYInterstate Light" w:hint="default"/>
        <w:b/>
        <w:i w:val="0"/>
        <w:color w:val="7F7E82"/>
        <w:sz w:val="32"/>
      </w:rPr>
    </w:lvl>
    <w:lvl w:ilvl="1">
      <w:start w:val="1"/>
      <w:numFmt w:val="decimal"/>
      <w:lvlText w:val="%1.%2"/>
      <w:lvlJc w:val="left"/>
      <w:pPr>
        <w:tabs>
          <w:tab w:val="num" w:pos="0"/>
        </w:tabs>
        <w:ind w:left="0" w:hanging="850"/>
      </w:pPr>
      <w:rPr>
        <w:rFonts w:ascii="EYInterstate Light" w:hAnsi="EYInterstate Light" w:hint="default"/>
        <w:b/>
        <w:i w:val="0"/>
        <w:color w:val="000000"/>
        <w:sz w:val="28"/>
      </w:rPr>
    </w:lvl>
    <w:lvl w:ilvl="2">
      <w:start w:val="1"/>
      <w:numFmt w:val="decimal"/>
      <w:lvlText w:val="%1.%2.%3"/>
      <w:lvlJc w:val="left"/>
      <w:pPr>
        <w:tabs>
          <w:tab w:val="num" w:pos="0"/>
        </w:tabs>
        <w:ind w:left="0"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nsid w:val="05CA428D"/>
    <w:multiLevelType w:val="multilevel"/>
    <w:tmpl w:val="161A230A"/>
    <w:lvl w:ilvl="0">
      <w:start w:val="1"/>
      <w:numFmt w:val="decimal"/>
      <w:pStyle w:val="ListBullet"/>
      <w:lvlText w:val=""/>
      <w:lvlJc w:val="left"/>
      <w:pPr>
        <w:tabs>
          <w:tab w:val="num" w:pos="425"/>
        </w:tabs>
        <w:ind w:left="425" w:hanging="425"/>
      </w:pPr>
      <w:rPr>
        <w:rFonts w:ascii="Wingdings" w:hAnsi="Wingdings" w:hint="default"/>
        <w:color w:val="auto"/>
        <w:sz w:val="18"/>
      </w:rPr>
    </w:lvl>
    <w:lvl w:ilvl="1">
      <w:start w:val="1"/>
      <w:numFmt w:val="lowerLetter"/>
      <w:pStyle w:val="ListBullet2"/>
      <w:lvlText w:val=""/>
      <w:lvlJc w:val="left"/>
      <w:pPr>
        <w:tabs>
          <w:tab w:val="num" w:pos="850"/>
        </w:tabs>
        <w:ind w:left="850" w:hanging="425"/>
      </w:pPr>
      <w:rPr>
        <w:rFonts w:ascii="Symbol" w:hAnsi="Symbol" w:hint="default"/>
        <w:color w:val="auto"/>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6A64528"/>
    <w:multiLevelType w:val="hybridMultilevel"/>
    <w:tmpl w:val="82AA1B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0984408E"/>
    <w:multiLevelType w:val="multilevel"/>
    <w:tmpl w:val="EE3860A0"/>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7">
    <w:nsid w:val="0A9E0840"/>
    <w:multiLevelType w:val="multilevel"/>
    <w:tmpl w:val="BDC27722"/>
    <w:lvl w:ilvl="0">
      <w:start w:val="1"/>
      <w:numFmt w:val="decimal"/>
      <w:pStyle w:val="Tabletitle"/>
      <w:lvlText w:val="Table %1"/>
      <w:lvlJc w:val="left"/>
      <w:pPr>
        <w:ind w:left="360" w:hanging="360"/>
      </w:pPr>
      <w:rPr>
        <w:rFonts w:ascii="Arial Bold" w:hAnsi="Arial Bold" w:cs="Times New Roman" w:hint="default"/>
        <w:b/>
        <w:i w:val="0"/>
        <w:sz w:val="26"/>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nsid w:val="0B421E7C"/>
    <w:multiLevelType w:val="hybridMultilevel"/>
    <w:tmpl w:val="82AA1B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0BEB5C54"/>
    <w:multiLevelType w:val="hybridMultilevel"/>
    <w:tmpl w:val="82AA1B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0E9924F8"/>
    <w:multiLevelType w:val="hybridMultilevel"/>
    <w:tmpl w:val="82AA1B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nsid w:val="0EC4345F"/>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F335229"/>
    <w:multiLevelType w:val="hybridMultilevel"/>
    <w:tmpl w:val="C85AC49E"/>
    <w:lvl w:ilvl="0" w:tplc="86CA6CD2">
      <w:start w:val="1"/>
      <w:numFmt w:val="bullet"/>
      <w:pStyle w:val="EYBulletedtext1"/>
      <w:lvlText w:val="•"/>
      <w:lvlJc w:val="left"/>
      <w:pPr>
        <w:ind w:left="360" w:hanging="360"/>
      </w:pPr>
      <w:rPr>
        <w:rFonts w:ascii="EYInterstate" w:hAnsi="EYInterstate" w:hint="default"/>
        <w:color w:val="FFE600"/>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CEB10F7"/>
    <w:multiLevelType w:val="hybridMultilevel"/>
    <w:tmpl w:val="82AA1B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nsid w:val="205F0C55"/>
    <w:multiLevelType w:val="hybridMultilevel"/>
    <w:tmpl w:val="82AA1B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nsid w:val="23745156"/>
    <w:multiLevelType w:val="hybridMultilevel"/>
    <w:tmpl w:val="82AA1B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nsid w:val="23A821B5"/>
    <w:multiLevelType w:val="hybridMultilevel"/>
    <w:tmpl w:val="109A3F20"/>
    <w:lvl w:ilvl="0" w:tplc="3E1643D8">
      <w:start w:val="1"/>
      <w:numFmt w:val="bullet"/>
      <w:pStyle w:val="EYDate"/>
      <w:lvlText w:val="•"/>
      <w:lvlJc w:val="left"/>
      <w:pPr>
        <w:ind w:left="720" w:hanging="360"/>
      </w:pPr>
      <w:rPr>
        <w:rFonts w:ascii="EYInterstate" w:hAnsi="EYInterstate"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FE616B"/>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64A0F1D"/>
    <w:multiLevelType w:val="multilevel"/>
    <w:tmpl w:val="15F80EE2"/>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nsid w:val="37061300"/>
    <w:multiLevelType w:val="hybridMultilevel"/>
    <w:tmpl w:val="CB065356"/>
    <w:lvl w:ilvl="0" w:tplc="236C64D6">
      <w:start w:val="7"/>
      <w:numFmt w:val="bullet"/>
      <w:lvlText w:val="-"/>
      <w:lvlJc w:val="left"/>
      <w:pPr>
        <w:ind w:left="720" w:hanging="360"/>
      </w:pPr>
      <w:rPr>
        <w:rFonts w:ascii="Cambria" w:eastAsia="Times New Roman" w:hAnsi="Cambria"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DF7851"/>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8E13BDB"/>
    <w:multiLevelType w:val="multilevel"/>
    <w:tmpl w:val="6464D7EC"/>
    <w:lvl w:ilvl="0">
      <w:start w:val="1"/>
      <w:numFmt w:val="bullet"/>
      <w:pStyle w:val="TASBullet1"/>
      <w:lvlText w:val="►"/>
      <w:lvlJc w:val="left"/>
      <w:pPr>
        <w:ind w:left="288" w:hanging="288"/>
      </w:pPr>
      <w:rPr>
        <w:rFonts w:ascii="Arial" w:hAnsi="Arial" w:hint="default"/>
        <w:color w:val="4F81BD" w:themeColor="accent1"/>
        <w:spacing w:val="0"/>
        <w:w w:val="70"/>
        <w:position w:val="0"/>
        <w:sz w:val="20"/>
      </w:rPr>
    </w:lvl>
    <w:lvl w:ilvl="1">
      <w:start w:val="1"/>
      <w:numFmt w:val="none"/>
      <w:pStyle w:val="TASBullet2"/>
      <w:lvlText w:val="–"/>
      <w:lvlJc w:val="left"/>
      <w:pPr>
        <w:ind w:left="576" w:hanging="288"/>
      </w:pPr>
      <w:rPr>
        <w:rFonts w:hint="default"/>
        <w:color w:val="4F81BD"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23">
    <w:nsid w:val="3A3542A7"/>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BF32A1D"/>
    <w:multiLevelType w:val="hybridMultilevel"/>
    <w:tmpl w:val="82AA1B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26">
    <w:nsid w:val="3CAD7C82"/>
    <w:multiLevelType w:val="multilevel"/>
    <w:tmpl w:val="7E005EC6"/>
    <w:lvl w:ilvl="0">
      <w:start w:val="1"/>
      <w:numFmt w:val="bullet"/>
      <w:pStyle w:val="EYBulletedList1"/>
      <w:lvlText w:val="•"/>
      <w:lvlJc w:val="left"/>
      <w:pPr>
        <w:tabs>
          <w:tab w:val="num" w:pos="288"/>
        </w:tabs>
        <w:ind w:left="288" w:hanging="288"/>
      </w:pPr>
      <w:rPr>
        <w:rFonts w:ascii="EYInterstate Light" w:hAnsi="EYInterstate Light" w:hint="default"/>
        <w:b w:val="0"/>
        <w:i w:val="0"/>
        <w:color w:val="auto"/>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E6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E6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27">
    <w:nsid w:val="443A3A2C"/>
    <w:multiLevelType w:val="hybridMultilevel"/>
    <w:tmpl w:val="D6CA8E4A"/>
    <w:lvl w:ilvl="0" w:tplc="6A70D868">
      <w:numFmt w:val="bullet"/>
      <w:lvlText w:val="-"/>
      <w:lvlJc w:val="left"/>
      <w:pPr>
        <w:ind w:left="360" w:hanging="360"/>
      </w:pPr>
      <w:rPr>
        <w:rFonts w:ascii="Arial" w:eastAsia="Times New Roman" w:hAnsi="Arial" w:cs="Arial" w:hint="default"/>
        <w:color w:val="auto"/>
        <w:sz w:val="2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51032E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89A77E8"/>
    <w:multiLevelType w:val="hybridMultilevel"/>
    <w:tmpl w:val="82AA1B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nsid w:val="4BF52D58"/>
    <w:multiLevelType w:val="multilevel"/>
    <w:tmpl w:val="9DD221BA"/>
    <w:styleLink w:val="ParaNumberingArial"/>
    <w:lvl w:ilvl="0">
      <w:start w:val="1"/>
      <w:numFmt w:val="decimal"/>
      <w:lvlRestart w:val="0"/>
      <w:lvlText w:val=""/>
      <w:lvlJc w:val="left"/>
      <w:pPr>
        <w:tabs>
          <w:tab w:val="num" w:pos="0"/>
        </w:tabs>
        <w:ind w:left="0" w:firstLine="0"/>
      </w:pPr>
      <w:rPr>
        <w:rFonts w:ascii="Arial" w:hAnsi="Arial"/>
        <w:b/>
        <w:color w:val="7F7E82"/>
        <w:sz w:val="32"/>
      </w:rPr>
    </w:lvl>
    <w:lvl w:ilvl="1">
      <w:start w:val="1"/>
      <w:numFmt w:val="decimal"/>
      <w:lvlText w:val=""/>
      <w:lvlJc w:val="left"/>
      <w:pPr>
        <w:tabs>
          <w:tab w:val="num" w:pos="0"/>
        </w:tabs>
        <w:ind w:left="0" w:firstLine="0"/>
      </w:pPr>
      <w:rPr>
        <w:rFonts w:ascii="Arial" w:hAnsi="Arial" w:hint="default"/>
        <w:b/>
        <w:color w:val="000000"/>
        <w:sz w:val="28"/>
      </w:rPr>
    </w:lvl>
    <w:lvl w:ilvl="2">
      <w:start w:val="1"/>
      <w:numFmt w:val="decimal"/>
      <w:lvlRestart w:val="1"/>
      <w:lvlText w:val=""/>
      <w:lvlJc w:val="left"/>
      <w:pPr>
        <w:tabs>
          <w:tab w:val="num" w:pos="0"/>
        </w:tabs>
        <w:ind w:left="0" w:firstLine="0"/>
      </w:pPr>
      <w:rPr>
        <w:rFonts w:ascii="Arial" w:hAnsi="Arial" w:hint="default"/>
        <w:b/>
        <w:color w:val="000000"/>
        <w:sz w:val="24"/>
      </w:rPr>
    </w:lvl>
    <w:lvl w:ilvl="3">
      <w:start w:val="1"/>
      <w:numFmt w:val="decimal"/>
      <w:lvlRestart w:val="1"/>
      <w:lvlText w:val=""/>
      <w:lvlJc w:val="left"/>
      <w:pPr>
        <w:tabs>
          <w:tab w:val="num" w:pos="0"/>
        </w:tabs>
        <w:ind w:left="0" w:firstLine="0"/>
      </w:pPr>
      <w:rPr>
        <w:rFonts w:ascii="Arial" w:hAnsi="Arial" w:hint="default"/>
        <w:b/>
        <w:color w:val="000000"/>
        <w:sz w:val="20"/>
      </w:rPr>
    </w:lvl>
    <w:lvl w:ilvl="4">
      <w:start w:val="1"/>
      <w:numFmt w:val="decimal"/>
      <w:lvlRestart w:val="1"/>
      <w:lvlText w:val=""/>
      <w:lvlJc w:val="left"/>
      <w:pPr>
        <w:tabs>
          <w:tab w:val="num" w:pos="0"/>
        </w:tabs>
        <w:ind w:left="0" w:firstLine="0"/>
      </w:pPr>
      <w:rPr>
        <w:rFonts w:ascii="Arial" w:hAnsi="Arial" w:hint="default"/>
        <w:b w:val="0"/>
        <w:color w:val="000000"/>
        <w:sz w:val="20"/>
      </w:rPr>
    </w:lvl>
    <w:lvl w:ilvl="5">
      <w:start w:val="1"/>
      <w:numFmt w:val="none"/>
      <w:lvlText w:val=""/>
      <w:lvlJc w:val="left"/>
      <w:pPr>
        <w:tabs>
          <w:tab w:val="num" w:pos="0"/>
        </w:tabs>
        <w:ind w:left="0" w:firstLine="0"/>
      </w:pPr>
      <w:rPr>
        <w:rFonts w:ascii="Arial" w:hAnsi="Arial" w:hint="default"/>
      </w:rPr>
    </w:lvl>
    <w:lvl w:ilvl="6">
      <w:start w:val="1"/>
      <w:numFmt w:val="none"/>
      <w:lvlText w:val=""/>
      <w:lvlJc w:val="left"/>
      <w:pPr>
        <w:tabs>
          <w:tab w:val="num" w:pos="0"/>
        </w:tabs>
        <w:ind w:left="0" w:firstLine="0"/>
      </w:pPr>
      <w:rPr>
        <w:rFonts w:ascii="Arial" w:hAnsi="Arial" w:hint="default"/>
      </w:rPr>
    </w:lvl>
    <w:lvl w:ilvl="7">
      <w:start w:val="1"/>
      <w:numFmt w:val="none"/>
      <w:lvlText w:val=""/>
      <w:lvlJc w:val="left"/>
      <w:pPr>
        <w:tabs>
          <w:tab w:val="num" w:pos="0"/>
        </w:tabs>
        <w:ind w:left="0" w:firstLine="0"/>
      </w:pPr>
      <w:rPr>
        <w:rFonts w:ascii="Arial" w:hAnsi="Arial" w:hint="default"/>
      </w:rPr>
    </w:lvl>
    <w:lvl w:ilvl="8">
      <w:start w:val="1"/>
      <w:numFmt w:val="none"/>
      <w:lvlText w:val=""/>
      <w:lvlJc w:val="left"/>
      <w:pPr>
        <w:tabs>
          <w:tab w:val="num" w:pos="0"/>
        </w:tabs>
        <w:ind w:left="0" w:firstLine="0"/>
      </w:pPr>
      <w:rPr>
        <w:rFonts w:ascii="Arial" w:hAnsi="Arial" w:hint="default"/>
      </w:rPr>
    </w:lvl>
  </w:abstractNum>
  <w:abstractNum w:abstractNumId="31">
    <w:nsid w:val="4D544453"/>
    <w:multiLevelType w:val="multilevel"/>
    <w:tmpl w:val="AE80EC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00A66A5"/>
    <w:multiLevelType w:val="hybridMultilevel"/>
    <w:tmpl w:val="82AA1B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nsid w:val="501D3CEE"/>
    <w:multiLevelType w:val="multilevel"/>
    <w:tmpl w:val="DE26DC9E"/>
    <w:lvl w:ilvl="0">
      <w:numFmt w:val="none"/>
      <w:lvlText w:val=""/>
      <w:lvlJc w:val="left"/>
      <w:pPr>
        <w:tabs>
          <w:tab w:val="num" w:pos="360"/>
        </w:tabs>
      </w:pPr>
    </w:lvl>
    <w:lvl w:ilvl="1">
      <w:start w:val="1"/>
      <w:numFmt w:val="decimal"/>
      <w:lvlText w:val="%1.%2"/>
      <w:lvlJc w:val="left"/>
      <w:pPr>
        <w:tabs>
          <w:tab w:val="num" w:pos="0"/>
        </w:tabs>
        <w:ind w:left="0" w:hanging="850"/>
      </w:pPr>
      <w:rPr>
        <w:rFonts w:ascii="Arial" w:hAnsi="Arial" w:cs="Arial" w:hint="default"/>
        <w:b/>
        <w:i w:val="0"/>
        <w:color w:val="000000"/>
        <w:sz w:val="28"/>
        <w:szCs w:val="14"/>
      </w:rPr>
    </w:lvl>
    <w:lvl w:ilvl="2">
      <w:start w:val="1"/>
      <w:numFmt w:val="decimal"/>
      <w:lvlText w:val="%1.%2.%3"/>
      <w:lvlJc w:val="left"/>
      <w:pPr>
        <w:tabs>
          <w:tab w:val="num" w:pos="0"/>
        </w:tabs>
        <w:ind w:left="0" w:hanging="850"/>
      </w:pPr>
      <w:rPr>
        <w:rFonts w:hint="default"/>
        <w:b/>
        <w:color w:val="000000"/>
        <w:sz w:val="24"/>
        <w:szCs w:val="14"/>
      </w:rPr>
    </w:lvl>
    <w:lvl w:ilvl="3">
      <w:start w:val="1"/>
      <w:numFmt w:val="decimal"/>
      <w:pStyle w:val="Heading4"/>
      <w:lvlText w:val="%1.%2.%3.%4"/>
      <w:lvlJc w:val="left"/>
      <w:pPr>
        <w:tabs>
          <w:tab w:val="num" w:pos="0"/>
        </w:tabs>
        <w:ind w:left="0" w:hanging="850"/>
      </w:pPr>
      <w:rPr>
        <w:rFonts w:hint="default"/>
        <w:b/>
        <w:color w:val="000000"/>
        <w:sz w:val="20"/>
        <w:szCs w:val="32"/>
      </w:rPr>
    </w:lvl>
    <w:lvl w:ilvl="4">
      <w:start w:val="1"/>
      <w:numFmt w:val="upperLetter"/>
      <w:lvlText w:val="Appendix %5"/>
      <w:lvlJc w:val="left"/>
      <w:pPr>
        <w:tabs>
          <w:tab w:val="num" w:pos="1417"/>
        </w:tabs>
        <w:ind w:left="1417" w:hanging="1417"/>
      </w:pPr>
      <w:rPr>
        <w:rFonts w:hint="default"/>
        <w:b/>
        <w:i w:val="0"/>
        <w:color w:val="7F7E82"/>
        <w:sz w:val="40"/>
        <w:szCs w:val="20"/>
      </w:rPr>
    </w:lvl>
    <w:lvl w:ilvl="5">
      <w:start w:val="1"/>
      <w:numFmt w:val="none"/>
      <w:lvlText w:val=""/>
      <w:lvlJc w:val="left"/>
      <w:pPr>
        <w:tabs>
          <w:tab w:val="num" w:pos="0"/>
        </w:tabs>
        <w:ind w:left="0" w:firstLine="0"/>
      </w:pPr>
      <w:rPr>
        <w:rFonts w:hint="default"/>
        <w:b/>
        <w:color w:val="7F7E82"/>
        <w:sz w:val="32"/>
        <w:szCs w:val="32"/>
      </w:rPr>
    </w:lvl>
    <w:lvl w:ilvl="6">
      <w:start w:val="1"/>
      <w:numFmt w:val="none"/>
      <w:lvlText w:val=""/>
      <w:lvlJc w:val="left"/>
      <w:pPr>
        <w:tabs>
          <w:tab w:val="num" w:pos="0"/>
        </w:tabs>
        <w:ind w:left="0" w:firstLine="0"/>
      </w:pPr>
      <w:rPr>
        <w:rFonts w:hint="default"/>
        <w:color w:val="4367C5"/>
        <w:sz w:val="32"/>
        <w:szCs w:val="32"/>
      </w:rPr>
    </w:lvl>
    <w:lvl w:ilvl="7">
      <w:start w:val="1"/>
      <w:numFmt w:val="none"/>
      <w:lvlText w:val=""/>
      <w:lvlJc w:val="left"/>
      <w:pPr>
        <w:tabs>
          <w:tab w:val="num" w:pos="0"/>
        </w:tabs>
        <w:ind w:left="0" w:firstLine="0"/>
      </w:pPr>
      <w:rPr>
        <w:rFonts w:hint="default"/>
        <w:color w:val="4367C5"/>
      </w:rPr>
    </w:lvl>
    <w:lvl w:ilvl="8">
      <w:start w:val="1"/>
      <w:numFmt w:val="none"/>
      <w:lvlText w:val=""/>
      <w:lvlJc w:val="left"/>
      <w:pPr>
        <w:tabs>
          <w:tab w:val="num" w:pos="0"/>
        </w:tabs>
        <w:ind w:left="0" w:firstLine="0"/>
      </w:pPr>
      <w:rPr>
        <w:rFonts w:hint="default"/>
        <w:color w:val="4367C5"/>
      </w:rPr>
    </w:lvl>
  </w:abstractNum>
  <w:abstractNum w:abstractNumId="34">
    <w:nsid w:val="551C5572"/>
    <w:multiLevelType w:val="multilevel"/>
    <w:tmpl w:val="62CED54A"/>
    <w:lvl w:ilvl="0">
      <w:start w:val="1"/>
      <w:numFmt w:val="bullet"/>
      <w:lvlText w:val="►"/>
      <w:lvlJc w:val="left"/>
      <w:pPr>
        <w:tabs>
          <w:tab w:val="num" w:pos="284"/>
        </w:tabs>
        <w:ind w:left="284" w:hanging="284"/>
      </w:pPr>
      <w:rPr>
        <w:rFonts w:ascii="Arial" w:hAnsi="Arial" w:hint="default"/>
        <w:b w:val="0"/>
        <w:bCs/>
        <w:i w:val="0"/>
        <w:iCs w:val="0"/>
        <w:caps w:val="0"/>
        <w:strike w:val="0"/>
        <w:dstrike w:val="0"/>
        <w:vanish w:val="0"/>
        <w:color w:val="auto"/>
        <w:sz w:val="12"/>
        <w:szCs w:val="12"/>
        <w:u w:color="FFD200"/>
        <w:vertAlign w:val="baseline"/>
      </w:rPr>
    </w:lvl>
    <w:lvl w:ilvl="1">
      <w:start w:val="1"/>
      <w:numFmt w:val="bullet"/>
      <w:lvlText w:val=""/>
      <w:lvlJc w:val="left"/>
      <w:pPr>
        <w:tabs>
          <w:tab w:val="num" w:pos="-426"/>
        </w:tabs>
        <w:ind w:left="-426" w:hanging="283"/>
      </w:pPr>
      <w:rPr>
        <w:rFonts w:ascii="Symbol" w:hAnsi="Symbol" w:hint="default"/>
        <w:b/>
        <w:bCs/>
        <w:i w:val="0"/>
        <w:iCs w:val="0"/>
        <w:color w:val="808080" w:themeColor="background1" w:themeShade="80"/>
        <w:sz w:val="20"/>
        <w:szCs w:val="20"/>
      </w:rPr>
    </w:lvl>
    <w:lvl w:ilvl="2">
      <w:start w:val="1"/>
      <w:numFmt w:val="bullet"/>
      <w:lvlText w:val="•"/>
      <w:lvlJc w:val="left"/>
      <w:pPr>
        <w:tabs>
          <w:tab w:val="num" w:pos="-142"/>
        </w:tabs>
        <w:ind w:left="-142" w:hanging="284"/>
      </w:pPr>
      <w:rPr>
        <w:rFonts w:ascii="Arial" w:hAnsi="Arial" w:hint="default"/>
        <w:b/>
        <w:bCs/>
        <w:i w:val="0"/>
        <w:iCs w:val="0"/>
        <w:color w:val="CCBEB6"/>
        <w:sz w:val="22"/>
        <w:szCs w:val="22"/>
      </w:rPr>
    </w:lvl>
    <w:lvl w:ilvl="3">
      <w:start w:val="1"/>
      <w:numFmt w:val="bullet"/>
      <w:lvlRestart w:val="0"/>
      <w:lvlText w:val="•"/>
      <w:lvlJc w:val="left"/>
      <w:pPr>
        <w:tabs>
          <w:tab w:val="num" w:pos="-766"/>
        </w:tabs>
        <w:ind w:left="-766" w:hanging="227"/>
      </w:pPr>
      <w:rPr>
        <w:rFonts w:ascii="Arial" w:hAnsi="Arial" w:hint="default"/>
        <w:b/>
        <w:bCs/>
        <w:i w:val="0"/>
        <w:iCs w:val="0"/>
        <w:caps w:val="0"/>
        <w:strike w:val="0"/>
        <w:dstrike w:val="0"/>
        <w:vanish w:val="0"/>
        <w:color w:val="5793C9"/>
        <w:sz w:val="22"/>
        <w:szCs w:val="22"/>
        <w:vertAlign w:val="baseline"/>
      </w:rPr>
    </w:lvl>
    <w:lvl w:ilvl="4">
      <w:start w:val="1"/>
      <w:numFmt w:val="bullet"/>
      <w:lvlText w:val="•"/>
      <w:lvlJc w:val="left"/>
      <w:pPr>
        <w:tabs>
          <w:tab w:val="num" w:pos="-539"/>
        </w:tabs>
        <w:ind w:left="-539" w:hanging="227"/>
      </w:pPr>
      <w:rPr>
        <w:rFonts w:ascii="Arial Bold" w:hAnsi="Arial Bold" w:hint="default"/>
        <w:b/>
        <w:bCs/>
        <w:i w:val="0"/>
        <w:iCs w:val="0"/>
        <w:color w:val="A6A6A6" w:themeColor="background1" w:themeShade="A6"/>
        <w:sz w:val="22"/>
        <w:szCs w:val="22"/>
      </w:rPr>
    </w:lvl>
    <w:lvl w:ilvl="5">
      <w:start w:val="1"/>
      <w:numFmt w:val="bullet"/>
      <w:lvlText w:val="•"/>
      <w:lvlJc w:val="left"/>
      <w:pPr>
        <w:tabs>
          <w:tab w:val="num" w:pos="-313"/>
        </w:tabs>
        <w:ind w:left="-313" w:hanging="226"/>
      </w:pPr>
      <w:rPr>
        <w:rFonts w:ascii="Arial" w:hAnsi="Arial" w:hint="default"/>
        <w:b/>
        <w:bCs/>
        <w:i w:val="0"/>
        <w:iCs w:val="0"/>
        <w:color w:val="CCBEB6"/>
        <w:sz w:val="22"/>
        <w:szCs w:val="22"/>
      </w:rPr>
    </w:lvl>
    <w:lvl w:ilvl="6">
      <w:start w:val="1"/>
      <w:numFmt w:val="decimal"/>
      <w:lvlRestart w:val="0"/>
      <w:lvlText w:val="%7"/>
      <w:lvlJc w:val="left"/>
      <w:pPr>
        <w:tabs>
          <w:tab w:val="num" w:pos="-426"/>
        </w:tabs>
        <w:ind w:left="-426" w:hanging="567"/>
      </w:pPr>
      <w:rPr>
        <w:rFonts w:ascii="Arial" w:hAnsi="Arial" w:hint="default"/>
        <w:b w:val="0"/>
        <w:bCs w:val="0"/>
        <w:i w:val="0"/>
        <w:iCs w:val="0"/>
        <w:color w:val="5793C9"/>
        <w:sz w:val="36"/>
        <w:szCs w:val="36"/>
      </w:rPr>
    </w:lvl>
    <w:lvl w:ilvl="7">
      <w:start w:val="1"/>
      <w:numFmt w:val="decimal"/>
      <w:lvlRestart w:val="0"/>
      <w:lvlText w:val="Figure %8"/>
      <w:lvlJc w:val="left"/>
      <w:pPr>
        <w:tabs>
          <w:tab w:val="num" w:pos="141"/>
        </w:tabs>
        <w:ind w:left="141" w:hanging="1134"/>
      </w:pPr>
      <w:rPr>
        <w:rFonts w:ascii="Arial" w:hAnsi="Arial" w:hint="default"/>
        <w:b/>
        <w:i w:val="0"/>
        <w:sz w:val="20"/>
      </w:rPr>
    </w:lvl>
    <w:lvl w:ilvl="8">
      <w:start w:val="1"/>
      <w:numFmt w:val="decimal"/>
      <w:lvlRestart w:val="0"/>
      <w:lvlText w:val="Table %9"/>
      <w:lvlJc w:val="left"/>
      <w:pPr>
        <w:tabs>
          <w:tab w:val="num" w:pos="141"/>
        </w:tabs>
        <w:ind w:left="141" w:hanging="1134"/>
      </w:pPr>
      <w:rPr>
        <w:rFonts w:ascii="Arial" w:hAnsi="Arial" w:hint="default"/>
        <w:b/>
        <w:i w:val="0"/>
        <w:sz w:val="20"/>
      </w:rPr>
    </w:lvl>
  </w:abstractNum>
  <w:abstractNum w:abstractNumId="35">
    <w:nsid w:val="58B277D7"/>
    <w:multiLevelType w:val="multilevel"/>
    <w:tmpl w:val="07B8786A"/>
    <w:name w:val="my list"/>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36">
    <w:nsid w:val="5F686764"/>
    <w:multiLevelType w:val="hybridMultilevel"/>
    <w:tmpl w:val="2C5074C4"/>
    <w:lvl w:ilvl="0" w:tplc="6608A6D4">
      <w:start w:val="1"/>
      <w:numFmt w:val="bullet"/>
      <w:pStyle w:val="TableText-List"/>
      <w:lvlText w:val=""/>
      <w:lvlJc w:val="left"/>
      <w:pPr>
        <w:tabs>
          <w:tab w:val="num" w:pos="142"/>
        </w:tabs>
        <w:ind w:left="142" w:hanging="142"/>
      </w:pPr>
      <w:rPr>
        <w:rFonts w:ascii="Wingdings" w:hAnsi="Wingdings" w:hint="default"/>
      </w:rPr>
    </w:lvl>
    <w:lvl w:ilvl="1" w:tplc="E808144E">
      <w:start w:val="1"/>
      <w:numFmt w:val="bullet"/>
      <w:pStyle w:val="TableText-List2"/>
      <w:lvlText w:val="o"/>
      <w:lvlJc w:val="left"/>
      <w:pPr>
        <w:tabs>
          <w:tab w:val="num" w:pos="164"/>
        </w:tabs>
        <w:ind w:left="164" w:hanging="360"/>
      </w:pPr>
      <w:rPr>
        <w:rFonts w:ascii="Courier New" w:hAnsi="Courier New" w:hint="default"/>
      </w:rPr>
    </w:lvl>
    <w:lvl w:ilvl="2" w:tplc="FFFFFFFF">
      <w:start w:val="1"/>
      <w:numFmt w:val="bullet"/>
      <w:lvlText w:val=""/>
      <w:lvlJc w:val="left"/>
      <w:pPr>
        <w:tabs>
          <w:tab w:val="num" w:pos="884"/>
        </w:tabs>
        <w:ind w:left="884" w:hanging="360"/>
      </w:pPr>
      <w:rPr>
        <w:rFonts w:ascii="Wingdings" w:hAnsi="Wingdings" w:hint="default"/>
      </w:rPr>
    </w:lvl>
    <w:lvl w:ilvl="3" w:tplc="FFFFFFFF" w:tentative="1">
      <w:start w:val="1"/>
      <w:numFmt w:val="bullet"/>
      <w:lvlText w:val=""/>
      <w:lvlJc w:val="left"/>
      <w:pPr>
        <w:tabs>
          <w:tab w:val="num" w:pos="1604"/>
        </w:tabs>
        <w:ind w:left="1604" w:hanging="360"/>
      </w:pPr>
      <w:rPr>
        <w:rFonts w:ascii="Symbol" w:hAnsi="Symbol" w:hint="default"/>
      </w:rPr>
    </w:lvl>
    <w:lvl w:ilvl="4" w:tplc="FFFFFFFF" w:tentative="1">
      <w:start w:val="1"/>
      <w:numFmt w:val="bullet"/>
      <w:lvlText w:val="o"/>
      <w:lvlJc w:val="left"/>
      <w:pPr>
        <w:tabs>
          <w:tab w:val="num" w:pos="2324"/>
        </w:tabs>
        <w:ind w:left="2324" w:hanging="360"/>
      </w:pPr>
      <w:rPr>
        <w:rFonts w:ascii="Courier New" w:hAnsi="Courier New" w:hint="default"/>
      </w:rPr>
    </w:lvl>
    <w:lvl w:ilvl="5" w:tplc="FFFFFFFF" w:tentative="1">
      <w:start w:val="1"/>
      <w:numFmt w:val="bullet"/>
      <w:lvlText w:val=""/>
      <w:lvlJc w:val="left"/>
      <w:pPr>
        <w:tabs>
          <w:tab w:val="num" w:pos="3044"/>
        </w:tabs>
        <w:ind w:left="3044" w:hanging="360"/>
      </w:pPr>
      <w:rPr>
        <w:rFonts w:ascii="Wingdings" w:hAnsi="Wingdings" w:hint="default"/>
      </w:rPr>
    </w:lvl>
    <w:lvl w:ilvl="6" w:tplc="FFFFFFFF" w:tentative="1">
      <w:start w:val="1"/>
      <w:numFmt w:val="bullet"/>
      <w:lvlText w:val=""/>
      <w:lvlJc w:val="left"/>
      <w:pPr>
        <w:tabs>
          <w:tab w:val="num" w:pos="3764"/>
        </w:tabs>
        <w:ind w:left="3764" w:hanging="360"/>
      </w:pPr>
      <w:rPr>
        <w:rFonts w:ascii="Symbol" w:hAnsi="Symbol" w:hint="default"/>
      </w:rPr>
    </w:lvl>
    <w:lvl w:ilvl="7" w:tplc="FFFFFFFF" w:tentative="1">
      <w:start w:val="1"/>
      <w:numFmt w:val="bullet"/>
      <w:lvlText w:val="o"/>
      <w:lvlJc w:val="left"/>
      <w:pPr>
        <w:tabs>
          <w:tab w:val="num" w:pos="4484"/>
        </w:tabs>
        <w:ind w:left="4484" w:hanging="360"/>
      </w:pPr>
      <w:rPr>
        <w:rFonts w:ascii="Courier New" w:hAnsi="Courier New" w:hint="default"/>
      </w:rPr>
    </w:lvl>
    <w:lvl w:ilvl="8" w:tplc="FFFFFFFF" w:tentative="1">
      <w:start w:val="1"/>
      <w:numFmt w:val="bullet"/>
      <w:lvlText w:val=""/>
      <w:lvlJc w:val="left"/>
      <w:pPr>
        <w:tabs>
          <w:tab w:val="num" w:pos="5204"/>
        </w:tabs>
        <w:ind w:left="5204" w:hanging="360"/>
      </w:pPr>
      <w:rPr>
        <w:rFonts w:ascii="Wingdings" w:hAnsi="Wingdings" w:hint="default"/>
      </w:rPr>
    </w:lvl>
  </w:abstractNum>
  <w:abstractNum w:abstractNumId="37">
    <w:nsid w:val="6066617F"/>
    <w:multiLevelType w:val="hybridMultilevel"/>
    <w:tmpl w:val="82AA1B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nsid w:val="60AB5B66"/>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40">
    <w:nsid w:val="723C48AA"/>
    <w:multiLevelType w:val="multilevel"/>
    <w:tmpl w:val="EF0C64EC"/>
    <w:lvl w:ilvl="0">
      <w:start w:val="1"/>
      <w:numFmt w:val="decimal"/>
      <w:lvlRestart w:val="0"/>
      <w:pStyle w:val="EYHeading1"/>
      <w:lvlText w:val="%1."/>
      <w:lvlJc w:val="left"/>
      <w:pPr>
        <w:tabs>
          <w:tab w:val="num" w:pos="850"/>
        </w:tabs>
        <w:ind w:left="850" w:hanging="850"/>
      </w:pPr>
      <w:rPr>
        <w:rFonts w:ascii="EYInterstate Light" w:hAnsi="EYInterstate Light" w:hint="default"/>
        <w:b/>
        <w:i w:val="0"/>
        <w:color w:val="7F7E82"/>
        <w:sz w:val="40"/>
      </w:rPr>
    </w:lvl>
    <w:lvl w:ilvl="1">
      <w:start w:val="1"/>
      <w:numFmt w:val="decimal"/>
      <w:pStyle w:val="EYHeading2"/>
      <w:lvlText w:val="%1.%2"/>
      <w:lvlJc w:val="left"/>
      <w:pPr>
        <w:tabs>
          <w:tab w:val="num" w:pos="850"/>
        </w:tabs>
        <w:ind w:left="850" w:hanging="850"/>
      </w:pPr>
      <w:rPr>
        <w:rFonts w:ascii="EYInterstate Light" w:hAnsi="EYInterstate Light" w:hint="default"/>
        <w:b/>
        <w:i w:val="0"/>
        <w:color w:val="000000"/>
        <w:sz w:val="28"/>
      </w:rPr>
    </w:lvl>
    <w:lvl w:ilvl="2">
      <w:start w:val="1"/>
      <w:numFmt w:val="decimal"/>
      <w:pStyle w:val="EYHeading3"/>
      <w:lvlText w:val="%1.%2.%3"/>
      <w:lvlJc w:val="left"/>
      <w:pPr>
        <w:tabs>
          <w:tab w:val="num" w:pos="850"/>
        </w:tabs>
        <w:ind w:left="850" w:hanging="850"/>
      </w:pPr>
      <w:rPr>
        <w:rFonts w:ascii="EYInterstate Light" w:hAnsi="EYInterstate Light" w:hint="default"/>
        <w:b/>
        <w:i w:val="0"/>
        <w:color w:val="000000"/>
        <w:sz w:val="24"/>
      </w:rPr>
    </w:lvl>
    <w:lvl w:ilvl="3">
      <w:start w:val="1"/>
      <w:numFmt w:val="decimal"/>
      <w:pStyle w:val="EYHeading4"/>
      <w:lvlText w:val="%1.%2.%3.%4"/>
      <w:lvlJc w:val="left"/>
      <w:pPr>
        <w:tabs>
          <w:tab w:val="num" w:pos="850"/>
        </w:tabs>
        <w:ind w:left="850" w:hanging="850"/>
      </w:pPr>
      <w:rPr>
        <w:rFonts w:ascii="EYInterstate" w:hAnsi="EYInterstate" w:hint="default"/>
        <w:b w:val="0"/>
        <w:i/>
        <w:color w:val="000000"/>
        <w:sz w:val="20"/>
      </w:rPr>
    </w:lvl>
    <w:lvl w:ilvl="4">
      <w:start w:val="1"/>
      <w:numFmt w:val="none"/>
      <w:lvlText w:val=""/>
      <w:lvlJc w:val="left"/>
      <w:pPr>
        <w:tabs>
          <w:tab w:val="num" w:pos="850"/>
        </w:tabs>
        <w:ind w:left="850" w:firstLine="0"/>
      </w:pPr>
      <w:rPr>
        <w:rFonts w:hint="default"/>
      </w:rPr>
    </w:lvl>
    <w:lvl w:ilvl="5">
      <w:start w:val="1"/>
      <w:numFmt w:val="none"/>
      <w:lvlText w:val=""/>
      <w:lvlJc w:val="left"/>
      <w:pPr>
        <w:tabs>
          <w:tab w:val="num" w:pos="850"/>
        </w:tabs>
        <w:ind w:left="850" w:firstLine="0"/>
      </w:pPr>
      <w:rPr>
        <w:rFonts w:hint="default"/>
      </w:rPr>
    </w:lvl>
    <w:lvl w:ilvl="6">
      <w:start w:val="1"/>
      <w:numFmt w:val="none"/>
      <w:lvlText w:val=""/>
      <w:lvlJc w:val="left"/>
      <w:pPr>
        <w:tabs>
          <w:tab w:val="num" w:pos="850"/>
        </w:tabs>
        <w:ind w:left="850" w:firstLine="0"/>
      </w:pPr>
      <w:rPr>
        <w:rFonts w:hint="default"/>
      </w:rPr>
    </w:lvl>
    <w:lvl w:ilvl="7">
      <w:start w:val="1"/>
      <w:numFmt w:val="none"/>
      <w:lvlText w:val=""/>
      <w:lvlJc w:val="left"/>
      <w:pPr>
        <w:tabs>
          <w:tab w:val="num" w:pos="850"/>
        </w:tabs>
        <w:ind w:left="850" w:firstLine="0"/>
      </w:pPr>
      <w:rPr>
        <w:rFonts w:hint="default"/>
      </w:rPr>
    </w:lvl>
    <w:lvl w:ilvl="8">
      <w:start w:val="1"/>
      <w:numFmt w:val="none"/>
      <w:lvlText w:val=""/>
      <w:lvlJc w:val="left"/>
      <w:pPr>
        <w:tabs>
          <w:tab w:val="num" w:pos="850"/>
        </w:tabs>
        <w:ind w:left="850" w:firstLine="0"/>
      </w:pPr>
      <w:rPr>
        <w:rFonts w:hint="default"/>
      </w:rPr>
    </w:lvl>
  </w:abstractNum>
  <w:abstractNum w:abstractNumId="41">
    <w:nsid w:val="73A37718"/>
    <w:multiLevelType w:val="multilevel"/>
    <w:tmpl w:val="693C8B66"/>
    <w:lvl w:ilvl="0">
      <w:start w:val="1"/>
      <w:numFmt w:val="bullet"/>
      <w:pStyle w:val="EYTablebullet1"/>
      <w:lvlText w:val="•"/>
      <w:lvlJc w:val="left"/>
      <w:pPr>
        <w:tabs>
          <w:tab w:val="num" w:pos="284"/>
        </w:tabs>
        <w:ind w:left="288" w:hanging="28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42">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3">
    <w:nsid w:val="798F30D8"/>
    <w:multiLevelType w:val="multilevel"/>
    <w:tmpl w:val="7B6C7702"/>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33"/>
  </w:num>
  <w:num w:numId="2">
    <w:abstractNumId w:val="39"/>
  </w:num>
  <w:num w:numId="3">
    <w:abstractNumId w:val="3"/>
  </w:num>
  <w:num w:numId="4">
    <w:abstractNumId w:val="19"/>
  </w:num>
  <w:num w:numId="5">
    <w:abstractNumId w:val="42"/>
  </w:num>
  <w:num w:numId="6">
    <w:abstractNumId w:val="25"/>
  </w:num>
  <w:num w:numId="7">
    <w:abstractNumId w:val="41"/>
  </w:num>
  <w:num w:numId="8">
    <w:abstractNumId w:val="18"/>
  </w:num>
  <w:num w:numId="9">
    <w:abstractNumId w:val="43"/>
  </w:num>
  <w:num w:numId="10">
    <w:abstractNumId w:val="26"/>
  </w:num>
  <w:num w:numId="11">
    <w:abstractNumId w:val="34"/>
  </w:num>
  <w:num w:numId="12">
    <w:abstractNumId w:val="9"/>
  </w:num>
  <w:num w:numId="13">
    <w:abstractNumId w:val="24"/>
  </w:num>
  <w:num w:numId="14">
    <w:abstractNumId w:val="13"/>
  </w:num>
  <w:num w:numId="15">
    <w:abstractNumId w:val="32"/>
  </w:num>
  <w:num w:numId="16">
    <w:abstractNumId w:val="22"/>
  </w:num>
  <w:num w:numId="17">
    <w:abstractNumId w:val="4"/>
  </w:num>
  <w:num w:numId="18">
    <w:abstractNumId w:val="30"/>
  </w:num>
  <w:num w:numId="19">
    <w:abstractNumId w:val="36"/>
  </w:num>
  <w:num w:numId="20">
    <w:abstractNumId w:val="7"/>
  </w:num>
  <w:num w:numId="21">
    <w:abstractNumId w:val="11"/>
  </w:num>
  <w:num w:numId="22">
    <w:abstractNumId w:val="16"/>
  </w:num>
  <w:num w:numId="23">
    <w:abstractNumId w:val="6"/>
  </w:num>
  <w:num w:numId="24">
    <w:abstractNumId w:val="15"/>
  </w:num>
  <w:num w:numId="25">
    <w:abstractNumId w:val="5"/>
  </w:num>
  <w:num w:numId="26">
    <w:abstractNumId w:val="16"/>
    <w:lvlOverride w:ilvl="0">
      <w:startOverride w:val="1"/>
    </w:lvlOverride>
  </w:num>
  <w:num w:numId="27">
    <w:abstractNumId w:val="29"/>
  </w:num>
  <w:num w:numId="28">
    <w:abstractNumId w:val="17"/>
  </w:num>
  <w:num w:numId="29">
    <w:abstractNumId w:val="8"/>
  </w:num>
  <w:num w:numId="30">
    <w:abstractNumId w:val="27"/>
  </w:num>
  <w:num w:numId="31">
    <w:abstractNumId w:val="14"/>
  </w:num>
  <w:num w:numId="32">
    <w:abstractNumId w:val="12"/>
  </w:num>
  <w:num w:numId="33">
    <w:abstractNumId w:val="43"/>
  </w:num>
  <w:num w:numId="34">
    <w:abstractNumId w:val="26"/>
  </w:num>
  <w:num w:numId="35">
    <w:abstractNumId w:val="43"/>
  </w:num>
  <w:num w:numId="36">
    <w:abstractNumId w:val="43"/>
  </w:num>
  <w:num w:numId="37">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21"/>
  </w:num>
  <w:num w:numId="40">
    <w:abstractNumId w:val="28"/>
  </w:num>
  <w:num w:numId="41">
    <w:abstractNumId w:val="43"/>
  </w:num>
  <w:num w:numId="42">
    <w:abstractNumId w:val="37"/>
  </w:num>
  <w:num w:numId="43">
    <w:abstractNumId w:val="23"/>
  </w:num>
  <w:num w:numId="44">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3"/>
  </w:num>
  <w:num w:numId="48">
    <w:abstractNumId w:val="43"/>
  </w:num>
  <w:num w:numId="49">
    <w:abstractNumId w:val="43"/>
  </w:num>
  <w:num w:numId="50">
    <w:abstractNumId w:val="43"/>
  </w:num>
  <w:num w:numId="51">
    <w:abstractNumId w:val="43"/>
  </w:num>
  <w:num w:numId="52">
    <w:abstractNumId w:val="43"/>
  </w:num>
  <w:num w:numId="53">
    <w:abstractNumId w:val="43"/>
  </w:num>
  <w:num w:numId="54">
    <w:abstractNumId w:val="43"/>
  </w:num>
  <w:num w:numId="55">
    <w:abstractNumId w:val="43"/>
  </w:num>
  <w:num w:numId="56">
    <w:abstractNumId w:val="43"/>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num>
  <w:num w:numId="59">
    <w:abstractNumId w:val="43"/>
  </w:num>
  <w:num w:numId="60">
    <w:abstractNumId w:val="10"/>
  </w:num>
  <w:num w:numId="61">
    <w:abstractNumId w:val="43"/>
  </w:num>
  <w:num w:numId="62">
    <w:abstractNumId w:val="39"/>
  </w:num>
  <w:num w:numId="63">
    <w:abstractNumId w:val="39"/>
  </w:num>
  <w:num w:numId="64">
    <w:abstractNumId w:val="2"/>
  </w:num>
  <w:num w:numId="65">
    <w:abstractNumId w:val="1"/>
  </w:num>
  <w:num w:numId="66">
    <w:abstractNumId w:val="0"/>
  </w:num>
  <w:num w:numId="67">
    <w:abstractNumId w:val="40"/>
  </w:num>
  <w:num w:numId="68">
    <w:abstractNumId w:val="40"/>
  </w:num>
  <w:num w:numId="69">
    <w:abstractNumId w:val="40"/>
  </w:num>
  <w:num w:numId="70">
    <w:abstractNumId w:val="40"/>
  </w:num>
  <w:num w:numId="71">
    <w:abstractNumId w:val="2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Full" w:cryptAlgorithmClass="hash" w:cryptAlgorithmType="typeAny" w:cryptAlgorithmSid="4" w:cryptSpinCount="100000" w:hash="8FoaiULrGdvMZ5XhfFWnkz1/h68=" w:salt="V75UwvjThS4pNB+ZXMuQlA=="/>
  <w:defaultTabStop w:val="1077"/>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CE2"/>
    <w:rsid w:val="000003B9"/>
    <w:rsid w:val="000012E0"/>
    <w:rsid w:val="00001D9C"/>
    <w:rsid w:val="00001F56"/>
    <w:rsid w:val="00005E9E"/>
    <w:rsid w:val="0000786F"/>
    <w:rsid w:val="000102DB"/>
    <w:rsid w:val="000107C7"/>
    <w:rsid w:val="00012E5B"/>
    <w:rsid w:val="0001368F"/>
    <w:rsid w:val="000144D2"/>
    <w:rsid w:val="00015020"/>
    <w:rsid w:val="000151A4"/>
    <w:rsid w:val="000155E9"/>
    <w:rsid w:val="00015954"/>
    <w:rsid w:val="00017560"/>
    <w:rsid w:val="0002103A"/>
    <w:rsid w:val="00021AD2"/>
    <w:rsid w:val="000220ED"/>
    <w:rsid w:val="00024A4C"/>
    <w:rsid w:val="000253BD"/>
    <w:rsid w:val="000261F5"/>
    <w:rsid w:val="00031645"/>
    <w:rsid w:val="00031FB0"/>
    <w:rsid w:val="00032A27"/>
    <w:rsid w:val="00032DE2"/>
    <w:rsid w:val="00033BC8"/>
    <w:rsid w:val="0003466D"/>
    <w:rsid w:val="000349AE"/>
    <w:rsid w:val="00035588"/>
    <w:rsid w:val="00036D6E"/>
    <w:rsid w:val="000376D1"/>
    <w:rsid w:val="000412D1"/>
    <w:rsid w:val="00044AF8"/>
    <w:rsid w:val="00044B4B"/>
    <w:rsid w:val="00045212"/>
    <w:rsid w:val="000454E9"/>
    <w:rsid w:val="000458E5"/>
    <w:rsid w:val="00046ADE"/>
    <w:rsid w:val="0004746C"/>
    <w:rsid w:val="00047FF9"/>
    <w:rsid w:val="00052869"/>
    <w:rsid w:val="00052D27"/>
    <w:rsid w:val="00052DD1"/>
    <w:rsid w:val="0005452B"/>
    <w:rsid w:val="00055290"/>
    <w:rsid w:val="000579FD"/>
    <w:rsid w:val="000609FE"/>
    <w:rsid w:val="00062445"/>
    <w:rsid w:val="0006308C"/>
    <w:rsid w:val="00063C31"/>
    <w:rsid w:val="000663EA"/>
    <w:rsid w:val="000701D2"/>
    <w:rsid w:val="00072636"/>
    <w:rsid w:val="00073199"/>
    <w:rsid w:val="00073746"/>
    <w:rsid w:val="000762D0"/>
    <w:rsid w:val="00077280"/>
    <w:rsid w:val="00081121"/>
    <w:rsid w:val="00085EE5"/>
    <w:rsid w:val="00092B20"/>
    <w:rsid w:val="00093D20"/>
    <w:rsid w:val="000946B9"/>
    <w:rsid w:val="0009474F"/>
    <w:rsid w:val="00094DBD"/>
    <w:rsid w:val="00096EC0"/>
    <w:rsid w:val="00097BE4"/>
    <w:rsid w:val="000A0639"/>
    <w:rsid w:val="000A067A"/>
    <w:rsid w:val="000A079B"/>
    <w:rsid w:val="000A13D0"/>
    <w:rsid w:val="000A27C6"/>
    <w:rsid w:val="000A28F3"/>
    <w:rsid w:val="000A39F7"/>
    <w:rsid w:val="000A49E5"/>
    <w:rsid w:val="000A5C4C"/>
    <w:rsid w:val="000A6865"/>
    <w:rsid w:val="000A773A"/>
    <w:rsid w:val="000B01DD"/>
    <w:rsid w:val="000B20F1"/>
    <w:rsid w:val="000B40B2"/>
    <w:rsid w:val="000B447A"/>
    <w:rsid w:val="000B51B0"/>
    <w:rsid w:val="000B5421"/>
    <w:rsid w:val="000B6297"/>
    <w:rsid w:val="000B6EF5"/>
    <w:rsid w:val="000C0239"/>
    <w:rsid w:val="000C0A86"/>
    <w:rsid w:val="000C1021"/>
    <w:rsid w:val="000C311F"/>
    <w:rsid w:val="000C4196"/>
    <w:rsid w:val="000C477F"/>
    <w:rsid w:val="000C499E"/>
    <w:rsid w:val="000C5CA6"/>
    <w:rsid w:val="000C714A"/>
    <w:rsid w:val="000C7738"/>
    <w:rsid w:val="000C7C35"/>
    <w:rsid w:val="000D1D32"/>
    <w:rsid w:val="000D48A1"/>
    <w:rsid w:val="000D4B45"/>
    <w:rsid w:val="000D7126"/>
    <w:rsid w:val="000E0258"/>
    <w:rsid w:val="000E1164"/>
    <w:rsid w:val="000E3478"/>
    <w:rsid w:val="000E3992"/>
    <w:rsid w:val="000E479C"/>
    <w:rsid w:val="000E4A68"/>
    <w:rsid w:val="000E4EBB"/>
    <w:rsid w:val="000E65EF"/>
    <w:rsid w:val="000E71E7"/>
    <w:rsid w:val="000F0295"/>
    <w:rsid w:val="000F0894"/>
    <w:rsid w:val="000F0CD7"/>
    <w:rsid w:val="000F14BE"/>
    <w:rsid w:val="000F40D7"/>
    <w:rsid w:val="000F42A3"/>
    <w:rsid w:val="000F4D6D"/>
    <w:rsid w:val="000F4F3C"/>
    <w:rsid w:val="000F67A7"/>
    <w:rsid w:val="000F7276"/>
    <w:rsid w:val="000F7428"/>
    <w:rsid w:val="00100D06"/>
    <w:rsid w:val="001013E2"/>
    <w:rsid w:val="00104113"/>
    <w:rsid w:val="00104996"/>
    <w:rsid w:val="00104A30"/>
    <w:rsid w:val="00104F1C"/>
    <w:rsid w:val="001053EB"/>
    <w:rsid w:val="001056D0"/>
    <w:rsid w:val="0010571E"/>
    <w:rsid w:val="001076BF"/>
    <w:rsid w:val="00110126"/>
    <w:rsid w:val="00111679"/>
    <w:rsid w:val="00111B7C"/>
    <w:rsid w:val="00111B92"/>
    <w:rsid w:val="00111DAA"/>
    <w:rsid w:val="00111FD0"/>
    <w:rsid w:val="0011226B"/>
    <w:rsid w:val="00113FFC"/>
    <w:rsid w:val="00114743"/>
    <w:rsid w:val="0011539F"/>
    <w:rsid w:val="001178FD"/>
    <w:rsid w:val="001249B8"/>
    <w:rsid w:val="00126F62"/>
    <w:rsid w:val="00131432"/>
    <w:rsid w:val="00131A07"/>
    <w:rsid w:val="0013328E"/>
    <w:rsid w:val="00133B47"/>
    <w:rsid w:val="001343BE"/>
    <w:rsid w:val="00135923"/>
    <w:rsid w:val="00135B50"/>
    <w:rsid w:val="00136130"/>
    <w:rsid w:val="00141475"/>
    <w:rsid w:val="00142A17"/>
    <w:rsid w:val="001431F4"/>
    <w:rsid w:val="001445E2"/>
    <w:rsid w:val="00145D68"/>
    <w:rsid w:val="001476EB"/>
    <w:rsid w:val="00150B53"/>
    <w:rsid w:val="00150BF1"/>
    <w:rsid w:val="00151E1C"/>
    <w:rsid w:val="00153EE9"/>
    <w:rsid w:val="00156127"/>
    <w:rsid w:val="00156151"/>
    <w:rsid w:val="00156574"/>
    <w:rsid w:val="00156D50"/>
    <w:rsid w:val="0015773C"/>
    <w:rsid w:val="0016197A"/>
    <w:rsid w:val="001620B6"/>
    <w:rsid w:val="00162F3B"/>
    <w:rsid w:val="00165767"/>
    <w:rsid w:val="00167784"/>
    <w:rsid w:val="001677DD"/>
    <w:rsid w:val="00170EF7"/>
    <w:rsid w:val="0017183E"/>
    <w:rsid w:val="00173BC9"/>
    <w:rsid w:val="00174111"/>
    <w:rsid w:val="0017417A"/>
    <w:rsid w:val="00174607"/>
    <w:rsid w:val="00176F85"/>
    <w:rsid w:val="0017788A"/>
    <w:rsid w:val="00180B71"/>
    <w:rsid w:val="00181436"/>
    <w:rsid w:val="00181F9C"/>
    <w:rsid w:val="001822DF"/>
    <w:rsid w:val="001829BF"/>
    <w:rsid w:val="001830BA"/>
    <w:rsid w:val="00183DC1"/>
    <w:rsid w:val="001848D1"/>
    <w:rsid w:val="00187B22"/>
    <w:rsid w:val="00190488"/>
    <w:rsid w:val="00194F49"/>
    <w:rsid w:val="001960DB"/>
    <w:rsid w:val="00196679"/>
    <w:rsid w:val="001968D9"/>
    <w:rsid w:val="001A039E"/>
    <w:rsid w:val="001A1650"/>
    <w:rsid w:val="001A21A0"/>
    <w:rsid w:val="001A2F73"/>
    <w:rsid w:val="001A4190"/>
    <w:rsid w:val="001B1577"/>
    <w:rsid w:val="001B47B7"/>
    <w:rsid w:val="001B7413"/>
    <w:rsid w:val="001C316D"/>
    <w:rsid w:val="001C53C9"/>
    <w:rsid w:val="001C575E"/>
    <w:rsid w:val="001C5D11"/>
    <w:rsid w:val="001C7291"/>
    <w:rsid w:val="001D25CA"/>
    <w:rsid w:val="001D2778"/>
    <w:rsid w:val="001D45F4"/>
    <w:rsid w:val="001D4D59"/>
    <w:rsid w:val="001D4FD4"/>
    <w:rsid w:val="001D5301"/>
    <w:rsid w:val="001D554B"/>
    <w:rsid w:val="001D657B"/>
    <w:rsid w:val="001D682A"/>
    <w:rsid w:val="001D7711"/>
    <w:rsid w:val="001E4FD3"/>
    <w:rsid w:val="001E537C"/>
    <w:rsid w:val="001E5C2C"/>
    <w:rsid w:val="001E7246"/>
    <w:rsid w:val="001F4AEE"/>
    <w:rsid w:val="001F607F"/>
    <w:rsid w:val="001F6EF8"/>
    <w:rsid w:val="00205632"/>
    <w:rsid w:val="002056F0"/>
    <w:rsid w:val="0020747D"/>
    <w:rsid w:val="00207730"/>
    <w:rsid w:val="00210B4E"/>
    <w:rsid w:val="0021298C"/>
    <w:rsid w:val="00214FFE"/>
    <w:rsid w:val="00215B69"/>
    <w:rsid w:val="00216760"/>
    <w:rsid w:val="00220843"/>
    <w:rsid w:val="0022285B"/>
    <w:rsid w:val="00225D67"/>
    <w:rsid w:val="002267BD"/>
    <w:rsid w:val="00226FB5"/>
    <w:rsid w:val="00230E89"/>
    <w:rsid w:val="002328A1"/>
    <w:rsid w:val="002338A9"/>
    <w:rsid w:val="00233A07"/>
    <w:rsid w:val="0023639D"/>
    <w:rsid w:val="002400CC"/>
    <w:rsid w:val="0024153D"/>
    <w:rsid w:val="0024156E"/>
    <w:rsid w:val="002469B5"/>
    <w:rsid w:val="002472AF"/>
    <w:rsid w:val="00247F4A"/>
    <w:rsid w:val="002502BD"/>
    <w:rsid w:val="002530CA"/>
    <w:rsid w:val="0025407A"/>
    <w:rsid w:val="002542FD"/>
    <w:rsid w:val="00254884"/>
    <w:rsid w:val="002551DD"/>
    <w:rsid w:val="002555B9"/>
    <w:rsid w:val="002555D5"/>
    <w:rsid w:val="00255E09"/>
    <w:rsid w:val="00255F25"/>
    <w:rsid w:val="002563C9"/>
    <w:rsid w:val="00261387"/>
    <w:rsid w:val="002614B3"/>
    <w:rsid w:val="002619F4"/>
    <w:rsid w:val="00263421"/>
    <w:rsid w:val="0026443C"/>
    <w:rsid w:val="0026445A"/>
    <w:rsid w:val="002653CB"/>
    <w:rsid w:val="002654CF"/>
    <w:rsid w:val="00266626"/>
    <w:rsid w:val="002667DD"/>
    <w:rsid w:val="00266A63"/>
    <w:rsid w:val="00266E43"/>
    <w:rsid w:val="00274E78"/>
    <w:rsid w:val="00276880"/>
    <w:rsid w:val="00276D70"/>
    <w:rsid w:val="002818A7"/>
    <w:rsid w:val="00282CA5"/>
    <w:rsid w:val="002862B3"/>
    <w:rsid w:val="002867BF"/>
    <w:rsid w:val="00287D09"/>
    <w:rsid w:val="00290D84"/>
    <w:rsid w:val="00292B41"/>
    <w:rsid w:val="0029531F"/>
    <w:rsid w:val="00295433"/>
    <w:rsid w:val="002A1B62"/>
    <w:rsid w:val="002A1D72"/>
    <w:rsid w:val="002A20FC"/>
    <w:rsid w:val="002A2308"/>
    <w:rsid w:val="002A298E"/>
    <w:rsid w:val="002A3075"/>
    <w:rsid w:val="002A5CE0"/>
    <w:rsid w:val="002A71DB"/>
    <w:rsid w:val="002A7CCF"/>
    <w:rsid w:val="002A7F94"/>
    <w:rsid w:val="002B0437"/>
    <w:rsid w:val="002B0B1E"/>
    <w:rsid w:val="002B10A0"/>
    <w:rsid w:val="002B271D"/>
    <w:rsid w:val="002B4332"/>
    <w:rsid w:val="002B448C"/>
    <w:rsid w:val="002B5F17"/>
    <w:rsid w:val="002C1B3B"/>
    <w:rsid w:val="002C2179"/>
    <w:rsid w:val="002C2A9B"/>
    <w:rsid w:val="002C4069"/>
    <w:rsid w:val="002C57BD"/>
    <w:rsid w:val="002C62EF"/>
    <w:rsid w:val="002C6504"/>
    <w:rsid w:val="002C7478"/>
    <w:rsid w:val="002C74A0"/>
    <w:rsid w:val="002C7962"/>
    <w:rsid w:val="002C79B8"/>
    <w:rsid w:val="002D0866"/>
    <w:rsid w:val="002D2D8C"/>
    <w:rsid w:val="002D774F"/>
    <w:rsid w:val="002D7D9A"/>
    <w:rsid w:val="002E0A70"/>
    <w:rsid w:val="002E22C3"/>
    <w:rsid w:val="002E741F"/>
    <w:rsid w:val="002E7C18"/>
    <w:rsid w:val="002F07B9"/>
    <w:rsid w:val="002F13A0"/>
    <w:rsid w:val="002F2E35"/>
    <w:rsid w:val="002F2FF1"/>
    <w:rsid w:val="002F40BD"/>
    <w:rsid w:val="002F44ED"/>
    <w:rsid w:val="002F4983"/>
    <w:rsid w:val="002F5255"/>
    <w:rsid w:val="002F579A"/>
    <w:rsid w:val="002F586C"/>
    <w:rsid w:val="002F5970"/>
    <w:rsid w:val="002F6766"/>
    <w:rsid w:val="002F6EEC"/>
    <w:rsid w:val="0030254F"/>
    <w:rsid w:val="00302A2F"/>
    <w:rsid w:val="00302E10"/>
    <w:rsid w:val="00303E76"/>
    <w:rsid w:val="0030666A"/>
    <w:rsid w:val="00307CA2"/>
    <w:rsid w:val="00311810"/>
    <w:rsid w:val="00312578"/>
    <w:rsid w:val="0031314C"/>
    <w:rsid w:val="00313780"/>
    <w:rsid w:val="003148DF"/>
    <w:rsid w:val="00317823"/>
    <w:rsid w:val="00317B53"/>
    <w:rsid w:val="00320967"/>
    <w:rsid w:val="0032114A"/>
    <w:rsid w:val="0032250C"/>
    <w:rsid w:val="0032337B"/>
    <w:rsid w:val="0032342E"/>
    <w:rsid w:val="003237C1"/>
    <w:rsid w:val="00324522"/>
    <w:rsid w:val="00326B07"/>
    <w:rsid w:val="00326F34"/>
    <w:rsid w:val="0032706E"/>
    <w:rsid w:val="00330375"/>
    <w:rsid w:val="00333DED"/>
    <w:rsid w:val="00334C3D"/>
    <w:rsid w:val="003372B4"/>
    <w:rsid w:val="0034028D"/>
    <w:rsid w:val="003404A2"/>
    <w:rsid w:val="0034249A"/>
    <w:rsid w:val="00343366"/>
    <w:rsid w:val="00346AD0"/>
    <w:rsid w:val="00346E56"/>
    <w:rsid w:val="00354998"/>
    <w:rsid w:val="00355071"/>
    <w:rsid w:val="003567B3"/>
    <w:rsid w:val="00357480"/>
    <w:rsid w:val="00360EC7"/>
    <w:rsid w:val="00361A09"/>
    <w:rsid w:val="003637FD"/>
    <w:rsid w:val="003640F8"/>
    <w:rsid w:val="0036617E"/>
    <w:rsid w:val="00367CEB"/>
    <w:rsid w:val="00371B43"/>
    <w:rsid w:val="003748DC"/>
    <w:rsid w:val="00375E1A"/>
    <w:rsid w:val="00376D4E"/>
    <w:rsid w:val="00377E29"/>
    <w:rsid w:val="00381C13"/>
    <w:rsid w:val="00382324"/>
    <w:rsid w:val="00382788"/>
    <w:rsid w:val="003835CA"/>
    <w:rsid w:val="003837F6"/>
    <w:rsid w:val="003845E9"/>
    <w:rsid w:val="003846E2"/>
    <w:rsid w:val="00384B9F"/>
    <w:rsid w:val="0038678D"/>
    <w:rsid w:val="00386A82"/>
    <w:rsid w:val="003952D5"/>
    <w:rsid w:val="00395BD7"/>
    <w:rsid w:val="00396382"/>
    <w:rsid w:val="00396EDE"/>
    <w:rsid w:val="00397640"/>
    <w:rsid w:val="003A1975"/>
    <w:rsid w:val="003A1D14"/>
    <w:rsid w:val="003A227B"/>
    <w:rsid w:val="003A2B0D"/>
    <w:rsid w:val="003A302D"/>
    <w:rsid w:val="003A3A71"/>
    <w:rsid w:val="003A564F"/>
    <w:rsid w:val="003A5949"/>
    <w:rsid w:val="003B0068"/>
    <w:rsid w:val="003B01DB"/>
    <w:rsid w:val="003B41FA"/>
    <w:rsid w:val="003B527F"/>
    <w:rsid w:val="003B6955"/>
    <w:rsid w:val="003C0185"/>
    <w:rsid w:val="003C01E6"/>
    <w:rsid w:val="003C087C"/>
    <w:rsid w:val="003C169B"/>
    <w:rsid w:val="003C2A43"/>
    <w:rsid w:val="003C2B11"/>
    <w:rsid w:val="003C64BC"/>
    <w:rsid w:val="003C7754"/>
    <w:rsid w:val="003D1199"/>
    <w:rsid w:val="003D1EEB"/>
    <w:rsid w:val="003D22D2"/>
    <w:rsid w:val="003D29E8"/>
    <w:rsid w:val="003D5ED1"/>
    <w:rsid w:val="003D71CC"/>
    <w:rsid w:val="003D732F"/>
    <w:rsid w:val="003E2120"/>
    <w:rsid w:val="003E25FF"/>
    <w:rsid w:val="003E713A"/>
    <w:rsid w:val="003E7DCD"/>
    <w:rsid w:val="003F02D1"/>
    <w:rsid w:val="003F02D5"/>
    <w:rsid w:val="003F035A"/>
    <w:rsid w:val="003F2BC2"/>
    <w:rsid w:val="003F49F6"/>
    <w:rsid w:val="004021AC"/>
    <w:rsid w:val="004029AC"/>
    <w:rsid w:val="004041AD"/>
    <w:rsid w:val="004044F8"/>
    <w:rsid w:val="00405769"/>
    <w:rsid w:val="00407CAF"/>
    <w:rsid w:val="00410A66"/>
    <w:rsid w:val="00411FE7"/>
    <w:rsid w:val="00412093"/>
    <w:rsid w:val="00416750"/>
    <w:rsid w:val="004168DA"/>
    <w:rsid w:val="00420C32"/>
    <w:rsid w:val="00420E23"/>
    <w:rsid w:val="00421CE7"/>
    <w:rsid w:val="00421FE7"/>
    <w:rsid w:val="004220F1"/>
    <w:rsid w:val="00422183"/>
    <w:rsid w:val="00422233"/>
    <w:rsid w:val="00423445"/>
    <w:rsid w:val="0042434B"/>
    <w:rsid w:val="0042631D"/>
    <w:rsid w:val="00426351"/>
    <w:rsid w:val="00426EC8"/>
    <w:rsid w:val="0042751D"/>
    <w:rsid w:val="00430ABB"/>
    <w:rsid w:val="00431A84"/>
    <w:rsid w:val="004353C7"/>
    <w:rsid w:val="004356F9"/>
    <w:rsid w:val="0043594B"/>
    <w:rsid w:val="004379F5"/>
    <w:rsid w:val="00440CE9"/>
    <w:rsid w:val="004415C4"/>
    <w:rsid w:val="00442D50"/>
    <w:rsid w:val="0044550B"/>
    <w:rsid w:val="0045022B"/>
    <w:rsid w:val="004516BE"/>
    <w:rsid w:val="00452268"/>
    <w:rsid w:val="0045288B"/>
    <w:rsid w:val="00452C3E"/>
    <w:rsid w:val="00454367"/>
    <w:rsid w:val="00454E48"/>
    <w:rsid w:val="004550B5"/>
    <w:rsid w:val="0045582A"/>
    <w:rsid w:val="00460F54"/>
    <w:rsid w:val="0046188B"/>
    <w:rsid w:val="004626D5"/>
    <w:rsid w:val="00463105"/>
    <w:rsid w:val="00464323"/>
    <w:rsid w:val="00464A6A"/>
    <w:rsid w:val="00464ACD"/>
    <w:rsid w:val="00464F87"/>
    <w:rsid w:val="004661AE"/>
    <w:rsid w:val="00467BEA"/>
    <w:rsid w:val="00474B05"/>
    <w:rsid w:val="00474FDB"/>
    <w:rsid w:val="00475D42"/>
    <w:rsid w:val="004765A6"/>
    <w:rsid w:val="004772E1"/>
    <w:rsid w:val="0047753A"/>
    <w:rsid w:val="00477DFB"/>
    <w:rsid w:val="0048154C"/>
    <w:rsid w:val="0048292F"/>
    <w:rsid w:val="00482D6F"/>
    <w:rsid w:val="004837FE"/>
    <w:rsid w:val="004839B9"/>
    <w:rsid w:val="00483C42"/>
    <w:rsid w:val="00484608"/>
    <w:rsid w:val="00486FB4"/>
    <w:rsid w:val="00486FBF"/>
    <w:rsid w:val="00487BD6"/>
    <w:rsid w:val="00487C3A"/>
    <w:rsid w:val="00490270"/>
    <w:rsid w:val="00490577"/>
    <w:rsid w:val="00490FDA"/>
    <w:rsid w:val="00491361"/>
    <w:rsid w:val="004913A3"/>
    <w:rsid w:val="00494522"/>
    <w:rsid w:val="00496EEA"/>
    <w:rsid w:val="004978A8"/>
    <w:rsid w:val="004A031C"/>
    <w:rsid w:val="004A135E"/>
    <w:rsid w:val="004A31AE"/>
    <w:rsid w:val="004A385C"/>
    <w:rsid w:val="004A3BAF"/>
    <w:rsid w:val="004A49C1"/>
    <w:rsid w:val="004A4F72"/>
    <w:rsid w:val="004A65B2"/>
    <w:rsid w:val="004A6EF3"/>
    <w:rsid w:val="004B21FA"/>
    <w:rsid w:val="004B276B"/>
    <w:rsid w:val="004B3D56"/>
    <w:rsid w:val="004B419C"/>
    <w:rsid w:val="004B5579"/>
    <w:rsid w:val="004B621C"/>
    <w:rsid w:val="004B658E"/>
    <w:rsid w:val="004C254E"/>
    <w:rsid w:val="004C6662"/>
    <w:rsid w:val="004C693E"/>
    <w:rsid w:val="004C6F2C"/>
    <w:rsid w:val="004D1212"/>
    <w:rsid w:val="004D204F"/>
    <w:rsid w:val="004D31A4"/>
    <w:rsid w:val="004D7EDC"/>
    <w:rsid w:val="004E010E"/>
    <w:rsid w:val="004E1D9D"/>
    <w:rsid w:val="004E3A8B"/>
    <w:rsid w:val="004E426A"/>
    <w:rsid w:val="004E46EC"/>
    <w:rsid w:val="004E6464"/>
    <w:rsid w:val="004E69CD"/>
    <w:rsid w:val="004E7908"/>
    <w:rsid w:val="004F0510"/>
    <w:rsid w:val="004F0C6B"/>
    <w:rsid w:val="004F12EF"/>
    <w:rsid w:val="004F22EC"/>
    <w:rsid w:val="004F4038"/>
    <w:rsid w:val="004F44B4"/>
    <w:rsid w:val="004F44BF"/>
    <w:rsid w:val="004F47D5"/>
    <w:rsid w:val="004F7635"/>
    <w:rsid w:val="004F7E64"/>
    <w:rsid w:val="0050040E"/>
    <w:rsid w:val="00500A35"/>
    <w:rsid w:val="00502292"/>
    <w:rsid w:val="00502CE2"/>
    <w:rsid w:val="00503203"/>
    <w:rsid w:val="00503790"/>
    <w:rsid w:val="00504137"/>
    <w:rsid w:val="005070E0"/>
    <w:rsid w:val="00510953"/>
    <w:rsid w:val="005113E9"/>
    <w:rsid w:val="00511700"/>
    <w:rsid w:val="00513398"/>
    <w:rsid w:val="00513A6F"/>
    <w:rsid w:val="0051430B"/>
    <w:rsid w:val="00514D8E"/>
    <w:rsid w:val="005169ED"/>
    <w:rsid w:val="00516D71"/>
    <w:rsid w:val="00516F1D"/>
    <w:rsid w:val="00520170"/>
    <w:rsid w:val="0052345B"/>
    <w:rsid w:val="00523809"/>
    <w:rsid w:val="00525B8D"/>
    <w:rsid w:val="00525C82"/>
    <w:rsid w:val="005264FD"/>
    <w:rsid w:val="00527B6E"/>
    <w:rsid w:val="00527D58"/>
    <w:rsid w:val="0053476B"/>
    <w:rsid w:val="00537280"/>
    <w:rsid w:val="005415B6"/>
    <w:rsid w:val="00541E60"/>
    <w:rsid w:val="005439AA"/>
    <w:rsid w:val="00543A69"/>
    <w:rsid w:val="00543CC4"/>
    <w:rsid w:val="00545789"/>
    <w:rsid w:val="005458D0"/>
    <w:rsid w:val="00545C8C"/>
    <w:rsid w:val="00545F87"/>
    <w:rsid w:val="0054667A"/>
    <w:rsid w:val="005473F9"/>
    <w:rsid w:val="005534D9"/>
    <w:rsid w:val="00553758"/>
    <w:rsid w:val="00554AFE"/>
    <w:rsid w:val="00557132"/>
    <w:rsid w:val="005579AB"/>
    <w:rsid w:val="00557C07"/>
    <w:rsid w:val="00563D18"/>
    <w:rsid w:val="0056662C"/>
    <w:rsid w:val="00567ACB"/>
    <w:rsid w:val="00571118"/>
    <w:rsid w:val="00576BFC"/>
    <w:rsid w:val="00580D7C"/>
    <w:rsid w:val="00581FBE"/>
    <w:rsid w:val="00582CB3"/>
    <w:rsid w:val="00584A0D"/>
    <w:rsid w:val="00585BCC"/>
    <w:rsid w:val="0058659F"/>
    <w:rsid w:val="00590D0E"/>
    <w:rsid w:val="005938A7"/>
    <w:rsid w:val="005949BD"/>
    <w:rsid w:val="005978C4"/>
    <w:rsid w:val="005A1B12"/>
    <w:rsid w:val="005A2922"/>
    <w:rsid w:val="005A36C3"/>
    <w:rsid w:val="005A5DCF"/>
    <w:rsid w:val="005A667F"/>
    <w:rsid w:val="005A727D"/>
    <w:rsid w:val="005B007F"/>
    <w:rsid w:val="005B0A3E"/>
    <w:rsid w:val="005B3645"/>
    <w:rsid w:val="005B367B"/>
    <w:rsid w:val="005B3973"/>
    <w:rsid w:val="005B3E29"/>
    <w:rsid w:val="005B54FE"/>
    <w:rsid w:val="005C0AEE"/>
    <w:rsid w:val="005C11A3"/>
    <w:rsid w:val="005C1BC2"/>
    <w:rsid w:val="005C2D36"/>
    <w:rsid w:val="005C2DA6"/>
    <w:rsid w:val="005C4320"/>
    <w:rsid w:val="005C4512"/>
    <w:rsid w:val="005C65BE"/>
    <w:rsid w:val="005C6AB3"/>
    <w:rsid w:val="005D09E5"/>
    <w:rsid w:val="005D37AE"/>
    <w:rsid w:val="005D40A7"/>
    <w:rsid w:val="005D4419"/>
    <w:rsid w:val="005D561B"/>
    <w:rsid w:val="005D7B1A"/>
    <w:rsid w:val="005E11C4"/>
    <w:rsid w:val="005E25DE"/>
    <w:rsid w:val="005E2AE6"/>
    <w:rsid w:val="005E690E"/>
    <w:rsid w:val="005E6AEF"/>
    <w:rsid w:val="005F15C9"/>
    <w:rsid w:val="005F2CC9"/>
    <w:rsid w:val="005F39A3"/>
    <w:rsid w:val="005F6B03"/>
    <w:rsid w:val="00600C74"/>
    <w:rsid w:val="00602838"/>
    <w:rsid w:val="00602D80"/>
    <w:rsid w:val="00604787"/>
    <w:rsid w:val="0060482D"/>
    <w:rsid w:val="00605C45"/>
    <w:rsid w:val="00605D7D"/>
    <w:rsid w:val="00606F4A"/>
    <w:rsid w:val="006079FA"/>
    <w:rsid w:val="00611D9F"/>
    <w:rsid w:val="00613E0A"/>
    <w:rsid w:val="006142D6"/>
    <w:rsid w:val="006155C8"/>
    <w:rsid w:val="00615A4A"/>
    <w:rsid w:val="00615CA6"/>
    <w:rsid w:val="0061645C"/>
    <w:rsid w:val="00616942"/>
    <w:rsid w:val="00616B99"/>
    <w:rsid w:val="00620572"/>
    <w:rsid w:val="00620BFA"/>
    <w:rsid w:val="00622DC9"/>
    <w:rsid w:val="0062399F"/>
    <w:rsid w:val="00623D7D"/>
    <w:rsid w:val="00626775"/>
    <w:rsid w:val="00631FC1"/>
    <w:rsid w:val="00633380"/>
    <w:rsid w:val="00634199"/>
    <w:rsid w:val="00634F92"/>
    <w:rsid w:val="0063661C"/>
    <w:rsid w:val="00636E6A"/>
    <w:rsid w:val="00637296"/>
    <w:rsid w:val="00640F33"/>
    <w:rsid w:val="00640FB7"/>
    <w:rsid w:val="00644B25"/>
    <w:rsid w:val="006456BF"/>
    <w:rsid w:val="00645A96"/>
    <w:rsid w:val="00645B78"/>
    <w:rsid w:val="00645D25"/>
    <w:rsid w:val="00646969"/>
    <w:rsid w:val="00650C92"/>
    <w:rsid w:val="00651564"/>
    <w:rsid w:val="00651DE8"/>
    <w:rsid w:val="00653EF0"/>
    <w:rsid w:val="00654243"/>
    <w:rsid w:val="006560CE"/>
    <w:rsid w:val="00657160"/>
    <w:rsid w:val="006577F7"/>
    <w:rsid w:val="00661FCF"/>
    <w:rsid w:val="006636EA"/>
    <w:rsid w:val="0066419D"/>
    <w:rsid w:val="00664943"/>
    <w:rsid w:val="006654A2"/>
    <w:rsid w:val="00665E1A"/>
    <w:rsid w:val="00667A26"/>
    <w:rsid w:val="00667C2A"/>
    <w:rsid w:val="00667D50"/>
    <w:rsid w:val="006741C1"/>
    <w:rsid w:val="00674CD8"/>
    <w:rsid w:val="0067532D"/>
    <w:rsid w:val="0067779D"/>
    <w:rsid w:val="006805FC"/>
    <w:rsid w:val="00683941"/>
    <w:rsid w:val="006878C0"/>
    <w:rsid w:val="0068792C"/>
    <w:rsid w:val="0069471D"/>
    <w:rsid w:val="00695921"/>
    <w:rsid w:val="00695FD9"/>
    <w:rsid w:val="006963F6"/>
    <w:rsid w:val="00697103"/>
    <w:rsid w:val="006A0B81"/>
    <w:rsid w:val="006A244B"/>
    <w:rsid w:val="006A3C9F"/>
    <w:rsid w:val="006A571B"/>
    <w:rsid w:val="006A7DDB"/>
    <w:rsid w:val="006B034E"/>
    <w:rsid w:val="006B0E1D"/>
    <w:rsid w:val="006B29AF"/>
    <w:rsid w:val="006B74BE"/>
    <w:rsid w:val="006B7AB5"/>
    <w:rsid w:val="006C1210"/>
    <w:rsid w:val="006C2384"/>
    <w:rsid w:val="006C2586"/>
    <w:rsid w:val="006C30AC"/>
    <w:rsid w:val="006C42DF"/>
    <w:rsid w:val="006C5CD3"/>
    <w:rsid w:val="006C5E30"/>
    <w:rsid w:val="006C6E85"/>
    <w:rsid w:val="006C7DF7"/>
    <w:rsid w:val="006D3E01"/>
    <w:rsid w:val="006E22CB"/>
    <w:rsid w:val="006E3F5D"/>
    <w:rsid w:val="006E4683"/>
    <w:rsid w:val="006E4A8E"/>
    <w:rsid w:val="006E4D0A"/>
    <w:rsid w:val="006E5700"/>
    <w:rsid w:val="006E59B7"/>
    <w:rsid w:val="006E6658"/>
    <w:rsid w:val="006E7F0B"/>
    <w:rsid w:val="006F2025"/>
    <w:rsid w:val="006F2496"/>
    <w:rsid w:val="006F27F4"/>
    <w:rsid w:val="006F5D04"/>
    <w:rsid w:val="006F5ED2"/>
    <w:rsid w:val="006F623E"/>
    <w:rsid w:val="007008C2"/>
    <w:rsid w:val="00700B0D"/>
    <w:rsid w:val="0070149F"/>
    <w:rsid w:val="00701BAA"/>
    <w:rsid w:val="00702F51"/>
    <w:rsid w:val="00703092"/>
    <w:rsid w:val="00703E8A"/>
    <w:rsid w:val="00704498"/>
    <w:rsid w:val="00704A42"/>
    <w:rsid w:val="00705558"/>
    <w:rsid w:val="007071CA"/>
    <w:rsid w:val="007120A8"/>
    <w:rsid w:val="00714CBC"/>
    <w:rsid w:val="00714DD7"/>
    <w:rsid w:val="00715640"/>
    <w:rsid w:val="00715C33"/>
    <w:rsid w:val="00715DB8"/>
    <w:rsid w:val="00716615"/>
    <w:rsid w:val="007207EB"/>
    <w:rsid w:val="00720FBA"/>
    <w:rsid w:val="007211BA"/>
    <w:rsid w:val="00721320"/>
    <w:rsid w:val="00721E33"/>
    <w:rsid w:val="00724E51"/>
    <w:rsid w:val="00726A57"/>
    <w:rsid w:val="00730569"/>
    <w:rsid w:val="0073223F"/>
    <w:rsid w:val="00732521"/>
    <w:rsid w:val="0073420D"/>
    <w:rsid w:val="007348D8"/>
    <w:rsid w:val="00735B5D"/>
    <w:rsid w:val="007362B1"/>
    <w:rsid w:val="00737AB9"/>
    <w:rsid w:val="00737D4E"/>
    <w:rsid w:val="007400EF"/>
    <w:rsid w:val="00741457"/>
    <w:rsid w:val="00741CF4"/>
    <w:rsid w:val="0074254D"/>
    <w:rsid w:val="007433FB"/>
    <w:rsid w:val="007441D7"/>
    <w:rsid w:val="00744202"/>
    <w:rsid w:val="007460C1"/>
    <w:rsid w:val="007475D5"/>
    <w:rsid w:val="007477DB"/>
    <w:rsid w:val="00750DE1"/>
    <w:rsid w:val="00750FED"/>
    <w:rsid w:val="007513A5"/>
    <w:rsid w:val="00753FBB"/>
    <w:rsid w:val="0075437D"/>
    <w:rsid w:val="007552B7"/>
    <w:rsid w:val="00756128"/>
    <w:rsid w:val="007568BC"/>
    <w:rsid w:val="007604B5"/>
    <w:rsid w:val="00760FAC"/>
    <w:rsid w:val="00761431"/>
    <w:rsid w:val="007619B0"/>
    <w:rsid w:val="00761F22"/>
    <w:rsid w:val="00762F0C"/>
    <w:rsid w:val="00763232"/>
    <w:rsid w:val="00765396"/>
    <w:rsid w:val="007654B8"/>
    <w:rsid w:val="00765938"/>
    <w:rsid w:val="007659D3"/>
    <w:rsid w:val="00766A74"/>
    <w:rsid w:val="007677D0"/>
    <w:rsid w:val="007700E5"/>
    <w:rsid w:val="0077101A"/>
    <w:rsid w:val="00771628"/>
    <w:rsid w:val="007721B9"/>
    <w:rsid w:val="00774B1D"/>
    <w:rsid w:val="007777A1"/>
    <w:rsid w:val="00780EEF"/>
    <w:rsid w:val="0078148B"/>
    <w:rsid w:val="00782226"/>
    <w:rsid w:val="00783C89"/>
    <w:rsid w:val="00784C12"/>
    <w:rsid w:val="00785E0A"/>
    <w:rsid w:val="00786D10"/>
    <w:rsid w:val="00787239"/>
    <w:rsid w:val="00787509"/>
    <w:rsid w:val="007912D1"/>
    <w:rsid w:val="00791486"/>
    <w:rsid w:val="00793A70"/>
    <w:rsid w:val="00794FA3"/>
    <w:rsid w:val="00796164"/>
    <w:rsid w:val="007A22D4"/>
    <w:rsid w:val="007A2BD8"/>
    <w:rsid w:val="007A4C20"/>
    <w:rsid w:val="007A4FB0"/>
    <w:rsid w:val="007A5244"/>
    <w:rsid w:val="007A7869"/>
    <w:rsid w:val="007B0701"/>
    <w:rsid w:val="007B2196"/>
    <w:rsid w:val="007B258A"/>
    <w:rsid w:val="007B5D77"/>
    <w:rsid w:val="007B7368"/>
    <w:rsid w:val="007C0864"/>
    <w:rsid w:val="007C21BB"/>
    <w:rsid w:val="007C3A6A"/>
    <w:rsid w:val="007C3DC6"/>
    <w:rsid w:val="007C4898"/>
    <w:rsid w:val="007C4E38"/>
    <w:rsid w:val="007C757F"/>
    <w:rsid w:val="007D0D92"/>
    <w:rsid w:val="007D3057"/>
    <w:rsid w:val="007D3397"/>
    <w:rsid w:val="007E016A"/>
    <w:rsid w:val="007E0B9C"/>
    <w:rsid w:val="007E16CD"/>
    <w:rsid w:val="007E2099"/>
    <w:rsid w:val="007E5987"/>
    <w:rsid w:val="007E6A4E"/>
    <w:rsid w:val="007F2A1F"/>
    <w:rsid w:val="007F3479"/>
    <w:rsid w:val="007F3B8C"/>
    <w:rsid w:val="007F66DD"/>
    <w:rsid w:val="008003CC"/>
    <w:rsid w:val="008005C1"/>
    <w:rsid w:val="00800C59"/>
    <w:rsid w:val="00801505"/>
    <w:rsid w:val="00802792"/>
    <w:rsid w:val="00802BCC"/>
    <w:rsid w:val="008115A9"/>
    <w:rsid w:val="00811D77"/>
    <w:rsid w:val="008128CE"/>
    <w:rsid w:val="0081319E"/>
    <w:rsid w:val="00820007"/>
    <w:rsid w:val="008202C6"/>
    <w:rsid w:val="00820A85"/>
    <w:rsid w:val="00822F3A"/>
    <w:rsid w:val="00822F52"/>
    <w:rsid w:val="008260CB"/>
    <w:rsid w:val="00830A44"/>
    <w:rsid w:val="008312CA"/>
    <w:rsid w:val="008318E7"/>
    <w:rsid w:val="00831F1B"/>
    <w:rsid w:val="00832F9C"/>
    <w:rsid w:val="00833B09"/>
    <w:rsid w:val="00834F27"/>
    <w:rsid w:val="00836FC5"/>
    <w:rsid w:val="00837FE4"/>
    <w:rsid w:val="008401C2"/>
    <w:rsid w:val="008408F1"/>
    <w:rsid w:val="0084148D"/>
    <w:rsid w:val="0084190A"/>
    <w:rsid w:val="00841A0C"/>
    <w:rsid w:val="00843556"/>
    <w:rsid w:val="00844F25"/>
    <w:rsid w:val="008467E9"/>
    <w:rsid w:val="00846BD6"/>
    <w:rsid w:val="008475C3"/>
    <w:rsid w:val="00850A8D"/>
    <w:rsid w:val="008524B2"/>
    <w:rsid w:val="0085251D"/>
    <w:rsid w:val="008525FA"/>
    <w:rsid w:val="00853C06"/>
    <w:rsid w:val="0085466B"/>
    <w:rsid w:val="008552E7"/>
    <w:rsid w:val="00855A0C"/>
    <w:rsid w:val="00856574"/>
    <w:rsid w:val="00856779"/>
    <w:rsid w:val="00856E5F"/>
    <w:rsid w:val="00857B09"/>
    <w:rsid w:val="00857ED0"/>
    <w:rsid w:val="0086080C"/>
    <w:rsid w:val="0086100B"/>
    <w:rsid w:val="00861BFA"/>
    <w:rsid w:val="0086286E"/>
    <w:rsid w:val="00862E02"/>
    <w:rsid w:val="008633CA"/>
    <w:rsid w:val="0086419E"/>
    <w:rsid w:val="008660EE"/>
    <w:rsid w:val="008733F6"/>
    <w:rsid w:val="0087427C"/>
    <w:rsid w:val="00874BE0"/>
    <w:rsid w:val="008761FD"/>
    <w:rsid w:val="008771A7"/>
    <w:rsid w:val="00877BCA"/>
    <w:rsid w:val="00880590"/>
    <w:rsid w:val="0088136B"/>
    <w:rsid w:val="008817B8"/>
    <w:rsid w:val="00882737"/>
    <w:rsid w:val="008900EA"/>
    <w:rsid w:val="008912B9"/>
    <w:rsid w:val="0089174D"/>
    <w:rsid w:val="0089204E"/>
    <w:rsid w:val="0089264C"/>
    <w:rsid w:val="00892B00"/>
    <w:rsid w:val="008945CE"/>
    <w:rsid w:val="00895089"/>
    <w:rsid w:val="008951FD"/>
    <w:rsid w:val="00895674"/>
    <w:rsid w:val="00895849"/>
    <w:rsid w:val="0089661F"/>
    <w:rsid w:val="008A2959"/>
    <w:rsid w:val="008A2B83"/>
    <w:rsid w:val="008A2FCB"/>
    <w:rsid w:val="008A3AC9"/>
    <w:rsid w:val="008A4F8B"/>
    <w:rsid w:val="008A6206"/>
    <w:rsid w:val="008B073C"/>
    <w:rsid w:val="008B1342"/>
    <w:rsid w:val="008B13F7"/>
    <w:rsid w:val="008B1A30"/>
    <w:rsid w:val="008B1BDC"/>
    <w:rsid w:val="008B457A"/>
    <w:rsid w:val="008B4B5A"/>
    <w:rsid w:val="008B519C"/>
    <w:rsid w:val="008B7080"/>
    <w:rsid w:val="008C0D54"/>
    <w:rsid w:val="008C247F"/>
    <w:rsid w:val="008C268C"/>
    <w:rsid w:val="008C4150"/>
    <w:rsid w:val="008C4E5F"/>
    <w:rsid w:val="008C5434"/>
    <w:rsid w:val="008C670E"/>
    <w:rsid w:val="008C6EA9"/>
    <w:rsid w:val="008C7E23"/>
    <w:rsid w:val="008D194C"/>
    <w:rsid w:val="008D33B1"/>
    <w:rsid w:val="008D41EC"/>
    <w:rsid w:val="008D5558"/>
    <w:rsid w:val="008D7E06"/>
    <w:rsid w:val="008E179B"/>
    <w:rsid w:val="008E2554"/>
    <w:rsid w:val="008E3591"/>
    <w:rsid w:val="008E379A"/>
    <w:rsid w:val="008E3D43"/>
    <w:rsid w:val="008E52E5"/>
    <w:rsid w:val="008E58A5"/>
    <w:rsid w:val="008E6077"/>
    <w:rsid w:val="008E6CD0"/>
    <w:rsid w:val="008E7274"/>
    <w:rsid w:val="008E7B79"/>
    <w:rsid w:val="008E7C8E"/>
    <w:rsid w:val="008F08C7"/>
    <w:rsid w:val="008F11FA"/>
    <w:rsid w:val="008F12A8"/>
    <w:rsid w:val="008F1929"/>
    <w:rsid w:val="008F2FB3"/>
    <w:rsid w:val="008F3A56"/>
    <w:rsid w:val="008F4A0D"/>
    <w:rsid w:val="008F68CE"/>
    <w:rsid w:val="008F7E98"/>
    <w:rsid w:val="00900CA2"/>
    <w:rsid w:val="00902293"/>
    <w:rsid w:val="00902448"/>
    <w:rsid w:val="009024D2"/>
    <w:rsid w:val="00904C4A"/>
    <w:rsid w:val="00904DEE"/>
    <w:rsid w:val="00906387"/>
    <w:rsid w:val="00906667"/>
    <w:rsid w:val="00907F62"/>
    <w:rsid w:val="00910FE5"/>
    <w:rsid w:val="00911300"/>
    <w:rsid w:val="00914262"/>
    <w:rsid w:val="009145DD"/>
    <w:rsid w:val="00914F84"/>
    <w:rsid w:val="00915481"/>
    <w:rsid w:val="00916875"/>
    <w:rsid w:val="00921408"/>
    <w:rsid w:val="009245F2"/>
    <w:rsid w:val="00924BED"/>
    <w:rsid w:val="00927FEC"/>
    <w:rsid w:val="00930147"/>
    <w:rsid w:val="00930B25"/>
    <w:rsid w:val="0093148F"/>
    <w:rsid w:val="00931CB2"/>
    <w:rsid w:val="00931CBF"/>
    <w:rsid w:val="009320CC"/>
    <w:rsid w:val="00933744"/>
    <w:rsid w:val="00934784"/>
    <w:rsid w:val="00934A66"/>
    <w:rsid w:val="00940396"/>
    <w:rsid w:val="009405BC"/>
    <w:rsid w:val="00940ABA"/>
    <w:rsid w:val="00943064"/>
    <w:rsid w:val="0094378E"/>
    <w:rsid w:val="00944184"/>
    <w:rsid w:val="009443DB"/>
    <w:rsid w:val="00945F41"/>
    <w:rsid w:val="009468D9"/>
    <w:rsid w:val="009474A6"/>
    <w:rsid w:val="009516FB"/>
    <w:rsid w:val="00952875"/>
    <w:rsid w:val="0095528D"/>
    <w:rsid w:val="00955E63"/>
    <w:rsid w:val="00956A0A"/>
    <w:rsid w:val="00961C63"/>
    <w:rsid w:val="009623A0"/>
    <w:rsid w:val="0096301B"/>
    <w:rsid w:val="0096309E"/>
    <w:rsid w:val="00963668"/>
    <w:rsid w:val="009649E6"/>
    <w:rsid w:val="00965BD8"/>
    <w:rsid w:val="0096764E"/>
    <w:rsid w:val="00967D6E"/>
    <w:rsid w:val="0097010D"/>
    <w:rsid w:val="00970583"/>
    <w:rsid w:val="00971B68"/>
    <w:rsid w:val="009729DA"/>
    <w:rsid w:val="009730C9"/>
    <w:rsid w:val="00981B6B"/>
    <w:rsid w:val="00981C21"/>
    <w:rsid w:val="009820ED"/>
    <w:rsid w:val="009827C8"/>
    <w:rsid w:val="00982A37"/>
    <w:rsid w:val="00982A8A"/>
    <w:rsid w:val="00982B8E"/>
    <w:rsid w:val="00983891"/>
    <w:rsid w:val="00985E52"/>
    <w:rsid w:val="009878A2"/>
    <w:rsid w:val="00990A64"/>
    <w:rsid w:val="0099129A"/>
    <w:rsid w:val="00994E0C"/>
    <w:rsid w:val="009956A1"/>
    <w:rsid w:val="009A04AC"/>
    <w:rsid w:val="009A15E7"/>
    <w:rsid w:val="009A1609"/>
    <w:rsid w:val="009A47E8"/>
    <w:rsid w:val="009A58DB"/>
    <w:rsid w:val="009A6611"/>
    <w:rsid w:val="009B39E7"/>
    <w:rsid w:val="009B43B7"/>
    <w:rsid w:val="009B53CF"/>
    <w:rsid w:val="009B6A06"/>
    <w:rsid w:val="009C0D99"/>
    <w:rsid w:val="009C182E"/>
    <w:rsid w:val="009C6EA1"/>
    <w:rsid w:val="009D002F"/>
    <w:rsid w:val="009D08DA"/>
    <w:rsid w:val="009D36FF"/>
    <w:rsid w:val="009D4375"/>
    <w:rsid w:val="009D4650"/>
    <w:rsid w:val="009D6A94"/>
    <w:rsid w:val="009D73D3"/>
    <w:rsid w:val="009D7725"/>
    <w:rsid w:val="009E0AEA"/>
    <w:rsid w:val="009E1556"/>
    <w:rsid w:val="009E1A47"/>
    <w:rsid w:val="009E1FC1"/>
    <w:rsid w:val="009E28AD"/>
    <w:rsid w:val="009E299D"/>
    <w:rsid w:val="009E2DA8"/>
    <w:rsid w:val="009E4095"/>
    <w:rsid w:val="009E6F2C"/>
    <w:rsid w:val="009E7736"/>
    <w:rsid w:val="009F0B6F"/>
    <w:rsid w:val="009F10D4"/>
    <w:rsid w:val="009F3917"/>
    <w:rsid w:val="009F499C"/>
    <w:rsid w:val="009F5057"/>
    <w:rsid w:val="009F73F4"/>
    <w:rsid w:val="009F79C7"/>
    <w:rsid w:val="009F7B1A"/>
    <w:rsid w:val="009F7DFD"/>
    <w:rsid w:val="00A00415"/>
    <w:rsid w:val="00A02C4C"/>
    <w:rsid w:val="00A02C7C"/>
    <w:rsid w:val="00A05027"/>
    <w:rsid w:val="00A10AB7"/>
    <w:rsid w:val="00A10DAA"/>
    <w:rsid w:val="00A119C3"/>
    <w:rsid w:val="00A11FAB"/>
    <w:rsid w:val="00A13E3D"/>
    <w:rsid w:val="00A143B0"/>
    <w:rsid w:val="00A1446D"/>
    <w:rsid w:val="00A149C4"/>
    <w:rsid w:val="00A14B2F"/>
    <w:rsid w:val="00A20B49"/>
    <w:rsid w:val="00A21144"/>
    <w:rsid w:val="00A21B51"/>
    <w:rsid w:val="00A228FD"/>
    <w:rsid w:val="00A236F5"/>
    <w:rsid w:val="00A23C40"/>
    <w:rsid w:val="00A256E6"/>
    <w:rsid w:val="00A263F8"/>
    <w:rsid w:val="00A26889"/>
    <w:rsid w:val="00A273F3"/>
    <w:rsid w:val="00A3126E"/>
    <w:rsid w:val="00A3174F"/>
    <w:rsid w:val="00A32650"/>
    <w:rsid w:val="00A33EDB"/>
    <w:rsid w:val="00A3403D"/>
    <w:rsid w:val="00A345D8"/>
    <w:rsid w:val="00A34601"/>
    <w:rsid w:val="00A34651"/>
    <w:rsid w:val="00A34847"/>
    <w:rsid w:val="00A35D3E"/>
    <w:rsid w:val="00A363B5"/>
    <w:rsid w:val="00A371D7"/>
    <w:rsid w:val="00A40EA2"/>
    <w:rsid w:val="00A41353"/>
    <w:rsid w:val="00A47D60"/>
    <w:rsid w:val="00A50733"/>
    <w:rsid w:val="00A517B6"/>
    <w:rsid w:val="00A52BFF"/>
    <w:rsid w:val="00A53054"/>
    <w:rsid w:val="00A54A46"/>
    <w:rsid w:val="00A5524E"/>
    <w:rsid w:val="00A56838"/>
    <w:rsid w:val="00A6018D"/>
    <w:rsid w:val="00A6084E"/>
    <w:rsid w:val="00A60E16"/>
    <w:rsid w:val="00A62870"/>
    <w:rsid w:val="00A647C2"/>
    <w:rsid w:val="00A64A0C"/>
    <w:rsid w:val="00A660C4"/>
    <w:rsid w:val="00A67F20"/>
    <w:rsid w:val="00A71C6C"/>
    <w:rsid w:val="00A72E69"/>
    <w:rsid w:val="00A738E7"/>
    <w:rsid w:val="00A73C10"/>
    <w:rsid w:val="00A7566E"/>
    <w:rsid w:val="00A75BED"/>
    <w:rsid w:val="00A827B4"/>
    <w:rsid w:val="00A831F3"/>
    <w:rsid w:val="00A84EEF"/>
    <w:rsid w:val="00A856D6"/>
    <w:rsid w:val="00A85F5C"/>
    <w:rsid w:val="00A86EA6"/>
    <w:rsid w:val="00A87EB2"/>
    <w:rsid w:val="00A9654D"/>
    <w:rsid w:val="00A96DB4"/>
    <w:rsid w:val="00A972BE"/>
    <w:rsid w:val="00AA437D"/>
    <w:rsid w:val="00AA5571"/>
    <w:rsid w:val="00AA565D"/>
    <w:rsid w:val="00AA5E86"/>
    <w:rsid w:val="00AA6276"/>
    <w:rsid w:val="00AA6ABF"/>
    <w:rsid w:val="00AA7886"/>
    <w:rsid w:val="00AB25FC"/>
    <w:rsid w:val="00AB2B51"/>
    <w:rsid w:val="00AB2CFA"/>
    <w:rsid w:val="00AB2F47"/>
    <w:rsid w:val="00AC0824"/>
    <w:rsid w:val="00AC0D18"/>
    <w:rsid w:val="00AC19A6"/>
    <w:rsid w:val="00AC2C0B"/>
    <w:rsid w:val="00AC4F73"/>
    <w:rsid w:val="00AC523F"/>
    <w:rsid w:val="00AC589B"/>
    <w:rsid w:val="00AC70B4"/>
    <w:rsid w:val="00AD083A"/>
    <w:rsid w:val="00AD1A91"/>
    <w:rsid w:val="00AD336D"/>
    <w:rsid w:val="00AD4084"/>
    <w:rsid w:val="00AD6236"/>
    <w:rsid w:val="00AD6683"/>
    <w:rsid w:val="00AE03E5"/>
    <w:rsid w:val="00AE1D29"/>
    <w:rsid w:val="00AE20D7"/>
    <w:rsid w:val="00AE20FA"/>
    <w:rsid w:val="00AE2BDB"/>
    <w:rsid w:val="00AE30D9"/>
    <w:rsid w:val="00AE3645"/>
    <w:rsid w:val="00AE5BE1"/>
    <w:rsid w:val="00AE6672"/>
    <w:rsid w:val="00AE671A"/>
    <w:rsid w:val="00AE70FA"/>
    <w:rsid w:val="00AF4D01"/>
    <w:rsid w:val="00AF5085"/>
    <w:rsid w:val="00AF67C0"/>
    <w:rsid w:val="00AF7B96"/>
    <w:rsid w:val="00B01530"/>
    <w:rsid w:val="00B02CD6"/>
    <w:rsid w:val="00B03B5E"/>
    <w:rsid w:val="00B07600"/>
    <w:rsid w:val="00B114AE"/>
    <w:rsid w:val="00B117C4"/>
    <w:rsid w:val="00B12F00"/>
    <w:rsid w:val="00B15109"/>
    <w:rsid w:val="00B15DD6"/>
    <w:rsid w:val="00B16EEA"/>
    <w:rsid w:val="00B17A91"/>
    <w:rsid w:val="00B2012A"/>
    <w:rsid w:val="00B20B90"/>
    <w:rsid w:val="00B20F2E"/>
    <w:rsid w:val="00B25837"/>
    <w:rsid w:val="00B25A65"/>
    <w:rsid w:val="00B264BF"/>
    <w:rsid w:val="00B278E8"/>
    <w:rsid w:val="00B302CD"/>
    <w:rsid w:val="00B31305"/>
    <w:rsid w:val="00B314BD"/>
    <w:rsid w:val="00B315AC"/>
    <w:rsid w:val="00B3229A"/>
    <w:rsid w:val="00B33C73"/>
    <w:rsid w:val="00B34B4A"/>
    <w:rsid w:val="00B35A56"/>
    <w:rsid w:val="00B35CFF"/>
    <w:rsid w:val="00B3690C"/>
    <w:rsid w:val="00B36A99"/>
    <w:rsid w:val="00B37D5E"/>
    <w:rsid w:val="00B41262"/>
    <w:rsid w:val="00B4138E"/>
    <w:rsid w:val="00B4160F"/>
    <w:rsid w:val="00B417E9"/>
    <w:rsid w:val="00B437D9"/>
    <w:rsid w:val="00B43E74"/>
    <w:rsid w:val="00B462D1"/>
    <w:rsid w:val="00B477DD"/>
    <w:rsid w:val="00B51483"/>
    <w:rsid w:val="00B51AC8"/>
    <w:rsid w:val="00B53506"/>
    <w:rsid w:val="00B53A8A"/>
    <w:rsid w:val="00B54EE9"/>
    <w:rsid w:val="00B54F8B"/>
    <w:rsid w:val="00B552BA"/>
    <w:rsid w:val="00B562B7"/>
    <w:rsid w:val="00B60918"/>
    <w:rsid w:val="00B61747"/>
    <w:rsid w:val="00B623C0"/>
    <w:rsid w:val="00B63146"/>
    <w:rsid w:val="00B65C18"/>
    <w:rsid w:val="00B6716A"/>
    <w:rsid w:val="00B70291"/>
    <w:rsid w:val="00B72473"/>
    <w:rsid w:val="00B737F1"/>
    <w:rsid w:val="00B80809"/>
    <w:rsid w:val="00B8306F"/>
    <w:rsid w:val="00B83C6E"/>
    <w:rsid w:val="00B84E0A"/>
    <w:rsid w:val="00B866E0"/>
    <w:rsid w:val="00B86723"/>
    <w:rsid w:val="00B87979"/>
    <w:rsid w:val="00B9052F"/>
    <w:rsid w:val="00B90DF9"/>
    <w:rsid w:val="00B91CF1"/>
    <w:rsid w:val="00B9218B"/>
    <w:rsid w:val="00B92301"/>
    <w:rsid w:val="00B925C9"/>
    <w:rsid w:val="00B92858"/>
    <w:rsid w:val="00B9435A"/>
    <w:rsid w:val="00B966B0"/>
    <w:rsid w:val="00B96BF6"/>
    <w:rsid w:val="00BA036E"/>
    <w:rsid w:val="00BA04F4"/>
    <w:rsid w:val="00BA29D3"/>
    <w:rsid w:val="00BA2D2F"/>
    <w:rsid w:val="00BA35C6"/>
    <w:rsid w:val="00BA4402"/>
    <w:rsid w:val="00BA501F"/>
    <w:rsid w:val="00BA5AA8"/>
    <w:rsid w:val="00BA62DA"/>
    <w:rsid w:val="00BB18B9"/>
    <w:rsid w:val="00BB2299"/>
    <w:rsid w:val="00BB314E"/>
    <w:rsid w:val="00BB4FA8"/>
    <w:rsid w:val="00BB6A30"/>
    <w:rsid w:val="00BB704C"/>
    <w:rsid w:val="00BC011B"/>
    <w:rsid w:val="00BC1353"/>
    <w:rsid w:val="00BC1C0C"/>
    <w:rsid w:val="00BC2093"/>
    <w:rsid w:val="00BC2E01"/>
    <w:rsid w:val="00BC31C3"/>
    <w:rsid w:val="00BC514C"/>
    <w:rsid w:val="00BC5499"/>
    <w:rsid w:val="00BC5E40"/>
    <w:rsid w:val="00BD0DB8"/>
    <w:rsid w:val="00BD106A"/>
    <w:rsid w:val="00BD2F0D"/>
    <w:rsid w:val="00BD3904"/>
    <w:rsid w:val="00BD3E52"/>
    <w:rsid w:val="00BD46EC"/>
    <w:rsid w:val="00BD52F4"/>
    <w:rsid w:val="00BD5E2C"/>
    <w:rsid w:val="00BD6AD3"/>
    <w:rsid w:val="00BE02F9"/>
    <w:rsid w:val="00BE0D8B"/>
    <w:rsid w:val="00BE1AB8"/>
    <w:rsid w:val="00BE449B"/>
    <w:rsid w:val="00BE4C72"/>
    <w:rsid w:val="00BE742C"/>
    <w:rsid w:val="00BE7CCA"/>
    <w:rsid w:val="00BF221B"/>
    <w:rsid w:val="00BF2DEF"/>
    <w:rsid w:val="00BF3178"/>
    <w:rsid w:val="00BF4201"/>
    <w:rsid w:val="00BF4CE3"/>
    <w:rsid w:val="00BF5591"/>
    <w:rsid w:val="00BF5CCE"/>
    <w:rsid w:val="00BF724C"/>
    <w:rsid w:val="00C01354"/>
    <w:rsid w:val="00C03CE2"/>
    <w:rsid w:val="00C061E0"/>
    <w:rsid w:val="00C06B8D"/>
    <w:rsid w:val="00C1011B"/>
    <w:rsid w:val="00C108D3"/>
    <w:rsid w:val="00C13F76"/>
    <w:rsid w:val="00C15F5A"/>
    <w:rsid w:val="00C17BBE"/>
    <w:rsid w:val="00C17CB4"/>
    <w:rsid w:val="00C200D0"/>
    <w:rsid w:val="00C2362A"/>
    <w:rsid w:val="00C24E3C"/>
    <w:rsid w:val="00C26B4C"/>
    <w:rsid w:val="00C2706B"/>
    <w:rsid w:val="00C27E63"/>
    <w:rsid w:val="00C30C56"/>
    <w:rsid w:val="00C319C2"/>
    <w:rsid w:val="00C32D54"/>
    <w:rsid w:val="00C35865"/>
    <w:rsid w:val="00C36AAC"/>
    <w:rsid w:val="00C371AC"/>
    <w:rsid w:val="00C40283"/>
    <w:rsid w:val="00C4132D"/>
    <w:rsid w:val="00C42061"/>
    <w:rsid w:val="00C422E4"/>
    <w:rsid w:val="00C43298"/>
    <w:rsid w:val="00C44E32"/>
    <w:rsid w:val="00C461B3"/>
    <w:rsid w:val="00C46219"/>
    <w:rsid w:val="00C46871"/>
    <w:rsid w:val="00C46F54"/>
    <w:rsid w:val="00C46FE2"/>
    <w:rsid w:val="00C50B4C"/>
    <w:rsid w:val="00C53758"/>
    <w:rsid w:val="00C544D5"/>
    <w:rsid w:val="00C5765C"/>
    <w:rsid w:val="00C578F0"/>
    <w:rsid w:val="00C60E59"/>
    <w:rsid w:val="00C6299E"/>
    <w:rsid w:val="00C63021"/>
    <w:rsid w:val="00C636C3"/>
    <w:rsid w:val="00C649E7"/>
    <w:rsid w:val="00C656E0"/>
    <w:rsid w:val="00C664DF"/>
    <w:rsid w:val="00C67E9C"/>
    <w:rsid w:val="00C70564"/>
    <w:rsid w:val="00C708AB"/>
    <w:rsid w:val="00C7148F"/>
    <w:rsid w:val="00C71855"/>
    <w:rsid w:val="00C738F2"/>
    <w:rsid w:val="00C7403D"/>
    <w:rsid w:val="00C7438D"/>
    <w:rsid w:val="00C7517D"/>
    <w:rsid w:val="00C75272"/>
    <w:rsid w:val="00C75CAD"/>
    <w:rsid w:val="00C81EC5"/>
    <w:rsid w:val="00C836FC"/>
    <w:rsid w:val="00C83F61"/>
    <w:rsid w:val="00C8512F"/>
    <w:rsid w:val="00C85977"/>
    <w:rsid w:val="00C87697"/>
    <w:rsid w:val="00C9253F"/>
    <w:rsid w:val="00C929E2"/>
    <w:rsid w:val="00C94B77"/>
    <w:rsid w:val="00C94C85"/>
    <w:rsid w:val="00C9521C"/>
    <w:rsid w:val="00C9590F"/>
    <w:rsid w:val="00C96570"/>
    <w:rsid w:val="00C9659E"/>
    <w:rsid w:val="00C97112"/>
    <w:rsid w:val="00CA0FE4"/>
    <w:rsid w:val="00CA0FED"/>
    <w:rsid w:val="00CA1FB0"/>
    <w:rsid w:val="00CA6517"/>
    <w:rsid w:val="00CA6892"/>
    <w:rsid w:val="00CA78A8"/>
    <w:rsid w:val="00CB02EF"/>
    <w:rsid w:val="00CB168F"/>
    <w:rsid w:val="00CB1828"/>
    <w:rsid w:val="00CB2568"/>
    <w:rsid w:val="00CB4E29"/>
    <w:rsid w:val="00CB5A62"/>
    <w:rsid w:val="00CC03A6"/>
    <w:rsid w:val="00CC06EB"/>
    <w:rsid w:val="00CC123B"/>
    <w:rsid w:val="00CC20F6"/>
    <w:rsid w:val="00CC7713"/>
    <w:rsid w:val="00CC7F03"/>
    <w:rsid w:val="00CD0AE9"/>
    <w:rsid w:val="00CD2F48"/>
    <w:rsid w:val="00CD2FBC"/>
    <w:rsid w:val="00CD3505"/>
    <w:rsid w:val="00CD45F6"/>
    <w:rsid w:val="00CD4D1C"/>
    <w:rsid w:val="00CD6B7C"/>
    <w:rsid w:val="00CE0CD5"/>
    <w:rsid w:val="00CE28EB"/>
    <w:rsid w:val="00CE752C"/>
    <w:rsid w:val="00CF0198"/>
    <w:rsid w:val="00CF1045"/>
    <w:rsid w:val="00CF11FB"/>
    <w:rsid w:val="00CF15D6"/>
    <w:rsid w:val="00CF1D11"/>
    <w:rsid w:val="00CF2BD6"/>
    <w:rsid w:val="00CF6CD9"/>
    <w:rsid w:val="00D00F13"/>
    <w:rsid w:val="00D01D03"/>
    <w:rsid w:val="00D01F6B"/>
    <w:rsid w:val="00D0212D"/>
    <w:rsid w:val="00D02C56"/>
    <w:rsid w:val="00D02DFB"/>
    <w:rsid w:val="00D05C81"/>
    <w:rsid w:val="00D05D95"/>
    <w:rsid w:val="00D077EE"/>
    <w:rsid w:val="00D07D04"/>
    <w:rsid w:val="00D10082"/>
    <w:rsid w:val="00D116FD"/>
    <w:rsid w:val="00D11840"/>
    <w:rsid w:val="00D11D52"/>
    <w:rsid w:val="00D141BC"/>
    <w:rsid w:val="00D14CE9"/>
    <w:rsid w:val="00D1710F"/>
    <w:rsid w:val="00D20957"/>
    <w:rsid w:val="00D22EE9"/>
    <w:rsid w:val="00D22F2A"/>
    <w:rsid w:val="00D25BB1"/>
    <w:rsid w:val="00D26950"/>
    <w:rsid w:val="00D273F5"/>
    <w:rsid w:val="00D30961"/>
    <w:rsid w:val="00D30C7A"/>
    <w:rsid w:val="00D31C92"/>
    <w:rsid w:val="00D324B0"/>
    <w:rsid w:val="00D32651"/>
    <w:rsid w:val="00D32DFC"/>
    <w:rsid w:val="00D332A9"/>
    <w:rsid w:val="00D3438A"/>
    <w:rsid w:val="00D36F18"/>
    <w:rsid w:val="00D37DBE"/>
    <w:rsid w:val="00D44E9D"/>
    <w:rsid w:val="00D45341"/>
    <w:rsid w:val="00D470FA"/>
    <w:rsid w:val="00D474CF"/>
    <w:rsid w:val="00D47DF5"/>
    <w:rsid w:val="00D50ABF"/>
    <w:rsid w:val="00D53C87"/>
    <w:rsid w:val="00D54521"/>
    <w:rsid w:val="00D5706A"/>
    <w:rsid w:val="00D61C8B"/>
    <w:rsid w:val="00D629B2"/>
    <w:rsid w:val="00D643E4"/>
    <w:rsid w:val="00D6597E"/>
    <w:rsid w:val="00D72C9A"/>
    <w:rsid w:val="00D74E68"/>
    <w:rsid w:val="00D7603F"/>
    <w:rsid w:val="00D82A45"/>
    <w:rsid w:val="00D861E4"/>
    <w:rsid w:val="00D86590"/>
    <w:rsid w:val="00D8675B"/>
    <w:rsid w:val="00D90253"/>
    <w:rsid w:val="00D92254"/>
    <w:rsid w:val="00D94D10"/>
    <w:rsid w:val="00D94DA7"/>
    <w:rsid w:val="00D95D7E"/>
    <w:rsid w:val="00D96058"/>
    <w:rsid w:val="00D962E4"/>
    <w:rsid w:val="00D9645D"/>
    <w:rsid w:val="00DA11EF"/>
    <w:rsid w:val="00DA3168"/>
    <w:rsid w:val="00DA3368"/>
    <w:rsid w:val="00DA4BE0"/>
    <w:rsid w:val="00DA5B47"/>
    <w:rsid w:val="00DA60A8"/>
    <w:rsid w:val="00DA6144"/>
    <w:rsid w:val="00DB0177"/>
    <w:rsid w:val="00DB07FC"/>
    <w:rsid w:val="00DB09D9"/>
    <w:rsid w:val="00DB186D"/>
    <w:rsid w:val="00DB48B1"/>
    <w:rsid w:val="00DB4DA4"/>
    <w:rsid w:val="00DB5796"/>
    <w:rsid w:val="00DB679C"/>
    <w:rsid w:val="00DB7F37"/>
    <w:rsid w:val="00DC2196"/>
    <w:rsid w:val="00DC2E9A"/>
    <w:rsid w:val="00DC5630"/>
    <w:rsid w:val="00DC592C"/>
    <w:rsid w:val="00DC6706"/>
    <w:rsid w:val="00DD08F5"/>
    <w:rsid w:val="00DD1257"/>
    <w:rsid w:val="00DD1848"/>
    <w:rsid w:val="00DD232E"/>
    <w:rsid w:val="00DD2F14"/>
    <w:rsid w:val="00DD52CE"/>
    <w:rsid w:val="00DD5650"/>
    <w:rsid w:val="00DD5FFD"/>
    <w:rsid w:val="00DD6A42"/>
    <w:rsid w:val="00DD6C88"/>
    <w:rsid w:val="00DD7E5A"/>
    <w:rsid w:val="00DE0F60"/>
    <w:rsid w:val="00DE1695"/>
    <w:rsid w:val="00DE2F73"/>
    <w:rsid w:val="00DE4AB2"/>
    <w:rsid w:val="00DE52C1"/>
    <w:rsid w:val="00DE64F6"/>
    <w:rsid w:val="00DE6B62"/>
    <w:rsid w:val="00DF0626"/>
    <w:rsid w:val="00DF0781"/>
    <w:rsid w:val="00DF24DC"/>
    <w:rsid w:val="00DF268E"/>
    <w:rsid w:val="00DF3494"/>
    <w:rsid w:val="00DF67E6"/>
    <w:rsid w:val="00DF715C"/>
    <w:rsid w:val="00E00432"/>
    <w:rsid w:val="00E01C04"/>
    <w:rsid w:val="00E01C10"/>
    <w:rsid w:val="00E03167"/>
    <w:rsid w:val="00E033DC"/>
    <w:rsid w:val="00E03725"/>
    <w:rsid w:val="00E03786"/>
    <w:rsid w:val="00E06B48"/>
    <w:rsid w:val="00E06F1C"/>
    <w:rsid w:val="00E07254"/>
    <w:rsid w:val="00E102DE"/>
    <w:rsid w:val="00E13BF2"/>
    <w:rsid w:val="00E13F17"/>
    <w:rsid w:val="00E16C73"/>
    <w:rsid w:val="00E17BC3"/>
    <w:rsid w:val="00E207E7"/>
    <w:rsid w:val="00E2237F"/>
    <w:rsid w:val="00E22DF2"/>
    <w:rsid w:val="00E255FF"/>
    <w:rsid w:val="00E26D85"/>
    <w:rsid w:val="00E341A3"/>
    <w:rsid w:val="00E3712F"/>
    <w:rsid w:val="00E37B5F"/>
    <w:rsid w:val="00E413B6"/>
    <w:rsid w:val="00E413FD"/>
    <w:rsid w:val="00E42851"/>
    <w:rsid w:val="00E44AE8"/>
    <w:rsid w:val="00E44D78"/>
    <w:rsid w:val="00E4581D"/>
    <w:rsid w:val="00E45A03"/>
    <w:rsid w:val="00E46178"/>
    <w:rsid w:val="00E46A3A"/>
    <w:rsid w:val="00E47654"/>
    <w:rsid w:val="00E502DC"/>
    <w:rsid w:val="00E53FBA"/>
    <w:rsid w:val="00E55936"/>
    <w:rsid w:val="00E5594F"/>
    <w:rsid w:val="00E55965"/>
    <w:rsid w:val="00E55BC7"/>
    <w:rsid w:val="00E55CEF"/>
    <w:rsid w:val="00E56A15"/>
    <w:rsid w:val="00E56C86"/>
    <w:rsid w:val="00E60ACC"/>
    <w:rsid w:val="00E640A4"/>
    <w:rsid w:val="00E648D0"/>
    <w:rsid w:val="00E65772"/>
    <w:rsid w:val="00E65C9D"/>
    <w:rsid w:val="00E65E06"/>
    <w:rsid w:val="00E67A6C"/>
    <w:rsid w:val="00E70395"/>
    <w:rsid w:val="00E70874"/>
    <w:rsid w:val="00E71845"/>
    <w:rsid w:val="00E71FB0"/>
    <w:rsid w:val="00E7252E"/>
    <w:rsid w:val="00E73DDB"/>
    <w:rsid w:val="00E746FC"/>
    <w:rsid w:val="00E75669"/>
    <w:rsid w:val="00E75F6E"/>
    <w:rsid w:val="00E76164"/>
    <w:rsid w:val="00E763EC"/>
    <w:rsid w:val="00E804A6"/>
    <w:rsid w:val="00E804B6"/>
    <w:rsid w:val="00E83A4B"/>
    <w:rsid w:val="00E8526A"/>
    <w:rsid w:val="00E85F4B"/>
    <w:rsid w:val="00E85F87"/>
    <w:rsid w:val="00E901E7"/>
    <w:rsid w:val="00E91D4D"/>
    <w:rsid w:val="00E94FA4"/>
    <w:rsid w:val="00E9638D"/>
    <w:rsid w:val="00E9644F"/>
    <w:rsid w:val="00E96DD9"/>
    <w:rsid w:val="00EA08BA"/>
    <w:rsid w:val="00EA5EBC"/>
    <w:rsid w:val="00EA6053"/>
    <w:rsid w:val="00EA6E70"/>
    <w:rsid w:val="00EB0C19"/>
    <w:rsid w:val="00EB2FD0"/>
    <w:rsid w:val="00EB3006"/>
    <w:rsid w:val="00EB369F"/>
    <w:rsid w:val="00EB3F79"/>
    <w:rsid w:val="00EB43CE"/>
    <w:rsid w:val="00EB6CC2"/>
    <w:rsid w:val="00EB7138"/>
    <w:rsid w:val="00EB7FEA"/>
    <w:rsid w:val="00EC04DC"/>
    <w:rsid w:val="00EC166D"/>
    <w:rsid w:val="00EC1E36"/>
    <w:rsid w:val="00EC336E"/>
    <w:rsid w:val="00EC3B24"/>
    <w:rsid w:val="00EC5885"/>
    <w:rsid w:val="00EC68AF"/>
    <w:rsid w:val="00ED3765"/>
    <w:rsid w:val="00ED390C"/>
    <w:rsid w:val="00ED3917"/>
    <w:rsid w:val="00ED48D6"/>
    <w:rsid w:val="00ED51F7"/>
    <w:rsid w:val="00ED5BB3"/>
    <w:rsid w:val="00ED6F60"/>
    <w:rsid w:val="00EE0AEA"/>
    <w:rsid w:val="00EE13CF"/>
    <w:rsid w:val="00EE2544"/>
    <w:rsid w:val="00EE3A9B"/>
    <w:rsid w:val="00EE4667"/>
    <w:rsid w:val="00EE61E7"/>
    <w:rsid w:val="00EE7778"/>
    <w:rsid w:val="00EE77ED"/>
    <w:rsid w:val="00EF29C2"/>
    <w:rsid w:val="00EF2D6F"/>
    <w:rsid w:val="00EF3D03"/>
    <w:rsid w:val="00EF5351"/>
    <w:rsid w:val="00EF74BF"/>
    <w:rsid w:val="00F0085E"/>
    <w:rsid w:val="00F00B58"/>
    <w:rsid w:val="00F01BAE"/>
    <w:rsid w:val="00F01DF5"/>
    <w:rsid w:val="00F043C3"/>
    <w:rsid w:val="00F04762"/>
    <w:rsid w:val="00F06B7D"/>
    <w:rsid w:val="00F075ED"/>
    <w:rsid w:val="00F10554"/>
    <w:rsid w:val="00F11894"/>
    <w:rsid w:val="00F119E3"/>
    <w:rsid w:val="00F14D76"/>
    <w:rsid w:val="00F15856"/>
    <w:rsid w:val="00F16BBF"/>
    <w:rsid w:val="00F17E92"/>
    <w:rsid w:val="00F20193"/>
    <w:rsid w:val="00F2020A"/>
    <w:rsid w:val="00F2027F"/>
    <w:rsid w:val="00F20B5B"/>
    <w:rsid w:val="00F20FDD"/>
    <w:rsid w:val="00F24082"/>
    <w:rsid w:val="00F260FF"/>
    <w:rsid w:val="00F264D8"/>
    <w:rsid w:val="00F27656"/>
    <w:rsid w:val="00F304A8"/>
    <w:rsid w:val="00F30D6A"/>
    <w:rsid w:val="00F3171D"/>
    <w:rsid w:val="00F34484"/>
    <w:rsid w:val="00F34762"/>
    <w:rsid w:val="00F348F5"/>
    <w:rsid w:val="00F34BE3"/>
    <w:rsid w:val="00F35241"/>
    <w:rsid w:val="00F3697D"/>
    <w:rsid w:val="00F36DE0"/>
    <w:rsid w:val="00F375EB"/>
    <w:rsid w:val="00F401AB"/>
    <w:rsid w:val="00F40B72"/>
    <w:rsid w:val="00F434BC"/>
    <w:rsid w:val="00F437E6"/>
    <w:rsid w:val="00F44D04"/>
    <w:rsid w:val="00F45823"/>
    <w:rsid w:val="00F47412"/>
    <w:rsid w:val="00F50151"/>
    <w:rsid w:val="00F5024F"/>
    <w:rsid w:val="00F502AA"/>
    <w:rsid w:val="00F51218"/>
    <w:rsid w:val="00F51DC4"/>
    <w:rsid w:val="00F52B45"/>
    <w:rsid w:val="00F547E0"/>
    <w:rsid w:val="00F552CC"/>
    <w:rsid w:val="00F61791"/>
    <w:rsid w:val="00F62FF2"/>
    <w:rsid w:val="00F637D2"/>
    <w:rsid w:val="00F63AE4"/>
    <w:rsid w:val="00F64661"/>
    <w:rsid w:val="00F64E01"/>
    <w:rsid w:val="00F66089"/>
    <w:rsid w:val="00F66DB4"/>
    <w:rsid w:val="00F66DE8"/>
    <w:rsid w:val="00F7091D"/>
    <w:rsid w:val="00F71022"/>
    <w:rsid w:val="00F714AE"/>
    <w:rsid w:val="00F7267B"/>
    <w:rsid w:val="00F76061"/>
    <w:rsid w:val="00F76ACE"/>
    <w:rsid w:val="00F76E3C"/>
    <w:rsid w:val="00F81277"/>
    <w:rsid w:val="00F8201F"/>
    <w:rsid w:val="00F83378"/>
    <w:rsid w:val="00F859E2"/>
    <w:rsid w:val="00F85C2A"/>
    <w:rsid w:val="00F87259"/>
    <w:rsid w:val="00F87A9A"/>
    <w:rsid w:val="00F90DFB"/>
    <w:rsid w:val="00F9218C"/>
    <w:rsid w:val="00F92606"/>
    <w:rsid w:val="00F92ABD"/>
    <w:rsid w:val="00F933A6"/>
    <w:rsid w:val="00F947A2"/>
    <w:rsid w:val="00F94812"/>
    <w:rsid w:val="00FA23EC"/>
    <w:rsid w:val="00FA64A4"/>
    <w:rsid w:val="00FA73C0"/>
    <w:rsid w:val="00FA7812"/>
    <w:rsid w:val="00FB1E97"/>
    <w:rsid w:val="00FB334C"/>
    <w:rsid w:val="00FB40A5"/>
    <w:rsid w:val="00FB4262"/>
    <w:rsid w:val="00FB464B"/>
    <w:rsid w:val="00FB662D"/>
    <w:rsid w:val="00FC1706"/>
    <w:rsid w:val="00FC3C02"/>
    <w:rsid w:val="00FC4193"/>
    <w:rsid w:val="00FC42E0"/>
    <w:rsid w:val="00FC5AE2"/>
    <w:rsid w:val="00FC786C"/>
    <w:rsid w:val="00FD241B"/>
    <w:rsid w:val="00FD3C0D"/>
    <w:rsid w:val="00FD4708"/>
    <w:rsid w:val="00FD491B"/>
    <w:rsid w:val="00FD57BC"/>
    <w:rsid w:val="00FD6552"/>
    <w:rsid w:val="00FD7097"/>
    <w:rsid w:val="00FD786A"/>
    <w:rsid w:val="00FE03AF"/>
    <w:rsid w:val="00FE088A"/>
    <w:rsid w:val="00FE1F90"/>
    <w:rsid w:val="00FE337A"/>
    <w:rsid w:val="00FE4F29"/>
    <w:rsid w:val="00FE69E7"/>
    <w:rsid w:val="00FF01EB"/>
    <w:rsid w:val="00FF0320"/>
    <w:rsid w:val="00FF0814"/>
    <w:rsid w:val="00FF0FB6"/>
    <w:rsid w:val="00FF3A07"/>
    <w:rsid w:val="00FF3A0C"/>
    <w:rsid w:val="00FF3F91"/>
    <w:rsid w:val="00FF59A2"/>
    <w:rsid w:val="00FF7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note text" w:uiPriority="99"/>
    <w:lsdException w:name="caption" w:qFormat="1"/>
    <w:lsdException w:name="table of figures" w:uiPriority="99"/>
    <w:lsdException w:name="footnote reference" w:uiPriority="99"/>
    <w:lsdException w:name="annotation reference" w:uiPriority="99"/>
    <w:lsdException w:name="List Number" w:semiHidden="0" w:uiPriority="13" w:unhideWhenUsed="0" w:qFormat="1"/>
    <w:lsdException w:name="List 4" w:semiHidden="0" w:unhideWhenUsed="0"/>
    <w:lsdException w:name="List 5" w:semiHidden="0" w:unhideWhenUsed="0"/>
    <w:lsdException w:name="List Number 2" w:uiPriority="13" w:qFormat="1"/>
    <w:lsdException w:name="List Number 3" w:uiPriority="13" w:qFormat="1"/>
    <w:lsdException w:name="List Number 4" w:uiPriority="13"/>
    <w:lsdException w:name="List Number 5" w:uiPriority="13"/>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F5A"/>
    <w:pPr>
      <w:widowControl w:val="0"/>
      <w:autoSpaceDE w:val="0"/>
      <w:autoSpaceDN w:val="0"/>
      <w:adjustRightInd w:val="0"/>
    </w:pPr>
    <w:rPr>
      <w:rFonts w:ascii="EYInterstate Light" w:hAnsi="EYInterstate Light"/>
      <w:lang w:val="en-AU"/>
    </w:rPr>
  </w:style>
  <w:style w:type="paragraph" w:styleId="Heading1">
    <w:name w:val="heading 1"/>
    <w:basedOn w:val="Normal"/>
    <w:next w:val="Normal"/>
    <w:qFormat/>
    <w:rsid w:val="00664943"/>
    <w:pPr>
      <w:keepNext/>
      <w:numPr>
        <w:numId w:val="4"/>
      </w:numPr>
      <w:tabs>
        <w:tab w:val="left" w:pos="720"/>
      </w:tabs>
      <w:spacing w:after="240"/>
      <w:outlineLvl w:val="0"/>
    </w:pPr>
    <w:rPr>
      <w:b/>
      <w:bCs/>
      <w:sz w:val="28"/>
      <w:szCs w:val="24"/>
    </w:rPr>
  </w:style>
  <w:style w:type="paragraph" w:styleId="Heading2">
    <w:name w:val="heading 2"/>
    <w:basedOn w:val="Normal"/>
    <w:next w:val="Normal"/>
    <w:link w:val="Heading2Char"/>
    <w:qFormat/>
    <w:rsid w:val="00664943"/>
    <w:pPr>
      <w:keepNext/>
      <w:numPr>
        <w:ilvl w:val="1"/>
        <w:numId w:val="4"/>
      </w:numPr>
      <w:outlineLvl w:val="1"/>
    </w:pPr>
    <w:rPr>
      <w:rFonts w:cs="Arial"/>
      <w:b/>
      <w:bCs/>
      <w:iCs/>
    </w:rPr>
  </w:style>
  <w:style w:type="paragraph" w:styleId="Heading3">
    <w:name w:val="heading 3"/>
    <w:basedOn w:val="Normal"/>
    <w:next w:val="Normal"/>
    <w:link w:val="Heading3Char"/>
    <w:qFormat/>
    <w:rsid w:val="00664943"/>
    <w:pPr>
      <w:keepNext/>
      <w:numPr>
        <w:ilvl w:val="2"/>
        <w:numId w:val="4"/>
      </w:numPr>
      <w:outlineLvl w:val="2"/>
    </w:pPr>
    <w:rPr>
      <w:rFonts w:cs="Arial"/>
      <w:b/>
      <w:bCs/>
    </w:rPr>
  </w:style>
  <w:style w:type="paragraph" w:styleId="Heading4">
    <w:name w:val="heading 4"/>
    <w:basedOn w:val="Heading1"/>
    <w:next w:val="Normal"/>
    <w:qFormat/>
    <w:rsid w:val="00FA23EC"/>
    <w:pPr>
      <w:numPr>
        <w:ilvl w:val="3"/>
        <w:numId w:val="1"/>
      </w:numPr>
      <w:spacing w:line="240" w:lineRule="exact"/>
      <w:outlineLvl w:val="3"/>
    </w:pPr>
    <w:rPr>
      <w:color w:val="000000"/>
      <w:sz w:val="20"/>
    </w:rPr>
  </w:style>
  <w:style w:type="paragraph" w:styleId="Heading5">
    <w:name w:val="heading 5"/>
    <w:basedOn w:val="Heading1"/>
    <w:next w:val="Normal"/>
    <w:qFormat/>
    <w:rsid w:val="00FA23EC"/>
    <w:pPr>
      <w:numPr>
        <w:numId w:val="0"/>
      </w:numPr>
      <w:outlineLvl w:val="4"/>
    </w:pPr>
  </w:style>
  <w:style w:type="paragraph" w:styleId="Heading6">
    <w:name w:val="heading 6"/>
    <w:basedOn w:val="Heading3"/>
    <w:next w:val="Normal"/>
    <w:qFormat/>
    <w:rsid w:val="00FA23EC"/>
    <w:pPr>
      <w:numPr>
        <w:ilvl w:val="0"/>
        <w:numId w:val="0"/>
      </w:numPr>
      <w:outlineLvl w:val="5"/>
    </w:pPr>
    <w:rPr>
      <w:i/>
    </w:rPr>
  </w:style>
  <w:style w:type="paragraph" w:styleId="Heading7">
    <w:name w:val="heading 7"/>
    <w:basedOn w:val="Normal"/>
    <w:next w:val="Normal"/>
    <w:qFormat/>
    <w:rsid w:val="00FA23EC"/>
    <w:pPr>
      <w:spacing w:before="120" w:after="240"/>
      <w:outlineLvl w:val="6"/>
    </w:pPr>
    <w:rPr>
      <w:b/>
      <w:i/>
    </w:rPr>
  </w:style>
  <w:style w:type="paragraph" w:styleId="Heading8">
    <w:name w:val="heading 8"/>
    <w:basedOn w:val="Normal"/>
    <w:next w:val="Normal"/>
    <w:qFormat/>
    <w:rsid w:val="00FA23EC"/>
    <w:pPr>
      <w:spacing w:before="120" w:after="240"/>
      <w:outlineLvl w:val="7"/>
    </w:pPr>
    <w:rPr>
      <w:b/>
    </w:rPr>
  </w:style>
  <w:style w:type="paragraph" w:styleId="Heading9">
    <w:name w:val="heading 9"/>
    <w:basedOn w:val="Heading8"/>
    <w:next w:val="Normal"/>
    <w:qFormat/>
    <w:rsid w:val="00FA23EC"/>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3EC"/>
    <w:pPr>
      <w:spacing w:after="120"/>
    </w:pPr>
  </w:style>
  <w:style w:type="paragraph" w:styleId="E-mailSignature">
    <w:name w:val="E-mail Signature"/>
    <w:basedOn w:val="Normal"/>
    <w:rsid w:val="00FA23EC"/>
  </w:style>
  <w:style w:type="paragraph" w:customStyle="1" w:styleId="EYNormal">
    <w:name w:val="EY Normal"/>
    <w:link w:val="EYNormalChar"/>
    <w:rsid w:val="00B60918"/>
    <w:rPr>
      <w:rFonts w:ascii="EYInterstate Light" w:hAnsi="EYInterstate Light"/>
      <w:kern w:val="12"/>
      <w:szCs w:val="24"/>
    </w:rPr>
  </w:style>
  <w:style w:type="paragraph" w:customStyle="1" w:styleId="EYAppendiceBodytext">
    <w:name w:val="EY Appendice Body text"/>
    <w:basedOn w:val="EYNormal"/>
    <w:rsid w:val="00FA23EC"/>
    <w:pPr>
      <w:spacing w:after="240"/>
    </w:pPr>
  </w:style>
  <w:style w:type="paragraph" w:customStyle="1" w:styleId="EYAppendix">
    <w:name w:val="EY Appendix"/>
    <w:basedOn w:val="EYNormal"/>
    <w:next w:val="Normal"/>
    <w:rsid w:val="00ED51F7"/>
    <w:pPr>
      <w:numPr>
        <w:numId w:val="2"/>
      </w:numPr>
      <w:spacing w:after="360"/>
      <w:outlineLvl w:val="0"/>
    </w:pPr>
    <w:rPr>
      <w:rFonts w:ascii="EYInterstate Regular" w:hAnsi="EYInterstate Regular"/>
      <w:color w:val="808080"/>
      <w:sz w:val="32"/>
    </w:rPr>
  </w:style>
  <w:style w:type="paragraph" w:customStyle="1" w:styleId="EYAppendixHeading2">
    <w:name w:val="EY Appendix Heading 2"/>
    <w:basedOn w:val="EYNormal"/>
    <w:next w:val="EYAppendiceBodytext"/>
    <w:rsid w:val="00FA23EC"/>
    <w:pPr>
      <w:spacing w:after="120"/>
    </w:pPr>
    <w:rPr>
      <w:b/>
      <w:sz w:val="28"/>
    </w:rPr>
  </w:style>
  <w:style w:type="paragraph" w:customStyle="1" w:styleId="EYAppendixHeading3">
    <w:name w:val="EY Appendix Heading 3"/>
    <w:basedOn w:val="EYAppendixHeading2"/>
    <w:next w:val="EYAppendiceBodytext"/>
    <w:rsid w:val="00FA23EC"/>
    <w:rPr>
      <w:sz w:val="24"/>
    </w:rPr>
  </w:style>
  <w:style w:type="paragraph" w:customStyle="1" w:styleId="EYBodytextwithparaspace">
    <w:name w:val="EY Body text (with para space)"/>
    <w:basedOn w:val="EYNormal"/>
    <w:link w:val="EYBodytextwithparaspaceChar"/>
    <w:qFormat/>
    <w:rsid w:val="003E25FF"/>
    <w:pPr>
      <w:spacing w:after="240"/>
    </w:pPr>
    <w:rPr>
      <w:spacing w:val="-2"/>
    </w:rPr>
  </w:style>
  <w:style w:type="character" w:customStyle="1" w:styleId="EYBodytextwithoutparaspaceCharChar">
    <w:name w:val="EY Body text (without para space) Char Char"/>
    <w:basedOn w:val="DefaultParagraphFont"/>
    <w:link w:val="EYBodytextwithoutparaspace"/>
    <w:rsid w:val="00FA23EC"/>
    <w:rPr>
      <w:rFonts w:ascii="EYInterstate Light" w:hAnsi="EYInterstate Light"/>
      <w:kern w:val="12"/>
      <w:szCs w:val="24"/>
    </w:rPr>
  </w:style>
  <w:style w:type="character" w:customStyle="1" w:styleId="EYBodytextwithparaspaceChar">
    <w:name w:val="EY Body text (with para space) Char"/>
    <w:basedOn w:val="EYBodytextwithoutparaspaceCharChar"/>
    <w:link w:val="EYBodytextwithparaspace"/>
    <w:rsid w:val="003E25FF"/>
    <w:rPr>
      <w:rFonts w:ascii="EYInterstate Light" w:hAnsi="EYInterstate Light"/>
      <w:spacing w:val="-2"/>
      <w:kern w:val="12"/>
      <w:szCs w:val="24"/>
    </w:rPr>
  </w:style>
  <w:style w:type="paragraph" w:customStyle="1" w:styleId="EYBodytextwithoutparaspace">
    <w:name w:val="EY Body text (without para space)"/>
    <w:basedOn w:val="EYNormal"/>
    <w:link w:val="EYBodytextwithoutparaspaceCharChar"/>
    <w:rsid w:val="00504137"/>
  </w:style>
  <w:style w:type="paragraph" w:customStyle="1" w:styleId="EYBoldsubjectheading">
    <w:name w:val="EY Bold subject heading"/>
    <w:basedOn w:val="EYNormal"/>
    <w:next w:val="EYBodytextwithparaspace"/>
    <w:link w:val="EYBoldsubjectheadingChar"/>
    <w:rsid w:val="00FA23EC"/>
    <w:pPr>
      <w:spacing w:after="480" w:line="260" w:lineRule="exact"/>
    </w:pPr>
    <w:rPr>
      <w:b/>
      <w:sz w:val="26"/>
    </w:rPr>
  </w:style>
  <w:style w:type="character" w:customStyle="1" w:styleId="EYBoldsubjectheadingChar">
    <w:name w:val="EY Bold subject heading Char"/>
    <w:basedOn w:val="DefaultParagraphFont"/>
    <w:link w:val="EYBoldsubjectheading"/>
    <w:rsid w:val="00FA23EC"/>
    <w:rPr>
      <w:rFonts w:ascii="EYInterstate Light" w:hAnsi="EYInterstate Light"/>
      <w:b/>
      <w:kern w:val="12"/>
      <w:sz w:val="26"/>
      <w:szCs w:val="24"/>
      <w:lang w:val="en-GB" w:eastAsia="en-US" w:bidi="ar-SA"/>
    </w:rPr>
  </w:style>
  <w:style w:type="paragraph" w:customStyle="1" w:styleId="EYBulletedList1">
    <w:name w:val="EY Bulleted List 1"/>
    <w:rsid w:val="008F3A56"/>
    <w:pPr>
      <w:numPr>
        <w:numId w:val="10"/>
      </w:numPr>
    </w:pPr>
    <w:rPr>
      <w:rFonts w:ascii="EYInterstate Light" w:hAnsi="EYInterstate Light"/>
      <w:kern w:val="12"/>
      <w:szCs w:val="24"/>
    </w:rPr>
  </w:style>
  <w:style w:type="paragraph" w:customStyle="1" w:styleId="EYBulletedList2">
    <w:name w:val="EY Bulleted List 2"/>
    <w:rsid w:val="00C664DF"/>
    <w:pPr>
      <w:numPr>
        <w:ilvl w:val="1"/>
        <w:numId w:val="10"/>
      </w:numPr>
    </w:pPr>
    <w:rPr>
      <w:rFonts w:ascii="EYInterstate Light" w:hAnsi="EYInterstate Light"/>
      <w:kern w:val="12"/>
      <w:szCs w:val="24"/>
    </w:rPr>
  </w:style>
  <w:style w:type="paragraph" w:customStyle="1" w:styleId="EYBulletedList3">
    <w:name w:val="EY Bulleted List 3"/>
    <w:rsid w:val="00C664DF"/>
    <w:pPr>
      <w:numPr>
        <w:ilvl w:val="2"/>
        <w:numId w:val="10"/>
      </w:numPr>
    </w:pPr>
    <w:rPr>
      <w:rFonts w:ascii="EYInterstate Light" w:hAnsi="EYInterstate Light"/>
      <w:kern w:val="12"/>
      <w:szCs w:val="24"/>
    </w:rPr>
  </w:style>
  <w:style w:type="paragraph" w:customStyle="1" w:styleId="EYBusinessaddress">
    <w:name w:val="EY Business address"/>
    <w:basedOn w:val="EYNormal"/>
    <w:rsid w:val="00FA23EC"/>
    <w:pPr>
      <w:spacing w:line="170" w:lineRule="atLeast"/>
    </w:pPr>
    <w:rPr>
      <w:color w:val="666666"/>
      <w:sz w:val="15"/>
    </w:rPr>
  </w:style>
  <w:style w:type="paragraph" w:customStyle="1" w:styleId="EYBusinessaddressbold">
    <w:name w:val="EY Business address (bold)"/>
    <w:basedOn w:val="EYBusinessaddress"/>
    <w:next w:val="EYBusinessaddress"/>
    <w:rsid w:val="00FA23EC"/>
    <w:rPr>
      <w:b/>
    </w:rPr>
  </w:style>
  <w:style w:type="paragraph" w:customStyle="1" w:styleId="EYClosure">
    <w:name w:val="EY Closure"/>
    <w:basedOn w:val="EYBodytextwithoutparaspace"/>
    <w:next w:val="EYBodytextwithoutparaspace"/>
    <w:rsid w:val="00FA23EC"/>
    <w:pPr>
      <w:spacing w:after="1040" w:line="260" w:lineRule="exact"/>
    </w:pPr>
  </w:style>
  <w:style w:type="paragraph" w:customStyle="1" w:styleId="EYContents">
    <w:name w:val="EY Contents"/>
    <w:basedOn w:val="EYNormal"/>
    <w:next w:val="Normal"/>
    <w:rsid w:val="00ED51F7"/>
    <w:pPr>
      <w:keepNext/>
      <w:spacing w:after="240"/>
      <w:outlineLvl w:val="0"/>
    </w:pPr>
    <w:rPr>
      <w:rFonts w:ascii="EYInterstate Regular" w:hAnsi="EYInterstate Regular"/>
      <w:color w:val="808080"/>
      <w:sz w:val="28"/>
    </w:rPr>
  </w:style>
  <w:style w:type="paragraph" w:customStyle="1" w:styleId="EYContentsContinued">
    <w:name w:val="EY Contents (Continued)"/>
    <w:basedOn w:val="EYContents"/>
    <w:rsid w:val="00ED51F7"/>
    <w:pPr>
      <w:outlineLvl w:val="9"/>
    </w:pPr>
    <w:rPr>
      <w:sz w:val="16"/>
    </w:rPr>
  </w:style>
  <w:style w:type="paragraph" w:customStyle="1" w:styleId="EYCoverTitle">
    <w:name w:val="EY Cover Title"/>
    <w:rsid w:val="00D00F13"/>
    <w:pPr>
      <w:tabs>
        <w:tab w:val="right" w:pos="6750"/>
      </w:tabs>
    </w:pPr>
    <w:rPr>
      <w:rFonts w:ascii="EYInterstate Regular" w:hAnsi="EYInterstate Regular"/>
      <w:color w:val="FFE600"/>
      <w:sz w:val="96"/>
      <w:szCs w:val="48"/>
    </w:rPr>
  </w:style>
  <w:style w:type="paragraph" w:customStyle="1" w:styleId="EYSub-title">
    <w:name w:val="EY Sub-title"/>
    <w:basedOn w:val="EYCoverTitle"/>
    <w:rsid w:val="00FA23EC"/>
    <w:pPr>
      <w:spacing w:after="360"/>
    </w:pPr>
    <w:rPr>
      <w:b/>
      <w:bCs/>
      <w:color w:val="auto"/>
      <w:kern w:val="28"/>
      <w:sz w:val="22"/>
      <w:szCs w:val="32"/>
    </w:rPr>
  </w:style>
  <w:style w:type="paragraph" w:customStyle="1" w:styleId="EYDate">
    <w:name w:val="EY Date"/>
    <w:basedOn w:val="EYSub-title"/>
    <w:link w:val="EYDateChar"/>
    <w:rsid w:val="00FA23EC"/>
    <w:pPr>
      <w:numPr>
        <w:numId w:val="22"/>
      </w:numPr>
      <w:suppressAutoHyphens/>
    </w:pPr>
    <w:rPr>
      <w:sz w:val="20"/>
    </w:rPr>
  </w:style>
  <w:style w:type="paragraph" w:customStyle="1" w:styleId="EYFooterinfo">
    <w:name w:val="EY Footer info"/>
    <w:basedOn w:val="EYNormal"/>
    <w:rsid w:val="00ED51F7"/>
    <w:pPr>
      <w:suppressAutoHyphens/>
    </w:pPr>
    <w:rPr>
      <w:color w:val="808080"/>
      <w:sz w:val="12"/>
    </w:rPr>
  </w:style>
  <w:style w:type="paragraph" w:customStyle="1" w:styleId="EYHeading1">
    <w:name w:val="EY Heading 1"/>
    <w:basedOn w:val="Heading1"/>
    <w:next w:val="EYBodytextwithparaspace"/>
    <w:rsid w:val="008F3A56"/>
    <w:pPr>
      <w:pageBreakBefore/>
      <w:widowControl/>
      <w:numPr>
        <w:numId w:val="70"/>
      </w:numPr>
      <w:tabs>
        <w:tab w:val="clear" w:pos="720"/>
      </w:tabs>
      <w:autoSpaceDE/>
      <w:autoSpaceDN/>
      <w:adjustRightInd/>
      <w:spacing w:before="240" w:after="360"/>
    </w:pPr>
    <w:rPr>
      <w:rFonts w:cs="Arial"/>
      <w:color w:val="7F7E82"/>
      <w:kern w:val="32"/>
      <w:sz w:val="40"/>
      <w:szCs w:val="32"/>
      <w:lang w:eastAsia="en-AU"/>
    </w:rPr>
  </w:style>
  <w:style w:type="paragraph" w:customStyle="1" w:styleId="EYHeading2">
    <w:name w:val="EY Heading 2"/>
    <w:basedOn w:val="Heading2"/>
    <w:next w:val="EYBodytextwithparaspace"/>
    <w:rsid w:val="008F3A56"/>
    <w:pPr>
      <w:widowControl/>
      <w:numPr>
        <w:numId w:val="70"/>
      </w:numPr>
      <w:autoSpaceDE/>
      <w:autoSpaceDN/>
      <w:adjustRightInd/>
      <w:spacing w:before="120" w:after="120"/>
    </w:pPr>
    <w:rPr>
      <w:rFonts w:cs="Times New Roman"/>
      <w:sz w:val="28"/>
      <w:szCs w:val="28"/>
      <w:lang w:eastAsia="en-AU"/>
    </w:rPr>
  </w:style>
  <w:style w:type="paragraph" w:customStyle="1" w:styleId="EYHeading3">
    <w:name w:val="EY Heading 3"/>
    <w:basedOn w:val="Heading3"/>
    <w:next w:val="EYBodytextwithparaspace"/>
    <w:rsid w:val="008F3A56"/>
    <w:pPr>
      <w:widowControl/>
      <w:numPr>
        <w:numId w:val="70"/>
      </w:numPr>
      <w:autoSpaceDE/>
      <w:autoSpaceDN/>
      <w:adjustRightInd/>
      <w:spacing w:before="120" w:after="120"/>
    </w:pPr>
    <w:rPr>
      <w:rFonts w:ascii="EYInterstate" w:hAnsi="EYInterstate" w:cs="Times New Roman"/>
      <w:b w:val="0"/>
      <w:sz w:val="24"/>
      <w:szCs w:val="26"/>
      <w:lang w:eastAsia="en-AU"/>
    </w:rPr>
  </w:style>
  <w:style w:type="paragraph" w:customStyle="1" w:styleId="EYHeading4">
    <w:name w:val="EY Heading 4"/>
    <w:basedOn w:val="EYHeading3"/>
    <w:next w:val="EYBodytextwithparaspace"/>
    <w:rsid w:val="008F3A56"/>
    <w:pPr>
      <w:numPr>
        <w:ilvl w:val="3"/>
      </w:numPr>
    </w:pPr>
    <w:rPr>
      <w:i/>
      <w:sz w:val="20"/>
    </w:rPr>
  </w:style>
  <w:style w:type="paragraph" w:customStyle="1" w:styleId="EYIndent1">
    <w:name w:val="EY Indent 1"/>
    <w:basedOn w:val="EYNormal"/>
    <w:rsid w:val="00664943"/>
    <w:pPr>
      <w:spacing w:after="240"/>
      <w:ind w:left="425"/>
    </w:pPr>
  </w:style>
  <w:style w:type="paragraph" w:customStyle="1" w:styleId="EYIndent2">
    <w:name w:val="EY Indent 2"/>
    <w:basedOn w:val="EYIndent1"/>
    <w:rsid w:val="00664943"/>
    <w:pPr>
      <w:ind w:left="851"/>
    </w:pPr>
  </w:style>
  <w:style w:type="paragraph" w:customStyle="1" w:styleId="EYIndent3">
    <w:name w:val="EY Indent 3"/>
    <w:basedOn w:val="EYIndent1"/>
    <w:rsid w:val="00FA23EC"/>
    <w:pPr>
      <w:ind w:left="1276"/>
    </w:pPr>
  </w:style>
  <w:style w:type="paragraph" w:customStyle="1" w:styleId="EYNumber">
    <w:name w:val="EY Number"/>
    <w:basedOn w:val="Normal"/>
    <w:rsid w:val="00111B7C"/>
    <w:pPr>
      <w:widowControl/>
      <w:numPr>
        <w:numId w:val="6"/>
      </w:numPr>
      <w:autoSpaceDE/>
      <w:autoSpaceDN/>
      <w:adjustRightInd/>
    </w:pPr>
    <w:rPr>
      <w:kern w:val="12"/>
      <w:szCs w:val="24"/>
    </w:rPr>
  </w:style>
  <w:style w:type="paragraph" w:customStyle="1" w:styleId="EYLetter">
    <w:name w:val="EY Letter"/>
    <w:basedOn w:val="EYNumber"/>
    <w:rsid w:val="00B60918"/>
    <w:pPr>
      <w:numPr>
        <w:ilvl w:val="1"/>
      </w:numPr>
    </w:pPr>
  </w:style>
  <w:style w:type="paragraph" w:customStyle="1" w:styleId="EYLetterText">
    <w:name w:val="EY Letter Text"/>
    <w:basedOn w:val="EYNormal"/>
    <w:rsid w:val="00FA23EC"/>
    <w:pPr>
      <w:suppressAutoHyphens/>
      <w:spacing w:after="240"/>
    </w:pPr>
  </w:style>
  <w:style w:type="character" w:customStyle="1" w:styleId="EYNormalChar">
    <w:name w:val="EY Normal Char"/>
    <w:basedOn w:val="DefaultParagraphFont"/>
    <w:link w:val="EYNormal"/>
    <w:rsid w:val="00664943"/>
    <w:rPr>
      <w:rFonts w:ascii="EYInterstate Light" w:hAnsi="EYInterstate Light"/>
      <w:kern w:val="12"/>
      <w:szCs w:val="24"/>
    </w:rPr>
  </w:style>
  <w:style w:type="paragraph" w:customStyle="1" w:styleId="EYPrivate">
    <w:name w:val="EY Private"/>
    <w:basedOn w:val="EYNormal"/>
    <w:rsid w:val="00FA23EC"/>
    <w:pPr>
      <w:suppressAutoHyphens/>
    </w:pPr>
    <w:rPr>
      <w:b/>
    </w:rPr>
  </w:style>
  <w:style w:type="paragraph" w:customStyle="1" w:styleId="EYRoman">
    <w:name w:val="EY Roman"/>
    <w:basedOn w:val="EYNumber"/>
    <w:rsid w:val="00B60918"/>
    <w:pPr>
      <w:numPr>
        <w:ilvl w:val="2"/>
      </w:numPr>
    </w:pPr>
  </w:style>
  <w:style w:type="paragraph" w:customStyle="1" w:styleId="EYSubheading">
    <w:name w:val="EY Subheading"/>
    <w:basedOn w:val="EYNormal"/>
    <w:next w:val="BodyText"/>
    <w:rsid w:val="00FA23EC"/>
    <w:pPr>
      <w:keepNext/>
      <w:spacing w:after="120"/>
    </w:pPr>
    <w:rPr>
      <w:b/>
    </w:rPr>
  </w:style>
  <w:style w:type="paragraph" w:customStyle="1" w:styleId="EYSecondarysubheading">
    <w:name w:val="EY Secondary subheading"/>
    <w:basedOn w:val="EYSubheading"/>
    <w:next w:val="E-mailSignature"/>
    <w:rsid w:val="00FA23EC"/>
    <w:rPr>
      <w:i/>
    </w:rPr>
  </w:style>
  <w:style w:type="paragraph" w:customStyle="1" w:styleId="EYSource">
    <w:name w:val="EY Source"/>
    <w:basedOn w:val="EYNormal"/>
    <w:next w:val="Normal"/>
    <w:rsid w:val="00664943"/>
    <w:pPr>
      <w:keepNext/>
      <w:spacing w:before="60" w:after="60"/>
    </w:pPr>
    <w:rPr>
      <w:i/>
      <w:sz w:val="16"/>
    </w:rPr>
  </w:style>
  <w:style w:type="paragraph" w:customStyle="1" w:styleId="EYTableNormal">
    <w:name w:val="EY Table Normal"/>
    <w:basedOn w:val="EYNormal"/>
    <w:autoRedefine/>
    <w:rsid w:val="002818A7"/>
    <w:pPr>
      <w:spacing w:after="120"/>
    </w:pPr>
    <w:rPr>
      <w:kern w:val="0"/>
      <w:sz w:val="16"/>
      <w:szCs w:val="16"/>
    </w:rPr>
  </w:style>
  <w:style w:type="paragraph" w:customStyle="1" w:styleId="EYTableText">
    <w:name w:val="EY Table Text"/>
    <w:basedOn w:val="EYTableNormal"/>
    <w:link w:val="EYTableTextChar"/>
    <w:rsid w:val="00664943"/>
    <w:pPr>
      <w:spacing w:before="20" w:after="20"/>
    </w:pPr>
  </w:style>
  <w:style w:type="paragraph" w:customStyle="1" w:styleId="EYTablebullet1">
    <w:name w:val="EY Table bullet 1"/>
    <w:basedOn w:val="EYTableText"/>
    <w:link w:val="EYTablebullet1Char"/>
    <w:rsid w:val="003A1D14"/>
    <w:pPr>
      <w:numPr>
        <w:numId w:val="7"/>
      </w:numPr>
    </w:pPr>
  </w:style>
  <w:style w:type="paragraph" w:customStyle="1" w:styleId="EYTablebullet2">
    <w:name w:val="EY Table bullet 2"/>
    <w:basedOn w:val="EYTablebullet1"/>
    <w:rsid w:val="00B60918"/>
    <w:pPr>
      <w:numPr>
        <w:ilvl w:val="1"/>
      </w:numPr>
    </w:pPr>
  </w:style>
  <w:style w:type="paragraph" w:customStyle="1" w:styleId="EYTableHeading">
    <w:name w:val="EY Table Heading"/>
    <w:basedOn w:val="EYTableText"/>
    <w:link w:val="EYTableHeadingChar"/>
    <w:rsid w:val="006577F7"/>
    <w:pPr>
      <w:spacing w:before="60" w:after="60"/>
    </w:pPr>
    <w:rPr>
      <w:rFonts w:ascii="EYInterstate Regular" w:hAnsi="EYInterstate Regular"/>
      <w:color w:val="808080"/>
    </w:rPr>
  </w:style>
  <w:style w:type="paragraph" w:customStyle="1" w:styleId="EYTabletextbold">
    <w:name w:val="EY Table text bold"/>
    <w:basedOn w:val="EYTableText"/>
    <w:next w:val="EYTableText"/>
    <w:rsid w:val="006577F7"/>
    <w:rPr>
      <w:rFonts w:ascii="EYInterstate Regular" w:hAnsi="EYInterstate Regular"/>
    </w:rPr>
  </w:style>
  <w:style w:type="paragraph" w:styleId="Footer">
    <w:name w:val="footer"/>
    <w:aliases w:val="EY Footer"/>
    <w:basedOn w:val="Normal"/>
    <w:link w:val="FooterChar"/>
    <w:rsid w:val="00664943"/>
    <w:pPr>
      <w:tabs>
        <w:tab w:val="center" w:pos="4320"/>
        <w:tab w:val="right" w:pos="8640"/>
      </w:tabs>
    </w:pPr>
  </w:style>
  <w:style w:type="paragraph" w:styleId="Header">
    <w:name w:val="header"/>
    <w:aliases w:val="EY Header"/>
    <w:basedOn w:val="Normal"/>
    <w:rsid w:val="00664943"/>
    <w:pPr>
      <w:tabs>
        <w:tab w:val="center" w:pos="4320"/>
        <w:tab w:val="right" w:pos="8640"/>
      </w:tabs>
    </w:pPr>
  </w:style>
  <w:style w:type="character" w:styleId="Hyperlink">
    <w:name w:val="Hyperlink"/>
    <w:basedOn w:val="DefaultParagraphFont"/>
    <w:uiPriority w:val="99"/>
    <w:rsid w:val="00664943"/>
    <w:rPr>
      <w:color w:val="0000FF"/>
      <w:u w:val="single"/>
    </w:rPr>
  </w:style>
  <w:style w:type="character" w:styleId="PageNumber">
    <w:name w:val="page number"/>
    <w:aliases w:val="EY Page Number"/>
    <w:basedOn w:val="DefaultParagraphFont"/>
    <w:rsid w:val="00664943"/>
  </w:style>
  <w:style w:type="paragraph" w:styleId="TOC1">
    <w:name w:val="toc 1"/>
    <w:basedOn w:val="EYNormal"/>
    <w:next w:val="Normal"/>
    <w:uiPriority w:val="39"/>
    <w:qFormat/>
    <w:rsid w:val="00525C82"/>
    <w:pPr>
      <w:tabs>
        <w:tab w:val="left" w:pos="567"/>
        <w:tab w:val="right" w:leader="dot" w:pos="9072"/>
      </w:tabs>
      <w:snapToGrid w:val="0"/>
      <w:spacing w:before="60" w:after="60"/>
      <w:ind w:left="1134" w:hanging="1134"/>
    </w:pPr>
    <w:rPr>
      <w:rFonts w:cs="Arial"/>
      <w:noProof/>
      <w:sz w:val="18"/>
      <w:lang w:eastAsia="en-GB"/>
    </w:rPr>
  </w:style>
  <w:style w:type="paragraph" w:styleId="TOC2">
    <w:name w:val="toc 2"/>
    <w:basedOn w:val="EYNormal"/>
    <w:next w:val="Normal"/>
    <w:uiPriority w:val="39"/>
    <w:qFormat/>
    <w:rsid w:val="00732521"/>
    <w:pPr>
      <w:tabs>
        <w:tab w:val="left" w:pos="680"/>
        <w:tab w:val="right" w:leader="dot" w:pos="9072"/>
      </w:tabs>
      <w:snapToGrid w:val="0"/>
      <w:ind w:left="198"/>
    </w:pPr>
    <w:rPr>
      <w:rFonts w:cs="Arial"/>
      <w:noProof/>
      <w:sz w:val="18"/>
      <w:lang w:eastAsia="en-GB"/>
    </w:rPr>
  </w:style>
  <w:style w:type="paragraph" w:styleId="TOC3">
    <w:name w:val="toc 3"/>
    <w:basedOn w:val="EYNormal"/>
    <w:next w:val="Normal"/>
    <w:uiPriority w:val="39"/>
    <w:qFormat/>
    <w:rsid w:val="00644B25"/>
    <w:pPr>
      <w:tabs>
        <w:tab w:val="left" w:pos="1200"/>
        <w:tab w:val="right" w:leader="dot" w:pos="9000"/>
      </w:tabs>
      <w:snapToGrid w:val="0"/>
      <w:ind w:left="400"/>
    </w:pPr>
    <w:rPr>
      <w:rFonts w:cs="Arial"/>
      <w:noProof/>
      <w:sz w:val="18"/>
      <w:lang w:eastAsia="en-GB"/>
    </w:rPr>
  </w:style>
  <w:style w:type="paragraph" w:styleId="TOC4">
    <w:name w:val="toc 4"/>
    <w:basedOn w:val="EYNormal"/>
    <w:next w:val="Normal"/>
    <w:uiPriority w:val="39"/>
    <w:rsid w:val="00CE0CD5"/>
    <w:pPr>
      <w:tabs>
        <w:tab w:val="left" w:pos="1680"/>
        <w:tab w:val="right" w:leader="dot" w:pos="9000"/>
      </w:tabs>
      <w:snapToGrid w:val="0"/>
      <w:ind w:left="600"/>
    </w:pPr>
    <w:rPr>
      <w:rFonts w:cs="Arial"/>
      <w:noProof/>
      <w:lang w:eastAsia="en-GB"/>
    </w:rPr>
  </w:style>
  <w:style w:type="paragraph" w:styleId="BalloonText">
    <w:name w:val="Balloon Text"/>
    <w:basedOn w:val="Normal"/>
    <w:semiHidden/>
    <w:rsid w:val="00664943"/>
    <w:rPr>
      <w:rFonts w:ascii="Tahoma" w:hAnsi="Tahoma" w:cs="Tahoma"/>
      <w:sz w:val="16"/>
      <w:szCs w:val="16"/>
    </w:rPr>
  </w:style>
  <w:style w:type="character" w:customStyle="1" w:styleId="bold">
    <w:name w:val="bold"/>
    <w:basedOn w:val="DefaultParagraphFont"/>
    <w:rsid w:val="00CB5A62"/>
    <w:rPr>
      <w:rFonts w:ascii="EYInterstate Light" w:hAnsi="EYInterstate Light"/>
      <w:b/>
      <w:bCs/>
      <w:sz w:val="24"/>
    </w:rPr>
  </w:style>
  <w:style w:type="character" w:styleId="EndnoteReference">
    <w:name w:val="endnote reference"/>
    <w:basedOn w:val="DefaultParagraphFont"/>
    <w:semiHidden/>
    <w:rsid w:val="00664943"/>
    <w:rPr>
      <w:vertAlign w:val="superscript"/>
    </w:rPr>
  </w:style>
  <w:style w:type="paragraph" w:styleId="EndnoteText">
    <w:name w:val="endnote text"/>
    <w:basedOn w:val="Normal"/>
    <w:semiHidden/>
    <w:rsid w:val="00664943"/>
  </w:style>
  <w:style w:type="paragraph" w:customStyle="1" w:styleId="EYCoverDate">
    <w:name w:val="EY Cover Date"/>
    <w:basedOn w:val="Normal"/>
    <w:rsid w:val="00664943"/>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7C3DC6"/>
    <w:pPr>
      <w:tabs>
        <w:tab w:val="clear" w:pos="6750"/>
      </w:tabs>
      <w:spacing w:line="420" w:lineRule="exact"/>
    </w:pPr>
    <w:rPr>
      <w:sz w:val="28"/>
    </w:rPr>
  </w:style>
  <w:style w:type="character" w:styleId="FootnoteReference">
    <w:name w:val="footnote reference"/>
    <w:aliases w:val="fr"/>
    <w:basedOn w:val="DefaultParagraphFont"/>
    <w:uiPriority w:val="99"/>
    <w:rsid w:val="00A9654D"/>
    <w:rPr>
      <w:rFonts w:ascii="EYInterstate Light" w:hAnsi="EYInterstate Light"/>
      <w:position w:val="0"/>
      <w:sz w:val="20"/>
      <w:szCs w:val="20"/>
      <w:vertAlign w:val="superscript"/>
    </w:rPr>
  </w:style>
  <w:style w:type="character" w:customStyle="1" w:styleId="FootnoteTextChar">
    <w:name w:val="Footnote Text Char"/>
    <w:aliases w:val="fn Char,FT Char,ft Char,SD Footnote Text Char,Footnote Text AG Char"/>
    <w:basedOn w:val="DefaultParagraphFont"/>
    <w:link w:val="FootnoteText"/>
    <w:uiPriority w:val="99"/>
    <w:rsid w:val="00664943"/>
    <w:rPr>
      <w:rFonts w:ascii="EYInterstate Light" w:hAnsi="EYInterstate Light"/>
      <w:sz w:val="18"/>
      <w:lang w:val="en-US" w:eastAsia="en-US" w:bidi="ar-SA"/>
    </w:rPr>
  </w:style>
  <w:style w:type="paragraph" w:styleId="FootnoteText">
    <w:name w:val="footnote text"/>
    <w:aliases w:val="fn,FT,ft,SD Footnote Text,Footnote Text AG"/>
    <w:basedOn w:val="Normal"/>
    <w:link w:val="FootnoteTextChar"/>
    <w:uiPriority w:val="99"/>
    <w:rsid w:val="00664943"/>
    <w:pPr>
      <w:keepNext/>
      <w:keepLines/>
    </w:pPr>
    <w:rPr>
      <w:sz w:val="18"/>
    </w:rPr>
  </w:style>
  <w:style w:type="paragraph" w:customStyle="1" w:styleId="Italics">
    <w:name w:val="Italics"/>
    <w:link w:val="ItalicsCharChar"/>
    <w:rsid w:val="00CB5A62"/>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CB5A62"/>
    <w:rPr>
      <w:rFonts w:ascii="EYInterstate Light" w:hAnsi="EYInterstate Light"/>
      <w:bCs/>
      <w:i/>
      <w:iCs/>
      <w:sz w:val="24"/>
    </w:rPr>
  </w:style>
  <w:style w:type="paragraph" w:customStyle="1" w:styleId="Normalleftindent">
    <w:name w:val="Normal + left indent"/>
    <w:basedOn w:val="Normal"/>
    <w:rsid w:val="00664943"/>
    <w:pPr>
      <w:widowControl/>
      <w:ind w:left="720"/>
    </w:pPr>
    <w:rPr>
      <w:lang w:eastAsia="ja-JP"/>
    </w:rPr>
  </w:style>
  <w:style w:type="paragraph" w:customStyle="1" w:styleId="NumberedList">
    <w:name w:val="Numbered List"/>
    <w:rsid w:val="00CB5A62"/>
    <w:pPr>
      <w:numPr>
        <w:numId w:val="8"/>
      </w:numPr>
      <w:spacing w:after="120"/>
    </w:pPr>
    <w:rPr>
      <w:rFonts w:ascii="EYInterstate Light" w:hAnsi="EYInterstate Light"/>
      <w:sz w:val="24"/>
    </w:rPr>
  </w:style>
  <w:style w:type="paragraph" w:customStyle="1" w:styleId="StyleBoldItalics">
    <w:name w:val="Style Bold + Italics"/>
    <w:basedOn w:val="Normal"/>
    <w:rsid w:val="00664943"/>
    <w:pPr>
      <w:widowControl/>
    </w:pPr>
    <w:rPr>
      <w:b/>
      <w:i/>
    </w:rPr>
  </w:style>
  <w:style w:type="paragraph" w:customStyle="1" w:styleId="StyleBoldCentered">
    <w:name w:val="Style Bold Centered"/>
    <w:basedOn w:val="Normal"/>
    <w:rsid w:val="00664943"/>
    <w:pPr>
      <w:autoSpaceDE/>
      <w:autoSpaceDN/>
      <w:adjustRightInd/>
      <w:jc w:val="center"/>
    </w:pPr>
    <w:rPr>
      <w:b/>
      <w:bCs/>
      <w:sz w:val="28"/>
    </w:rPr>
  </w:style>
  <w:style w:type="paragraph" w:customStyle="1" w:styleId="StyleEYInterstateBoldAfter18pt">
    <w:name w:val="Style EYInterstate Bold After:  18 pt"/>
    <w:basedOn w:val="Normal"/>
    <w:rsid w:val="00664943"/>
    <w:pPr>
      <w:spacing w:after="240"/>
      <w:jc w:val="both"/>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664943"/>
    <w:rPr>
      <w:rFonts w:ascii="EYInterstate" w:hAnsi="EYInterstate"/>
      <w:position w:val="0"/>
      <w:sz w:val="24"/>
      <w:szCs w:val="20"/>
      <w:vertAlign w:val="superscript"/>
    </w:rPr>
  </w:style>
  <w:style w:type="numbering" w:customStyle="1" w:styleId="StyleNumbered">
    <w:name w:val="Style Numbered"/>
    <w:basedOn w:val="NoList"/>
    <w:rsid w:val="00664943"/>
    <w:pPr>
      <w:numPr>
        <w:numId w:val="5"/>
      </w:numPr>
    </w:pPr>
  </w:style>
  <w:style w:type="paragraph" w:customStyle="1" w:styleId="subheadunderlined">
    <w:name w:val="subhead underlined"/>
    <w:rsid w:val="00664943"/>
    <w:pPr>
      <w:keepNext/>
    </w:pPr>
    <w:rPr>
      <w:rFonts w:ascii="EYInterstate Light" w:hAnsi="EYInterstate Light"/>
      <w:sz w:val="24"/>
      <w:u w:val="single"/>
    </w:rPr>
  </w:style>
  <w:style w:type="paragraph" w:customStyle="1" w:styleId="tableheader">
    <w:name w:val="table header"/>
    <w:rsid w:val="00664943"/>
    <w:pPr>
      <w:jc w:val="center"/>
    </w:pPr>
    <w:rPr>
      <w:rFonts w:ascii="EYInterstate Light" w:hAnsi="EYInterstate Light"/>
      <w:b/>
      <w:bCs/>
    </w:rPr>
  </w:style>
  <w:style w:type="paragraph" w:customStyle="1" w:styleId="tabletext-left">
    <w:name w:val="table text - left"/>
    <w:rsid w:val="00664943"/>
    <w:pPr>
      <w:ind w:left="365" w:hanging="365"/>
    </w:pPr>
    <w:rPr>
      <w:rFonts w:ascii="EYInterstate Light" w:hAnsi="EYInterstate Light"/>
      <w:sz w:val="22"/>
    </w:rPr>
  </w:style>
  <w:style w:type="paragraph" w:customStyle="1" w:styleId="tabletextcentered">
    <w:name w:val="table text centered"/>
    <w:rsid w:val="00664943"/>
    <w:pPr>
      <w:jc w:val="center"/>
    </w:pPr>
    <w:rPr>
      <w:rFonts w:ascii="EYInterstate Light" w:hAnsi="EYInterstate Light"/>
    </w:rPr>
  </w:style>
  <w:style w:type="paragraph" w:customStyle="1" w:styleId="TOCtitle">
    <w:name w:val="TOC title"/>
    <w:rsid w:val="00664943"/>
    <w:pPr>
      <w:ind w:left="720" w:hanging="360"/>
      <w:jc w:val="center"/>
    </w:pPr>
    <w:rPr>
      <w:rFonts w:ascii="EYInterstate" w:hAnsi="EYInterstate"/>
      <w:bCs/>
      <w:sz w:val="28"/>
    </w:rPr>
  </w:style>
  <w:style w:type="paragraph" w:customStyle="1" w:styleId="EYTableHeadingWhite">
    <w:name w:val="EY Table Heading (White)"/>
    <w:basedOn w:val="EYTableHeading"/>
    <w:rsid w:val="00703092"/>
    <w:rPr>
      <w:rFonts w:ascii="EYInterstate Light" w:hAnsi="EYInterstate Light"/>
      <w:b/>
      <w:bCs/>
      <w:color w:val="FFFFFF"/>
    </w:rPr>
  </w:style>
  <w:style w:type="paragraph" w:customStyle="1" w:styleId="CopyheadlineCover">
    <w:name w:val="Copy headline (Cover)"/>
    <w:basedOn w:val="Normal"/>
    <w:uiPriority w:val="99"/>
    <w:rsid w:val="00173BC9"/>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rsid w:val="004A65B2"/>
    <w:pPr>
      <w:suppressAutoHyphens/>
      <w:spacing w:after="105" w:line="210" w:lineRule="atLeast"/>
      <w:textAlignment w:val="top"/>
    </w:pPr>
    <w:rPr>
      <w:rFonts w:eastAsiaTheme="minorEastAsia" w:cs="EYInterstate-Light"/>
      <w:color w:val="000000"/>
      <w:spacing w:val="-3"/>
      <w:sz w:val="16"/>
      <w:szCs w:val="16"/>
      <w:lang w:val="en-GB"/>
    </w:rPr>
  </w:style>
  <w:style w:type="paragraph" w:customStyle="1" w:styleId="WebsiteCover">
    <w:name w:val="Website (Cover)"/>
    <w:basedOn w:val="Normal"/>
    <w:uiPriority w:val="99"/>
    <w:rsid w:val="00173BC9"/>
    <w:pPr>
      <w:suppressAutoHyphens/>
      <w:spacing w:before="40" w:after="201" w:line="260" w:lineRule="atLeast"/>
      <w:textAlignment w:val="top"/>
    </w:pPr>
    <w:rPr>
      <w:rFonts w:ascii="EYInterstate-Regular" w:eastAsiaTheme="minorEastAsia" w:hAnsi="EYInterstate-Regular" w:cs="EYInterstate-Regular"/>
      <w:color w:val="000000"/>
      <w:spacing w:val="-4"/>
      <w:lang w:val="en-GB"/>
    </w:rPr>
  </w:style>
  <w:style w:type="paragraph" w:customStyle="1" w:styleId="CopyrightCover">
    <w:name w:val="Copyright (Cover)"/>
    <w:basedOn w:val="Normal"/>
    <w:uiPriority w:val="99"/>
    <w:rsid w:val="004A65B2"/>
    <w:pPr>
      <w:suppressAutoHyphens/>
      <w:spacing w:after="204" w:line="210" w:lineRule="atLeast"/>
      <w:textAlignment w:val="baseline"/>
    </w:pPr>
    <w:rPr>
      <w:rFonts w:eastAsiaTheme="minorEastAsia" w:cs="EYInterstate-Light"/>
      <w:color w:val="000000"/>
      <w:spacing w:val="-3"/>
      <w:sz w:val="16"/>
      <w:szCs w:val="16"/>
      <w:lang w:val="en-GB"/>
    </w:rPr>
  </w:style>
  <w:style w:type="paragraph" w:customStyle="1" w:styleId="ScoreretrievalfileNoCover">
    <w:name w:val="Score retrieval file No (Cover)"/>
    <w:basedOn w:val="Normal"/>
    <w:uiPriority w:val="99"/>
    <w:rsid w:val="004A65B2"/>
    <w:pPr>
      <w:suppressAutoHyphens/>
      <w:spacing w:after="224" w:line="210" w:lineRule="atLeast"/>
      <w:textAlignment w:val="baseline"/>
    </w:pPr>
    <w:rPr>
      <w:rFonts w:eastAsiaTheme="minorEastAsia" w:cs="EYInterstate-Light"/>
      <w:color w:val="000000"/>
      <w:spacing w:val="-3"/>
      <w:sz w:val="16"/>
      <w:szCs w:val="16"/>
      <w:lang w:val="en-GB"/>
    </w:rPr>
  </w:style>
  <w:style w:type="paragraph" w:customStyle="1" w:styleId="LegalcopyCover">
    <w:name w:val="Legal copy (Cover)"/>
    <w:basedOn w:val="Normal"/>
    <w:uiPriority w:val="99"/>
    <w:rsid w:val="004A65B2"/>
    <w:pPr>
      <w:suppressAutoHyphens/>
      <w:spacing w:after="80" w:line="160" w:lineRule="atLeast"/>
      <w:textAlignment w:val="baseline"/>
    </w:pPr>
    <w:rPr>
      <w:rFonts w:eastAsiaTheme="minorEastAsia" w:cs="EYInterstate-Light"/>
      <w:color w:val="000000"/>
      <w:spacing w:val="-2"/>
      <w:sz w:val="12"/>
      <w:szCs w:val="12"/>
      <w:lang w:val="en-GB"/>
    </w:rPr>
  </w:style>
  <w:style w:type="character" w:customStyle="1" w:styleId="BoilerplatecopyItalic">
    <w:name w:val="Boilerplate copy Italic"/>
    <w:uiPriority w:val="99"/>
    <w:rsid w:val="00173BC9"/>
    <w:rPr>
      <w:rFonts w:ascii="EYInterstate-LightItalic" w:hAnsi="EYInterstate-LightItalic" w:cs="EYInterstate-LightItalic"/>
      <w:i/>
      <w:iCs/>
      <w:color w:val="000000"/>
      <w:spacing w:val="-3"/>
      <w:w w:val="100"/>
      <w:position w:val="0"/>
      <w:sz w:val="16"/>
      <w:szCs w:val="16"/>
      <w:vertAlign w:val="baseline"/>
      <w:lang w:val="en-GB"/>
    </w:rPr>
  </w:style>
  <w:style w:type="paragraph" w:customStyle="1" w:styleId="Headline1">
    <w:name w:val="Headline 1"/>
    <w:link w:val="Headline1Char"/>
    <w:rsid w:val="00464F87"/>
    <w:pPr>
      <w:spacing w:after="240"/>
    </w:pPr>
    <w:rPr>
      <w:rFonts w:ascii="EYInterstate Regular" w:hAnsi="EYInterstate Regular" w:cs="Arial"/>
      <w:bCs/>
      <w:color w:val="808080"/>
      <w:kern w:val="32"/>
      <w:sz w:val="48"/>
      <w:szCs w:val="48"/>
    </w:rPr>
  </w:style>
  <w:style w:type="paragraph" w:customStyle="1" w:styleId="Headline2">
    <w:name w:val="Headline 2"/>
    <w:rsid w:val="00464F87"/>
    <w:pPr>
      <w:spacing w:line="400" w:lineRule="exact"/>
    </w:pPr>
    <w:rPr>
      <w:rFonts w:ascii="EYInterstate Regular" w:hAnsi="EYInterstate Regular" w:cs="Arial"/>
      <w:bCs/>
      <w:color w:val="808080"/>
      <w:sz w:val="36"/>
      <w:szCs w:val="48"/>
      <w:lang w:val="en-GB"/>
    </w:rPr>
  </w:style>
  <w:style w:type="character" w:customStyle="1" w:styleId="Headline1Char">
    <w:name w:val="Headline 1 Char"/>
    <w:basedOn w:val="DefaultParagraphFont"/>
    <w:link w:val="Headline1"/>
    <w:rsid w:val="00464F87"/>
    <w:rPr>
      <w:rFonts w:ascii="EYInterstate Regular" w:hAnsi="EYInterstate Regular" w:cs="Arial"/>
      <w:bCs/>
      <w:color w:val="808080"/>
      <w:kern w:val="32"/>
      <w:sz w:val="48"/>
      <w:szCs w:val="48"/>
    </w:rPr>
  </w:style>
  <w:style w:type="character" w:customStyle="1" w:styleId="EYDateChar">
    <w:name w:val="EY Date Char"/>
    <w:basedOn w:val="DefaultParagraphFont"/>
    <w:link w:val="EYDate"/>
    <w:rsid w:val="00226FB5"/>
    <w:rPr>
      <w:rFonts w:ascii="EYInterstate Regular" w:hAnsi="EYInterstate Regular"/>
      <w:b/>
      <w:bCs/>
      <w:kern w:val="28"/>
      <w:szCs w:val="32"/>
    </w:rPr>
  </w:style>
  <w:style w:type="paragraph" w:customStyle="1" w:styleId="StandardText">
    <w:name w:val="Standard Text"/>
    <w:basedOn w:val="Normal"/>
    <w:link w:val="StandardTextChar"/>
    <w:qFormat/>
    <w:rsid w:val="00226FB5"/>
    <w:pPr>
      <w:spacing w:before="120" w:after="120"/>
    </w:pPr>
    <w:rPr>
      <w:rFonts w:cstheme="majorHAnsi"/>
    </w:rPr>
  </w:style>
  <w:style w:type="character" w:customStyle="1" w:styleId="StandardTextChar">
    <w:name w:val="Standard Text Char"/>
    <w:basedOn w:val="DefaultParagraphFont"/>
    <w:link w:val="StandardText"/>
    <w:rsid w:val="00226FB5"/>
    <w:rPr>
      <w:rFonts w:ascii="EYInterstate Light" w:hAnsi="EYInterstate Light" w:cstheme="majorHAnsi"/>
    </w:rPr>
  </w:style>
  <w:style w:type="paragraph" w:customStyle="1" w:styleId="Bullets1stindent">
    <w:name w:val="Bullets (1st indent)"/>
    <w:basedOn w:val="Normal"/>
    <w:link w:val="Bullets1stindentChar"/>
    <w:uiPriority w:val="99"/>
    <w:qFormat/>
    <w:rsid w:val="00F264D8"/>
    <w:pPr>
      <w:widowControl/>
      <w:autoSpaceDE/>
      <w:autoSpaceDN/>
      <w:adjustRightInd/>
      <w:spacing w:after="120"/>
    </w:pPr>
    <w:rPr>
      <w:rFonts w:ascii="Arial" w:hAnsi="Arial" w:cs="Arial"/>
      <w:sz w:val="19"/>
      <w:szCs w:val="24"/>
    </w:rPr>
  </w:style>
  <w:style w:type="character" w:customStyle="1" w:styleId="Bullets1stindentChar">
    <w:name w:val="Bullets (1st indent) Char"/>
    <w:link w:val="Bullets1stindent"/>
    <w:uiPriority w:val="99"/>
    <w:locked/>
    <w:rsid w:val="00F264D8"/>
    <w:rPr>
      <w:rFonts w:ascii="Arial" w:hAnsi="Arial" w:cs="Arial"/>
      <w:sz w:val="19"/>
      <w:szCs w:val="24"/>
      <w:lang w:val="en-AU"/>
    </w:rPr>
  </w:style>
  <w:style w:type="paragraph" w:styleId="Caption">
    <w:name w:val="caption"/>
    <w:aliases w:val="Table heading"/>
    <w:basedOn w:val="Normal"/>
    <w:next w:val="Normal"/>
    <w:link w:val="CaptionChar"/>
    <w:qFormat/>
    <w:rsid w:val="00931CBF"/>
    <w:pPr>
      <w:keepNext/>
      <w:widowControl/>
      <w:autoSpaceDE/>
      <w:autoSpaceDN/>
      <w:adjustRightInd/>
      <w:spacing w:after="60" w:line="200" w:lineRule="exact"/>
      <w:outlineLvl w:val="0"/>
    </w:pPr>
    <w:rPr>
      <w:b/>
      <w:bCs/>
      <w:kern w:val="12"/>
      <w:szCs w:val="24"/>
    </w:rPr>
  </w:style>
  <w:style w:type="character" w:customStyle="1" w:styleId="CaptionChar">
    <w:name w:val="Caption Char"/>
    <w:aliases w:val="Table heading Char"/>
    <w:basedOn w:val="DefaultParagraphFont"/>
    <w:link w:val="Caption"/>
    <w:locked/>
    <w:rsid w:val="00931CBF"/>
    <w:rPr>
      <w:rFonts w:ascii="EYInterstate Light" w:hAnsi="EYInterstate Light"/>
      <w:b/>
      <w:bCs/>
      <w:kern w:val="12"/>
      <w:szCs w:val="24"/>
      <w:lang w:val="en-AU"/>
    </w:rPr>
  </w:style>
  <w:style w:type="paragraph" w:styleId="ListParagraph">
    <w:name w:val="List Paragraph"/>
    <w:basedOn w:val="Normal"/>
    <w:uiPriority w:val="34"/>
    <w:qFormat/>
    <w:rsid w:val="00F264D8"/>
    <w:pPr>
      <w:spacing w:after="120"/>
      <w:ind w:left="720"/>
      <w:contextualSpacing/>
    </w:pPr>
    <w:rPr>
      <w:rFonts w:asciiTheme="majorHAnsi" w:hAnsiTheme="majorHAnsi" w:cstheme="majorHAnsi"/>
    </w:rPr>
  </w:style>
  <w:style w:type="table" w:styleId="TableGrid">
    <w:name w:val="Table Grid"/>
    <w:aliases w:val="CV table,none,EY Table,ICB Table"/>
    <w:basedOn w:val="TableNormal"/>
    <w:rsid w:val="00F26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F264D8"/>
    <w:rPr>
      <w:sz w:val="16"/>
      <w:szCs w:val="16"/>
    </w:rPr>
  </w:style>
  <w:style w:type="paragraph" w:styleId="CommentText">
    <w:name w:val="annotation text"/>
    <w:basedOn w:val="Normal"/>
    <w:link w:val="CommentTextChar"/>
    <w:rsid w:val="00F264D8"/>
    <w:pPr>
      <w:spacing w:after="120"/>
    </w:pPr>
    <w:rPr>
      <w:rFonts w:asciiTheme="majorHAnsi" w:hAnsiTheme="majorHAnsi" w:cstheme="majorHAnsi"/>
    </w:rPr>
  </w:style>
  <w:style w:type="character" w:customStyle="1" w:styleId="CommentTextChar">
    <w:name w:val="Comment Text Char"/>
    <w:basedOn w:val="DefaultParagraphFont"/>
    <w:link w:val="CommentText"/>
    <w:rsid w:val="00F264D8"/>
    <w:rPr>
      <w:rFonts w:asciiTheme="majorHAnsi" w:hAnsiTheme="majorHAnsi" w:cstheme="majorHAnsi"/>
    </w:rPr>
  </w:style>
  <w:style w:type="paragraph" w:customStyle="1" w:styleId="EYBodytextnoparaspace">
    <w:name w:val="EY Body text (no para space)"/>
    <w:basedOn w:val="EYNormal"/>
    <w:rsid w:val="00924BED"/>
    <w:pPr>
      <w:tabs>
        <w:tab w:val="left" w:pos="907"/>
      </w:tabs>
      <w:suppressAutoHyphens/>
      <w:spacing w:line="260" w:lineRule="atLeast"/>
    </w:pPr>
  </w:style>
  <w:style w:type="paragraph" w:customStyle="1" w:styleId="TASBullet1">
    <w:name w:val="TAS Bullet 1"/>
    <w:basedOn w:val="Normal"/>
    <w:qFormat/>
    <w:rsid w:val="002B448C"/>
    <w:pPr>
      <w:widowControl/>
      <w:numPr>
        <w:numId w:val="16"/>
      </w:numPr>
      <w:autoSpaceDE/>
      <w:autoSpaceDN/>
      <w:adjustRightInd/>
      <w:spacing w:after="120"/>
      <w:jc w:val="both"/>
    </w:pPr>
    <w:rPr>
      <w:rFonts w:ascii="Arial" w:eastAsia="MS Mincho" w:hAnsi="Arial" w:cs="Arial"/>
      <w:lang w:val="en-GB" w:eastAsia="zh-TW"/>
    </w:rPr>
  </w:style>
  <w:style w:type="paragraph" w:customStyle="1" w:styleId="TASBullet2">
    <w:name w:val="TAS Bullet 2"/>
    <w:basedOn w:val="Normal"/>
    <w:qFormat/>
    <w:rsid w:val="002B448C"/>
    <w:pPr>
      <w:widowControl/>
      <w:numPr>
        <w:ilvl w:val="1"/>
        <w:numId w:val="16"/>
      </w:numPr>
      <w:autoSpaceDE/>
      <w:autoSpaceDN/>
      <w:adjustRightInd/>
      <w:spacing w:after="120"/>
      <w:jc w:val="both"/>
    </w:pPr>
    <w:rPr>
      <w:rFonts w:ascii="Arial" w:eastAsia="MS Mincho" w:hAnsi="Arial" w:cs="Arial"/>
      <w:lang w:val="en-GB" w:eastAsia="zh-TW"/>
    </w:rPr>
  </w:style>
  <w:style w:type="paragraph" w:customStyle="1" w:styleId="TASLetterbodytext">
    <w:name w:val="TAS Letter body text"/>
    <w:basedOn w:val="Normal"/>
    <w:link w:val="TASLetterbodytextCharChar"/>
    <w:rsid w:val="002B448C"/>
    <w:pPr>
      <w:widowControl/>
      <w:autoSpaceDE/>
      <w:autoSpaceDN/>
      <w:adjustRightInd/>
      <w:spacing w:after="120"/>
      <w:jc w:val="both"/>
    </w:pPr>
    <w:rPr>
      <w:rFonts w:ascii="Arial" w:eastAsia="MS Mincho" w:hAnsi="Arial" w:cstheme="majorHAnsi"/>
      <w:szCs w:val="16"/>
      <w:lang w:val="en-GB" w:eastAsia="zh-TW"/>
    </w:rPr>
  </w:style>
  <w:style w:type="paragraph" w:customStyle="1" w:styleId="TASLetterrecipientaddress">
    <w:name w:val="TAS Letter recipient address"/>
    <w:basedOn w:val="Normal"/>
    <w:rsid w:val="002B448C"/>
    <w:pPr>
      <w:widowControl/>
      <w:autoSpaceDE/>
      <w:autoSpaceDN/>
      <w:adjustRightInd/>
      <w:spacing w:after="120"/>
    </w:pPr>
    <w:rPr>
      <w:rFonts w:ascii="Arial" w:eastAsia="MS Mincho" w:hAnsi="Arial" w:cs="Arial"/>
      <w:szCs w:val="16"/>
      <w:lang w:val="en-GB" w:eastAsia="zh-TW"/>
    </w:rPr>
  </w:style>
  <w:style w:type="paragraph" w:customStyle="1" w:styleId="TASLettersalutation">
    <w:name w:val="TAS Letter salutation"/>
    <w:basedOn w:val="Normal"/>
    <w:next w:val="Normal"/>
    <w:rsid w:val="002B448C"/>
    <w:pPr>
      <w:widowControl/>
      <w:autoSpaceDE/>
      <w:autoSpaceDN/>
      <w:adjustRightInd/>
      <w:spacing w:after="240"/>
      <w:jc w:val="both"/>
    </w:pPr>
    <w:rPr>
      <w:rFonts w:ascii="Arial" w:eastAsia="MS Mincho" w:hAnsi="Arial" w:cs="Arial"/>
      <w:lang w:val="en-GB" w:eastAsia="zh-TW"/>
    </w:rPr>
  </w:style>
  <w:style w:type="paragraph" w:customStyle="1" w:styleId="TASLettertextheading">
    <w:name w:val="TAS Letter text heading"/>
    <w:basedOn w:val="TASLetterbodytext"/>
    <w:next w:val="TASLetterbodytext"/>
    <w:rsid w:val="002B448C"/>
    <w:pPr>
      <w:keepNext/>
    </w:pPr>
    <w:rPr>
      <w:b/>
    </w:rPr>
  </w:style>
  <w:style w:type="character" w:customStyle="1" w:styleId="TASLetterbodytextCharChar">
    <w:name w:val="TAS Letter body text Char Char"/>
    <w:basedOn w:val="DefaultParagraphFont"/>
    <w:link w:val="TASLetterbodytext"/>
    <w:rsid w:val="002B448C"/>
    <w:rPr>
      <w:rFonts w:ascii="Arial" w:eastAsia="MS Mincho" w:hAnsi="Arial" w:cstheme="majorHAnsi"/>
      <w:szCs w:val="16"/>
      <w:lang w:val="en-GB" w:eastAsia="zh-TW"/>
    </w:rPr>
  </w:style>
  <w:style w:type="paragraph" w:customStyle="1" w:styleId="TASLetteraddress">
    <w:name w:val="TAS Letter address"/>
    <w:basedOn w:val="Normal"/>
    <w:rsid w:val="002B448C"/>
    <w:pPr>
      <w:widowControl/>
      <w:autoSpaceDE/>
      <w:autoSpaceDN/>
      <w:adjustRightInd/>
      <w:spacing w:after="120"/>
    </w:pPr>
    <w:rPr>
      <w:rFonts w:ascii="Arial" w:eastAsia="MS Mincho" w:hAnsi="Arial" w:cs="Arial"/>
      <w:color w:val="4F81BD" w:themeColor="accent1"/>
      <w:sz w:val="16"/>
      <w:lang w:val="en-GB" w:eastAsia="zh-TW"/>
    </w:rPr>
  </w:style>
  <w:style w:type="paragraph" w:customStyle="1" w:styleId="TASLetteraddressEY">
    <w:name w:val="TAS Letter address EY"/>
    <w:basedOn w:val="Normal"/>
    <w:next w:val="TASLetteraddress"/>
    <w:rsid w:val="002B448C"/>
    <w:pPr>
      <w:widowControl/>
      <w:autoSpaceDE/>
      <w:autoSpaceDN/>
      <w:adjustRightInd/>
      <w:spacing w:after="120"/>
    </w:pPr>
    <w:rPr>
      <w:rFonts w:ascii="Arial" w:eastAsia="MS Mincho" w:hAnsi="Arial" w:cs="Arial"/>
      <w:b/>
      <w:color w:val="4F81BD" w:themeColor="accent1"/>
      <w:sz w:val="16"/>
      <w:szCs w:val="16"/>
      <w:lang w:val="en-GB" w:eastAsia="zh-TW"/>
    </w:rPr>
  </w:style>
  <w:style w:type="paragraph" w:styleId="TOCHeading">
    <w:name w:val="TOC Heading"/>
    <w:basedOn w:val="Heading1"/>
    <w:next w:val="Normal"/>
    <w:uiPriority w:val="39"/>
    <w:unhideWhenUsed/>
    <w:qFormat/>
    <w:rsid w:val="002B448C"/>
    <w:pPr>
      <w:keepLines/>
      <w:widowControl/>
      <w:numPr>
        <w:numId w:val="0"/>
      </w:numPr>
      <w:tabs>
        <w:tab w:val="clear" w:pos="720"/>
      </w:tabs>
      <w:autoSpaceDE/>
      <w:autoSpaceDN/>
      <w:adjustRightInd/>
      <w:spacing w:before="480" w:after="0" w:line="276" w:lineRule="auto"/>
      <w:contextualSpacing/>
      <w:outlineLvl w:val="9"/>
    </w:pPr>
    <w:rPr>
      <w:rFonts w:asciiTheme="majorHAnsi" w:eastAsiaTheme="majorEastAsia" w:hAnsiTheme="majorHAnsi" w:cstheme="majorBidi"/>
      <w:color w:val="365F91" w:themeColor="accent1" w:themeShade="BF"/>
      <w:szCs w:val="28"/>
      <w:lang w:eastAsia="ja-JP"/>
    </w:rPr>
  </w:style>
  <w:style w:type="paragraph" w:styleId="TOC5">
    <w:name w:val="toc 5"/>
    <w:basedOn w:val="Normal"/>
    <w:next w:val="Normal"/>
    <w:autoRedefine/>
    <w:rsid w:val="002B448C"/>
    <w:pPr>
      <w:ind w:left="800"/>
    </w:pPr>
    <w:rPr>
      <w:rFonts w:asciiTheme="minorHAnsi" w:hAnsiTheme="minorHAnsi" w:cstheme="minorHAnsi"/>
    </w:rPr>
  </w:style>
  <w:style w:type="paragraph" w:styleId="TOC6">
    <w:name w:val="toc 6"/>
    <w:basedOn w:val="Normal"/>
    <w:next w:val="Normal"/>
    <w:autoRedefine/>
    <w:rsid w:val="002B448C"/>
    <w:pPr>
      <w:ind w:left="1000"/>
    </w:pPr>
    <w:rPr>
      <w:rFonts w:asciiTheme="minorHAnsi" w:hAnsiTheme="minorHAnsi" w:cstheme="minorHAnsi"/>
    </w:rPr>
  </w:style>
  <w:style w:type="paragraph" w:styleId="TOC7">
    <w:name w:val="toc 7"/>
    <w:basedOn w:val="Normal"/>
    <w:next w:val="Normal"/>
    <w:autoRedefine/>
    <w:rsid w:val="002B448C"/>
    <w:pPr>
      <w:ind w:left="1200"/>
    </w:pPr>
    <w:rPr>
      <w:rFonts w:asciiTheme="minorHAnsi" w:hAnsiTheme="minorHAnsi" w:cstheme="minorHAnsi"/>
    </w:rPr>
  </w:style>
  <w:style w:type="paragraph" w:styleId="TOC8">
    <w:name w:val="toc 8"/>
    <w:basedOn w:val="Normal"/>
    <w:next w:val="Normal"/>
    <w:autoRedefine/>
    <w:rsid w:val="002B448C"/>
    <w:pPr>
      <w:ind w:left="1400"/>
    </w:pPr>
    <w:rPr>
      <w:rFonts w:asciiTheme="minorHAnsi" w:hAnsiTheme="minorHAnsi" w:cstheme="minorHAnsi"/>
    </w:rPr>
  </w:style>
  <w:style w:type="paragraph" w:styleId="TOC9">
    <w:name w:val="toc 9"/>
    <w:basedOn w:val="Normal"/>
    <w:next w:val="Normal"/>
    <w:autoRedefine/>
    <w:rsid w:val="002B448C"/>
    <w:pPr>
      <w:ind w:left="1600"/>
    </w:pPr>
    <w:rPr>
      <w:rFonts w:asciiTheme="minorHAnsi" w:hAnsiTheme="minorHAnsi" w:cstheme="minorHAnsi"/>
    </w:rPr>
  </w:style>
  <w:style w:type="paragraph" w:customStyle="1" w:styleId="Bullets2ndindent">
    <w:name w:val="Bullets (2nd indent)"/>
    <w:basedOn w:val="BodyText"/>
    <w:qFormat/>
    <w:rsid w:val="002B448C"/>
    <w:pPr>
      <w:widowControl/>
      <w:autoSpaceDE/>
      <w:autoSpaceDN/>
      <w:adjustRightInd/>
    </w:pPr>
    <w:rPr>
      <w:rFonts w:ascii="Arial" w:hAnsi="Arial" w:cs="Arial"/>
      <w:sz w:val="19"/>
      <w:szCs w:val="24"/>
    </w:rPr>
  </w:style>
  <w:style w:type="paragraph" w:customStyle="1" w:styleId="Bullets3rdindent">
    <w:name w:val="Bullets (3rd indent)"/>
    <w:basedOn w:val="BodyText"/>
    <w:rsid w:val="002B448C"/>
    <w:pPr>
      <w:widowControl/>
      <w:autoSpaceDE/>
      <w:autoSpaceDN/>
      <w:adjustRightInd/>
    </w:pPr>
    <w:rPr>
      <w:rFonts w:ascii="Arial" w:hAnsi="Arial" w:cs="Arial"/>
      <w:sz w:val="19"/>
      <w:szCs w:val="24"/>
    </w:rPr>
  </w:style>
  <w:style w:type="paragraph" w:customStyle="1" w:styleId="Tablebullets1stindent">
    <w:name w:val="Table bullets (1st indent)"/>
    <w:basedOn w:val="Normal"/>
    <w:qFormat/>
    <w:rsid w:val="002B448C"/>
    <w:pPr>
      <w:widowControl/>
      <w:autoSpaceDE/>
      <w:autoSpaceDN/>
      <w:adjustRightInd/>
      <w:spacing w:after="60" w:line="220" w:lineRule="atLeast"/>
    </w:pPr>
    <w:rPr>
      <w:rFonts w:ascii="Arial" w:hAnsi="Arial"/>
      <w:sz w:val="19"/>
      <w:szCs w:val="19"/>
    </w:rPr>
  </w:style>
  <w:style w:type="paragraph" w:customStyle="1" w:styleId="Tablebullets2ndindent">
    <w:name w:val="Table bullets (2nd indent)"/>
    <w:basedOn w:val="Normal"/>
    <w:qFormat/>
    <w:rsid w:val="002B448C"/>
    <w:pPr>
      <w:widowControl/>
      <w:autoSpaceDE/>
      <w:autoSpaceDN/>
      <w:adjustRightInd/>
      <w:spacing w:after="60"/>
    </w:pPr>
    <w:rPr>
      <w:rFonts w:ascii="Arial" w:hAnsi="Arial"/>
      <w:sz w:val="19"/>
      <w:szCs w:val="19"/>
    </w:rPr>
  </w:style>
  <w:style w:type="paragraph" w:customStyle="1" w:styleId="Tablebullets3rdindent">
    <w:name w:val="Table bullets (3rd indent)"/>
    <w:basedOn w:val="Normal"/>
    <w:qFormat/>
    <w:rsid w:val="002B448C"/>
    <w:pPr>
      <w:widowControl/>
      <w:autoSpaceDE/>
      <w:autoSpaceDN/>
      <w:adjustRightInd/>
      <w:spacing w:after="60" w:line="220" w:lineRule="atLeast"/>
    </w:pPr>
    <w:rPr>
      <w:rFonts w:ascii="Arial" w:hAnsi="Arial"/>
      <w:sz w:val="19"/>
      <w:szCs w:val="24"/>
    </w:rPr>
  </w:style>
  <w:style w:type="paragraph" w:styleId="Revision">
    <w:name w:val="Revision"/>
    <w:hidden/>
    <w:uiPriority w:val="99"/>
    <w:semiHidden/>
    <w:rsid w:val="002B448C"/>
    <w:rPr>
      <w:rFonts w:asciiTheme="majorHAnsi" w:hAnsiTheme="majorHAnsi" w:cstheme="majorHAnsi"/>
    </w:rPr>
  </w:style>
  <w:style w:type="paragraph" w:styleId="ListBullet">
    <w:name w:val="List Bullet"/>
    <w:basedOn w:val="BodyText"/>
    <w:rsid w:val="002B448C"/>
    <w:pPr>
      <w:widowControl/>
      <w:numPr>
        <w:numId w:val="17"/>
      </w:numPr>
      <w:overflowPunct w:val="0"/>
      <w:textAlignment w:val="baseline"/>
      <w:outlineLvl w:val="0"/>
    </w:pPr>
    <w:rPr>
      <w:kern w:val="12"/>
      <w:sz w:val="22"/>
    </w:rPr>
  </w:style>
  <w:style w:type="paragraph" w:styleId="ListBullet2">
    <w:name w:val="List Bullet 2"/>
    <w:basedOn w:val="ListBullet"/>
    <w:rsid w:val="002B448C"/>
    <w:pPr>
      <w:numPr>
        <w:ilvl w:val="1"/>
      </w:numPr>
    </w:pPr>
  </w:style>
  <w:style w:type="numbering" w:customStyle="1" w:styleId="ParaNumberingArial">
    <w:name w:val="ParaNumbering Arial"/>
    <w:basedOn w:val="NoList"/>
    <w:rsid w:val="002B448C"/>
    <w:pPr>
      <w:numPr>
        <w:numId w:val="18"/>
      </w:numPr>
    </w:pPr>
  </w:style>
  <w:style w:type="paragraph" w:customStyle="1" w:styleId="EYBulletedText10">
    <w:name w:val="EY Bulleted Text 1"/>
    <w:basedOn w:val="EYBodytextwithparaspace"/>
    <w:link w:val="EYBulletedText1Char"/>
    <w:uiPriority w:val="99"/>
    <w:rsid w:val="002B448C"/>
    <w:pPr>
      <w:tabs>
        <w:tab w:val="num" w:pos="425"/>
      </w:tabs>
      <w:ind w:left="425" w:hanging="425"/>
      <w:outlineLvl w:val="0"/>
    </w:pPr>
    <w:rPr>
      <w:lang w:val="en-AU"/>
    </w:rPr>
  </w:style>
  <w:style w:type="paragraph" w:customStyle="1" w:styleId="EYBulletedText2">
    <w:name w:val="EY Bulleted Text 2"/>
    <w:basedOn w:val="EYBodytextwithparaspace"/>
    <w:link w:val="EYBulletedText2Char"/>
    <w:uiPriority w:val="99"/>
    <w:rsid w:val="002B448C"/>
    <w:pPr>
      <w:tabs>
        <w:tab w:val="num" w:pos="851"/>
      </w:tabs>
      <w:ind w:left="851" w:hanging="426"/>
      <w:outlineLvl w:val="0"/>
    </w:pPr>
    <w:rPr>
      <w:lang w:val="en-AU"/>
    </w:rPr>
  </w:style>
  <w:style w:type="character" w:customStyle="1" w:styleId="EYBulletedText1Char">
    <w:name w:val="EY Bulleted Text 1 Char"/>
    <w:basedOn w:val="EYBodytextwithparaspaceChar"/>
    <w:link w:val="EYBulletedText10"/>
    <w:uiPriority w:val="99"/>
    <w:rsid w:val="002B448C"/>
    <w:rPr>
      <w:rFonts w:ascii="EYInterstate Light" w:hAnsi="EYInterstate Light"/>
      <w:spacing w:val="-2"/>
      <w:kern w:val="12"/>
      <w:szCs w:val="24"/>
      <w:lang w:val="en-AU"/>
    </w:rPr>
  </w:style>
  <w:style w:type="paragraph" w:customStyle="1" w:styleId="TableText-List2">
    <w:name w:val="Table Text - List 2"/>
    <w:basedOn w:val="TableText-List"/>
    <w:qFormat/>
    <w:rsid w:val="002B448C"/>
    <w:pPr>
      <w:numPr>
        <w:ilvl w:val="1"/>
      </w:numPr>
      <w:tabs>
        <w:tab w:val="clear" w:pos="164"/>
        <w:tab w:val="num" w:pos="360"/>
        <w:tab w:val="num" w:pos="851"/>
      </w:tabs>
      <w:ind w:left="851" w:hanging="426"/>
    </w:pPr>
  </w:style>
  <w:style w:type="paragraph" w:customStyle="1" w:styleId="TableText">
    <w:name w:val="Table Text"/>
    <w:link w:val="TableTextChar"/>
    <w:rsid w:val="002B448C"/>
    <w:pPr>
      <w:spacing w:before="40" w:after="40"/>
    </w:pPr>
    <w:rPr>
      <w:rFonts w:ascii="Arial" w:hAnsi="Arial" w:cs="Arial"/>
      <w:sz w:val="18"/>
      <w:szCs w:val="18"/>
      <w:lang w:val="en-AU"/>
    </w:rPr>
  </w:style>
  <w:style w:type="paragraph" w:customStyle="1" w:styleId="TableHeader0">
    <w:name w:val="Table Header"/>
    <w:link w:val="TableHeaderChar"/>
    <w:rsid w:val="002B448C"/>
    <w:pPr>
      <w:keepNext/>
      <w:spacing w:before="60" w:after="20"/>
    </w:pPr>
    <w:rPr>
      <w:rFonts w:ascii="Arial" w:hAnsi="Arial" w:cs="Arial"/>
      <w:b/>
      <w:color w:val="FFFFFF"/>
      <w:lang w:val="en-AU"/>
    </w:rPr>
  </w:style>
  <w:style w:type="character" w:customStyle="1" w:styleId="TableTextChar">
    <w:name w:val="Table Text Char"/>
    <w:link w:val="TableText"/>
    <w:locked/>
    <w:rsid w:val="002B448C"/>
    <w:rPr>
      <w:rFonts w:ascii="Arial" w:hAnsi="Arial" w:cs="Arial"/>
      <w:sz w:val="18"/>
      <w:szCs w:val="18"/>
      <w:lang w:val="en-AU"/>
    </w:rPr>
  </w:style>
  <w:style w:type="paragraph" w:customStyle="1" w:styleId="H-2">
    <w:name w:val="H-2"/>
    <w:basedOn w:val="Heading2"/>
    <w:link w:val="H-2Char"/>
    <w:rsid w:val="002B448C"/>
    <w:pPr>
      <w:widowControl/>
      <w:numPr>
        <w:ilvl w:val="0"/>
        <w:numId w:val="0"/>
      </w:numPr>
      <w:tabs>
        <w:tab w:val="num" w:pos="576"/>
        <w:tab w:val="num" w:pos="2268"/>
      </w:tabs>
      <w:autoSpaceDE/>
      <w:autoSpaceDN/>
      <w:adjustRightInd/>
      <w:spacing w:before="240" w:after="240"/>
      <w:ind w:left="2268" w:hanging="2268"/>
    </w:pPr>
    <w:rPr>
      <w:rFonts w:ascii="Arial" w:hAnsi="Arial" w:cstheme="majorHAnsi"/>
      <w:b w:val="0"/>
      <w:color w:val="004D43"/>
      <w:kern w:val="12"/>
      <w:szCs w:val="24"/>
    </w:rPr>
  </w:style>
  <w:style w:type="character" w:customStyle="1" w:styleId="H-2Char">
    <w:name w:val="H-2 Char"/>
    <w:link w:val="H-2"/>
    <w:rsid w:val="002B448C"/>
    <w:rPr>
      <w:rFonts w:ascii="Arial" w:hAnsi="Arial" w:cstheme="majorHAnsi"/>
      <w:bCs/>
      <w:iCs/>
      <w:color w:val="004D43"/>
      <w:kern w:val="12"/>
      <w:sz w:val="24"/>
      <w:szCs w:val="24"/>
      <w:lang w:val="en-AU"/>
    </w:rPr>
  </w:style>
  <w:style w:type="character" w:customStyle="1" w:styleId="EYTableTextChar">
    <w:name w:val="EY Table Text Char"/>
    <w:basedOn w:val="DefaultParagraphFont"/>
    <w:link w:val="EYTableText"/>
    <w:rsid w:val="002B448C"/>
    <w:rPr>
      <w:rFonts w:ascii="EYInterstate Light" w:hAnsi="EYInterstate Light"/>
      <w:sz w:val="16"/>
      <w:szCs w:val="24"/>
    </w:rPr>
  </w:style>
  <w:style w:type="paragraph" w:customStyle="1" w:styleId="TableText-List">
    <w:name w:val="Table Text - List"/>
    <w:link w:val="TableText-ListChar"/>
    <w:rsid w:val="002B448C"/>
    <w:pPr>
      <w:numPr>
        <w:numId w:val="19"/>
      </w:numPr>
      <w:spacing w:before="60" w:after="60"/>
    </w:pPr>
    <w:rPr>
      <w:rFonts w:ascii="Arial" w:hAnsi="Arial" w:cs="Arial"/>
      <w:kern w:val="22"/>
      <w:sz w:val="18"/>
      <w:szCs w:val="18"/>
      <w:lang w:val="en-AU"/>
    </w:rPr>
  </w:style>
  <w:style w:type="character" w:customStyle="1" w:styleId="EYBulletedText2Char">
    <w:name w:val="EY Bulleted Text 2 Char"/>
    <w:basedOn w:val="EYBodytextwithparaspaceChar"/>
    <w:link w:val="EYBulletedText2"/>
    <w:uiPriority w:val="99"/>
    <w:locked/>
    <w:rsid w:val="002B448C"/>
    <w:rPr>
      <w:rFonts w:ascii="EYInterstate Light" w:hAnsi="EYInterstate Light"/>
      <w:spacing w:val="-2"/>
      <w:kern w:val="12"/>
      <w:szCs w:val="24"/>
      <w:lang w:val="en-AU"/>
    </w:rPr>
  </w:style>
  <w:style w:type="character" w:customStyle="1" w:styleId="EYTablebullet1Char">
    <w:name w:val="EY Table bullet 1 Char"/>
    <w:basedOn w:val="DefaultParagraphFont"/>
    <w:link w:val="EYTablebullet1"/>
    <w:locked/>
    <w:rsid w:val="003A1D14"/>
    <w:rPr>
      <w:rFonts w:ascii="EYInterstate Light" w:hAnsi="EYInterstate Light"/>
      <w:sz w:val="16"/>
      <w:szCs w:val="16"/>
    </w:rPr>
  </w:style>
  <w:style w:type="character" w:customStyle="1" w:styleId="TableHeaderChar">
    <w:name w:val="Table Header Char"/>
    <w:link w:val="TableHeader0"/>
    <w:locked/>
    <w:rsid w:val="002B448C"/>
    <w:rPr>
      <w:rFonts w:ascii="Arial" w:hAnsi="Arial" w:cs="Arial"/>
      <w:b/>
      <w:color w:val="FFFFFF"/>
      <w:lang w:val="en-AU"/>
    </w:rPr>
  </w:style>
  <w:style w:type="character" w:customStyle="1" w:styleId="TableText-ListChar">
    <w:name w:val="Table Text - List Char"/>
    <w:link w:val="TableText-List"/>
    <w:locked/>
    <w:rsid w:val="002B448C"/>
    <w:rPr>
      <w:rFonts w:ascii="Arial" w:hAnsi="Arial" w:cs="Arial"/>
      <w:kern w:val="22"/>
      <w:sz w:val="18"/>
      <w:szCs w:val="18"/>
      <w:lang w:val="en-AU"/>
    </w:rPr>
  </w:style>
  <w:style w:type="table" w:customStyle="1" w:styleId="EYGeneralTable">
    <w:name w:val="EY General Table"/>
    <w:basedOn w:val="TableNormal"/>
    <w:uiPriority w:val="99"/>
    <w:rsid w:val="002B448C"/>
    <w:rPr>
      <w:rFonts w:ascii="EYInterstate Light" w:hAnsi="EYInterstate Light"/>
      <w:sz w:val="16"/>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rFonts w:ascii="Franklin Gothic Book" w:hAnsi="Franklin Gothic Book"/>
        <w:b/>
        <w:color w:val="FFFFFF" w:themeColor="background1"/>
        <w:sz w:val="16"/>
      </w:rPr>
      <w:tblPr/>
      <w:tcPr>
        <w:shd w:val="clear" w:color="auto" w:fill="808080"/>
      </w:tcPr>
    </w:tblStylePr>
    <w:tblStylePr w:type="lastRow">
      <w:tblPr/>
      <w:tcPr>
        <w:shd w:val="clear" w:color="auto" w:fill="FFD300"/>
      </w:tcPr>
    </w:tblStylePr>
    <w:tblStylePr w:type="firstCol">
      <w:rPr>
        <w:rFonts w:asciiTheme="minorHAnsi" w:hAnsiTheme="minorHAnsi"/>
      </w:rPr>
      <w:tblPr/>
      <w:tcPr>
        <w:tcBorders>
          <w:top w:val="dotted" w:sz="4" w:space="0" w:color="auto"/>
          <w:left w:val="dotted" w:sz="4" w:space="0" w:color="auto"/>
          <w:bottom w:val="dotted" w:sz="4" w:space="0" w:color="auto"/>
          <w:right w:val="dotted" w:sz="4" w:space="0" w:color="auto"/>
          <w:insideH w:val="dotted" w:sz="4" w:space="0" w:color="auto"/>
          <w:insideV w:val="dotted" w:sz="4" w:space="0" w:color="auto"/>
        </w:tcBorders>
      </w:tcPr>
    </w:tblStylePr>
  </w:style>
  <w:style w:type="paragraph" w:styleId="CommentSubject">
    <w:name w:val="annotation subject"/>
    <w:basedOn w:val="CommentText"/>
    <w:next w:val="CommentText"/>
    <w:link w:val="CommentSubjectChar"/>
    <w:rsid w:val="002B448C"/>
    <w:rPr>
      <w:b/>
      <w:bCs/>
    </w:rPr>
  </w:style>
  <w:style w:type="character" w:customStyle="1" w:styleId="CommentSubjectChar">
    <w:name w:val="Comment Subject Char"/>
    <w:basedOn w:val="CommentTextChar"/>
    <w:link w:val="CommentSubject"/>
    <w:rsid w:val="002B448C"/>
    <w:rPr>
      <w:rFonts w:asciiTheme="majorHAnsi" w:hAnsiTheme="majorHAnsi" w:cstheme="majorHAnsi"/>
      <w:b/>
      <w:bCs/>
    </w:rPr>
  </w:style>
  <w:style w:type="paragraph" w:customStyle="1" w:styleId="Tabletitle">
    <w:name w:val="Table title"/>
    <w:next w:val="Normal"/>
    <w:uiPriority w:val="4"/>
    <w:qFormat/>
    <w:rsid w:val="002B448C"/>
    <w:pPr>
      <w:keepNext/>
      <w:keepLines/>
      <w:numPr>
        <w:numId w:val="20"/>
      </w:numPr>
      <w:spacing w:before="240" w:after="160" w:line="270" w:lineRule="atLeast"/>
    </w:pPr>
    <w:rPr>
      <w:rFonts w:ascii="Arial" w:hAnsi="Arial"/>
      <w:color w:val="000000"/>
      <w:sz w:val="22"/>
      <w:szCs w:val="24"/>
      <w:lang w:val="en-AU"/>
    </w:rPr>
  </w:style>
  <w:style w:type="character" w:customStyle="1" w:styleId="Heading3Char">
    <w:name w:val="Heading 3 Char"/>
    <w:basedOn w:val="DefaultParagraphFont"/>
    <w:link w:val="Heading3"/>
    <w:rsid w:val="002B448C"/>
    <w:rPr>
      <w:rFonts w:ascii="EYInterstate Light" w:hAnsi="EYInterstate Light" w:cs="Arial"/>
      <w:b/>
      <w:bCs/>
      <w:sz w:val="24"/>
    </w:rPr>
  </w:style>
  <w:style w:type="paragraph" w:customStyle="1" w:styleId="BodyText1">
    <w:name w:val="Body Text1"/>
    <w:link w:val="BodyText1Char"/>
    <w:qFormat/>
    <w:rsid w:val="002B448C"/>
    <w:pPr>
      <w:spacing w:line="270" w:lineRule="atLeast"/>
    </w:pPr>
    <w:rPr>
      <w:rFonts w:ascii="EYInterstate Light" w:hAnsi="EYInterstate Light"/>
      <w:color w:val="000000"/>
      <w:sz w:val="16"/>
      <w:szCs w:val="24"/>
      <w:lang w:val="en-AU"/>
    </w:rPr>
  </w:style>
  <w:style w:type="character" w:customStyle="1" w:styleId="BodyText1Char">
    <w:name w:val="Body Text1 Char"/>
    <w:link w:val="BodyText1"/>
    <w:rsid w:val="002B448C"/>
    <w:rPr>
      <w:rFonts w:ascii="EYInterstate Light" w:hAnsi="EYInterstate Light"/>
      <w:color w:val="000000"/>
      <w:sz w:val="16"/>
      <w:szCs w:val="24"/>
      <w:lang w:val="en-AU"/>
    </w:rPr>
  </w:style>
  <w:style w:type="paragraph" w:customStyle="1" w:styleId="TableCaption">
    <w:name w:val="Table Caption"/>
    <w:basedOn w:val="BodyText1"/>
    <w:link w:val="TableCaptionChar"/>
    <w:qFormat/>
    <w:rsid w:val="002B448C"/>
    <w:pPr>
      <w:spacing w:before="60" w:after="60" w:line="240" w:lineRule="auto"/>
    </w:pPr>
    <w:rPr>
      <w:b/>
    </w:rPr>
  </w:style>
  <w:style w:type="character" w:customStyle="1" w:styleId="TableCaptionChar">
    <w:name w:val="Table Caption Char"/>
    <w:basedOn w:val="BodyText1Char"/>
    <w:link w:val="TableCaption"/>
    <w:rsid w:val="002B448C"/>
    <w:rPr>
      <w:rFonts w:ascii="EYInterstate Light" w:hAnsi="EYInterstate Light"/>
      <w:b/>
      <w:color w:val="000000"/>
      <w:sz w:val="16"/>
      <w:szCs w:val="24"/>
      <w:lang w:val="en-AU"/>
    </w:rPr>
  </w:style>
  <w:style w:type="character" w:customStyle="1" w:styleId="Normal1Char">
    <w:name w:val="Normal1 Char"/>
    <w:link w:val="Normal1"/>
    <w:uiPriority w:val="99"/>
    <w:locked/>
    <w:rsid w:val="002B448C"/>
    <w:rPr>
      <w:rFonts w:ascii="Franklin Gothic Book" w:hAnsi="Franklin Gothic Book"/>
      <w:sz w:val="22"/>
      <w:lang w:val="en-AU"/>
    </w:rPr>
  </w:style>
  <w:style w:type="paragraph" w:customStyle="1" w:styleId="Normal1">
    <w:name w:val="Normal1"/>
    <w:link w:val="Normal1Char"/>
    <w:uiPriority w:val="99"/>
    <w:rsid w:val="002B448C"/>
    <w:pPr>
      <w:tabs>
        <w:tab w:val="left" w:pos="851"/>
        <w:tab w:val="left" w:pos="1701"/>
        <w:tab w:val="left" w:pos="2552"/>
        <w:tab w:val="right" w:pos="9015"/>
      </w:tabs>
      <w:spacing w:before="180"/>
      <w:jc w:val="both"/>
    </w:pPr>
    <w:rPr>
      <w:rFonts w:ascii="Franklin Gothic Book" w:hAnsi="Franklin Gothic Book"/>
      <w:sz w:val="22"/>
      <w:lang w:val="en-AU"/>
    </w:rPr>
  </w:style>
  <w:style w:type="table" w:customStyle="1" w:styleId="TableFormat-Standard">
    <w:name w:val="Table Format - Standard"/>
    <w:basedOn w:val="TableNormal"/>
    <w:rsid w:val="002B448C"/>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numbering" w:customStyle="1" w:styleId="ParaNumbering">
    <w:name w:val="ParaNumbering"/>
    <w:basedOn w:val="NoList"/>
    <w:rsid w:val="002B448C"/>
  </w:style>
  <w:style w:type="character" w:customStyle="1" w:styleId="EYTableHeadingChar">
    <w:name w:val="EY Table Heading Char"/>
    <w:basedOn w:val="DefaultParagraphFont"/>
    <w:link w:val="EYTableHeading"/>
    <w:locked/>
    <w:rsid w:val="002B448C"/>
    <w:rPr>
      <w:rFonts w:ascii="EYInterstate Regular" w:hAnsi="EYInterstate Regular"/>
      <w:color w:val="808080"/>
      <w:sz w:val="16"/>
      <w:szCs w:val="24"/>
    </w:rPr>
  </w:style>
  <w:style w:type="character" w:customStyle="1" w:styleId="Heading2Char">
    <w:name w:val="Heading 2 Char"/>
    <w:basedOn w:val="DefaultParagraphFont"/>
    <w:link w:val="Heading2"/>
    <w:rsid w:val="002B448C"/>
    <w:rPr>
      <w:rFonts w:ascii="EYInterstate Light" w:hAnsi="EYInterstate Light" w:cs="Arial"/>
      <w:b/>
      <w:bCs/>
      <w:iCs/>
      <w:sz w:val="24"/>
    </w:rPr>
  </w:style>
  <w:style w:type="table" w:customStyle="1" w:styleId="TableGrid1">
    <w:name w:val="Table Grid1"/>
    <w:basedOn w:val="TableNormal"/>
    <w:next w:val="TableGrid"/>
    <w:rsid w:val="002B448C"/>
    <w:rPr>
      <w:rFonts w:ascii="EYInterstate" w:hAnsi="EYInterstat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next w:val="BodyText"/>
    <w:uiPriority w:val="3"/>
    <w:qFormat/>
    <w:rsid w:val="002B448C"/>
    <w:pPr>
      <w:pageBreakBefore/>
      <w:tabs>
        <w:tab w:val="num" w:pos="2160"/>
      </w:tabs>
      <w:spacing w:after="480" w:line="690" w:lineRule="atLeast"/>
      <w:ind w:left="2160" w:hanging="2160"/>
    </w:pPr>
    <w:rPr>
      <w:rFonts w:ascii="Gill Sans MT" w:hAnsi="Gill Sans MT"/>
      <w:color w:val="002664"/>
      <w:sz w:val="36"/>
      <w:szCs w:val="36"/>
      <w:lang w:val="en-AU"/>
    </w:rPr>
  </w:style>
  <w:style w:type="paragraph" w:customStyle="1" w:styleId="Appendixheading2">
    <w:name w:val="Appendix heading 2"/>
    <w:next w:val="BodyText"/>
    <w:uiPriority w:val="3"/>
    <w:qFormat/>
    <w:rsid w:val="002B448C"/>
    <w:pPr>
      <w:keepNext/>
      <w:tabs>
        <w:tab w:val="num" w:pos="1134"/>
      </w:tabs>
      <w:spacing w:before="340" w:after="170" w:line="280" w:lineRule="atLeast"/>
      <w:ind w:left="1134" w:hanging="1134"/>
    </w:pPr>
    <w:rPr>
      <w:rFonts w:ascii="Gill Sans MT" w:hAnsi="Gill Sans MT"/>
      <w:b/>
      <w:bCs/>
      <w:color w:val="5793C9"/>
      <w:sz w:val="26"/>
      <w:szCs w:val="26"/>
      <w:lang w:val="en-AU"/>
    </w:rPr>
  </w:style>
  <w:style w:type="table" w:customStyle="1" w:styleId="CMATable">
    <w:name w:val="CMA Table"/>
    <w:basedOn w:val="TableNormal"/>
    <w:uiPriority w:val="99"/>
    <w:rsid w:val="002B448C"/>
    <w:rPr>
      <w:rFonts w:ascii="Arial" w:hAnsi="Arial"/>
      <w:lang w:val="en-AU"/>
    </w:rPr>
    <w:tblPr>
      <w:tblBorders>
        <w:top w:val="single" w:sz="2" w:space="0" w:color="003366"/>
        <w:left w:val="single" w:sz="2" w:space="0" w:color="003366"/>
        <w:bottom w:val="single" w:sz="2" w:space="0" w:color="003366"/>
        <w:right w:val="single" w:sz="2" w:space="0" w:color="003366"/>
        <w:insideH w:val="single" w:sz="2" w:space="0" w:color="003366"/>
        <w:insideV w:val="single" w:sz="2" w:space="0" w:color="003366"/>
      </w:tblBorders>
      <w:tblCellMar>
        <w:top w:w="57" w:type="dxa"/>
        <w:left w:w="57" w:type="dxa"/>
        <w:bottom w:w="28" w:type="dxa"/>
        <w:right w:w="57" w:type="dxa"/>
      </w:tblCellMar>
    </w:tblPr>
    <w:tblStylePr w:type="firstRow">
      <w:rPr>
        <w:rFonts w:ascii="Arial" w:hAnsi="Arial"/>
      </w:rPr>
      <w:tblPr>
        <w:tblCellMar>
          <w:top w:w="57" w:type="dxa"/>
          <w:left w:w="57" w:type="dxa"/>
          <w:bottom w:w="28" w:type="dxa"/>
          <w:right w:w="57" w:type="dxa"/>
        </w:tblCellMar>
      </w:tblPr>
      <w:tcPr>
        <w:tcBorders>
          <w:top w:val="single" w:sz="2" w:space="0" w:color="003366"/>
          <w:left w:val="single" w:sz="2" w:space="0" w:color="003366"/>
          <w:bottom w:val="single" w:sz="2" w:space="0" w:color="003366"/>
          <w:right w:val="single" w:sz="2" w:space="0" w:color="003366"/>
          <w:insideH w:val="single" w:sz="2" w:space="0" w:color="003366"/>
          <w:insideV w:val="single" w:sz="2" w:space="0" w:color="003366"/>
          <w:tl2br w:val="nil"/>
          <w:tr2bl w:val="nil"/>
        </w:tcBorders>
        <w:shd w:val="clear" w:color="auto" w:fill="003366"/>
      </w:tcPr>
    </w:tblStylePr>
  </w:style>
  <w:style w:type="paragraph" w:customStyle="1" w:styleId="Figuretitle">
    <w:name w:val="Figure title"/>
    <w:next w:val="Normal"/>
    <w:qFormat/>
    <w:rsid w:val="002B448C"/>
    <w:pPr>
      <w:keepNext/>
      <w:tabs>
        <w:tab w:val="num" w:pos="1134"/>
      </w:tabs>
      <w:spacing w:before="240" w:after="60" w:line="280" w:lineRule="atLeast"/>
      <w:ind w:left="1134" w:hanging="1134"/>
    </w:pPr>
    <w:rPr>
      <w:rFonts w:ascii="Arial" w:hAnsi="Arial"/>
      <w:szCs w:val="24"/>
      <w:lang w:val="en-AU"/>
    </w:rPr>
  </w:style>
  <w:style w:type="paragraph" w:styleId="NormalWeb">
    <w:name w:val="Normal (Web)"/>
    <w:basedOn w:val="Normal"/>
    <w:uiPriority w:val="99"/>
    <w:unhideWhenUsed/>
    <w:rsid w:val="002B448C"/>
    <w:pPr>
      <w:widowControl/>
      <w:autoSpaceDE/>
      <w:autoSpaceDN/>
      <w:adjustRightInd/>
      <w:spacing w:before="100" w:beforeAutospacing="1" w:after="100" w:afterAutospacing="1"/>
    </w:pPr>
    <w:rPr>
      <w:rFonts w:ascii="Times New Roman" w:hAnsi="Times New Roman"/>
      <w:szCs w:val="24"/>
      <w:lang w:eastAsia="en-AU"/>
    </w:rPr>
  </w:style>
  <w:style w:type="character" w:styleId="FollowedHyperlink">
    <w:name w:val="FollowedHyperlink"/>
    <w:basedOn w:val="DefaultParagraphFont"/>
    <w:rsid w:val="002B448C"/>
    <w:rPr>
      <w:color w:val="800080" w:themeColor="followedHyperlink"/>
      <w:u w:val="single"/>
    </w:rPr>
  </w:style>
  <w:style w:type="numbering" w:customStyle="1" w:styleId="PwCListNumbers1">
    <w:name w:val="PwC List Numbers 1"/>
    <w:uiPriority w:val="99"/>
    <w:rsid w:val="002B448C"/>
    <w:pPr>
      <w:numPr>
        <w:numId w:val="23"/>
      </w:numPr>
    </w:pPr>
  </w:style>
  <w:style w:type="paragraph" w:styleId="ListNumber">
    <w:name w:val="List Number"/>
    <w:basedOn w:val="Normal"/>
    <w:uiPriority w:val="13"/>
    <w:unhideWhenUsed/>
    <w:qFormat/>
    <w:rsid w:val="002B448C"/>
    <w:pPr>
      <w:widowControl/>
      <w:numPr>
        <w:numId w:val="23"/>
      </w:numPr>
      <w:autoSpaceDE/>
      <w:autoSpaceDN/>
      <w:adjustRightInd/>
      <w:spacing w:after="200" w:line="276" w:lineRule="auto"/>
      <w:contextualSpacing/>
    </w:pPr>
    <w:rPr>
      <w:rFonts w:asciiTheme="minorHAnsi" w:eastAsiaTheme="minorHAnsi" w:hAnsiTheme="minorHAnsi" w:cstheme="minorBidi"/>
      <w:sz w:val="22"/>
      <w:szCs w:val="22"/>
    </w:rPr>
  </w:style>
  <w:style w:type="paragraph" w:styleId="ListNumber2">
    <w:name w:val="List Number 2"/>
    <w:basedOn w:val="Normal"/>
    <w:uiPriority w:val="13"/>
    <w:unhideWhenUsed/>
    <w:qFormat/>
    <w:rsid w:val="002B448C"/>
    <w:pPr>
      <w:widowControl/>
      <w:numPr>
        <w:ilvl w:val="1"/>
        <w:numId w:val="23"/>
      </w:numPr>
      <w:autoSpaceDE/>
      <w:autoSpaceDN/>
      <w:adjustRightInd/>
      <w:spacing w:after="200" w:line="276" w:lineRule="auto"/>
      <w:contextualSpacing/>
    </w:pPr>
    <w:rPr>
      <w:rFonts w:asciiTheme="minorHAnsi" w:eastAsiaTheme="minorHAnsi" w:hAnsiTheme="minorHAnsi" w:cstheme="minorBidi"/>
      <w:sz w:val="22"/>
      <w:szCs w:val="22"/>
    </w:rPr>
  </w:style>
  <w:style w:type="paragraph" w:styleId="ListNumber3">
    <w:name w:val="List Number 3"/>
    <w:basedOn w:val="Normal"/>
    <w:uiPriority w:val="13"/>
    <w:unhideWhenUsed/>
    <w:qFormat/>
    <w:rsid w:val="002B448C"/>
    <w:pPr>
      <w:widowControl/>
      <w:numPr>
        <w:ilvl w:val="2"/>
        <w:numId w:val="23"/>
      </w:numPr>
      <w:autoSpaceDE/>
      <w:autoSpaceDN/>
      <w:adjustRightInd/>
      <w:spacing w:after="200" w:line="276" w:lineRule="auto"/>
      <w:contextualSpacing/>
    </w:pPr>
    <w:rPr>
      <w:rFonts w:asciiTheme="minorHAnsi" w:eastAsiaTheme="minorHAnsi" w:hAnsiTheme="minorHAnsi" w:cstheme="minorBidi"/>
      <w:sz w:val="22"/>
      <w:szCs w:val="22"/>
    </w:rPr>
  </w:style>
  <w:style w:type="paragraph" w:styleId="ListNumber4">
    <w:name w:val="List Number 4"/>
    <w:basedOn w:val="Normal"/>
    <w:uiPriority w:val="13"/>
    <w:unhideWhenUsed/>
    <w:rsid w:val="002B448C"/>
    <w:pPr>
      <w:widowControl/>
      <w:numPr>
        <w:ilvl w:val="3"/>
        <w:numId w:val="23"/>
      </w:numPr>
      <w:autoSpaceDE/>
      <w:autoSpaceDN/>
      <w:adjustRightInd/>
      <w:spacing w:after="200" w:line="276" w:lineRule="auto"/>
      <w:contextualSpacing/>
    </w:pPr>
    <w:rPr>
      <w:rFonts w:asciiTheme="minorHAnsi" w:eastAsiaTheme="minorHAnsi" w:hAnsiTheme="minorHAnsi" w:cstheme="minorBidi"/>
      <w:sz w:val="22"/>
      <w:szCs w:val="22"/>
    </w:rPr>
  </w:style>
  <w:style w:type="paragraph" w:styleId="ListNumber5">
    <w:name w:val="List Number 5"/>
    <w:basedOn w:val="Normal"/>
    <w:uiPriority w:val="13"/>
    <w:unhideWhenUsed/>
    <w:rsid w:val="002B448C"/>
    <w:pPr>
      <w:widowControl/>
      <w:numPr>
        <w:ilvl w:val="4"/>
        <w:numId w:val="23"/>
      </w:numPr>
      <w:autoSpaceDE/>
      <w:autoSpaceDN/>
      <w:adjustRightInd/>
      <w:spacing w:after="200" w:line="276" w:lineRule="auto"/>
      <w:contextualSpacing/>
    </w:pPr>
    <w:rPr>
      <w:rFonts w:asciiTheme="minorHAnsi" w:eastAsiaTheme="minorHAnsi" w:hAnsiTheme="minorHAnsi" w:cstheme="minorBidi"/>
      <w:sz w:val="22"/>
      <w:szCs w:val="22"/>
    </w:rPr>
  </w:style>
  <w:style w:type="paragraph" w:customStyle="1" w:styleId="Default">
    <w:name w:val="Default"/>
    <w:rsid w:val="002B448C"/>
    <w:pPr>
      <w:autoSpaceDE w:val="0"/>
      <w:autoSpaceDN w:val="0"/>
      <w:adjustRightInd w:val="0"/>
    </w:pPr>
    <w:rPr>
      <w:rFonts w:ascii="Arial" w:hAnsi="Arial" w:cs="Arial"/>
      <w:color w:val="000000"/>
      <w:sz w:val="24"/>
      <w:szCs w:val="24"/>
      <w:lang w:val="en-AU"/>
    </w:rPr>
  </w:style>
  <w:style w:type="paragraph" w:customStyle="1" w:styleId="EYBulletedtext1">
    <w:name w:val="EY Bulleted text 1"/>
    <w:basedOn w:val="Normal"/>
    <w:rsid w:val="004F7635"/>
    <w:pPr>
      <w:widowControl/>
      <w:numPr>
        <w:numId w:val="32"/>
      </w:numPr>
      <w:suppressAutoHyphens/>
      <w:autoSpaceDE/>
      <w:autoSpaceDN/>
      <w:adjustRightInd/>
      <w:spacing w:line="260" w:lineRule="exact"/>
    </w:pPr>
    <w:rPr>
      <w:rFonts w:ascii="Arial" w:hAnsi="Arial"/>
      <w:kern w:val="12"/>
      <w:szCs w:val="24"/>
    </w:rPr>
  </w:style>
  <w:style w:type="character" w:customStyle="1" w:styleId="StyleFootnoteReferencefr10ptKernat6pt">
    <w:name w:val="Style Footnote Referencefr + 10 pt Kern at 6 pt"/>
    <w:basedOn w:val="FootnoteReference"/>
    <w:rsid w:val="00A9654D"/>
    <w:rPr>
      <w:rFonts w:ascii="EYInterstate Light" w:hAnsi="EYInterstate Light"/>
      <w:kern w:val="12"/>
      <w:position w:val="0"/>
      <w:sz w:val="20"/>
      <w:szCs w:val="20"/>
      <w:vertAlign w:val="superscript"/>
    </w:rPr>
  </w:style>
  <w:style w:type="character" w:customStyle="1" w:styleId="FooterChar">
    <w:name w:val="Footer Char"/>
    <w:aliases w:val="EY Footer Char"/>
    <w:basedOn w:val="DefaultParagraphFont"/>
    <w:link w:val="Footer"/>
    <w:rsid w:val="001677DD"/>
    <w:rPr>
      <w:rFonts w:ascii="EYInterstate Light" w:hAnsi="EYInterstate Light"/>
      <w:lang w:val="en-AU"/>
    </w:rPr>
  </w:style>
  <w:style w:type="paragraph" w:styleId="TableofFigures">
    <w:name w:val="table of figures"/>
    <w:basedOn w:val="Normal"/>
    <w:next w:val="Normal"/>
    <w:uiPriority w:val="99"/>
    <w:unhideWhenUsed/>
    <w:rsid w:val="002C2A9B"/>
    <w:pPr>
      <w:ind w:left="851" w:hanging="851"/>
    </w:pPr>
    <w:rPr>
      <w:sz w:val="18"/>
    </w:rPr>
  </w:style>
  <w:style w:type="paragraph" w:styleId="Bibliography">
    <w:name w:val="Bibliography"/>
    <w:basedOn w:val="Normal"/>
    <w:next w:val="Normal"/>
    <w:uiPriority w:val="37"/>
    <w:semiHidden/>
    <w:unhideWhenUsed/>
    <w:rsid w:val="00934784"/>
  </w:style>
  <w:style w:type="paragraph" w:styleId="BlockText">
    <w:name w:val="Block Text"/>
    <w:basedOn w:val="Normal"/>
    <w:semiHidden/>
    <w:unhideWhenUsed/>
    <w:rsid w:val="0093478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34784"/>
    <w:pPr>
      <w:spacing w:after="120" w:line="480" w:lineRule="auto"/>
    </w:pPr>
  </w:style>
  <w:style w:type="character" w:customStyle="1" w:styleId="BodyText2Char">
    <w:name w:val="Body Text 2 Char"/>
    <w:basedOn w:val="DefaultParagraphFont"/>
    <w:link w:val="BodyText2"/>
    <w:semiHidden/>
    <w:rsid w:val="00934784"/>
    <w:rPr>
      <w:rFonts w:ascii="EYInterstate Light" w:hAnsi="EYInterstate Light"/>
      <w:lang w:val="en-AU"/>
    </w:rPr>
  </w:style>
  <w:style w:type="paragraph" w:styleId="BodyText3">
    <w:name w:val="Body Text 3"/>
    <w:basedOn w:val="Normal"/>
    <w:link w:val="BodyText3Char"/>
    <w:semiHidden/>
    <w:unhideWhenUsed/>
    <w:rsid w:val="00934784"/>
    <w:pPr>
      <w:spacing w:after="120"/>
    </w:pPr>
    <w:rPr>
      <w:sz w:val="16"/>
      <w:szCs w:val="16"/>
    </w:rPr>
  </w:style>
  <w:style w:type="character" w:customStyle="1" w:styleId="BodyText3Char">
    <w:name w:val="Body Text 3 Char"/>
    <w:basedOn w:val="DefaultParagraphFont"/>
    <w:link w:val="BodyText3"/>
    <w:semiHidden/>
    <w:rsid w:val="00934784"/>
    <w:rPr>
      <w:rFonts w:ascii="EYInterstate Light" w:hAnsi="EYInterstate Light"/>
      <w:sz w:val="16"/>
      <w:szCs w:val="16"/>
      <w:lang w:val="en-AU"/>
    </w:rPr>
  </w:style>
  <w:style w:type="paragraph" w:styleId="BodyTextFirstIndent">
    <w:name w:val="Body Text First Indent"/>
    <w:basedOn w:val="BodyText"/>
    <w:link w:val="BodyTextFirstIndentChar"/>
    <w:rsid w:val="00934784"/>
    <w:pPr>
      <w:spacing w:after="0"/>
      <w:ind w:firstLine="360"/>
    </w:pPr>
  </w:style>
  <w:style w:type="character" w:customStyle="1" w:styleId="BodyTextChar">
    <w:name w:val="Body Text Char"/>
    <w:basedOn w:val="DefaultParagraphFont"/>
    <w:link w:val="BodyText"/>
    <w:rsid w:val="00934784"/>
    <w:rPr>
      <w:rFonts w:ascii="EYInterstate Light" w:hAnsi="EYInterstate Light"/>
      <w:lang w:val="en-AU"/>
    </w:rPr>
  </w:style>
  <w:style w:type="character" w:customStyle="1" w:styleId="BodyTextFirstIndentChar">
    <w:name w:val="Body Text First Indent Char"/>
    <w:basedOn w:val="BodyTextChar"/>
    <w:link w:val="BodyTextFirstIndent"/>
    <w:rsid w:val="00934784"/>
    <w:rPr>
      <w:rFonts w:ascii="EYInterstate Light" w:hAnsi="EYInterstate Light"/>
      <w:lang w:val="en-AU"/>
    </w:rPr>
  </w:style>
  <w:style w:type="paragraph" w:styleId="BodyTextIndent">
    <w:name w:val="Body Text Indent"/>
    <w:basedOn w:val="Normal"/>
    <w:link w:val="BodyTextIndentChar"/>
    <w:semiHidden/>
    <w:unhideWhenUsed/>
    <w:rsid w:val="00934784"/>
    <w:pPr>
      <w:spacing w:after="120"/>
      <w:ind w:left="283"/>
    </w:pPr>
  </w:style>
  <w:style w:type="character" w:customStyle="1" w:styleId="BodyTextIndentChar">
    <w:name w:val="Body Text Indent Char"/>
    <w:basedOn w:val="DefaultParagraphFont"/>
    <w:link w:val="BodyTextIndent"/>
    <w:semiHidden/>
    <w:rsid w:val="00934784"/>
    <w:rPr>
      <w:rFonts w:ascii="EYInterstate Light" w:hAnsi="EYInterstate Light"/>
      <w:lang w:val="en-AU"/>
    </w:rPr>
  </w:style>
  <w:style w:type="paragraph" w:styleId="BodyTextFirstIndent2">
    <w:name w:val="Body Text First Indent 2"/>
    <w:basedOn w:val="BodyTextIndent"/>
    <w:link w:val="BodyTextFirstIndent2Char"/>
    <w:semiHidden/>
    <w:unhideWhenUsed/>
    <w:rsid w:val="00934784"/>
    <w:pPr>
      <w:spacing w:after="0"/>
      <w:ind w:left="360" w:firstLine="360"/>
    </w:pPr>
  </w:style>
  <w:style w:type="character" w:customStyle="1" w:styleId="BodyTextFirstIndent2Char">
    <w:name w:val="Body Text First Indent 2 Char"/>
    <w:basedOn w:val="BodyTextIndentChar"/>
    <w:link w:val="BodyTextFirstIndent2"/>
    <w:semiHidden/>
    <w:rsid w:val="00934784"/>
    <w:rPr>
      <w:rFonts w:ascii="EYInterstate Light" w:hAnsi="EYInterstate Light"/>
      <w:lang w:val="en-AU"/>
    </w:rPr>
  </w:style>
  <w:style w:type="paragraph" w:styleId="BodyTextIndent2">
    <w:name w:val="Body Text Indent 2"/>
    <w:basedOn w:val="Normal"/>
    <w:link w:val="BodyTextIndent2Char"/>
    <w:semiHidden/>
    <w:unhideWhenUsed/>
    <w:rsid w:val="00934784"/>
    <w:pPr>
      <w:spacing w:after="120" w:line="480" w:lineRule="auto"/>
      <w:ind w:left="283"/>
    </w:pPr>
  </w:style>
  <w:style w:type="character" w:customStyle="1" w:styleId="BodyTextIndent2Char">
    <w:name w:val="Body Text Indent 2 Char"/>
    <w:basedOn w:val="DefaultParagraphFont"/>
    <w:link w:val="BodyTextIndent2"/>
    <w:semiHidden/>
    <w:rsid w:val="00934784"/>
    <w:rPr>
      <w:rFonts w:ascii="EYInterstate Light" w:hAnsi="EYInterstate Light"/>
      <w:lang w:val="en-AU"/>
    </w:rPr>
  </w:style>
  <w:style w:type="paragraph" w:styleId="BodyTextIndent3">
    <w:name w:val="Body Text Indent 3"/>
    <w:basedOn w:val="Normal"/>
    <w:link w:val="BodyTextIndent3Char"/>
    <w:semiHidden/>
    <w:unhideWhenUsed/>
    <w:rsid w:val="00934784"/>
    <w:pPr>
      <w:spacing w:after="120"/>
      <w:ind w:left="283"/>
    </w:pPr>
    <w:rPr>
      <w:sz w:val="16"/>
      <w:szCs w:val="16"/>
    </w:rPr>
  </w:style>
  <w:style w:type="character" w:customStyle="1" w:styleId="BodyTextIndent3Char">
    <w:name w:val="Body Text Indent 3 Char"/>
    <w:basedOn w:val="DefaultParagraphFont"/>
    <w:link w:val="BodyTextIndent3"/>
    <w:semiHidden/>
    <w:rsid w:val="00934784"/>
    <w:rPr>
      <w:rFonts w:ascii="EYInterstate Light" w:hAnsi="EYInterstate Light"/>
      <w:sz w:val="16"/>
      <w:szCs w:val="16"/>
      <w:lang w:val="en-AU"/>
    </w:rPr>
  </w:style>
  <w:style w:type="paragraph" w:styleId="Closing">
    <w:name w:val="Closing"/>
    <w:basedOn w:val="Normal"/>
    <w:link w:val="ClosingChar"/>
    <w:semiHidden/>
    <w:unhideWhenUsed/>
    <w:rsid w:val="00934784"/>
    <w:pPr>
      <w:ind w:left="4252"/>
    </w:pPr>
  </w:style>
  <w:style w:type="character" w:customStyle="1" w:styleId="ClosingChar">
    <w:name w:val="Closing Char"/>
    <w:basedOn w:val="DefaultParagraphFont"/>
    <w:link w:val="Closing"/>
    <w:semiHidden/>
    <w:rsid w:val="00934784"/>
    <w:rPr>
      <w:rFonts w:ascii="EYInterstate Light" w:hAnsi="EYInterstate Light"/>
      <w:lang w:val="en-AU"/>
    </w:rPr>
  </w:style>
  <w:style w:type="paragraph" w:styleId="Date">
    <w:name w:val="Date"/>
    <w:basedOn w:val="Normal"/>
    <w:next w:val="Normal"/>
    <w:link w:val="DateChar"/>
    <w:rsid w:val="00934784"/>
  </w:style>
  <w:style w:type="character" w:customStyle="1" w:styleId="DateChar">
    <w:name w:val="Date Char"/>
    <w:basedOn w:val="DefaultParagraphFont"/>
    <w:link w:val="Date"/>
    <w:rsid w:val="00934784"/>
    <w:rPr>
      <w:rFonts w:ascii="EYInterstate Light" w:hAnsi="EYInterstate Light"/>
      <w:lang w:val="en-AU"/>
    </w:rPr>
  </w:style>
  <w:style w:type="paragraph" w:styleId="DocumentMap">
    <w:name w:val="Document Map"/>
    <w:basedOn w:val="Normal"/>
    <w:link w:val="DocumentMapChar"/>
    <w:semiHidden/>
    <w:unhideWhenUsed/>
    <w:rsid w:val="00934784"/>
    <w:rPr>
      <w:rFonts w:ascii="Tahoma" w:hAnsi="Tahoma" w:cs="Tahoma"/>
      <w:sz w:val="16"/>
      <w:szCs w:val="16"/>
    </w:rPr>
  </w:style>
  <w:style w:type="character" w:customStyle="1" w:styleId="DocumentMapChar">
    <w:name w:val="Document Map Char"/>
    <w:basedOn w:val="DefaultParagraphFont"/>
    <w:link w:val="DocumentMap"/>
    <w:semiHidden/>
    <w:rsid w:val="00934784"/>
    <w:rPr>
      <w:rFonts w:ascii="Tahoma" w:hAnsi="Tahoma" w:cs="Tahoma"/>
      <w:sz w:val="16"/>
      <w:szCs w:val="16"/>
      <w:lang w:val="en-AU"/>
    </w:rPr>
  </w:style>
  <w:style w:type="paragraph" w:styleId="EnvelopeAddress">
    <w:name w:val="envelope address"/>
    <w:basedOn w:val="Normal"/>
    <w:semiHidden/>
    <w:unhideWhenUsed/>
    <w:rsid w:val="0093478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34784"/>
    <w:rPr>
      <w:rFonts w:asciiTheme="majorHAnsi" w:eastAsiaTheme="majorEastAsia" w:hAnsiTheme="majorHAnsi" w:cstheme="majorBidi"/>
    </w:rPr>
  </w:style>
  <w:style w:type="paragraph" w:styleId="HTMLAddress">
    <w:name w:val="HTML Address"/>
    <w:basedOn w:val="Normal"/>
    <w:link w:val="HTMLAddressChar"/>
    <w:semiHidden/>
    <w:unhideWhenUsed/>
    <w:rsid w:val="00934784"/>
    <w:rPr>
      <w:i/>
      <w:iCs/>
    </w:rPr>
  </w:style>
  <w:style w:type="character" w:customStyle="1" w:styleId="HTMLAddressChar">
    <w:name w:val="HTML Address Char"/>
    <w:basedOn w:val="DefaultParagraphFont"/>
    <w:link w:val="HTMLAddress"/>
    <w:semiHidden/>
    <w:rsid w:val="00934784"/>
    <w:rPr>
      <w:rFonts w:ascii="EYInterstate Light" w:hAnsi="EYInterstate Light"/>
      <w:i/>
      <w:iCs/>
      <w:lang w:val="en-AU"/>
    </w:rPr>
  </w:style>
  <w:style w:type="paragraph" w:styleId="HTMLPreformatted">
    <w:name w:val="HTML Preformatted"/>
    <w:basedOn w:val="Normal"/>
    <w:link w:val="HTMLPreformattedChar"/>
    <w:semiHidden/>
    <w:unhideWhenUsed/>
    <w:rsid w:val="00934784"/>
    <w:rPr>
      <w:rFonts w:ascii="Consolas" w:hAnsi="Consolas" w:cs="Consolas"/>
    </w:rPr>
  </w:style>
  <w:style w:type="character" w:customStyle="1" w:styleId="HTMLPreformattedChar">
    <w:name w:val="HTML Preformatted Char"/>
    <w:basedOn w:val="DefaultParagraphFont"/>
    <w:link w:val="HTMLPreformatted"/>
    <w:semiHidden/>
    <w:rsid w:val="00934784"/>
    <w:rPr>
      <w:rFonts w:ascii="Consolas" w:hAnsi="Consolas" w:cs="Consolas"/>
      <w:lang w:val="en-AU"/>
    </w:rPr>
  </w:style>
  <w:style w:type="paragraph" w:styleId="Index1">
    <w:name w:val="index 1"/>
    <w:basedOn w:val="Normal"/>
    <w:next w:val="Normal"/>
    <w:autoRedefine/>
    <w:semiHidden/>
    <w:unhideWhenUsed/>
    <w:rsid w:val="00934784"/>
    <w:pPr>
      <w:ind w:left="200" w:hanging="200"/>
    </w:pPr>
  </w:style>
  <w:style w:type="paragraph" w:styleId="Index2">
    <w:name w:val="index 2"/>
    <w:basedOn w:val="Normal"/>
    <w:next w:val="Normal"/>
    <w:autoRedefine/>
    <w:semiHidden/>
    <w:unhideWhenUsed/>
    <w:rsid w:val="00934784"/>
    <w:pPr>
      <w:ind w:left="400" w:hanging="200"/>
    </w:pPr>
  </w:style>
  <w:style w:type="paragraph" w:styleId="Index3">
    <w:name w:val="index 3"/>
    <w:basedOn w:val="Normal"/>
    <w:next w:val="Normal"/>
    <w:autoRedefine/>
    <w:semiHidden/>
    <w:unhideWhenUsed/>
    <w:rsid w:val="00934784"/>
    <w:pPr>
      <w:ind w:left="600" w:hanging="200"/>
    </w:pPr>
  </w:style>
  <w:style w:type="paragraph" w:styleId="Index4">
    <w:name w:val="index 4"/>
    <w:basedOn w:val="Normal"/>
    <w:next w:val="Normal"/>
    <w:autoRedefine/>
    <w:semiHidden/>
    <w:unhideWhenUsed/>
    <w:rsid w:val="00934784"/>
    <w:pPr>
      <w:ind w:left="800" w:hanging="200"/>
    </w:pPr>
  </w:style>
  <w:style w:type="paragraph" w:styleId="Index5">
    <w:name w:val="index 5"/>
    <w:basedOn w:val="Normal"/>
    <w:next w:val="Normal"/>
    <w:autoRedefine/>
    <w:semiHidden/>
    <w:unhideWhenUsed/>
    <w:rsid w:val="00934784"/>
    <w:pPr>
      <w:ind w:left="1000" w:hanging="200"/>
    </w:pPr>
  </w:style>
  <w:style w:type="paragraph" w:styleId="Index6">
    <w:name w:val="index 6"/>
    <w:basedOn w:val="Normal"/>
    <w:next w:val="Normal"/>
    <w:autoRedefine/>
    <w:semiHidden/>
    <w:unhideWhenUsed/>
    <w:rsid w:val="00934784"/>
    <w:pPr>
      <w:ind w:left="1200" w:hanging="200"/>
    </w:pPr>
  </w:style>
  <w:style w:type="paragraph" w:styleId="Index7">
    <w:name w:val="index 7"/>
    <w:basedOn w:val="Normal"/>
    <w:next w:val="Normal"/>
    <w:autoRedefine/>
    <w:semiHidden/>
    <w:unhideWhenUsed/>
    <w:rsid w:val="00934784"/>
    <w:pPr>
      <w:ind w:left="1400" w:hanging="200"/>
    </w:pPr>
  </w:style>
  <w:style w:type="paragraph" w:styleId="Index8">
    <w:name w:val="index 8"/>
    <w:basedOn w:val="Normal"/>
    <w:next w:val="Normal"/>
    <w:autoRedefine/>
    <w:semiHidden/>
    <w:unhideWhenUsed/>
    <w:rsid w:val="00934784"/>
    <w:pPr>
      <w:ind w:left="1600" w:hanging="200"/>
    </w:pPr>
  </w:style>
  <w:style w:type="paragraph" w:styleId="Index9">
    <w:name w:val="index 9"/>
    <w:basedOn w:val="Normal"/>
    <w:next w:val="Normal"/>
    <w:autoRedefine/>
    <w:semiHidden/>
    <w:unhideWhenUsed/>
    <w:rsid w:val="00934784"/>
    <w:pPr>
      <w:ind w:left="1800" w:hanging="200"/>
    </w:pPr>
  </w:style>
  <w:style w:type="paragraph" w:styleId="IndexHeading">
    <w:name w:val="index heading"/>
    <w:basedOn w:val="Normal"/>
    <w:next w:val="Index1"/>
    <w:semiHidden/>
    <w:unhideWhenUsed/>
    <w:rsid w:val="0093478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347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4784"/>
    <w:rPr>
      <w:rFonts w:ascii="EYInterstate Light" w:hAnsi="EYInterstate Light"/>
      <w:b/>
      <w:bCs/>
      <w:i/>
      <w:iCs/>
      <w:color w:val="4F81BD" w:themeColor="accent1"/>
      <w:lang w:val="en-AU"/>
    </w:rPr>
  </w:style>
  <w:style w:type="paragraph" w:styleId="List">
    <w:name w:val="List"/>
    <w:basedOn w:val="Normal"/>
    <w:semiHidden/>
    <w:unhideWhenUsed/>
    <w:rsid w:val="00934784"/>
    <w:pPr>
      <w:ind w:left="283" w:hanging="283"/>
      <w:contextualSpacing/>
    </w:pPr>
  </w:style>
  <w:style w:type="paragraph" w:styleId="List2">
    <w:name w:val="List 2"/>
    <w:basedOn w:val="Normal"/>
    <w:semiHidden/>
    <w:unhideWhenUsed/>
    <w:rsid w:val="00934784"/>
    <w:pPr>
      <w:ind w:left="566" w:hanging="283"/>
      <w:contextualSpacing/>
    </w:pPr>
  </w:style>
  <w:style w:type="paragraph" w:styleId="List3">
    <w:name w:val="List 3"/>
    <w:basedOn w:val="Normal"/>
    <w:semiHidden/>
    <w:unhideWhenUsed/>
    <w:rsid w:val="00934784"/>
    <w:pPr>
      <w:ind w:left="849" w:hanging="283"/>
      <w:contextualSpacing/>
    </w:pPr>
  </w:style>
  <w:style w:type="paragraph" w:styleId="List4">
    <w:name w:val="List 4"/>
    <w:basedOn w:val="Normal"/>
    <w:rsid w:val="00934784"/>
    <w:pPr>
      <w:ind w:left="1132" w:hanging="283"/>
      <w:contextualSpacing/>
    </w:pPr>
  </w:style>
  <w:style w:type="paragraph" w:styleId="List5">
    <w:name w:val="List 5"/>
    <w:basedOn w:val="Normal"/>
    <w:rsid w:val="00934784"/>
    <w:pPr>
      <w:ind w:left="1415" w:hanging="283"/>
      <w:contextualSpacing/>
    </w:pPr>
  </w:style>
  <w:style w:type="paragraph" w:styleId="ListBullet3">
    <w:name w:val="List Bullet 3"/>
    <w:basedOn w:val="Normal"/>
    <w:semiHidden/>
    <w:unhideWhenUsed/>
    <w:rsid w:val="00934784"/>
    <w:pPr>
      <w:numPr>
        <w:numId w:val="64"/>
      </w:numPr>
      <w:contextualSpacing/>
    </w:pPr>
  </w:style>
  <w:style w:type="paragraph" w:styleId="ListBullet4">
    <w:name w:val="List Bullet 4"/>
    <w:basedOn w:val="Normal"/>
    <w:semiHidden/>
    <w:unhideWhenUsed/>
    <w:rsid w:val="00934784"/>
    <w:pPr>
      <w:numPr>
        <w:numId w:val="65"/>
      </w:numPr>
      <w:contextualSpacing/>
    </w:pPr>
  </w:style>
  <w:style w:type="paragraph" w:styleId="ListBullet5">
    <w:name w:val="List Bullet 5"/>
    <w:basedOn w:val="Normal"/>
    <w:semiHidden/>
    <w:unhideWhenUsed/>
    <w:rsid w:val="00934784"/>
    <w:pPr>
      <w:numPr>
        <w:numId w:val="66"/>
      </w:numPr>
      <w:contextualSpacing/>
    </w:pPr>
  </w:style>
  <w:style w:type="paragraph" w:styleId="ListContinue">
    <w:name w:val="List Continue"/>
    <w:basedOn w:val="Normal"/>
    <w:semiHidden/>
    <w:unhideWhenUsed/>
    <w:rsid w:val="00934784"/>
    <w:pPr>
      <w:spacing w:after="120"/>
      <w:ind w:left="283"/>
      <w:contextualSpacing/>
    </w:pPr>
  </w:style>
  <w:style w:type="paragraph" w:styleId="ListContinue2">
    <w:name w:val="List Continue 2"/>
    <w:basedOn w:val="Normal"/>
    <w:semiHidden/>
    <w:unhideWhenUsed/>
    <w:rsid w:val="00934784"/>
    <w:pPr>
      <w:spacing w:after="120"/>
      <w:ind w:left="566"/>
      <w:contextualSpacing/>
    </w:pPr>
  </w:style>
  <w:style w:type="paragraph" w:styleId="ListContinue3">
    <w:name w:val="List Continue 3"/>
    <w:basedOn w:val="Normal"/>
    <w:semiHidden/>
    <w:unhideWhenUsed/>
    <w:rsid w:val="00934784"/>
    <w:pPr>
      <w:spacing w:after="120"/>
      <w:ind w:left="849"/>
      <w:contextualSpacing/>
    </w:pPr>
  </w:style>
  <w:style w:type="paragraph" w:styleId="ListContinue4">
    <w:name w:val="List Continue 4"/>
    <w:basedOn w:val="Normal"/>
    <w:semiHidden/>
    <w:unhideWhenUsed/>
    <w:rsid w:val="00934784"/>
    <w:pPr>
      <w:spacing w:after="120"/>
      <w:ind w:left="1132"/>
      <w:contextualSpacing/>
    </w:pPr>
  </w:style>
  <w:style w:type="paragraph" w:styleId="ListContinue5">
    <w:name w:val="List Continue 5"/>
    <w:basedOn w:val="Normal"/>
    <w:semiHidden/>
    <w:unhideWhenUsed/>
    <w:rsid w:val="00934784"/>
    <w:pPr>
      <w:spacing w:after="120"/>
      <w:ind w:left="1415"/>
      <w:contextualSpacing/>
    </w:pPr>
  </w:style>
  <w:style w:type="paragraph" w:styleId="MacroText">
    <w:name w:val="macro"/>
    <w:link w:val="MacroTextChar"/>
    <w:semiHidden/>
    <w:unhideWhenUsed/>
    <w:rsid w:val="00934784"/>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onsolas"/>
      <w:lang w:val="en-AU"/>
    </w:rPr>
  </w:style>
  <w:style w:type="character" w:customStyle="1" w:styleId="MacroTextChar">
    <w:name w:val="Macro Text Char"/>
    <w:basedOn w:val="DefaultParagraphFont"/>
    <w:link w:val="MacroText"/>
    <w:semiHidden/>
    <w:rsid w:val="00934784"/>
    <w:rPr>
      <w:rFonts w:ascii="Consolas" w:hAnsi="Consolas" w:cs="Consolas"/>
      <w:lang w:val="en-AU"/>
    </w:rPr>
  </w:style>
  <w:style w:type="paragraph" w:styleId="MessageHeader">
    <w:name w:val="Message Header"/>
    <w:basedOn w:val="Normal"/>
    <w:link w:val="MessageHeaderChar"/>
    <w:semiHidden/>
    <w:unhideWhenUsed/>
    <w:rsid w:val="0093478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34784"/>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934784"/>
    <w:pPr>
      <w:widowControl w:val="0"/>
      <w:autoSpaceDE w:val="0"/>
      <w:autoSpaceDN w:val="0"/>
      <w:adjustRightInd w:val="0"/>
    </w:pPr>
    <w:rPr>
      <w:rFonts w:ascii="EYInterstate Light" w:hAnsi="EYInterstate Light"/>
      <w:lang w:val="en-AU"/>
    </w:rPr>
  </w:style>
  <w:style w:type="paragraph" w:styleId="NormalIndent">
    <w:name w:val="Normal Indent"/>
    <w:basedOn w:val="Normal"/>
    <w:semiHidden/>
    <w:unhideWhenUsed/>
    <w:rsid w:val="00934784"/>
    <w:pPr>
      <w:ind w:left="720"/>
    </w:pPr>
  </w:style>
  <w:style w:type="paragraph" w:styleId="NoteHeading">
    <w:name w:val="Note Heading"/>
    <w:basedOn w:val="Normal"/>
    <w:next w:val="Normal"/>
    <w:link w:val="NoteHeadingChar"/>
    <w:semiHidden/>
    <w:unhideWhenUsed/>
    <w:rsid w:val="00934784"/>
  </w:style>
  <w:style w:type="character" w:customStyle="1" w:styleId="NoteHeadingChar">
    <w:name w:val="Note Heading Char"/>
    <w:basedOn w:val="DefaultParagraphFont"/>
    <w:link w:val="NoteHeading"/>
    <w:semiHidden/>
    <w:rsid w:val="00934784"/>
    <w:rPr>
      <w:rFonts w:ascii="EYInterstate Light" w:hAnsi="EYInterstate Light"/>
      <w:lang w:val="en-AU"/>
    </w:rPr>
  </w:style>
  <w:style w:type="paragraph" w:styleId="PlainText">
    <w:name w:val="Plain Text"/>
    <w:basedOn w:val="Normal"/>
    <w:link w:val="PlainTextChar"/>
    <w:semiHidden/>
    <w:unhideWhenUsed/>
    <w:rsid w:val="00934784"/>
    <w:rPr>
      <w:rFonts w:ascii="Consolas" w:hAnsi="Consolas" w:cs="Consolas"/>
      <w:sz w:val="21"/>
      <w:szCs w:val="21"/>
    </w:rPr>
  </w:style>
  <w:style w:type="character" w:customStyle="1" w:styleId="PlainTextChar">
    <w:name w:val="Plain Text Char"/>
    <w:basedOn w:val="DefaultParagraphFont"/>
    <w:link w:val="PlainText"/>
    <w:semiHidden/>
    <w:rsid w:val="00934784"/>
    <w:rPr>
      <w:rFonts w:ascii="Consolas" w:hAnsi="Consolas" w:cs="Consolas"/>
      <w:sz w:val="21"/>
      <w:szCs w:val="21"/>
      <w:lang w:val="en-AU"/>
    </w:rPr>
  </w:style>
  <w:style w:type="paragraph" w:styleId="Quote">
    <w:name w:val="Quote"/>
    <w:basedOn w:val="Normal"/>
    <w:next w:val="Normal"/>
    <w:link w:val="QuoteChar"/>
    <w:uiPriority w:val="29"/>
    <w:qFormat/>
    <w:rsid w:val="00934784"/>
    <w:rPr>
      <w:i/>
      <w:iCs/>
      <w:color w:val="000000" w:themeColor="text1"/>
    </w:rPr>
  </w:style>
  <w:style w:type="character" w:customStyle="1" w:styleId="QuoteChar">
    <w:name w:val="Quote Char"/>
    <w:basedOn w:val="DefaultParagraphFont"/>
    <w:link w:val="Quote"/>
    <w:uiPriority w:val="29"/>
    <w:rsid w:val="00934784"/>
    <w:rPr>
      <w:rFonts w:ascii="EYInterstate Light" w:hAnsi="EYInterstate Light"/>
      <w:i/>
      <w:iCs/>
      <w:color w:val="000000" w:themeColor="text1"/>
      <w:lang w:val="en-AU"/>
    </w:rPr>
  </w:style>
  <w:style w:type="paragraph" w:styleId="Salutation">
    <w:name w:val="Salutation"/>
    <w:basedOn w:val="Normal"/>
    <w:next w:val="Normal"/>
    <w:link w:val="SalutationChar"/>
    <w:rsid w:val="00934784"/>
  </w:style>
  <w:style w:type="character" w:customStyle="1" w:styleId="SalutationChar">
    <w:name w:val="Salutation Char"/>
    <w:basedOn w:val="DefaultParagraphFont"/>
    <w:link w:val="Salutation"/>
    <w:rsid w:val="00934784"/>
    <w:rPr>
      <w:rFonts w:ascii="EYInterstate Light" w:hAnsi="EYInterstate Light"/>
      <w:lang w:val="en-AU"/>
    </w:rPr>
  </w:style>
  <w:style w:type="paragraph" w:styleId="Signature">
    <w:name w:val="Signature"/>
    <w:basedOn w:val="Normal"/>
    <w:link w:val="SignatureChar"/>
    <w:semiHidden/>
    <w:unhideWhenUsed/>
    <w:rsid w:val="00934784"/>
    <w:pPr>
      <w:ind w:left="4252"/>
    </w:pPr>
  </w:style>
  <w:style w:type="character" w:customStyle="1" w:styleId="SignatureChar">
    <w:name w:val="Signature Char"/>
    <w:basedOn w:val="DefaultParagraphFont"/>
    <w:link w:val="Signature"/>
    <w:semiHidden/>
    <w:rsid w:val="00934784"/>
    <w:rPr>
      <w:rFonts w:ascii="EYInterstate Light" w:hAnsi="EYInterstate Light"/>
      <w:lang w:val="en-AU"/>
    </w:rPr>
  </w:style>
  <w:style w:type="paragraph" w:styleId="Subtitle">
    <w:name w:val="Subtitle"/>
    <w:basedOn w:val="Normal"/>
    <w:next w:val="Normal"/>
    <w:link w:val="SubtitleChar"/>
    <w:qFormat/>
    <w:rsid w:val="009347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34784"/>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semiHidden/>
    <w:unhideWhenUsed/>
    <w:rsid w:val="00934784"/>
    <w:pPr>
      <w:ind w:left="200" w:hanging="200"/>
    </w:pPr>
  </w:style>
  <w:style w:type="paragraph" w:styleId="Title">
    <w:name w:val="Title"/>
    <w:basedOn w:val="Normal"/>
    <w:next w:val="Normal"/>
    <w:link w:val="TitleChar"/>
    <w:qFormat/>
    <w:rsid w:val="009347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34784"/>
    <w:rPr>
      <w:rFonts w:asciiTheme="majorHAnsi" w:eastAsiaTheme="majorEastAsia" w:hAnsiTheme="majorHAnsi" w:cstheme="majorBidi"/>
      <w:color w:val="17365D" w:themeColor="text2" w:themeShade="BF"/>
      <w:spacing w:val="5"/>
      <w:kern w:val="28"/>
      <w:sz w:val="52"/>
      <w:szCs w:val="52"/>
      <w:lang w:val="en-AU"/>
    </w:rPr>
  </w:style>
  <w:style w:type="paragraph" w:styleId="TOAHeading">
    <w:name w:val="toa heading"/>
    <w:basedOn w:val="Normal"/>
    <w:next w:val="Normal"/>
    <w:semiHidden/>
    <w:unhideWhenUsed/>
    <w:rsid w:val="00934784"/>
    <w:pPr>
      <w:spacing w:before="120"/>
    </w:pPr>
    <w:rPr>
      <w:rFonts w:asciiTheme="majorHAnsi" w:eastAsiaTheme="majorEastAsia" w:hAnsiTheme="majorHAnsi" w:cstheme="maj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note text" w:uiPriority="99"/>
    <w:lsdException w:name="caption" w:qFormat="1"/>
    <w:lsdException w:name="table of figures" w:uiPriority="99"/>
    <w:lsdException w:name="footnote reference" w:uiPriority="99"/>
    <w:lsdException w:name="annotation reference" w:uiPriority="99"/>
    <w:lsdException w:name="List Number" w:semiHidden="0" w:uiPriority="13" w:unhideWhenUsed="0" w:qFormat="1"/>
    <w:lsdException w:name="List 4" w:semiHidden="0" w:unhideWhenUsed="0"/>
    <w:lsdException w:name="List 5" w:semiHidden="0" w:unhideWhenUsed="0"/>
    <w:lsdException w:name="List Number 2" w:uiPriority="13" w:qFormat="1"/>
    <w:lsdException w:name="List Number 3" w:uiPriority="13" w:qFormat="1"/>
    <w:lsdException w:name="List Number 4" w:uiPriority="13"/>
    <w:lsdException w:name="List Number 5" w:uiPriority="13"/>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F5A"/>
    <w:pPr>
      <w:widowControl w:val="0"/>
      <w:autoSpaceDE w:val="0"/>
      <w:autoSpaceDN w:val="0"/>
      <w:adjustRightInd w:val="0"/>
    </w:pPr>
    <w:rPr>
      <w:rFonts w:ascii="EYInterstate Light" w:hAnsi="EYInterstate Light"/>
      <w:lang w:val="en-AU"/>
    </w:rPr>
  </w:style>
  <w:style w:type="paragraph" w:styleId="Heading1">
    <w:name w:val="heading 1"/>
    <w:basedOn w:val="Normal"/>
    <w:next w:val="Normal"/>
    <w:qFormat/>
    <w:rsid w:val="00664943"/>
    <w:pPr>
      <w:keepNext/>
      <w:numPr>
        <w:numId w:val="4"/>
      </w:numPr>
      <w:tabs>
        <w:tab w:val="left" w:pos="720"/>
      </w:tabs>
      <w:spacing w:after="240"/>
      <w:outlineLvl w:val="0"/>
    </w:pPr>
    <w:rPr>
      <w:b/>
      <w:bCs/>
      <w:sz w:val="28"/>
      <w:szCs w:val="24"/>
    </w:rPr>
  </w:style>
  <w:style w:type="paragraph" w:styleId="Heading2">
    <w:name w:val="heading 2"/>
    <w:basedOn w:val="Normal"/>
    <w:next w:val="Normal"/>
    <w:link w:val="Heading2Char"/>
    <w:qFormat/>
    <w:rsid w:val="00664943"/>
    <w:pPr>
      <w:keepNext/>
      <w:numPr>
        <w:ilvl w:val="1"/>
        <w:numId w:val="4"/>
      </w:numPr>
      <w:outlineLvl w:val="1"/>
    </w:pPr>
    <w:rPr>
      <w:rFonts w:cs="Arial"/>
      <w:b/>
      <w:bCs/>
      <w:iCs/>
    </w:rPr>
  </w:style>
  <w:style w:type="paragraph" w:styleId="Heading3">
    <w:name w:val="heading 3"/>
    <w:basedOn w:val="Normal"/>
    <w:next w:val="Normal"/>
    <w:link w:val="Heading3Char"/>
    <w:qFormat/>
    <w:rsid w:val="00664943"/>
    <w:pPr>
      <w:keepNext/>
      <w:numPr>
        <w:ilvl w:val="2"/>
        <w:numId w:val="4"/>
      </w:numPr>
      <w:outlineLvl w:val="2"/>
    </w:pPr>
    <w:rPr>
      <w:rFonts w:cs="Arial"/>
      <w:b/>
      <w:bCs/>
    </w:rPr>
  </w:style>
  <w:style w:type="paragraph" w:styleId="Heading4">
    <w:name w:val="heading 4"/>
    <w:basedOn w:val="Heading1"/>
    <w:next w:val="Normal"/>
    <w:qFormat/>
    <w:rsid w:val="00FA23EC"/>
    <w:pPr>
      <w:numPr>
        <w:ilvl w:val="3"/>
        <w:numId w:val="1"/>
      </w:numPr>
      <w:spacing w:line="240" w:lineRule="exact"/>
      <w:outlineLvl w:val="3"/>
    </w:pPr>
    <w:rPr>
      <w:color w:val="000000"/>
      <w:sz w:val="20"/>
    </w:rPr>
  </w:style>
  <w:style w:type="paragraph" w:styleId="Heading5">
    <w:name w:val="heading 5"/>
    <w:basedOn w:val="Heading1"/>
    <w:next w:val="Normal"/>
    <w:qFormat/>
    <w:rsid w:val="00FA23EC"/>
    <w:pPr>
      <w:numPr>
        <w:numId w:val="0"/>
      </w:numPr>
      <w:outlineLvl w:val="4"/>
    </w:pPr>
  </w:style>
  <w:style w:type="paragraph" w:styleId="Heading6">
    <w:name w:val="heading 6"/>
    <w:basedOn w:val="Heading3"/>
    <w:next w:val="Normal"/>
    <w:qFormat/>
    <w:rsid w:val="00FA23EC"/>
    <w:pPr>
      <w:numPr>
        <w:ilvl w:val="0"/>
        <w:numId w:val="0"/>
      </w:numPr>
      <w:outlineLvl w:val="5"/>
    </w:pPr>
    <w:rPr>
      <w:i/>
    </w:rPr>
  </w:style>
  <w:style w:type="paragraph" w:styleId="Heading7">
    <w:name w:val="heading 7"/>
    <w:basedOn w:val="Normal"/>
    <w:next w:val="Normal"/>
    <w:qFormat/>
    <w:rsid w:val="00FA23EC"/>
    <w:pPr>
      <w:spacing w:before="120" w:after="240"/>
      <w:outlineLvl w:val="6"/>
    </w:pPr>
    <w:rPr>
      <w:b/>
      <w:i/>
    </w:rPr>
  </w:style>
  <w:style w:type="paragraph" w:styleId="Heading8">
    <w:name w:val="heading 8"/>
    <w:basedOn w:val="Normal"/>
    <w:next w:val="Normal"/>
    <w:qFormat/>
    <w:rsid w:val="00FA23EC"/>
    <w:pPr>
      <w:spacing w:before="120" w:after="240"/>
      <w:outlineLvl w:val="7"/>
    </w:pPr>
    <w:rPr>
      <w:b/>
    </w:rPr>
  </w:style>
  <w:style w:type="paragraph" w:styleId="Heading9">
    <w:name w:val="heading 9"/>
    <w:basedOn w:val="Heading8"/>
    <w:next w:val="Normal"/>
    <w:qFormat/>
    <w:rsid w:val="00FA23EC"/>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3EC"/>
    <w:pPr>
      <w:spacing w:after="120"/>
    </w:pPr>
  </w:style>
  <w:style w:type="paragraph" w:styleId="E-mailSignature">
    <w:name w:val="E-mail Signature"/>
    <w:basedOn w:val="Normal"/>
    <w:rsid w:val="00FA23EC"/>
  </w:style>
  <w:style w:type="paragraph" w:customStyle="1" w:styleId="EYNormal">
    <w:name w:val="EY Normal"/>
    <w:link w:val="EYNormalChar"/>
    <w:rsid w:val="00B60918"/>
    <w:rPr>
      <w:rFonts w:ascii="EYInterstate Light" w:hAnsi="EYInterstate Light"/>
      <w:kern w:val="12"/>
      <w:szCs w:val="24"/>
    </w:rPr>
  </w:style>
  <w:style w:type="paragraph" w:customStyle="1" w:styleId="EYAppendiceBodytext">
    <w:name w:val="EY Appendice Body text"/>
    <w:basedOn w:val="EYNormal"/>
    <w:rsid w:val="00FA23EC"/>
    <w:pPr>
      <w:spacing w:after="240"/>
    </w:pPr>
  </w:style>
  <w:style w:type="paragraph" w:customStyle="1" w:styleId="EYAppendix">
    <w:name w:val="EY Appendix"/>
    <w:basedOn w:val="EYNormal"/>
    <w:next w:val="Normal"/>
    <w:rsid w:val="00ED51F7"/>
    <w:pPr>
      <w:numPr>
        <w:numId w:val="2"/>
      </w:numPr>
      <w:spacing w:after="360"/>
      <w:outlineLvl w:val="0"/>
    </w:pPr>
    <w:rPr>
      <w:rFonts w:ascii="EYInterstate Regular" w:hAnsi="EYInterstate Regular"/>
      <w:color w:val="808080"/>
      <w:sz w:val="32"/>
    </w:rPr>
  </w:style>
  <w:style w:type="paragraph" w:customStyle="1" w:styleId="EYAppendixHeading2">
    <w:name w:val="EY Appendix Heading 2"/>
    <w:basedOn w:val="EYNormal"/>
    <w:next w:val="EYAppendiceBodytext"/>
    <w:rsid w:val="00FA23EC"/>
    <w:pPr>
      <w:spacing w:after="120"/>
    </w:pPr>
    <w:rPr>
      <w:b/>
      <w:sz w:val="28"/>
    </w:rPr>
  </w:style>
  <w:style w:type="paragraph" w:customStyle="1" w:styleId="EYAppendixHeading3">
    <w:name w:val="EY Appendix Heading 3"/>
    <w:basedOn w:val="EYAppendixHeading2"/>
    <w:next w:val="EYAppendiceBodytext"/>
    <w:rsid w:val="00FA23EC"/>
    <w:rPr>
      <w:sz w:val="24"/>
    </w:rPr>
  </w:style>
  <w:style w:type="paragraph" w:customStyle="1" w:styleId="EYBodytextwithparaspace">
    <w:name w:val="EY Body text (with para space)"/>
    <w:basedOn w:val="EYNormal"/>
    <w:link w:val="EYBodytextwithparaspaceChar"/>
    <w:qFormat/>
    <w:rsid w:val="003E25FF"/>
    <w:pPr>
      <w:spacing w:after="240"/>
    </w:pPr>
    <w:rPr>
      <w:spacing w:val="-2"/>
    </w:rPr>
  </w:style>
  <w:style w:type="character" w:customStyle="1" w:styleId="EYBodytextwithoutparaspaceCharChar">
    <w:name w:val="EY Body text (without para space) Char Char"/>
    <w:basedOn w:val="DefaultParagraphFont"/>
    <w:link w:val="EYBodytextwithoutparaspace"/>
    <w:rsid w:val="00FA23EC"/>
    <w:rPr>
      <w:rFonts w:ascii="EYInterstate Light" w:hAnsi="EYInterstate Light"/>
      <w:kern w:val="12"/>
      <w:szCs w:val="24"/>
    </w:rPr>
  </w:style>
  <w:style w:type="character" w:customStyle="1" w:styleId="EYBodytextwithparaspaceChar">
    <w:name w:val="EY Body text (with para space) Char"/>
    <w:basedOn w:val="EYBodytextwithoutparaspaceCharChar"/>
    <w:link w:val="EYBodytextwithparaspace"/>
    <w:rsid w:val="003E25FF"/>
    <w:rPr>
      <w:rFonts w:ascii="EYInterstate Light" w:hAnsi="EYInterstate Light"/>
      <w:spacing w:val="-2"/>
      <w:kern w:val="12"/>
      <w:szCs w:val="24"/>
    </w:rPr>
  </w:style>
  <w:style w:type="paragraph" w:customStyle="1" w:styleId="EYBodytextwithoutparaspace">
    <w:name w:val="EY Body text (without para space)"/>
    <w:basedOn w:val="EYNormal"/>
    <w:link w:val="EYBodytextwithoutparaspaceCharChar"/>
    <w:rsid w:val="00504137"/>
  </w:style>
  <w:style w:type="paragraph" w:customStyle="1" w:styleId="EYBoldsubjectheading">
    <w:name w:val="EY Bold subject heading"/>
    <w:basedOn w:val="EYNormal"/>
    <w:next w:val="EYBodytextwithparaspace"/>
    <w:link w:val="EYBoldsubjectheadingChar"/>
    <w:rsid w:val="00FA23EC"/>
    <w:pPr>
      <w:spacing w:after="480" w:line="260" w:lineRule="exact"/>
    </w:pPr>
    <w:rPr>
      <w:b/>
      <w:sz w:val="26"/>
    </w:rPr>
  </w:style>
  <w:style w:type="character" w:customStyle="1" w:styleId="EYBoldsubjectheadingChar">
    <w:name w:val="EY Bold subject heading Char"/>
    <w:basedOn w:val="DefaultParagraphFont"/>
    <w:link w:val="EYBoldsubjectheading"/>
    <w:rsid w:val="00FA23EC"/>
    <w:rPr>
      <w:rFonts w:ascii="EYInterstate Light" w:hAnsi="EYInterstate Light"/>
      <w:b/>
      <w:kern w:val="12"/>
      <w:sz w:val="26"/>
      <w:szCs w:val="24"/>
      <w:lang w:val="en-GB" w:eastAsia="en-US" w:bidi="ar-SA"/>
    </w:rPr>
  </w:style>
  <w:style w:type="paragraph" w:customStyle="1" w:styleId="EYBulletedList1">
    <w:name w:val="EY Bulleted List 1"/>
    <w:rsid w:val="008F3A56"/>
    <w:pPr>
      <w:numPr>
        <w:numId w:val="10"/>
      </w:numPr>
    </w:pPr>
    <w:rPr>
      <w:rFonts w:ascii="EYInterstate Light" w:hAnsi="EYInterstate Light"/>
      <w:kern w:val="12"/>
      <w:szCs w:val="24"/>
    </w:rPr>
  </w:style>
  <w:style w:type="paragraph" w:customStyle="1" w:styleId="EYBulletedList2">
    <w:name w:val="EY Bulleted List 2"/>
    <w:rsid w:val="00C664DF"/>
    <w:pPr>
      <w:numPr>
        <w:ilvl w:val="1"/>
        <w:numId w:val="10"/>
      </w:numPr>
    </w:pPr>
    <w:rPr>
      <w:rFonts w:ascii="EYInterstate Light" w:hAnsi="EYInterstate Light"/>
      <w:kern w:val="12"/>
      <w:szCs w:val="24"/>
    </w:rPr>
  </w:style>
  <w:style w:type="paragraph" w:customStyle="1" w:styleId="EYBulletedList3">
    <w:name w:val="EY Bulleted List 3"/>
    <w:rsid w:val="00C664DF"/>
    <w:pPr>
      <w:numPr>
        <w:ilvl w:val="2"/>
        <w:numId w:val="10"/>
      </w:numPr>
    </w:pPr>
    <w:rPr>
      <w:rFonts w:ascii="EYInterstate Light" w:hAnsi="EYInterstate Light"/>
      <w:kern w:val="12"/>
      <w:szCs w:val="24"/>
    </w:rPr>
  </w:style>
  <w:style w:type="paragraph" w:customStyle="1" w:styleId="EYBusinessaddress">
    <w:name w:val="EY Business address"/>
    <w:basedOn w:val="EYNormal"/>
    <w:rsid w:val="00FA23EC"/>
    <w:pPr>
      <w:spacing w:line="170" w:lineRule="atLeast"/>
    </w:pPr>
    <w:rPr>
      <w:color w:val="666666"/>
      <w:sz w:val="15"/>
    </w:rPr>
  </w:style>
  <w:style w:type="paragraph" w:customStyle="1" w:styleId="EYBusinessaddressbold">
    <w:name w:val="EY Business address (bold)"/>
    <w:basedOn w:val="EYBusinessaddress"/>
    <w:next w:val="EYBusinessaddress"/>
    <w:rsid w:val="00FA23EC"/>
    <w:rPr>
      <w:b/>
    </w:rPr>
  </w:style>
  <w:style w:type="paragraph" w:customStyle="1" w:styleId="EYClosure">
    <w:name w:val="EY Closure"/>
    <w:basedOn w:val="EYBodytextwithoutparaspace"/>
    <w:next w:val="EYBodytextwithoutparaspace"/>
    <w:rsid w:val="00FA23EC"/>
    <w:pPr>
      <w:spacing w:after="1040" w:line="260" w:lineRule="exact"/>
    </w:pPr>
  </w:style>
  <w:style w:type="paragraph" w:customStyle="1" w:styleId="EYContents">
    <w:name w:val="EY Contents"/>
    <w:basedOn w:val="EYNormal"/>
    <w:next w:val="Normal"/>
    <w:rsid w:val="00ED51F7"/>
    <w:pPr>
      <w:keepNext/>
      <w:spacing w:after="240"/>
      <w:outlineLvl w:val="0"/>
    </w:pPr>
    <w:rPr>
      <w:rFonts w:ascii="EYInterstate Regular" w:hAnsi="EYInterstate Regular"/>
      <w:color w:val="808080"/>
      <w:sz w:val="28"/>
    </w:rPr>
  </w:style>
  <w:style w:type="paragraph" w:customStyle="1" w:styleId="EYContentsContinued">
    <w:name w:val="EY Contents (Continued)"/>
    <w:basedOn w:val="EYContents"/>
    <w:rsid w:val="00ED51F7"/>
    <w:pPr>
      <w:outlineLvl w:val="9"/>
    </w:pPr>
    <w:rPr>
      <w:sz w:val="16"/>
    </w:rPr>
  </w:style>
  <w:style w:type="paragraph" w:customStyle="1" w:styleId="EYCoverTitle">
    <w:name w:val="EY Cover Title"/>
    <w:rsid w:val="00D00F13"/>
    <w:pPr>
      <w:tabs>
        <w:tab w:val="right" w:pos="6750"/>
      </w:tabs>
    </w:pPr>
    <w:rPr>
      <w:rFonts w:ascii="EYInterstate Regular" w:hAnsi="EYInterstate Regular"/>
      <w:color w:val="FFE600"/>
      <w:sz w:val="96"/>
      <w:szCs w:val="48"/>
    </w:rPr>
  </w:style>
  <w:style w:type="paragraph" w:customStyle="1" w:styleId="EYSub-title">
    <w:name w:val="EY Sub-title"/>
    <w:basedOn w:val="EYCoverTitle"/>
    <w:rsid w:val="00FA23EC"/>
    <w:pPr>
      <w:spacing w:after="360"/>
    </w:pPr>
    <w:rPr>
      <w:b/>
      <w:bCs/>
      <w:color w:val="auto"/>
      <w:kern w:val="28"/>
      <w:sz w:val="22"/>
      <w:szCs w:val="32"/>
    </w:rPr>
  </w:style>
  <w:style w:type="paragraph" w:customStyle="1" w:styleId="EYDate">
    <w:name w:val="EY Date"/>
    <w:basedOn w:val="EYSub-title"/>
    <w:link w:val="EYDateChar"/>
    <w:rsid w:val="00FA23EC"/>
    <w:pPr>
      <w:numPr>
        <w:numId w:val="22"/>
      </w:numPr>
      <w:suppressAutoHyphens/>
    </w:pPr>
    <w:rPr>
      <w:sz w:val="20"/>
    </w:rPr>
  </w:style>
  <w:style w:type="paragraph" w:customStyle="1" w:styleId="EYFooterinfo">
    <w:name w:val="EY Footer info"/>
    <w:basedOn w:val="EYNormal"/>
    <w:rsid w:val="00ED51F7"/>
    <w:pPr>
      <w:suppressAutoHyphens/>
    </w:pPr>
    <w:rPr>
      <w:color w:val="808080"/>
      <w:sz w:val="12"/>
    </w:rPr>
  </w:style>
  <w:style w:type="paragraph" w:customStyle="1" w:styleId="EYHeading1">
    <w:name w:val="EY Heading 1"/>
    <w:basedOn w:val="Heading1"/>
    <w:next w:val="EYBodytextwithparaspace"/>
    <w:rsid w:val="008F3A56"/>
    <w:pPr>
      <w:pageBreakBefore/>
      <w:widowControl/>
      <w:numPr>
        <w:numId w:val="70"/>
      </w:numPr>
      <w:tabs>
        <w:tab w:val="clear" w:pos="720"/>
      </w:tabs>
      <w:autoSpaceDE/>
      <w:autoSpaceDN/>
      <w:adjustRightInd/>
      <w:spacing w:before="240" w:after="360"/>
    </w:pPr>
    <w:rPr>
      <w:rFonts w:cs="Arial"/>
      <w:color w:val="7F7E82"/>
      <w:kern w:val="32"/>
      <w:sz w:val="40"/>
      <w:szCs w:val="32"/>
      <w:lang w:eastAsia="en-AU"/>
    </w:rPr>
  </w:style>
  <w:style w:type="paragraph" w:customStyle="1" w:styleId="EYHeading2">
    <w:name w:val="EY Heading 2"/>
    <w:basedOn w:val="Heading2"/>
    <w:next w:val="EYBodytextwithparaspace"/>
    <w:rsid w:val="008F3A56"/>
    <w:pPr>
      <w:widowControl/>
      <w:numPr>
        <w:numId w:val="70"/>
      </w:numPr>
      <w:autoSpaceDE/>
      <w:autoSpaceDN/>
      <w:adjustRightInd/>
      <w:spacing w:before="120" w:after="120"/>
    </w:pPr>
    <w:rPr>
      <w:rFonts w:cs="Times New Roman"/>
      <w:sz w:val="28"/>
      <w:szCs w:val="28"/>
      <w:lang w:eastAsia="en-AU"/>
    </w:rPr>
  </w:style>
  <w:style w:type="paragraph" w:customStyle="1" w:styleId="EYHeading3">
    <w:name w:val="EY Heading 3"/>
    <w:basedOn w:val="Heading3"/>
    <w:next w:val="EYBodytextwithparaspace"/>
    <w:rsid w:val="008F3A56"/>
    <w:pPr>
      <w:widowControl/>
      <w:numPr>
        <w:numId w:val="70"/>
      </w:numPr>
      <w:autoSpaceDE/>
      <w:autoSpaceDN/>
      <w:adjustRightInd/>
      <w:spacing w:before="120" w:after="120"/>
    </w:pPr>
    <w:rPr>
      <w:rFonts w:ascii="EYInterstate" w:hAnsi="EYInterstate" w:cs="Times New Roman"/>
      <w:b w:val="0"/>
      <w:sz w:val="24"/>
      <w:szCs w:val="26"/>
      <w:lang w:eastAsia="en-AU"/>
    </w:rPr>
  </w:style>
  <w:style w:type="paragraph" w:customStyle="1" w:styleId="EYHeading4">
    <w:name w:val="EY Heading 4"/>
    <w:basedOn w:val="EYHeading3"/>
    <w:next w:val="EYBodytextwithparaspace"/>
    <w:rsid w:val="008F3A56"/>
    <w:pPr>
      <w:numPr>
        <w:ilvl w:val="3"/>
      </w:numPr>
    </w:pPr>
    <w:rPr>
      <w:i/>
      <w:sz w:val="20"/>
    </w:rPr>
  </w:style>
  <w:style w:type="paragraph" w:customStyle="1" w:styleId="EYIndent1">
    <w:name w:val="EY Indent 1"/>
    <w:basedOn w:val="EYNormal"/>
    <w:rsid w:val="00664943"/>
    <w:pPr>
      <w:spacing w:after="240"/>
      <w:ind w:left="425"/>
    </w:pPr>
  </w:style>
  <w:style w:type="paragraph" w:customStyle="1" w:styleId="EYIndent2">
    <w:name w:val="EY Indent 2"/>
    <w:basedOn w:val="EYIndent1"/>
    <w:rsid w:val="00664943"/>
    <w:pPr>
      <w:ind w:left="851"/>
    </w:pPr>
  </w:style>
  <w:style w:type="paragraph" w:customStyle="1" w:styleId="EYIndent3">
    <w:name w:val="EY Indent 3"/>
    <w:basedOn w:val="EYIndent1"/>
    <w:rsid w:val="00FA23EC"/>
    <w:pPr>
      <w:ind w:left="1276"/>
    </w:pPr>
  </w:style>
  <w:style w:type="paragraph" w:customStyle="1" w:styleId="EYNumber">
    <w:name w:val="EY Number"/>
    <w:basedOn w:val="Normal"/>
    <w:rsid w:val="00111B7C"/>
    <w:pPr>
      <w:widowControl/>
      <w:numPr>
        <w:numId w:val="6"/>
      </w:numPr>
      <w:autoSpaceDE/>
      <w:autoSpaceDN/>
      <w:adjustRightInd/>
    </w:pPr>
    <w:rPr>
      <w:kern w:val="12"/>
      <w:szCs w:val="24"/>
    </w:rPr>
  </w:style>
  <w:style w:type="paragraph" w:customStyle="1" w:styleId="EYLetter">
    <w:name w:val="EY Letter"/>
    <w:basedOn w:val="EYNumber"/>
    <w:rsid w:val="00B60918"/>
    <w:pPr>
      <w:numPr>
        <w:ilvl w:val="1"/>
      </w:numPr>
    </w:pPr>
  </w:style>
  <w:style w:type="paragraph" w:customStyle="1" w:styleId="EYLetterText">
    <w:name w:val="EY Letter Text"/>
    <w:basedOn w:val="EYNormal"/>
    <w:rsid w:val="00FA23EC"/>
    <w:pPr>
      <w:suppressAutoHyphens/>
      <w:spacing w:after="240"/>
    </w:pPr>
  </w:style>
  <w:style w:type="character" w:customStyle="1" w:styleId="EYNormalChar">
    <w:name w:val="EY Normal Char"/>
    <w:basedOn w:val="DefaultParagraphFont"/>
    <w:link w:val="EYNormal"/>
    <w:rsid w:val="00664943"/>
    <w:rPr>
      <w:rFonts w:ascii="EYInterstate Light" w:hAnsi="EYInterstate Light"/>
      <w:kern w:val="12"/>
      <w:szCs w:val="24"/>
    </w:rPr>
  </w:style>
  <w:style w:type="paragraph" w:customStyle="1" w:styleId="EYPrivate">
    <w:name w:val="EY Private"/>
    <w:basedOn w:val="EYNormal"/>
    <w:rsid w:val="00FA23EC"/>
    <w:pPr>
      <w:suppressAutoHyphens/>
    </w:pPr>
    <w:rPr>
      <w:b/>
    </w:rPr>
  </w:style>
  <w:style w:type="paragraph" w:customStyle="1" w:styleId="EYRoman">
    <w:name w:val="EY Roman"/>
    <w:basedOn w:val="EYNumber"/>
    <w:rsid w:val="00B60918"/>
    <w:pPr>
      <w:numPr>
        <w:ilvl w:val="2"/>
      </w:numPr>
    </w:pPr>
  </w:style>
  <w:style w:type="paragraph" w:customStyle="1" w:styleId="EYSubheading">
    <w:name w:val="EY Subheading"/>
    <w:basedOn w:val="EYNormal"/>
    <w:next w:val="BodyText"/>
    <w:rsid w:val="00FA23EC"/>
    <w:pPr>
      <w:keepNext/>
      <w:spacing w:after="120"/>
    </w:pPr>
    <w:rPr>
      <w:b/>
    </w:rPr>
  </w:style>
  <w:style w:type="paragraph" w:customStyle="1" w:styleId="EYSecondarysubheading">
    <w:name w:val="EY Secondary subheading"/>
    <w:basedOn w:val="EYSubheading"/>
    <w:next w:val="E-mailSignature"/>
    <w:rsid w:val="00FA23EC"/>
    <w:rPr>
      <w:i/>
    </w:rPr>
  </w:style>
  <w:style w:type="paragraph" w:customStyle="1" w:styleId="EYSource">
    <w:name w:val="EY Source"/>
    <w:basedOn w:val="EYNormal"/>
    <w:next w:val="Normal"/>
    <w:rsid w:val="00664943"/>
    <w:pPr>
      <w:keepNext/>
      <w:spacing w:before="60" w:after="60"/>
    </w:pPr>
    <w:rPr>
      <w:i/>
      <w:sz w:val="16"/>
    </w:rPr>
  </w:style>
  <w:style w:type="paragraph" w:customStyle="1" w:styleId="EYTableNormal">
    <w:name w:val="EY Table Normal"/>
    <w:basedOn w:val="EYNormal"/>
    <w:autoRedefine/>
    <w:rsid w:val="002818A7"/>
    <w:pPr>
      <w:spacing w:after="120"/>
    </w:pPr>
    <w:rPr>
      <w:kern w:val="0"/>
      <w:sz w:val="16"/>
      <w:szCs w:val="16"/>
    </w:rPr>
  </w:style>
  <w:style w:type="paragraph" w:customStyle="1" w:styleId="EYTableText">
    <w:name w:val="EY Table Text"/>
    <w:basedOn w:val="EYTableNormal"/>
    <w:link w:val="EYTableTextChar"/>
    <w:rsid w:val="00664943"/>
    <w:pPr>
      <w:spacing w:before="20" w:after="20"/>
    </w:pPr>
  </w:style>
  <w:style w:type="paragraph" w:customStyle="1" w:styleId="EYTablebullet1">
    <w:name w:val="EY Table bullet 1"/>
    <w:basedOn w:val="EYTableText"/>
    <w:link w:val="EYTablebullet1Char"/>
    <w:rsid w:val="003A1D14"/>
    <w:pPr>
      <w:numPr>
        <w:numId w:val="7"/>
      </w:numPr>
    </w:pPr>
  </w:style>
  <w:style w:type="paragraph" w:customStyle="1" w:styleId="EYTablebullet2">
    <w:name w:val="EY Table bullet 2"/>
    <w:basedOn w:val="EYTablebullet1"/>
    <w:rsid w:val="00B60918"/>
    <w:pPr>
      <w:numPr>
        <w:ilvl w:val="1"/>
      </w:numPr>
    </w:pPr>
  </w:style>
  <w:style w:type="paragraph" w:customStyle="1" w:styleId="EYTableHeading">
    <w:name w:val="EY Table Heading"/>
    <w:basedOn w:val="EYTableText"/>
    <w:link w:val="EYTableHeadingChar"/>
    <w:rsid w:val="006577F7"/>
    <w:pPr>
      <w:spacing w:before="60" w:after="60"/>
    </w:pPr>
    <w:rPr>
      <w:rFonts w:ascii="EYInterstate Regular" w:hAnsi="EYInterstate Regular"/>
      <w:color w:val="808080"/>
    </w:rPr>
  </w:style>
  <w:style w:type="paragraph" w:customStyle="1" w:styleId="EYTabletextbold">
    <w:name w:val="EY Table text bold"/>
    <w:basedOn w:val="EYTableText"/>
    <w:next w:val="EYTableText"/>
    <w:rsid w:val="006577F7"/>
    <w:rPr>
      <w:rFonts w:ascii="EYInterstate Regular" w:hAnsi="EYInterstate Regular"/>
    </w:rPr>
  </w:style>
  <w:style w:type="paragraph" w:styleId="Footer">
    <w:name w:val="footer"/>
    <w:aliases w:val="EY Footer"/>
    <w:basedOn w:val="Normal"/>
    <w:link w:val="FooterChar"/>
    <w:rsid w:val="00664943"/>
    <w:pPr>
      <w:tabs>
        <w:tab w:val="center" w:pos="4320"/>
        <w:tab w:val="right" w:pos="8640"/>
      </w:tabs>
    </w:pPr>
  </w:style>
  <w:style w:type="paragraph" w:styleId="Header">
    <w:name w:val="header"/>
    <w:aliases w:val="EY Header"/>
    <w:basedOn w:val="Normal"/>
    <w:rsid w:val="00664943"/>
    <w:pPr>
      <w:tabs>
        <w:tab w:val="center" w:pos="4320"/>
        <w:tab w:val="right" w:pos="8640"/>
      </w:tabs>
    </w:pPr>
  </w:style>
  <w:style w:type="character" w:styleId="Hyperlink">
    <w:name w:val="Hyperlink"/>
    <w:basedOn w:val="DefaultParagraphFont"/>
    <w:uiPriority w:val="99"/>
    <w:rsid w:val="00664943"/>
    <w:rPr>
      <w:color w:val="0000FF"/>
      <w:u w:val="single"/>
    </w:rPr>
  </w:style>
  <w:style w:type="character" w:styleId="PageNumber">
    <w:name w:val="page number"/>
    <w:aliases w:val="EY Page Number"/>
    <w:basedOn w:val="DefaultParagraphFont"/>
    <w:rsid w:val="00664943"/>
  </w:style>
  <w:style w:type="paragraph" w:styleId="TOC1">
    <w:name w:val="toc 1"/>
    <w:basedOn w:val="EYNormal"/>
    <w:next w:val="Normal"/>
    <w:uiPriority w:val="39"/>
    <w:qFormat/>
    <w:rsid w:val="00525C82"/>
    <w:pPr>
      <w:tabs>
        <w:tab w:val="left" w:pos="567"/>
        <w:tab w:val="right" w:leader="dot" w:pos="9072"/>
      </w:tabs>
      <w:snapToGrid w:val="0"/>
      <w:spacing w:before="60" w:after="60"/>
      <w:ind w:left="1134" w:hanging="1134"/>
    </w:pPr>
    <w:rPr>
      <w:rFonts w:cs="Arial"/>
      <w:noProof/>
      <w:sz w:val="18"/>
      <w:lang w:eastAsia="en-GB"/>
    </w:rPr>
  </w:style>
  <w:style w:type="paragraph" w:styleId="TOC2">
    <w:name w:val="toc 2"/>
    <w:basedOn w:val="EYNormal"/>
    <w:next w:val="Normal"/>
    <w:uiPriority w:val="39"/>
    <w:qFormat/>
    <w:rsid w:val="00732521"/>
    <w:pPr>
      <w:tabs>
        <w:tab w:val="left" w:pos="680"/>
        <w:tab w:val="right" w:leader="dot" w:pos="9072"/>
      </w:tabs>
      <w:snapToGrid w:val="0"/>
      <w:ind w:left="198"/>
    </w:pPr>
    <w:rPr>
      <w:rFonts w:cs="Arial"/>
      <w:noProof/>
      <w:sz w:val="18"/>
      <w:lang w:eastAsia="en-GB"/>
    </w:rPr>
  </w:style>
  <w:style w:type="paragraph" w:styleId="TOC3">
    <w:name w:val="toc 3"/>
    <w:basedOn w:val="EYNormal"/>
    <w:next w:val="Normal"/>
    <w:uiPriority w:val="39"/>
    <w:qFormat/>
    <w:rsid w:val="00644B25"/>
    <w:pPr>
      <w:tabs>
        <w:tab w:val="left" w:pos="1200"/>
        <w:tab w:val="right" w:leader="dot" w:pos="9000"/>
      </w:tabs>
      <w:snapToGrid w:val="0"/>
      <w:ind w:left="400"/>
    </w:pPr>
    <w:rPr>
      <w:rFonts w:cs="Arial"/>
      <w:noProof/>
      <w:sz w:val="18"/>
      <w:lang w:eastAsia="en-GB"/>
    </w:rPr>
  </w:style>
  <w:style w:type="paragraph" w:styleId="TOC4">
    <w:name w:val="toc 4"/>
    <w:basedOn w:val="EYNormal"/>
    <w:next w:val="Normal"/>
    <w:uiPriority w:val="39"/>
    <w:rsid w:val="00CE0CD5"/>
    <w:pPr>
      <w:tabs>
        <w:tab w:val="left" w:pos="1680"/>
        <w:tab w:val="right" w:leader="dot" w:pos="9000"/>
      </w:tabs>
      <w:snapToGrid w:val="0"/>
      <w:ind w:left="600"/>
    </w:pPr>
    <w:rPr>
      <w:rFonts w:cs="Arial"/>
      <w:noProof/>
      <w:lang w:eastAsia="en-GB"/>
    </w:rPr>
  </w:style>
  <w:style w:type="paragraph" w:styleId="BalloonText">
    <w:name w:val="Balloon Text"/>
    <w:basedOn w:val="Normal"/>
    <w:semiHidden/>
    <w:rsid w:val="00664943"/>
    <w:rPr>
      <w:rFonts w:ascii="Tahoma" w:hAnsi="Tahoma" w:cs="Tahoma"/>
      <w:sz w:val="16"/>
      <w:szCs w:val="16"/>
    </w:rPr>
  </w:style>
  <w:style w:type="character" w:customStyle="1" w:styleId="bold">
    <w:name w:val="bold"/>
    <w:basedOn w:val="DefaultParagraphFont"/>
    <w:rsid w:val="00CB5A62"/>
    <w:rPr>
      <w:rFonts w:ascii="EYInterstate Light" w:hAnsi="EYInterstate Light"/>
      <w:b/>
      <w:bCs/>
      <w:sz w:val="24"/>
    </w:rPr>
  </w:style>
  <w:style w:type="character" w:styleId="EndnoteReference">
    <w:name w:val="endnote reference"/>
    <w:basedOn w:val="DefaultParagraphFont"/>
    <w:semiHidden/>
    <w:rsid w:val="00664943"/>
    <w:rPr>
      <w:vertAlign w:val="superscript"/>
    </w:rPr>
  </w:style>
  <w:style w:type="paragraph" w:styleId="EndnoteText">
    <w:name w:val="endnote text"/>
    <w:basedOn w:val="Normal"/>
    <w:semiHidden/>
    <w:rsid w:val="00664943"/>
  </w:style>
  <w:style w:type="paragraph" w:customStyle="1" w:styleId="EYCoverDate">
    <w:name w:val="EY Cover Date"/>
    <w:basedOn w:val="Normal"/>
    <w:rsid w:val="00664943"/>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7C3DC6"/>
    <w:pPr>
      <w:tabs>
        <w:tab w:val="clear" w:pos="6750"/>
      </w:tabs>
      <w:spacing w:line="420" w:lineRule="exact"/>
    </w:pPr>
    <w:rPr>
      <w:sz w:val="28"/>
    </w:rPr>
  </w:style>
  <w:style w:type="character" w:styleId="FootnoteReference">
    <w:name w:val="footnote reference"/>
    <w:aliases w:val="fr"/>
    <w:basedOn w:val="DefaultParagraphFont"/>
    <w:uiPriority w:val="99"/>
    <w:rsid w:val="00A9654D"/>
    <w:rPr>
      <w:rFonts w:ascii="EYInterstate Light" w:hAnsi="EYInterstate Light"/>
      <w:position w:val="0"/>
      <w:sz w:val="20"/>
      <w:szCs w:val="20"/>
      <w:vertAlign w:val="superscript"/>
    </w:rPr>
  </w:style>
  <w:style w:type="character" w:customStyle="1" w:styleId="FootnoteTextChar">
    <w:name w:val="Footnote Text Char"/>
    <w:aliases w:val="fn Char,FT Char,ft Char,SD Footnote Text Char,Footnote Text AG Char"/>
    <w:basedOn w:val="DefaultParagraphFont"/>
    <w:link w:val="FootnoteText"/>
    <w:uiPriority w:val="99"/>
    <w:rsid w:val="00664943"/>
    <w:rPr>
      <w:rFonts w:ascii="EYInterstate Light" w:hAnsi="EYInterstate Light"/>
      <w:sz w:val="18"/>
      <w:lang w:val="en-US" w:eastAsia="en-US" w:bidi="ar-SA"/>
    </w:rPr>
  </w:style>
  <w:style w:type="paragraph" w:styleId="FootnoteText">
    <w:name w:val="footnote text"/>
    <w:aliases w:val="fn,FT,ft,SD Footnote Text,Footnote Text AG"/>
    <w:basedOn w:val="Normal"/>
    <w:link w:val="FootnoteTextChar"/>
    <w:uiPriority w:val="99"/>
    <w:rsid w:val="00664943"/>
    <w:pPr>
      <w:keepNext/>
      <w:keepLines/>
    </w:pPr>
    <w:rPr>
      <w:sz w:val="18"/>
    </w:rPr>
  </w:style>
  <w:style w:type="paragraph" w:customStyle="1" w:styleId="Italics">
    <w:name w:val="Italics"/>
    <w:link w:val="ItalicsCharChar"/>
    <w:rsid w:val="00CB5A62"/>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CB5A62"/>
    <w:rPr>
      <w:rFonts w:ascii="EYInterstate Light" w:hAnsi="EYInterstate Light"/>
      <w:bCs/>
      <w:i/>
      <w:iCs/>
      <w:sz w:val="24"/>
    </w:rPr>
  </w:style>
  <w:style w:type="paragraph" w:customStyle="1" w:styleId="Normalleftindent">
    <w:name w:val="Normal + left indent"/>
    <w:basedOn w:val="Normal"/>
    <w:rsid w:val="00664943"/>
    <w:pPr>
      <w:widowControl/>
      <w:ind w:left="720"/>
    </w:pPr>
    <w:rPr>
      <w:lang w:eastAsia="ja-JP"/>
    </w:rPr>
  </w:style>
  <w:style w:type="paragraph" w:customStyle="1" w:styleId="NumberedList">
    <w:name w:val="Numbered List"/>
    <w:rsid w:val="00CB5A62"/>
    <w:pPr>
      <w:numPr>
        <w:numId w:val="8"/>
      </w:numPr>
      <w:spacing w:after="120"/>
    </w:pPr>
    <w:rPr>
      <w:rFonts w:ascii="EYInterstate Light" w:hAnsi="EYInterstate Light"/>
      <w:sz w:val="24"/>
    </w:rPr>
  </w:style>
  <w:style w:type="paragraph" w:customStyle="1" w:styleId="StyleBoldItalics">
    <w:name w:val="Style Bold + Italics"/>
    <w:basedOn w:val="Normal"/>
    <w:rsid w:val="00664943"/>
    <w:pPr>
      <w:widowControl/>
    </w:pPr>
    <w:rPr>
      <w:b/>
      <w:i/>
    </w:rPr>
  </w:style>
  <w:style w:type="paragraph" w:customStyle="1" w:styleId="StyleBoldCentered">
    <w:name w:val="Style Bold Centered"/>
    <w:basedOn w:val="Normal"/>
    <w:rsid w:val="00664943"/>
    <w:pPr>
      <w:autoSpaceDE/>
      <w:autoSpaceDN/>
      <w:adjustRightInd/>
      <w:jc w:val="center"/>
    </w:pPr>
    <w:rPr>
      <w:b/>
      <w:bCs/>
      <w:sz w:val="28"/>
    </w:rPr>
  </w:style>
  <w:style w:type="paragraph" w:customStyle="1" w:styleId="StyleEYInterstateBoldAfter18pt">
    <w:name w:val="Style EYInterstate Bold After:  18 pt"/>
    <w:basedOn w:val="Normal"/>
    <w:rsid w:val="00664943"/>
    <w:pPr>
      <w:spacing w:after="240"/>
      <w:jc w:val="both"/>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664943"/>
    <w:rPr>
      <w:rFonts w:ascii="EYInterstate" w:hAnsi="EYInterstate"/>
      <w:position w:val="0"/>
      <w:sz w:val="24"/>
      <w:szCs w:val="20"/>
      <w:vertAlign w:val="superscript"/>
    </w:rPr>
  </w:style>
  <w:style w:type="numbering" w:customStyle="1" w:styleId="StyleNumbered">
    <w:name w:val="Style Numbered"/>
    <w:basedOn w:val="NoList"/>
    <w:rsid w:val="00664943"/>
    <w:pPr>
      <w:numPr>
        <w:numId w:val="5"/>
      </w:numPr>
    </w:pPr>
  </w:style>
  <w:style w:type="paragraph" w:customStyle="1" w:styleId="subheadunderlined">
    <w:name w:val="subhead underlined"/>
    <w:rsid w:val="00664943"/>
    <w:pPr>
      <w:keepNext/>
    </w:pPr>
    <w:rPr>
      <w:rFonts w:ascii="EYInterstate Light" w:hAnsi="EYInterstate Light"/>
      <w:sz w:val="24"/>
      <w:u w:val="single"/>
    </w:rPr>
  </w:style>
  <w:style w:type="paragraph" w:customStyle="1" w:styleId="tableheader">
    <w:name w:val="table header"/>
    <w:rsid w:val="00664943"/>
    <w:pPr>
      <w:jc w:val="center"/>
    </w:pPr>
    <w:rPr>
      <w:rFonts w:ascii="EYInterstate Light" w:hAnsi="EYInterstate Light"/>
      <w:b/>
      <w:bCs/>
    </w:rPr>
  </w:style>
  <w:style w:type="paragraph" w:customStyle="1" w:styleId="tabletext-left">
    <w:name w:val="table text - left"/>
    <w:rsid w:val="00664943"/>
    <w:pPr>
      <w:ind w:left="365" w:hanging="365"/>
    </w:pPr>
    <w:rPr>
      <w:rFonts w:ascii="EYInterstate Light" w:hAnsi="EYInterstate Light"/>
      <w:sz w:val="22"/>
    </w:rPr>
  </w:style>
  <w:style w:type="paragraph" w:customStyle="1" w:styleId="tabletextcentered">
    <w:name w:val="table text centered"/>
    <w:rsid w:val="00664943"/>
    <w:pPr>
      <w:jc w:val="center"/>
    </w:pPr>
    <w:rPr>
      <w:rFonts w:ascii="EYInterstate Light" w:hAnsi="EYInterstate Light"/>
    </w:rPr>
  </w:style>
  <w:style w:type="paragraph" w:customStyle="1" w:styleId="TOCtitle">
    <w:name w:val="TOC title"/>
    <w:rsid w:val="00664943"/>
    <w:pPr>
      <w:ind w:left="720" w:hanging="360"/>
      <w:jc w:val="center"/>
    </w:pPr>
    <w:rPr>
      <w:rFonts w:ascii="EYInterstate" w:hAnsi="EYInterstate"/>
      <w:bCs/>
      <w:sz w:val="28"/>
    </w:rPr>
  </w:style>
  <w:style w:type="paragraph" w:customStyle="1" w:styleId="EYTableHeadingWhite">
    <w:name w:val="EY Table Heading (White)"/>
    <w:basedOn w:val="EYTableHeading"/>
    <w:rsid w:val="00703092"/>
    <w:rPr>
      <w:rFonts w:ascii="EYInterstate Light" w:hAnsi="EYInterstate Light"/>
      <w:b/>
      <w:bCs/>
      <w:color w:val="FFFFFF"/>
    </w:rPr>
  </w:style>
  <w:style w:type="paragraph" w:customStyle="1" w:styleId="CopyheadlineCover">
    <w:name w:val="Copy headline (Cover)"/>
    <w:basedOn w:val="Normal"/>
    <w:uiPriority w:val="99"/>
    <w:rsid w:val="00173BC9"/>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rsid w:val="004A65B2"/>
    <w:pPr>
      <w:suppressAutoHyphens/>
      <w:spacing w:after="105" w:line="210" w:lineRule="atLeast"/>
      <w:textAlignment w:val="top"/>
    </w:pPr>
    <w:rPr>
      <w:rFonts w:eastAsiaTheme="minorEastAsia" w:cs="EYInterstate-Light"/>
      <w:color w:val="000000"/>
      <w:spacing w:val="-3"/>
      <w:sz w:val="16"/>
      <w:szCs w:val="16"/>
      <w:lang w:val="en-GB"/>
    </w:rPr>
  </w:style>
  <w:style w:type="paragraph" w:customStyle="1" w:styleId="WebsiteCover">
    <w:name w:val="Website (Cover)"/>
    <w:basedOn w:val="Normal"/>
    <w:uiPriority w:val="99"/>
    <w:rsid w:val="00173BC9"/>
    <w:pPr>
      <w:suppressAutoHyphens/>
      <w:spacing w:before="40" w:after="201" w:line="260" w:lineRule="atLeast"/>
      <w:textAlignment w:val="top"/>
    </w:pPr>
    <w:rPr>
      <w:rFonts w:ascii="EYInterstate-Regular" w:eastAsiaTheme="minorEastAsia" w:hAnsi="EYInterstate-Regular" w:cs="EYInterstate-Regular"/>
      <w:color w:val="000000"/>
      <w:spacing w:val="-4"/>
      <w:lang w:val="en-GB"/>
    </w:rPr>
  </w:style>
  <w:style w:type="paragraph" w:customStyle="1" w:styleId="CopyrightCover">
    <w:name w:val="Copyright (Cover)"/>
    <w:basedOn w:val="Normal"/>
    <w:uiPriority w:val="99"/>
    <w:rsid w:val="004A65B2"/>
    <w:pPr>
      <w:suppressAutoHyphens/>
      <w:spacing w:after="204" w:line="210" w:lineRule="atLeast"/>
      <w:textAlignment w:val="baseline"/>
    </w:pPr>
    <w:rPr>
      <w:rFonts w:eastAsiaTheme="minorEastAsia" w:cs="EYInterstate-Light"/>
      <w:color w:val="000000"/>
      <w:spacing w:val="-3"/>
      <w:sz w:val="16"/>
      <w:szCs w:val="16"/>
      <w:lang w:val="en-GB"/>
    </w:rPr>
  </w:style>
  <w:style w:type="paragraph" w:customStyle="1" w:styleId="ScoreretrievalfileNoCover">
    <w:name w:val="Score retrieval file No (Cover)"/>
    <w:basedOn w:val="Normal"/>
    <w:uiPriority w:val="99"/>
    <w:rsid w:val="004A65B2"/>
    <w:pPr>
      <w:suppressAutoHyphens/>
      <w:spacing w:after="224" w:line="210" w:lineRule="atLeast"/>
      <w:textAlignment w:val="baseline"/>
    </w:pPr>
    <w:rPr>
      <w:rFonts w:eastAsiaTheme="minorEastAsia" w:cs="EYInterstate-Light"/>
      <w:color w:val="000000"/>
      <w:spacing w:val="-3"/>
      <w:sz w:val="16"/>
      <w:szCs w:val="16"/>
      <w:lang w:val="en-GB"/>
    </w:rPr>
  </w:style>
  <w:style w:type="paragraph" w:customStyle="1" w:styleId="LegalcopyCover">
    <w:name w:val="Legal copy (Cover)"/>
    <w:basedOn w:val="Normal"/>
    <w:uiPriority w:val="99"/>
    <w:rsid w:val="004A65B2"/>
    <w:pPr>
      <w:suppressAutoHyphens/>
      <w:spacing w:after="80" w:line="160" w:lineRule="atLeast"/>
      <w:textAlignment w:val="baseline"/>
    </w:pPr>
    <w:rPr>
      <w:rFonts w:eastAsiaTheme="minorEastAsia" w:cs="EYInterstate-Light"/>
      <w:color w:val="000000"/>
      <w:spacing w:val="-2"/>
      <w:sz w:val="12"/>
      <w:szCs w:val="12"/>
      <w:lang w:val="en-GB"/>
    </w:rPr>
  </w:style>
  <w:style w:type="character" w:customStyle="1" w:styleId="BoilerplatecopyItalic">
    <w:name w:val="Boilerplate copy Italic"/>
    <w:uiPriority w:val="99"/>
    <w:rsid w:val="00173BC9"/>
    <w:rPr>
      <w:rFonts w:ascii="EYInterstate-LightItalic" w:hAnsi="EYInterstate-LightItalic" w:cs="EYInterstate-LightItalic"/>
      <w:i/>
      <w:iCs/>
      <w:color w:val="000000"/>
      <w:spacing w:val="-3"/>
      <w:w w:val="100"/>
      <w:position w:val="0"/>
      <w:sz w:val="16"/>
      <w:szCs w:val="16"/>
      <w:vertAlign w:val="baseline"/>
      <w:lang w:val="en-GB"/>
    </w:rPr>
  </w:style>
  <w:style w:type="paragraph" w:customStyle="1" w:styleId="Headline1">
    <w:name w:val="Headline 1"/>
    <w:link w:val="Headline1Char"/>
    <w:rsid w:val="00464F87"/>
    <w:pPr>
      <w:spacing w:after="240"/>
    </w:pPr>
    <w:rPr>
      <w:rFonts w:ascii="EYInterstate Regular" w:hAnsi="EYInterstate Regular" w:cs="Arial"/>
      <w:bCs/>
      <w:color w:val="808080"/>
      <w:kern w:val="32"/>
      <w:sz w:val="48"/>
      <w:szCs w:val="48"/>
    </w:rPr>
  </w:style>
  <w:style w:type="paragraph" w:customStyle="1" w:styleId="Headline2">
    <w:name w:val="Headline 2"/>
    <w:rsid w:val="00464F87"/>
    <w:pPr>
      <w:spacing w:line="400" w:lineRule="exact"/>
    </w:pPr>
    <w:rPr>
      <w:rFonts w:ascii="EYInterstate Regular" w:hAnsi="EYInterstate Regular" w:cs="Arial"/>
      <w:bCs/>
      <w:color w:val="808080"/>
      <w:sz w:val="36"/>
      <w:szCs w:val="48"/>
      <w:lang w:val="en-GB"/>
    </w:rPr>
  </w:style>
  <w:style w:type="character" w:customStyle="1" w:styleId="Headline1Char">
    <w:name w:val="Headline 1 Char"/>
    <w:basedOn w:val="DefaultParagraphFont"/>
    <w:link w:val="Headline1"/>
    <w:rsid w:val="00464F87"/>
    <w:rPr>
      <w:rFonts w:ascii="EYInterstate Regular" w:hAnsi="EYInterstate Regular" w:cs="Arial"/>
      <w:bCs/>
      <w:color w:val="808080"/>
      <w:kern w:val="32"/>
      <w:sz w:val="48"/>
      <w:szCs w:val="48"/>
    </w:rPr>
  </w:style>
  <w:style w:type="character" w:customStyle="1" w:styleId="EYDateChar">
    <w:name w:val="EY Date Char"/>
    <w:basedOn w:val="DefaultParagraphFont"/>
    <w:link w:val="EYDate"/>
    <w:rsid w:val="00226FB5"/>
    <w:rPr>
      <w:rFonts w:ascii="EYInterstate Regular" w:hAnsi="EYInterstate Regular"/>
      <w:b/>
      <w:bCs/>
      <w:kern w:val="28"/>
      <w:szCs w:val="32"/>
    </w:rPr>
  </w:style>
  <w:style w:type="paragraph" w:customStyle="1" w:styleId="StandardText">
    <w:name w:val="Standard Text"/>
    <w:basedOn w:val="Normal"/>
    <w:link w:val="StandardTextChar"/>
    <w:qFormat/>
    <w:rsid w:val="00226FB5"/>
    <w:pPr>
      <w:spacing w:before="120" w:after="120"/>
    </w:pPr>
    <w:rPr>
      <w:rFonts w:cstheme="majorHAnsi"/>
    </w:rPr>
  </w:style>
  <w:style w:type="character" w:customStyle="1" w:styleId="StandardTextChar">
    <w:name w:val="Standard Text Char"/>
    <w:basedOn w:val="DefaultParagraphFont"/>
    <w:link w:val="StandardText"/>
    <w:rsid w:val="00226FB5"/>
    <w:rPr>
      <w:rFonts w:ascii="EYInterstate Light" w:hAnsi="EYInterstate Light" w:cstheme="majorHAnsi"/>
    </w:rPr>
  </w:style>
  <w:style w:type="paragraph" w:customStyle="1" w:styleId="Bullets1stindent">
    <w:name w:val="Bullets (1st indent)"/>
    <w:basedOn w:val="Normal"/>
    <w:link w:val="Bullets1stindentChar"/>
    <w:uiPriority w:val="99"/>
    <w:qFormat/>
    <w:rsid w:val="00F264D8"/>
    <w:pPr>
      <w:widowControl/>
      <w:autoSpaceDE/>
      <w:autoSpaceDN/>
      <w:adjustRightInd/>
      <w:spacing w:after="120"/>
    </w:pPr>
    <w:rPr>
      <w:rFonts w:ascii="Arial" w:hAnsi="Arial" w:cs="Arial"/>
      <w:sz w:val="19"/>
      <w:szCs w:val="24"/>
    </w:rPr>
  </w:style>
  <w:style w:type="character" w:customStyle="1" w:styleId="Bullets1stindentChar">
    <w:name w:val="Bullets (1st indent) Char"/>
    <w:link w:val="Bullets1stindent"/>
    <w:uiPriority w:val="99"/>
    <w:locked/>
    <w:rsid w:val="00F264D8"/>
    <w:rPr>
      <w:rFonts w:ascii="Arial" w:hAnsi="Arial" w:cs="Arial"/>
      <w:sz w:val="19"/>
      <w:szCs w:val="24"/>
      <w:lang w:val="en-AU"/>
    </w:rPr>
  </w:style>
  <w:style w:type="paragraph" w:styleId="Caption">
    <w:name w:val="caption"/>
    <w:aliases w:val="Table heading"/>
    <w:basedOn w:val="Normal"/>
    <w:next w:val="Normal"/>
    <w:link w:val="CaptionChar"/>
    <w:qFormat/>
    <w:rsid w:val="00931CBF"/>
    <w:pPr>
      <w:keepNext/>
      <w:widowControl/>
      <w:autoSpaceDE/>
      <w:autoSpaceDN/>
      <w:adjustRightInd/>
      <w:spacing w:after="60" w:line="200" w:lineRule="exact"/>
      <w:outlineLvl w:val="0"/>
    </w:pPr>
    <w:rPr>
      <w:b/>
      <w:bCs/>
      <w:kern w:val="12"/>
      <w:szCs w:val="24"/>
    </w:rPr>
  </w:style>
  <w:style w:type="character" w:customStyle="1" w:styleId="CaptionChar">
    <w:name w:val="Caption Char"/>
    <w:aliases w:val="Table heading Char"/>
    <w:basedOn w:val="DefaultParagraphFont"/>
    <w:link w:val="Caption"/>
    <w:locked/>
    <w:rsid w:val="00931CBF"/>
    <w:rPr>
      <w:rFonts w:ascii="EYInterstate Light" w:hAnsi="EYInterstate Light"/>
      <w:b/>
      <w:bCs/>
      <w:kern w:val="12"/>
      <w:szCs w:val="24"/>
      <w:lang w:val="en-AU"/>
    </w:rPr>
  </w:style>
  <w:style w:type="paragraph" w:styleId="ListParagraph">
    <w:name w:val="List Paragraph"/>
    <w:basedOn w:val="Normal"/>
    <w:uiPriority w:val="34"/>
    <w:qFormat/>
    <w:rsid w:val="00F264D8"/>
    <w:pPr>
      <w:spacing w:after="120"/>
      <w:ind w:left="720"/>
      <w:contextualSpacing/>
    </w:pPr>
    <w:rPr>
      <w:rFonts w:asciiTheme="majorHAnsi" w:hAnsiTheme="majorHAnsi" w:cstheme="majorHAnsi"/>
    </w:rPr>
  </w:style>
  <w:style w:type="table" w:styleId="TableGrid">
    <w:name w:val="Table Grid"/>
    <w:aliases w:val="CV table,none,EY Table,ICB Table"/>
    <w:basedOn w:val="TableNormal"/>
    <w:rsid w:val="00F26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F264D8"/>
    <w:rPr>
      <w:sz w:val="16"/>
      <w:szCs w:val="16"/>
    </w:rPr>
  </w:style>
  <w:style w:type="paragraph" w:styleId="CommentText">
    <w:name w:val="annotation text"/>
    <w:basedOn w:val="Normal"/>
    <w:link w:val="CommentTextChar"/>
    <w:rsid w:val="00F264D8"/>
    <w:pPr>
      <w:spacing w:after="120"/>
    </w:pPr>
    <w:rPr>
      <w:rFonts w:asciiTheme="majorHAnsi" w:hAnsiTheme="majorHAnsi" w:cstheme="majorHAnsi"/>
    </w:rPr>
  </w:style>
  <w:style w:type="character" w:customStyle="1" w:styleId="CommentTextChar">
    <w:name w:val="Comment Text Char"/>
    <w:basedOn w:val="DefaultParagraphFont"/>
    <w:link w:val="CommentText"/>
    <w:rsid w:val="00F264D8"/>
    <w:rPr>
      <w:rFonts w:asciiTheme="majorHAnsi" w:hAnsiTheme="majorHAnsi" w:cstheme="majorHAnsi"/>
    </w:rPr>
  </w:style>
  <w:style w:type="paragraph" w:customStyle="1" w:styleId="EYBodytextnoparaspace">
    <w:name w:val="EY Body text (no para space)"/>
    <w:basedOn w:val="EYNormal"/>
    <w:rsid w:val="00924BED"/>
    <w:pPr>
      <w:tabs>
        <w:tab w:val="left" w:pos="907"/>
      </w:tabs>
      <w:suppressAutoHyphens/>
      <w:spacing w:line="260" w:lineRule="atLeast"/>
    </w:pPr>
  </w:style>
  <w:style w:type="paragraph" w:customStyle="1" w:styleId="TASBullet1">
    <w:name w:val="TAS Bullet 1"/>
    <w:basedOn w:val="Normal"/>
    <w:qFormat/>
    <w:rsid w:val="002B448C"/>
    <w:pPr>
      <w:widowControl/>
      <w:numPr>
        <w:numId w:val="16"/>
      </w:numPr>
      <w:autoSpaceDE/>
      <w:autoSpaceDN/>
      <w:adjustRightInd/>
      <w:spacing w:after="120"/>
      <w:jc w:val="both"/>
    </w:pPr>
    <w:rPr>
      <w:rFonts w:ascii="Arial" w:eastAsia="MS Mincho" w:hAnsi="Arial" w:cs="Arial"/>
      <w:lang w:val="en-GB" w:eastAsia="zh-TW"/>
    </w:rPr>
  </w:style>
  <w:style w:type="paragraph" w:customStyle="1" w:styleId="TASBullet2">
    <w:name w:val="TAS Bullet 2"/>
    <w:basedOn w:val="Normal"/>
    <w:qFormat/>
    <w:rsid w:val="002B448C"/>
    <w:pPr>
      <w:widowControl/>
      <w:numPr>
        <w:ilvl w:val="1"/>
        <w:numId w:val="16"/>
      </w:numPr>
      <w:autoSpaceDE/>
      <w:autoSpaceDN/>
      <w:adjustRightInd/>
      <w:spacing w:after="120"/>
      <w:jc w:val="both"/>
    </w:pPr>
    <w:rPr>
      <w:rFonts w:ascii="Arial" w:eastAsia="MS Mincho" w:hAnsi="Arial" w:cs="Arial"/>
      <w:lang w:val="en-GB" w:eastAsia="zh-TW"/>
    </w:rPr>
  </w:style>
  <w:style w:type="paragraph" w:customStyle="1" w:styleId="TASLetterbodytext">
    <w:name w:val="TAS Letter body text"/>
    <w:basedOn w:val="Normal"/>
    <w:link w:val="TASLetterbodytextCharChar"/>
    <w:rsid w:val="002B448C"/>
    <w:pPr>
      <w:widowControl/>
      <w:autoSpaceDE/>
      <w:autoSpaceDN/>
      <w:adjustRightInd/>
      <w:spacing w:after="120"/>
      <w:jc w:val="both"/>
    </w:pPr>
    <w:rPr>
      <w:rFonts w:ascii="Arial" w:eastAsia="MS Mincho" w:hAnsi="Arial" w:cstheme="majorHAnsi"/>
      <w:szCs w:val="16"/>
      <w:lang w:val="en-GB" w:eastAsia="zh-TW"/>
    </w:rPr>
  </w:style>
  <w:style w:type="paragraph" w:customStyle="1" w:styleId="TASLetterrecipientaddress">
    <w:name w:val="TAS Letter recipient address"/>
    <w:basedOn w:val="Normal"/>
    <w:rsid w:val="002B448C"/>
    <w:pPr>
      <w:widowControl/>
      <w:autoSpaceDE/>
      <w:autoSpaceDN/>
      <w:adjustRightInd/>
      <w:spacing w:after="120"/>
    </w:pPr>
    <w:rPr>
      <w:rFonts w:ascii="Arial" w:eastAsia="MS Mincho" w:hAnsi="Arial" w:cs="Arial"/>
      <w:szCs w:val="16"/>
      <w:lang w:val="en-GB" w:eastAsia="zh-TW"/>
    </w:rPr>
  </w:style>
  <w:style w:type="paragraph" w:customStyle="1" w:styleId="TASLettersalutation">
    <w:name w:val="TAS Letter salutation"/>
    <w:basedOn w:val="Normal"/>
    <w:next w:val="Normal"/>
    <w:rsid w:val="002B448C"/>
    <w:pPr>
      <w:widowControl/>
      <w:autoSpaceDE/>
      <w:autoSpaceDN/>
      <w:adjustRightInd/>
      <w:spacing w:after="240"/>
      <w:jc w:val="both"/>
    </w:pPr>
    <w:rPr>
      <w:rFonts w:ascii="Arial" w:eastAsia="MS Mincho" w:hAnsi="Arial" w:cs="Arial"/>
      <w:lang w:val="en-GB" w:eastAsia="zh-TW"/>
    </w:rPr>
  </w:style>
  <w:style w:type="paragraph" w:customStyle="1" w:styleId="TASLettertextheading">
    <w:name w:val="TAS Letter text heading"/>
    <w:basedOn w:val="TASLetterbodytext"/>
    <w:next w:val="TASLetterbodytext"/>
    <w:rsid w:val="002B448C"/>
    <w:pPr>
      <w:keepNext/>
    </w:pPr>
    <w:rPr>
      <w:b/>
    </w:rPr>
  </w:style>
  <w:style w:type="character" w:customStyle="1" w:styleId="TASLetterbodytextCharChar">
    <w:name w:val="TAS Letter body text Char Char"/>
    <w:basedOn w:val="DefaultParagraphFont"/>
    <w:link w:val="TASLetterbodytext"/>
    <w:rsid w:val="002B448C"/>
    <w:rPr>
      <w:rFonts w:ascii="Arial" w:eastAsia="MS Mincho" w:hAnsi="Arial" w:cstheme="majorHAnsi"/>
      <w:szCs w:val="16"/>
      <w:lang w:val="en-GB" w:eastAsia="zh-TW"/>
    </w:rPr>
  </w:style>
  <w:style w:type="paragraph" w:customStyle="1" w:styleId="TASLetteraddress">
    <w:name w:val="TAS Letter address"/>
    <w:basedOn w:val="Normal"/>
    <w:rsid w:val="002B448C"/>
    <w:pPr>
      <w:widowControl/>
      <w:autoSpaceDE/>
      <w:autoSpaceDN/>
      <w:adjustRightInd/>
      <w:spacing w:after="120"/>
    </w:pPr>
    <w:rPr>
      <w:rFonts w:ascii="Arial" w:eastAsia="MS Mincho" w:hAnsi="Arial" w:cs="Arial"/>
      <w:color w:val="4F81BD" w:themeColor="accent1"/>
      <w:sz w:val="16"/>
      <w:lang w:val="en-GB" w:eastAsia="zh-TW"/>
    </w:rPr>
  </w:style>
  <w:style w:type="paragraph" w:customStyle="1" w:styleId="TASLetteraddressEY">
    <w:name w:val="TAS Letter address EY"/>
    <w:basedOn w:val="Normal"/>
    <w:next w:val="TASLetteraddress"/>
    <w:rsid w:val="002B448C"/>
    <w:pPr>
      <w:widowControl/>
      <w:autoSpaceDE/>
      <w:autoSpaceDN/>
      <w:adjustRightInd/>
      <w:spacing w:after="120"/>
    </w:pPr>
    <w:rPr>
      <w:rFonts w:ascii="Arial" w:eastAsia="MS Mincho" w:hAnsi="Arial" w:cs="Arial"/>
      <w:b/>
      <w:color w:val="4F81BD" w:themeColor="accent1"/>
      <w:sz w:val="16"/>
      <w:szCs w:val="16"/>
      <w:lang w:val="en-GB" w:eastAsia="zh-TW"/>
    </w:rPr>
  </w:style>
  <w:style w:type="paragraph" w:styleId="TOCHeading">
    <w:name w:val="TOC Heading"/>
    <w:basedOn w:val="Heading1"/>
    <w:next w:val="Normal"/>
    <w:uiPriority w:val="39"/>
    <w:unhideWhenUsed/>
    <w:qFormat/>
    <w:rsid w:val="002B448C"/>
    <w:pPr>
      <w:keepLines/>
      <w:widowControl/>
      <w:numPr>
        <w:numId w:val="0"/>
      </w:numPr>
      <w:tabs>
        <w:tab w:val="clear" w:pos="720"/>
      </w:tabs>
      <w:autoSpaceDE/>
      <w:autoSpaceDN/>
      <w:adjustRightInd/>
      <w:spacing w:before="480" w:after="0" w:line="276" w:lineRule="auto"/>
      <w:contextualSpacing/>
      <w:outlineLvl w:val="9"/>
    </w:pPr>
    <w:rPr>
      <w:rFonts w:asciiTheme="majorHAnsi" w:eastAsiaTheme="majorEastAsia" w:hAnsiTheme="majorHAnsi" w:cstheme="majorBidi"/>
      <w:color w:val="365F91" w:themeColor="accent1" w:themeShade="BF"/>
      <w:szCs w:val="28"/>
      <w:lang w:eastAsia="ja-JP"/>
    </w:rPr>
  </w:style>
  <w:style w:type="paragraph" w:styleId="TOC5">
    <w:name w:val="toc 5"/>
    <w:basedOn w:val="Normal"/>
    <w:next w:val="Normal"/>
    <w:autoRedefine/>
    <w:rsid w:val="002B448C"/>
    <w:pPr>
      <w:ind w:left="800"/>
    </w:pPr>
    <w:rPr>
      <w:rFonts w:asciiTheme="minorHAnsi" w:hAnsiTheme="minorHAnsi" w:cstheme="minorHAnsi"/>
    </w:rPr>
  </w:style>
  <w:style w:type="paragraph" w:styleId="TOC6">
    <w:name w:val="toc 6"/>
    <w:basedOn w:val="Normal"/>
    <w:next w:val="Normal"/>
    <w:autoRedefine/>
    <w:rsid w:val="002B448C"/>
    <w:pPr>
      <w:ind w:left="1000"/>
    </w:pPr>
    <w:rPr>
      <w:rFonts w:asciiTheme="minorHAnsi" w:hAnsiTheme="minorHAnsi" w:cstheme="minorHAnsi"/>
    </w:rPr>
  </w:style>
  <w:style w:type="paragraph" w:styleId="TOC7">
    <w:name w:val="toc 7"/>
    <w:basedOn w:val="Normal"/>
    <w:next w:val="Normal"/>
    <w:autoRedefine/>
    <w:rsid w:val="002B448C"/>
    <w:pPr>
      <w:ind w:left="1200"/>
    </w:pPr>
    <w:rPr>
      <w:rFonts w:asciiTheme="minorHAnsi" w:hAnsiTheme="minorHAnsi" w:cstheme="minorHAnsi"/>
    </w:rPr>
  </w:style>
  <w:style w:type="paragraph" w:styleId="TOC8">
    <w:name w:val="toc 8"/>
    <w:basedOn w:val="Normal"/>
    <w:next w:val="Normal"/>
    <w:autoRedefine/>
    <w:rsid w:val="002B448C"/>
    <w:pPr>
      <w:ind w:left="1400"/>
    </w:pPr>
    <w:rPr>
      <w:rFonts w:asciiTheme="minorHAnsi" w:hAnsiTheme="minorHAnsi" w:cstheme="minorHAnsi"/>
    </w:rPr>
  </w:style>
  <w:style w:type="paragraph" w:styleId="TOC9">
    <w:name w:val="toc 9"/>
    <w:basedOn w:val="Normal"/>
    <w:next w:val="Normal"/>
    <w:autoRedefine/>
    <w:rsid w:val="002B448C"/>
    <w:pPr>
      <w:ind w:left="1600"/>
    </w:pPr>
    <w:rPr>
      <w:rFonts w:asciiTheme="minorHAnsi" w:hAnsiTheme="minorHAnsi" w:cstheme="minorHAnsi"/>
    </w:rPr>
  </w:style>
  <w:style w:type="paragraph" w:customStyle="1" w:styleId="Bullets2ndindent">
    <w:name w:val="Bullets (2nd indent)"/>
    <w:basedOn w:val="BodyText"/>
    <w:qFormat/>
    <w:rsid w:val="002B448C"/>
    <w:pPr>
      <w:widowControl/>
      <w:autoSpaceDE/>
      <w:autoSpaceDN/>
      <w:adjustRightInd/>
    </w:pPr>
    <w:rPr>
      <w:rFonts w:ascii="Arial" w:hAnsi="Arial" w:cs="Arial"/>
      <w:sz w:val="19"/>
      <w:szCs w:val="24"/>
    </w:rPr>
  </w:style>
  <w:style w:type="paragraph" w:customStyle="1" w:styleId="Bullets3rdindent">
    <w:name w:val="Bullets (3rd indent)"/>
    <w:basedOn w:val="BodyText"/>
    <w:rsid w:val="002B448C"/>
    <w:pPr>
      <w:widowControl/>
      <w:autoSpaceDE/>
      <w:autoSpaceDN/>
      <w:adjustRightInd/>
    </w:pPr>
    <w:rPr>
      <w:rFonts w:ascii="Arial" w:hAnsi="Arial" w:cs="Arial"/>
      <w:sz w:val="19"/>
      <w:szCs w:val="24"/>
    </w:rPr>
  </w:style>
  <w:style w:type="paragraph" w:customStyle="1" w:styleId="Tablebullets1stindent">
    <w:name w:val="Table bullets (1st indent)"/>
    <w:basedOn w:val="Normal"/>
    <w:qFormat/>
    <w:rsid w:val="002B448C"/>
    <w:pPr>
      <w:widowControl/>
      <w:autoSpaceDE/>
      <w:autoSpaceDN/>
      <w:adjustRightInd/>
      <w:spacing w:after="60" w:line="220" w:lineRule="atLeast"/>
    </w:pPr>
    <w:rPr>
      <w:rFonts w:ascii="Arial" w:hAnsi="Arial"/>
      <w:sz w:val="19"/>
      <w:szCs w:val="19"/>
    </w:rPr>
  </w:style>
  <w:style w:type="paragraph" w:customStyle="1" w:styleId="Tablebullets2ndindent">
    <w:name w:val="Table bullets (2nd indent)"/>
    <w:basedOn w:val="Normal"/>
    <w:qFormat/>
    <w:rsid w:val="002B448C"/>
    <w:pPr>
      <w:widowControl/>
      <w:autoSpaceDE/>
      <w:autoSpaceDN/>
      <w:adjustRightInd/>
      <w:spacing w:after="60"/>
    </w:pPr>
    <w:rPr>
      <w:rFonts w:ascii="Arial" w:hAnsi="Arial"/>
      <w:sz w:val="19"/>
      <w:szCs w:val="19"/>
    </w:rPr>
  </w:style>
  <w:style w:type="paragraph" w:customStyle="1" w:styleId="Tablebullets3rdindent">
    <w:name w:val="Table bullets (3rd indent)"/>
    <w:basedOn w:val="Normal"/>
    <w:qFormat/>
    <w:rsid w:val="002B448C"/>
    <w:pPr>
      <w:widowControl/>
      <w:autoSpaceDE/>
      <w:autoSpaceDN/>
      <w:adjustRightInd/>
      <w:spacing w:after="60" w:line="220" w:lineRule="atLeast"/>
    </w:pPr>
    <w:rPr>
      <w:rFonts w:ascii="Arial" w:hAnsi="Arial"/>
      <w:sz w:val="19"/>
      <w:szCs w:val="24"/>
    </w:rPr>
  </w:style>
  <w:style w:type="paragraph" w:styleId="Revision">
    <w:name w:val="Revision"/>
    <w:hidden/>
    <w:uiPriority w:val="99"/>
    <w:semiHidden/>
    <w:rsid w:val="002B448C"/>
    <w:rPr>
      <w:rFonts w:asciiTheme="majorHAnsi" w:hAnsiTheme="majorHAnsi" w:cstheme="majorHAnsi"/>
    </w:rPr>
  </w:style>
  <w:style w:type="paragraph" w:styleId="ListBullet">
    <w:name w:val="List Bullet"/>
    <w:basedOn w:val="BodyText"/>
    <w:rsid w:val="002B448C"/>
    <w:pPr>
      <w:widowControl/>
      <w:numPr>
        <w:numId w:val="17"/>
      </w:numPr>
      <w:overflowPunct w:val="0"/>
      <w:textAlignment w:val="baseline"/>
      <w:outlineLvl w:val="0"/>
    </w:pPr>
    <w:rPr>
      <w:kern w:val="12"/>
      <w:sz w:val="22"/>
    </w:rPr>
  </w:style>
  <w:style w:type="paragraph" w:styleId="ListBullet2">
    <w:name w:val="List Bullet 2"/>
    <w:basedOn w:val="ListBullet"/>
    <w:rsid w:val="002B448C"/>
    <w:pPr>
      <w:numPr>
        <w:ilvl w:val="1"/>
      </w:numPr>
    </w:pPr>
  </w:style>
  <w:style w:type="numbering" w:customStyle="1" w:styleId="ParaNumberingArial">
    <w:name w:val="ParaNumbering Arial"/>
    <w:basedOn w:val="NoList"/>
    <w:rsid w:val="002B448C"/>
    <w:pPr>
      <w:numPr>
        <w:numId w:val="18"/>
      </w:numPr>
    </w:pPr>
  </w:style>
  <w:style w:type="paragraph" w:customStyle="1" w:styleId="EYBulletedText10">
    <w:name w:val="EY Bulleted Text 1"/>
    <w:basedOn w:val="EYBodytextwithparaspace"/>
    <w:link w:val="EYBulletedText1Char"/>
    <w:uiPriority w:val="99"/>
    <w:rsid w:val="002B448C"/>
    <w:pPr>
      <w:tabs>
        <w:tab w:val="num" w:pos="425"/>
      </w:tabs>
      <w:ind w:left="425" w:hanging="425"/>
      <w:outlineLvl w:val="0"/>
    </w:pPr>
    <w:rPr>
      <w:lang w:val="en-AU"/>
    </w:rPr>
  </w:style>
  <w:style w:type="paragraph" w:customStyle="1" w:styleId="EYBulletedText2">
    <w:name w:val="EY Bulleted Text 2"/>
    <w:basedOn w:val="EYBodytextwithparaspace"/>
    <w:link w:val="EYBulletedText2Char"/>
    <w:uiPriority w:val="99"/>
    <w:rsid w:val="002B448C"/>
    <w:pPr>
      <w:tabs>
        <w:tab w:val="num" w:pos="851"/>
      </w:tabs>
      <w:ind w:left="851" w:hanging="426"/>
      <w:outlineLvl w:val="0"/>
    </w:pPr>
    <w:rPr>
      <w:lang w:val="en-AU"/>
    </w:rPr>
  </w:style>
  <w:style w:type="character" w:customStyle="1" w:styleId="EYBulletedText1Char">
    <w:name w:val="EY Bulleted Text 1 Char"/>
    <w:basedOn w:val="EYBodytextwithparaspaceChar"/>
    <w:link w:val="EYBulletedText10"/>
    <w:uiPriority w:val="99"/>
    <w:rsid w:val="002B448C"/>
    <w:rPr>
      <w:rFonts w:ascii="EYInterstate Light" w:hAnsi="EYInterstate Light"/>
      <w:spacing w:val="-2"/>
      <w:kern w:val="12"/>
      <w:szCs w:val="24"/>
      <w:lang w:val="en-AU"/>
    </w:rPr>
  </w:style>
  <w:style w:type="paragraph" w:customStyle="1" w:styleId="TableText-List2">
    <w:name w:val="Table Text - List 2"/>
    <w:basedOn w:val="TableText-List"/>
    <w:qFormat/>
    <w:rsid w:val="002B448C"/>
    <w:pPr>
      <w:numPr>
        <w:ilvl w:val="1"/>
      </w:numPr>
      <w:tabs>
        <w:tab w:val="clear" w:pos="164"/>
        <w:tab w:val="num" w:pos="360"/>
        <w:tab w:val="num" w:pos="851"/>
      </w:tabs>
      <w:ind w:left="851" w:hanging="426"/>
    </w:pPr>
  </w:style>
  <w:style w:type="paragraph" w:customStyle="1" w:styleId="TableText">
    <w:name w:val="Table Text"/>
    <w:link w:val="TableTextChar"/>
    <w:rsid w:val="002B448C"/>
    <w:pPr>
      <w:spacing w:before="40" w:after="40"/>
    </w:pPr>
    <w:rPr>
      <w:rFonts w:ascii="Arial" w:hAnsi="Arial" w:cs="Arial"/>
      <w:sz w:val="18"/>
      <w:szCs w:val="18"/>
      <w:lang w:val="en-AU"/>
    </w:rPr>
  </w:style>
  <w:style w:type="paragraph" w:customStyle="1" w:styleId="TableHeader0">
    <w:name w:val="Table Header"/>
    <w:link w:val="TableHeaderChar"/>
    <w:rsid w:val="002B448C"/>
    <w:pPr>
      <w:keepNext/>
      <w:spacing w:before="60" w:after="20"/>
    </w:pPr>
    <w:rPr>
      <w:rFonts w:ascii="Arial" w:hAnsi="Arial" w:cs="Arial"/>
      <w:b/>
      <w:color w:val="FFFFFF"/>
      <w:lang w:val="en-AU"/>
    </w:rPr>
  </w:style>
  <w:style w:type="character" w:customStyle="1" w:styleId="TableTextChar">
    <w:name w:val="Table Text Char"/>
    <w:link w:val="TableText"/>
    <w:locked/>
    <w:rsid w:val="002B448C"/>
    <w:rPr>
      <w:rFonts w:ascii="Arial" w:hAnsi="Arial" w:cs="Arial"/>
      <w:sz w:val="18"/>
      <w:szCs w:val="18"/>
      <w:lang w:val="en-AU"/>
    </w:rPr>
  </w:style>
  <w:style w:type="paragraph" w:customStyle="1" w:styleId="H-2">
    <w:name w:val="H-2"/>
    <w:basedOn w:val="Heading2"/>
    <w:link w:val="H-2Char"/>
    <w:rsid w:val="002B448C"/>
    <w:pPr>
      <w:widowControl/>
      <w:numPr>
        <w:ilvl w:val="0"/>
        <w:numId w:val="0"/>
      </w:numPr>
      <w:tabs>
        <w:tab w:val="num" w:pos="576"/>
        <w:tab w:val="num" w:pos="2268"/>
      </w:tabs>
      <w:autoSpaceDE/>
      <w:autoSpaceDN/>
      <w:adjustRightInd/>
      <w:spacing w:before="240" w:after="240"/>
      <w:ind w:left="2268" w:hanging="2268"/>
    </w:pPr>
    <w:rPr>
      <w:rFonts w:ascii="Arial" w:hAnsi="Arial" w:cstheme="majorHAnsi"/>
      <w:b w:val="0"/>
      <w:color w:val="004D43"/>
      <w:kern w:val="12"/>
      <w:szCs w:val="24"/>
    </w:rPr>
  </w:style>
  <w:style w:type="character" w:customStyle="1" w:styleId="H-2Char">
    <w:name w:val="H-2 Char"/>
    <w:link w:val="H-2"/>
    <w:rsid w:val="002B448C"/>
    <w:rPr>
      <w:rFonts w:ascii="Arial" w:hAnsi="Arial" w:cstheme="majorHAnsi"/>
      <w:bCs/>
      <w:iCs/>
      <w:color w:val="004D43"/>
      <w:kern w:val="12"/>
      <w:sz w:val="24"/>
      <w:szCs w:val="24"/>
      <w:lang w:val="en-AU"/>
    </w:rPr>
  </w:style>
  <w:style w:type="character" w:customStyle="1" w:styleId="EYTableTextChar">
    <w:name w:val="EY Table Text Char"/>
    <w:basedOn w:val="DefaultParagraphFont"/>
    <w:link w:val="EYTableText"/>
    <w:rsid w:val="002B448C"/>
    <w:rPr>
      <w:rFonts w:ascii="EYInterstate Light" w:hAnsi="EYInterstate Light"/>
      <w:sz w:val="16"/>
      <w:szCs w:val="24"/>
    </w:rPr>
  </w:style>
  <w:style w:type="paragraph" w:customStyle="1" w:styleId="TableText-List">
    <w:name w:val="Table Text - List"/>
    <w:link w:val="TableText-ListChar"/>
    <w:rsid w:val="002B448C"/>
    <w:pPr>
      <w:numPr>
        <w:numId w:val="19"/>
      </w:numPr>
      <w:spacing w:before="60" w:after="60"/>
    </w:pPr>
    <w:rPr>
      <w:rFonts w:ascii="Arial" w:hAnsi="Arial" w:cs="Arial"/>
      <w:kern w:val="22"/>
      <w:sz w:val="18"/>
      <w:szCs w:val="18"/>
      <w:lang w:val="en-AU"/>
    </w:rPr>
  </w:style>
  <w:style w:type="character" w:customStyle="1" w:styleId="EYBulletedText2Char">
    <w:name w:val="EY Bulleted Text 2 Char"/>
    <w:basedOn w:val="EYBodytextwithparaspaceChar"/>
    <w:link w:val="EYBulletedText2"/>
    <w:uiPriority w:val="99"/>
    <w:locked/>
    <w:rsid w:val="002B448C"/>
    <w:rPr>
      <w:rFonts w:ascii="EYInterstate Light" w:hAnsi="EYInterstate Light"/>
      <w:spacing w:val="-2"/>
      <w:kern w:val="12"/>
      <w:szCs w:val="24"/>
      <w:lang w:val="en-AU"/>
    </w:rPr>
  </w:style>
  <w:style w:type="character" w:customStyle="1" w:styleId="EYTablebullet1Char">
    <w:name w:val="EY Table bullet 1 Char"/>
    <w:basedOn w:val="DefaultParagraphFont"/>
    <w:link w:val="EYTablebullet1"/>
    <w:locked/>
    <w:rsid w:val="003A1D14"/>
    <w:rPr>
      <w:rFonts w:ascii="EYInterstate Light" w:hAnsi="EYInterstate Light"/>
      <w:sz w:val="16"/>
      <w:szCs w:val="16"/>
    </w:rPr>
  </w:style>
  <w:style w:type="character" w:customStyle="1" w:styleId="TableHeaderChar">
    <w:name w:val="Table Header Char"/>
    <w:link w:val="TableHeader0"/>
    <w:locked/>
    <w:rsid w:val="002B448C"/>
    <w:rPr>
      <w:rFonts w:ascii="Arial" w:hAnsi="Arial" w:cs="Arial"/>
      <w:b/>
      <w:color w:val="FFFFFF"/>
      <w:lang w:val="en-AU"/>
    </w:rPr>
  </w:style>
  <w:style w:type="character" w:customStyle="1" w:styleId="TableText-ListChar">
    <w:name w:val="Table Text - List Char"/>
    <w:link w:val="TableText-List"/>
    <w:locked/>
    <w:rsid w:val="002B448C"/>
    <w:rPr>
      <w:rFonts w:ascii="Arial" w:hAnsi="Arial" w:cs="Arial"/>
      <w:kern w:val="22"/>
      <w:sz w:val="18"/>
      <w:szCs w:val="18"/>
      <w:lang w:val="en-AU"/>
    </w:rPr>
  </w:style>
  <w:style w:type="table" w:customStyle="1" w:styleId="EYGeneralTable">
    <w:name w:val="EY General Table"/>
    <w:basedOn w:val="TableNormal"/>
    <w:uiPriority w:val="99"/>
    <w:rsid w:val="002B448C"/>
    <w:rPr>
      <w:rFonts w:ascii="EYInterstate Light" w:hAnsi="EYInterstate Light"/>
      <w:sz w:val="16"/>
    </w:r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rFonts w:ascii="Franklin Gothic Book" w:hAnsi="Franklin Gothic Book"/>
        <w:b/>
        <w:color w:val="FFFFFF" w:themeColor="background1"/>
        <w:sz w:val="16"/>
      </w:rPr>
      <w:tblPr/>
      <w:tcPr>
        <w:shd w:val="clear" w:color="auto" w:fill="808080"/>
      </w:tcPr>
    </w:tblStylePr>
    <w:tblStylePr w:type="lastRow">
      <w:tblPr/>
      <w:tcPr>
        <w:shd w:val="clear" w:color="auto" w:fill="FFD300"/>
      </w:tcPr>
    </w:tblStylePr>
    <w:tblStylePr w:type="firstCol">
      <w:rPr>
        <w:rFonts w:asciiTheme="minorHAnsi" w:hAnsiTheme="minorHAnsi"/>
      </w:rPr>
      <w:tblPr/>
      <w:tcPr>
        <w:tcBorders>
          <w:top w:val="dotted" w:sz="4" w:space="0" w:color="auto"/>
          <w:left w:val="dotted" w:sz="4" w:space="0" w:color="auto"/>
          <w:bottom w:val="dotted" w:sz="4" w:space="0" w:color="auto"/>
          <w:right w:val="dotted" w:sz="4" w:space="0" w:color="auto"/>
          <w:insideH w:val="dotted" w:sz="4" w:space="0" w:color="auto"/>
          <w:insideV w:val="dotted" w:sz="4" w:space="0" w:color="auto"/>
        </w:tcBorders>
      </w:tcPr>
    </w:tblStylePr>
  </w:style>
  <w:style w:type="paragraph" w:styleId="CommentSubject">
    <w:name w:val="annotation subject"/>
    <w:basedOn w:val="CommentText"/>
    <w:next w:val="CommentText"/>
    <w:link w:val="CommentSubjectChar"/>
    <w:rsid w:val="002B448C"/>
    <w:rPr>
      <w:b/>
      <w:bCs/>
    </w:rPr>
  </w:style>
  <w:style w:type="character" w:customStyle="1" w:styleId="CommentSubjectChar">
    <w:name w:val="Comment Subject Char"/>
    <w:basedOn w:val="CommentTextChar"/>
    <w:link w:val="CommentSubject"/>
    <w:rsid w:val="002B448C"/>
    <w:rPr>
      <w:rFonts w:asciiTheme="majorHAnsi" w:hAnsiTheme="majorHAnsi" w:cstheme="majorHAnsi"/>
      <w:b/>
      <w:bCs/>
    </w:rPr>
  </w:style>
  <w:style w:type="paragraph" w:customStyle="1" w:styleId="Tabletitle">
    <w:name w:val="Table title"/>
    <w:next w:val="Normal"/>
    <w:uiPriority w:val="4"/>
    <w:qFormat/>
    <w:rsid w:val="002B448C"/>
    <w:pPr>
      <w:keepNext/>
      <w:keepLines/>
      <w:numPr>
        <w:numId w:val="20"/>
      </w:numPr>
      <w:spacing w:before="240" w:after="160" w:line="270" w:lineRule="atLeast"/>
    </w:pPr>
    <w:rPr>
      <w:rFonts w:ascii="Arial" w:hAnsi="Arial"/>
      <w:color w:val="000000"/>
      <w:sz w:val="22"/>
      <w:szCs w:val="24"/>
      <w:lang w:val="en-AU"/>
    </w:rPr>
  </w:style>
  <w:style w:type="character" w:customStyle="1" w:styleId="Heading3Char">
    <w:name w:val="Heading 3 Char"/>
    <w:basedOn w:val="DefaultParagraphFont"/>
    <w:link w:val="Heading3"/>
    <w:rsid w:val="002B448C"/>
    <w:rPr>
      <w:rFonts w:ascii="EYInterstate Light" w:hAnsi="EYInterstate Light" w:cs="Arial"/>
      <w:b/>
      <w:bCs/>
      <w:sz w:val="24"/>
    </w:rPr>
  </w:style>
  <w:style w:type="paragraph" w:customStyle="1" w:styleId="BodyText1">
    <w:name w:val="Body Text1"/>
    <w:link w:val="BodyText1Char"/>
    <w:qFormat/>
    <w:rsid w:val="002B448C"/>
    <w:pPr>
      <w:spacing w:line="270" w:lineRule="atLeast"/>
    </w:pPr>
    <w:rPr>
      <w:rFonts w:ascii="EYInterstate Light" w:hAnsi="EYInterstate Light"/>
      <w:color w:val="000000"/>
      <w:sz w:val="16"/>
      <w:szCs w:val="24"/>
      <w:lang w:val="en-AU"/>
    </w:rPr>
  </w:style>
  <w:style w:type="character" w:customStyle="1" w:styleId="BodyText1Char">
    <w:name w:val="Body Text1 Char"/>
    <w:link w:val="BodyText1"/>
    <w:rsid w:val="002B448C"/>
    <w:rPr>
      <w:rFonts w:ascii="EYInterstate Light" w:hAnsi="EYInterstate Light"/>
      <w:color w:val="000000"/>
      <w:sz w:val="16"/>
      <w:szCs w:val="24"/>
      <w:lang w:val="en-AU"/>
    </w:rPr>
  </w:style>
  <w:style w:type="paragraph" w:customStyle="1" w:styleId="TableCaption">
    <w:name w:val="Table Caption"/>
    <w:basedOn w:val="BodyText1"/>
    <w:link w:val="TableCaptionChar"/>
    <w:qFormat/>
    <w:rsid w:val="002B448C"/>
    <w:pPr>
      <w:spacing w:before="60" w:after="60" w:line="240" w:lineRule="auto"/>
    </w:pPr>
    <w:rPr>
      <w:b/>
    </w:rPr>
  </w:style>
  <w:style w:type="character" w:customStyle="1" w:styleId="TableCaptionChar">
    <w:name w:val="Table Caption Char"/>
    <w:basedOn w:val="BodyText1Char"/>
    <w:link w:val="TableCaption"/>
    <w:rsid w:val="002B448C"/>
    <w:rPr>
      <w:rFonts w:ascii="EYInterstate Light" w:hAnsi="EYInterstate Light"/>
      <w:b/>
      <w:color w:val="000000"/>
      <w:sz w:val="16"/>
      <w:szCs w:val="24"/>
      <w:lang w:val="en-AU"/>
    </w:rPr>
  </w:style>
  <w:style w:type="character" w:customStyle="1" w:styleId="Normal1Char">
    <w:name w:val="Normal1 Char"/>
    <w:link w:val="Normal1"/>
    <w:uiPriority w:val="99"/>
    <w:locked/>
    <w:rsid w:val="002B448C"/>
    <w:rPr>
      <w:rFonts w:ascii="Franklin Gothic Book" w:hAnsi="Franklin Gothic Book"/>
      <w:sz w:val="22"/>
      <w:lang w:val="en-AU"/>
    </w:rPr>
  </w:style>
  <w:style w:type="paragraph" w:customStyle="1" w:styleId="Normal1">
    <w:name w:val="Normal1"/>
    <w:link w:val="Normal1Char"/>
    <w:uiPriority w:val="99"/>
    <w:rsid w:val="002B448C"/>
    <w:pPr>
      <w:tabs>
        <w:tab w:val="left" w:pos="851"/>
        <w:tab w:val="left" w:pos="1701"/>
        <w:tab w:val="left" w:pos="2552"/>
        <w:tab w:val="right" w:pos="9015"/>
      </w:tabs>
      <w:spacing w:before="180"/>
      <w:jc w:val="both"/>
    </w:pPr>
    <w:rPr>
      <w:rFonts w:ascii="Franklin Gothic Book" w:hAnsi="Franklin Gothic Book"/>
      <w:sz w:val="22"/>
      <w:lang w:val="en-AU"/>
    </w:rPr>
  </w:style>
  <w:style w:type="table" w:customStyle="1" w:styleId="TableFormat-Standard">
    <w:name w:val="Table Format - Standard"/>
    <w:basedOn w:val="TableNormal"/>
    <w:rsid w:val="002B448C"/>
    <w:rPr>
      <w:rFonts w:ascii="Arial" w:hAnsi="Arial"/>
      <w:lang w:val="en-AU" w:eastAsia="en-AU"/>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numbering" w:customStyle="1" w:styleId="ParaNumbering">
    <w:name w:val="ParaNumbering"/>
    <w:basedOn w:val="NoList"/>
    <w:rsid w:val="002B448C"/>
  </w:style>
  <w:style w:type="character" w:customStyle="1" w:styleId="EYTableHeadingChar">
    <w:name w:val="EY Table Heading Char"/>
    <w:basedOn w:val="DefaultParagraphFont"/>
    <w:link w:val="EYTableHeading"/>
    <w:locked/>
    <w:rsid w:val="002B448C"/>
    <w:rPr>
      <w:rFonts w:ascii="EYInterstate Regular" w:hAnsi="EYInterstate Regular"/>
      <w:color w:val="808080"/>
      <w:sz w:val="16"/>
      <w:szCs w:val="24"/>
    </w:rPr>
  </w:style>
  <w:style w:type="character" w:customStyle="1" w:styleId="Heading2Char">
    <w:name w:val="Heading 2 Char"/>
    <w:basedOn w:val="DefaultParagraphFont"/>
    <w:link w:val="Heading2"/>
    <w:rsid w:val="002B448C"/>
    <w:rPr>
      <w:rFonts w:ascii="EYInterstate Light" w:hAnsi="EYInterstate Light" w:cs="Arial"/>
      <w:b/>
      <w:bCs/>
      <w:iCs/>
      <w:sz w:val="24"/>
    </w:rPr>
  </w:style>
  <w:style w:type="table" w:customStyle="1" w:styleId="TableGrid1">
    <w:name w:val="Table Grid1"/>
    <w:basedOn w:val="TableNormal"/>
    <w:next w:val="TableGrid"/>
    <w:rsid w:val="002B448C"/>
    <w:rPr>
      <w:rFonts w:ascii="EYInterstate" w:hAnsi="EYInterstat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next w:val="BodyText"/>
    <w:uiPriority w:val="3"/>
    <w:qFormat/>
    <w:rsid w:val="002B448C"/>
    <w:pPr>
      <w:pageBreakBefore/>
      <w:tabs>
        <w:tab w:val="num" w:pos="2160"/>
      </w:tabs>
      <w:spacing w:after="480" w:line="690" w:lineRule="atLeast"/>
      <w:ind w:left="2160" w:hanging="2160"/>
    </w:pPr>
    <w:rPr>
      <w:rFonts w:ascii="Gill Sans MT" w:hAnsi="Gill Sans MT"/>
      <w:color w:val="002664"/>
      <w:sz w:val="36"/>
      <w:szCs w:val="36"/>
      <w:lang w:val="en-AU"/>
    </w:rPr>
  </w:style>
  <w:style w:type="paragraph" w:customStyle="1" w:styleId="Appendixheading2">
    <w:name w:val="Appendix heading 2"/>
    <w:next w:val="BodyText"/>
    <w:uiPriority w:val="3"/>
    <w:qFormat/>
    <w:rsid w:val="002B448C"/>
    <w:pPr>
      <w:keepNext/>
      <w:tabs>
        <w:tab w:val="num" w:pos="1134"/>
      </w:tabs>
      <w:spacing w:before="340" w:after="170" w:line="280" w:lineRule="atLeast"/>
      <w:ind w:left="1134" w:hanging="1134"/>
    </w:pPr>
    <w:rPr>
      <w:rFonts w:ascii="Gill Sans MT" w:hAnsi="Gill Sans MT"/>
      <w:b/>
      <w:bCs/>
      <w:color w:val="5793C9"/>
      <w:sz w:val="26"/>
      <w:szCs w:val="26"/>
      <w:lang w:val="en-AU"/>
    </w:rPr>
  </w:style>
  <w:style w:type="table" w:customStyle="1" w:styleId="CMATable">
    <w:name w:val="CMA Table"/>
    <w:basedOn w:val="TableNormal"/>
    <w:uiPriority w:val="99"/>
    <w:rsid w:val="002B448C"/>
    <w:rPr>
      <w:rFonts w:ascii="Arial" w:hAnsi="Arial"/>
      <w:lang w:val="en-AU"/>
    </w:rPr>
    <w:tblPr>
      <w:tblBorders>
        <w:top w:val="single" w:sz="2" w:space="0" w:color="003366"/>
        <w:left w:val="single" w:sz="2" w:space="0" w:color="003366"/>
        <w:bottom w:val="single" w:sz="2" w:space="0" w:color="003366"/>
        <w:right w:val="single" w:sz="2" w:space="0" w:color="003366"/>
        <w:insideH w:val="single" w:sz="2" w:space="0" w:color="003366"/>
        <w:insideV w:val="single" w:sz="2" w:space="0" w:color="003366"/>
      </w:tblBorders>
      <w:tblCellMar>
        <w:top w:w="57" w:type="dxa"/>
        <w:left w:w="57" w:type="dxa"/>
        <w:bottom w:w="28" w:type="dxa"/>
        <w:right w:w="57" w:type="dxa"/>
      </w:tblCellMar>
    </w:tblPr>
    <w:tblStylePr w:type="firstRow">
      <w:rPr>
        <w:rFonts w:ascii="Arial" w:hAnsi="Arial"/>
      </w:rPr>
      <w:tblPr>
        <w:tblCellMar>
          <w:top w:w="57" w:type="dxa"/>
          <w:left w:w="57" w:type="dxa"/>
          <w:bottom w:w="28" w:type="dxa"/>
          <w:right w:w="57" w:type="dxa"/>
        </w:tblCellMar>
      </w:tblPr>
      <w:tcPr>
        <w:tcBorders>
          <w:top w:val="single" w:sz="2" w:space="0" w:color="003366"/>
          <w:left w:val="single" w:sz="2" w:space="0" w:color="003366"/>
          <w:bottom w:val="single" w:sz="2" w:space="0" w:color="003366"/>
          <w:right w:val="single" w:sz="2" w:space="0" w:color="003366"/>
          <w:insideH w:val="single" w:sz="2" w:space="0" w:color="003366"/>
          <w:insideV w:val="single" w:sz="2" w:space="0" w:color="003366"/>
          <w:tl2br w:val="nil"/>
          <w:tr2bl w:val="nil"/>
        </w:tcBorders>
        <w:shd w:val="clear" w:color="auto" w:fill="003366"/>
      </w:tcPr>
    </w:tblStylePr>
  </w:style>
  <w:style w:type="paragraph" w:customStyle="1" w:styleId="Figuretitle">
    <w:name w:val="Figure title"/>
    <w:next w:val="Normal"/>
    <w:qFormat/>
    <w:rsid w:val="002B448C"/>
    <w:pPr>
      <w:keepNext/>
      <w:tabs>
        <w:tab w:val="num" w:pos="1134"/>
      </w:tabs>
      <w:spacing w:before="240" w:after="60" w:line="280" w:lineRule="atLeast"/>
      <w:ind w:left="1134" w:hanging="1134"/>
    </w:pPr>
    <w:rPr>
      <w:rFonts w:ascii="Arial" w:hAnsi="Arial"/>
      <w:szCs w:val="24"/>
      <w:lang w:val="en-AU"/>
    </w:rPr>
  </w:style>
  <w:style w:type="paragraph" w:styleId="NormalWeb">
    <w:name w:val="Normal (Web)"/>
    <w:basedOn w:val="Normal"/>
    <w:uiPriority w:val="99"/>
    <w:unhideWhenUsed/>
    <w:rsid w:val="002B448C"/>
    <w:pPr>
      <w:widowControl/>
      <w:autoSpaceDE/>
      <w:autoSpaceDN/>
      <w:adjustRightInd/>
      <w:spacing w:before="100" w:beforeAutospacing="1" w:after="100" w:afterAutospacing="1"/>
    </w:pPr>
    <w:rPr>
      <w:rFonts w:ascii="Times New Roman" w:hAnsi="Times New Roman"/>
      <w:szCs w:val="24"/>
      <w:lang w:eastAsia="en-AU"/>
    </w:rPr>
  </w:style>
  <w:style w:type="character" w:styleId="FollowedHyperlink">
    <w:name w:val="FollowedHyperlink"/>
    <w:basedOn w:val="DefaultParagraphFont"/>
    <w:rsid w:val="002B448C"/>
    <w:rPr>
      <w:color w:val="800080" w:themeColor="followedHyperlink"/>
      <w:u w:val="single"/>
    </w:rPr>
  </w:style>
  <w:style w:type="numbering" w:customStyle="1" w:styleId="PwCListNumbers1">
    <w:name w:val="PwC List Numbers 1"/>
    <w:uiPriority w:val="99"/>
    <w:rsid w:val="002B448C"/>
    <w:pPr>
      <w:numPr>
        <w:numId w:val="23"/>
      </w:numPr>
    </w:pPr>
  </w:style>
  <w:style w:type="paragraph" w:styleId="ListNumber">
    <w:name w:val="List Number"/>
    <w:basedOn w:val="Normal"/>
    <w:uiPriority w:val="13"/>
    <w:unhideWhenUsed/>
    <w:qFormat/>
    <w:rsid w:val="002B448C"/>
    <w:pPr>
      <w:widowControl/>
      <w:numPr>
        <w:numId w:val="23"/>
      </w:numPr>
      <w:autoSpaceDE/>
      <w:autoSpaceDN/>
      <w:adjustRightInd/>
      <w:spacing w:after="200" w:line="276" w:lineRule="auto"/>
      <w:contextualSpacing/>
    </w:pPr>
    <w:rPr>
      <w:rFonts w:asciiTheme="minorHAnsi" w:eastAsiaTheme="minorHAnsi" w:hAnsiTheme="minorHAnsi" w:cstheme="minorBidi"/>
      <w:sz w:val="22"/>
      <w:szCs w:val="22"/>
    </w:rPr>
  </w:style>
  <w:style w:type="paragraph" w:styleId="ListNumber2">
    <w:name w:val="List Number 2"/>
    <w:basedOn w:val="Normal"/>
    <w:uiPriority w:val="13"/>
    <w:unhideWhenUsed/>
    <w:qFormat/>
    <w:rsid w:val="002B448C"/>
    <w:pPr>
      <w:widowControl/>
      <w:numPr>
        <w:ilvl w:val="1"/>
        <w:numId w:val="23"/>
      </w:numPr>
      <w:autoSpaceDE/>
      <w:autoSpaceDN/>
      <w:adjustRightInd/>
      <w:spacing w:after="200" w:line="276" w:lineRule="auto"/>
      <w:contextualSpacing/>
    </w:pPr>
    <w:rPr>
      <w:rFonts w:asciiTheme="minorHAnsi" w:eastAsiaTheme="minorHAnsi" w:hAnsiTheme="minorHAnsi" w:cstheme="minorBidi"/>
      <w:sz w:val="22"/>
      <w:szCs w:val="22"/>
    </w:rPr>
  </w:style>
  <w:style w:type="paragraph" w:styleId="ListNumber3">
    <w:name w:val="List Number 3"/>
    <w:basedOn w:val="Normal"/>
    <w:uiPriority w:val="13"/>
    <w:unhideWhenUsed/>
    <w:qFormat/>
    <w:rsid w:val="002B448C"/>
    <w:pPr>
      <w:widowControl/>
      <w:numPr>
        <w:ilvl w:val="2"/>
        <w:numId w:val="23"/>
      </w:numPr>
      <w:autoSpaceDE/>
      <w:autoSpaceDN/>
      <w:adjustRightInd/>
      <w:spacing w:after="200" w:line="276" w:lineRule="auto"/>
      <w:contextualSpacing/>
    </w:pPr>
    <w:rPr>
      <w:rFonts w:asciiTheme="minorHAnsi" w:eastAsiaTheme="minorHAnsi" w:hAnsiTheme="minorHAnsi" w:cstheme="minorBidi"/>
      <w:sz w:val="22"/>
      <w:szCs w:val="22"/>
    </w:rPr>
  </w:style>
  <w:style w:type="paragraph" w:styleId="ListNumber4">
    <w:name w:val="List Number 4"/>
    <w:basedOn w:val="Normal"/>
    <w:uiPriority w:val="13"/>
    <w:unhideWhenUsed/>
    <w:rsid w:val="002B448C"/>
    <w:pPr>
      <w:widowControl/>
      <w:numPr>
        <w:ilvl w:val="3"/>
        <w:numId w:val="23"/>
      </w:numPr>
      <w:autoSpaceDE/>
      <w:autoSpaceDN/>
      <w:adjustRightInd/>
      <w:spacing w:after="200" w:line="276" w:lineRule="auto"/>
      <w:contextualSpacing/>
    </w:pPr>
    <w:rPr>
      <w:rFonts w:asciiTheme="minorHAnsi" w:eastAsiaTheme="minorHAnsi" w:hAnsiTheme="minorHAnsi" w:cstheme="minorBidi"/>
      <w:sz w:val="22"/>
      <w:szCs w:val="22"/>
    </w:rPr>
  </w:style>
  <w:style w:type="paragraph" w:styleId="ListNumber5">
    <w:name w:val="List Number 5"/>
    <w:basedOn w:val="Normal"/>
    <w:uiPriority w:val="13"/>
    <w:unhideWhenUsed/>
    <w:rsid w:val="002B448C"/>
    <w:pPr>
      <w:widowControl/>
      <w:numPr>
        <w:ilvl w:val="4"/>
        <w:numId w:val="23"/>
      </w:numPr>
      <w:autoSpaceDE/>
      <w:autoSpaceDN/>
      <w:adjustRightInd/>
      <w:spacing w:after="200" w:line="276" w:lineRule="auto"/>
      <w:contextualSpacing/>
    </w:pPr>
    <w:rPr>
      <w:rFonts w:asciiTheme="minorHAnsi" w:eastAsiaTheme="minorHAnsi" w:hAnsiTheme="minorHAnsi" w:cstheme="minorBidi"/>
      <w:sz w:val="22"/>
      <w:szCs w:val="22"/>
    </w:rPr>
  </w:style>
  <w:style w:type="paragraph" w:customStyle="1" w:styleId="Default">
    <w:name w:val="Default"/>
    <w:rsid w:val="002B448C"/>
    <w:pPr>
      <w:autoSpaceDE w:val="0"/>
      <w:autoSpaceDN w:val="0"/>
      <w:adjustRightInd w:val="0"/>
    </w:pPr>
    <w:rPr>
      <w:rFonts w:ascii="Arial" w:hAnsi="Arial" w:cs="Arial"/>
      <w:color w:val="000000"/>
      <w:sz w:val="24"/>
      <w:szCs w:val="24"/>
      <w:lang w:val="en-AU"/>
    </w:rPr>
  </w:style>
  <w:style w:type="paragraph" w:customStyle="1" w:styleId="EYBulletedtext1">
    <w:name w:val="EY Bulleted text 1"/>
    <w:basedOn w:val="Normal"/>
    <w:rsid w:val="004F7635"/>
    <w:pPr>
      <w:widowControl/>
      <w:numPr>
        <w:numId w:val="32"/>
      </w:numPr>
      <w:suppressAutoHyphens/>
      <w:autoSpaceDE/>
      <w:autoSpaceDN/>
      <w:adjustRightInd/>
      <w:spacing w:line="260" w:lineRule="exact"/>
    </w:pPr>
    <w:rPr>
      <w:rFonts w:ascii="Arial" w:hAnsi="Arial"/>
      <w:kern w:val="12"/>
      <w:szCs w:val="24"/>
    </w:rPr>
  </w:style>
  <w:style w:type="character" w:customStyle="1" w:styleId="StyleFootnoteReferencefr10ptKernat6pt">
    <w:name w:val="Style Footnote Referencefr + 10 pt Kern at 6 pt"/>
    <w:basedOn w:val="FootnoteReference"/>
    <w:rsid w:val="00A9654D"/>
    <w:rPr>
      <w:rFonts w:ascii="EYInterstate Light" w:hAnsi="EYInterstate Light"/>
      <w:kern w:val="12"/>
      <w:position w:val="0"/>
      <w:sz w:val="20"/>
      <w:szCs w:val="20"/>
      <w:vertAlign w:val="superscript"/>
    </w:rPr>
  </w:style>
  <w:style w:type="character" w:customStyle="1" w:styleId="FooterChar">
    <w:name w:val="Footer Char"/>
    <w:aliases w:val="EY Footer Char"/>
    <w:basedOn w:val="DefaultParagraphFont"/>
    <w:link w:val="Footer"/>
    <w:rsid w:val="001677DD"/>
    <w:rPr>
      <w:rFonts w:ascii="EYInterstate Light" w:hAnsi="EYInterstate Light"/>
      <w:lang w:val="en-AU"/>
    </w:rPr>
  </w:style>
  <w:style w:type="paragraph" w:styleId="TableofFigures">
    <w:name w:val="table of figures"/>
    <w:basedOn w:val="Normal"/>
    <w:next w:val="Normal"/>
    <w:uiPriority w:val="99"/>
    <w:unhideWhenUsed/>
    <w:rsid w:val="002C2A9B"/>
    <w:pPr>
      <w:ind w:left="851" w:hanging="851"/>
    </w:pPr>
    <w:rPr>
      <w:sz w:val="18"/>
    </w:rPr>
  </w:style>
  <w:style w:type="paragraph" w:styleId="Bibliography">
    <w:name w:val="Bibliography"/>
    <w:basedOn w:val="Normal"/>
    <w:next w:val="Normal"/>
    <w:uiPriority w:val="37"/>
    <w:semiHidden/>
    <w:unhideWhenUsed/>
    <w:rsid w:val="00934784"/>
  </w:style>
  <w:style w:type="paragraph" w:styleId="BlockText">
    <w:name w:val="Block Text"/>
    <w:basedOn w:val="Normal"/>
    <w:semiHidden/>
    <w:unhideWhenUsed/>
    <w:rsid w:val="00934784"/>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34784"/>
    <w:pPr>
      <w:spacing w:after="120" w:line="480" w:lineRule="auto"/>
    </w:pPr>
  </w:style>
  <w:style w:type="character" w:customStyle="1" w:styleId="BodyText2Char">
    <w:name w:val="Body Text 2 Char"/>
    <w:basedOn w:val="DefaultParagraphFont"/>
    <w:link w:val="BodyText2"/>
    <w:semiHidden/>
    <w:rsid w:val="00934784"/>
    <w:rPr>
      <w:rFonts w:ascii="EYInterstate Light" w:hAnsi="EYInterstate Light"/>
      <w:lang w:val="en-AU"/>
    </w:rPr>
  </w:style>
  <w:style w:type="paragraph" w:styleId="BodyText3">
    <w:name w:val="Body Text 3"/>
    <w:basedOn w:val="Normal"/>
    <w:link w:val="BodyText3Char"/>
    <w:semiHidden/>
    <w:unhideWhenUsed/>
    <w:rsid w:val="00934784"/>
    <w:pPr>
      <w:spacing w:after="120"/>
    </w:pPr>
    <w:rPr>
      <w:sz w:val="16"/>
      <w:szCs w:val="16"/>
    </w:rPr>
  </w:style>
  <w:style w:type="character" w:customStyle="1" w:styleId="BodyText3Char">
    <w:name w:val="Body Text 3 Char"/>
    <w:basedOn w:val="DefaultParagraphFont"/>
    <w:link w:val="BodyText3"/>
    <w:semiHidden/>
    <w:rsid w:val="00934784"/>
    <w:rPr>
      <w:rFonts w:ascii="EYInterstate Light" w:hAnsi="EYInterstate Light"/>
      <w:sz w:val="16"/>
      <w:szCs w:val="16"/>
      <w:lang w:val="en-AU"/>
    </w:rPr>
  </w:style>
  <w:style w:type="paragraph" w:styleId="BodyTextFirstIndent">
    <w:name w:val="Body Text First Indent"/>
    <w:basedOn w:val="BodyText"/>
    <w:link w:val="BodyTextFirstIndentChar"/>
    <w:rsid w:val="00934784"/>
    <w:pPr>
      <w:spacing w:after="0"/>
      <w:ind w:firstLine="360"/>
    </w:pPr>
  </w:style>
  <w:style w:type="character" w:customStyle="1" w:styleId="BodyTextChar">
    <w:name w:val="Body Text Char"/>
    <w:basedOn w:val="DefaultParagraphFont"/>
    <w:link w:val="BodyText"/>
    <w:rsid w:val="00934784"/>
    <w:rPr>
      <w:rFonts w:ascii="EYInterstate Light" w:hAnsi="EYInterstate Light"/>
      <w:lang w:val="en-AU"/>
    </w:rPr>
  </w:style>
  <w:style w:type="character" w:customStyle="1" w:styleId="BodyTextFirstIndentChar">
    <w:name w:val="Body Text First Indent Char"/>
    <w:basedOn w:val="BodyTextChar"/>
    <w:link w:val="BodyTextFirstIndent"/>
    <w:rsid w:val="00934784"/>
    <w:rPr>
      <w:rFonts w:ascii="EYInterstate Light" w:hAnsi="EYInterstate Light"/>
      <w:lang w:val="en-AU"/>
    </w:rPr>
  </w:style>
  <w:style w:type="paragraph" w:styleId="BodyTextIndent">
    <w:name w:val="Body Text Indent"/>
    <w:basedOn w:val="Normal"/>
    <w:link w:val="BodyTextIndentChar"/>
    <w:semiHidden/>
    <w:unhideWhenUsed/>
    <w:rsid w:val="00934784"/>
    <w:pPr>
      <w:spacing w:after="120"/>
      <w:ind w:left="283"/>
    </w:pPr>
  </w:style>
  <w:style w:type="character" w:customStyle="1" w:styleId="BodyTextIndentChar">
    <w:name w:val="Body Text Indent Char"/>
    <w:basedOn w:val="DefaultParagraphFont"/>
    <w:link w:val="BodyTextIndent"/>
    <w:semiHidden/>
    <w:rsid w:val="00934784"/>
    <w:rPr>
      <w:rFonts w:ascii="EYInterstate Light" w:hAnsi="EYInterstate Light"/>
      <w:lang w:val="en-AU"/>
    </w:rPr>
  </w:style>
  <w:style w:type="paragraph" w:styleId="BodyTextFirstIndent2">
    <w:name w:val="Body Text First Indent 2"/>
    <w:basedOn w:val="BodyTextIndent"/>
    <w:link w:val="BodyTextFirstIndent2Char"/>
    <w:semiHidden/>
    <w:unhideWhenUsed/>
    <w:rsid w:val="00934784"/>
    <w:pPr>
      <w:spacing w:after="0"/>
      <w:ind w:left="360" w:firstLine="360"/>
    </w:pPr>
  </w:style>
  <w:style w:type="character" w:customStyle="1" w:styleId="BodyTextFirstIndent2Char">
    <w:name w:val="Body Text First Indent 2 Char"/>
    <w:basedOn w:val="BodyTextIndentChar"/>
    <w:link w:val="BodyTextFirstIndent2"/>
    <w:semiHidden/>
    <w:rsid w:val="00934784"/>
    <w:rPr>
      <w:rFonts w:ascii="EYInterstate Light" w:hAnsi="EYInterstate Light"/>
      <w:lang w:val="en-AU"/>
    </w:rPr>
  </w:style>
  <w:style w:type="paragraph" w:styleId="BodyTextIndent2">
    <w:name w:val="Body Text Indent 2"/>
    <w:basedOn w:val="Normal"/>
    <w:link w:val="BodyTextIndent2Char"/>
    <w:semiHidden/>
    <w:unhideWhenUsed/>
    <w:rsid w:val="00934784"/>
    <w:pPr>
      <w:spacing w:after="120" w:line="480" w:lineRule="auto"/>
      <w:ind w:left="283"/>
    </w:pPr>
  </w:style>
  <w:style w:type="character" w:customStyle="1" w:styleId="BodyTextIndent2Char">
    <w:name w:val="Body Text Indent 2 Char"/>
    <w:basedOn w:val="DefaultParagraphFont"/>
    <w:link w:val="BodyTextIndent2"/>
    <w:semiHidden/>
    <w:rsid w:val="00934784"/>
    <w:rPr>
      <w:rFonts w:ascii="EYInterstate Light" w:hAnsi="EYInterstate Light"/>
      <w:lang w:val="en-AU"/>
    </w:rPr>
  </w:style>
  <w:style w:type="paragraph" w:styleId="BodyTextIndent3">
    <w:name w:val="Body Text Indent 3"/>
    <w:basedOn w:val="Normal"/>
    <w:link w:val="BodyTextIndent3Char"/>
    <w:semiHidden/>
    <w:unhideWhenUsed/>
    <w:rsid w:val="00934784"/>
    <w:pPr>
      <w:spacing w:after="120"/>
      <w:ind w:left="283"/>
    </w:pPr>
    <w:rPr>
      <w:sz w:val="16"/>
      <w:szCs w:val="16"/>
    </w:rPr>
  </w:style>
  <w:style w:type="character" w:customStyle="1" w:styleId="BodyTextIndent3Char">
    <w:name w:val="Body Text Indent 3 Char"/>
    <w:basedOn w:val="DefaultParagraphFont"/>
    <w:link w:val="BodyTextIndent3"/>
    <w:semiHidden/>
    <w:rsid w:val="00934784"/>
    <w:rPr>
      <w:rFonts w:ascii="EYInterstate Light" w:hAnsi="EYInterstate Light"/>
      <w:sz w:val="16"/>
      <w:szCs w:val="16"/>
      <w:lang w:val="en-AU"/>
    </w:rPr>
  </w:style>
  <w:style w:type="paragraph" w:styleId="Closing">
    <w:name w:val="Closing"/>
    <w:basedOn w:val="Normal"/>
    <w:link w:val="ClosingChar"/>
    <w:semiHidden/>
    <w:unhideWhenUsed/>
    <w:rsid w:val="00934784"/>
    <w:pPr>
      <w:ind w:left="4252"/>
    </w:pPr>
  </w:style>
  <w:style w:type="character" w:customStyle="1" w:styleId="ClosingChar">
    <w:name w:val="Closing Char"/>
    <w:basedOn w:val="DefaultParagraphFont"/>
    <w:link w:val="Closing"/>
    <w:semiHidden/>
    <w:rsid w:val="00934784"/>
    <w:rPr>
      <w:rFonts w:ascii="EYInterstate Light" w:hAnsi="EYInterstate Light"/>
      <w:lang w:val="en-AU"/>
    </w:rPr>
  </w:style>
  <w:style w:type="paragraph" w:styleId="Date">
    <w:name w:val="Date"/>
    <w:basedOn w:val="Normal"/>
    <w:next w:val="Normal"/>
    <w:link w:val="DateChar"/>
    <w:rsid w:val="00934784"/>
  </w:style>
  <w:style w:type="character" w:customStyle="1" w:styleId="DateChar">
    <w:name w:val="Date Char"/>
    <w:basedOn w:val="DefaultParagraphFont"/>
    <w:link w:val="Date"/>
    <w:rsid w:val="00934784"/>
    <w:rPr>
      <w:rFonts w:ascii="EYInterstate Light" w:hAnsi="EYInterstate Light"/>
      <w:lang w:val="en-AU"/>
    </w:rPr>
  </w:style>
  <w:style w:type="paragraph" w:styleId="DocumentMap">
    <w:name w:val="Document Map"/>
    <w:basedOn w:val="Normal"/>
    <w:link w:val="DocumentMapChar"/>
    <w:semiHidden/>
    <w:unhideWhenUsed/>
    <w:rsid w:val="00934784"/>
    <w:rPr>
      <w:rFonts w:ascii="Tahoma" w:hAnsi="Tahoma" w:cs="Tahoma"/>
      <w:sz w:val="16"/>
      <w:szCs w:val="16"/>
    </w:rPr>
  </w:style>
  <w:style w:type="character" w:customStyle="1" w:styleId="DocumentMapChar">
    <w:name w:val="Document Map Char"/>
    <w:basedOn w:val="DefaultParagraphFont"/>
    <w:link w:val="DocumentMap"/>
    <w:semiHidden/>
    <w:rsid w:val="00934784"/>
    <w:rPr>
      <w:rFonts w:ascii="Tahoma" w:hAnsi="Tahoma" w:cs="Tahoma"/>
      <w:sz w:val="16"/>
      <w:szCs w:val="16"/>
      <w:lang w:val="en-AU"/>
    </w:rPr>
  </w:style>
  <w:style w:type="paragraph" w:styleId="EnvelopeAddress">
    <w:name w:val="envelope address"/>
    <w:basedOn w:val="Normal"/>
    <w:semiHidden/>
    <w:unhideWhenUsed/>
    <w:rsid w:val="0093478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34784"/>
    <w:rPr>
      <w:rFonts w:asciiTheme="majorHAnsi" w:eastAsiaTheme="majorEastAsia" w:hAnsiTheme="majorHAnsi" w:cstheme="majorBidi"/>
    </w:rPr>
  </w:style>
  <w:style w:type="paragraph" w:styleId="HTMLAddress">
    <w:name w:val="HTML Address"/>
    <w:basedOn w:val="Normal"/>
    <w:link w:val="HTMLAddressChar"/>
    <w:semiHidden/>
    <w:unhideWhenUsed/>
    <w:rsid w:val="00934784"/>
    <w:rPr>
      <w:i/>
      <w:iCs/>
    </w:rPr>
  </w:style>
  <w:style w:type="character" w:customStyle="1" w:styleId="HTMLAddressChar">
    <w:name w:val="HTML Address Char"/>
    <w:basedOn w:val="DefaultParagraphFont"/>
    <w:link w:val="HTMLAddress"/>
    <w:semiHidden/>
    <w:rsid w:val="00934784"/>
    <w:rPr>
      <w:rFonts w:ascii="EYInterstate Light" w:hAnsi="EYInterstate Light"/>
      <w:i/>
      <w:iCs/>
      <w:lang w:val="en-AU"/>
    </w:rPr>
  </w:style>
  <w:style w:type="paragraph" w:styleId="HTMLPreformatted">
    <w:name w:val="HTML Preformatted"/>
    <w:basedOn w:val="Normal"/>
    <w:link w:val="HTMLPreformattedChar"/>
    <w:semiHidden/>
    <w:unhideWhenUsed/>
    <w:rsid w:val="00934784"/>
    <w:rPr>
      <w:rFonts w:ascii="Consolas" w:hAnsi="Consolas" w:cs="Consolas"/>
    </w:rPr>
  </w:style>
  <w:style w:type="character" w:customStyle="1" w:styleId="HTMLPreformattedChar">
    <w:name w:val="HTML Preformatted Char"/>
    <w:basedOn w:val="DefaultParagraphFont"/>
    <w:link w:val="HTMLPreformatted"/>
    <w:semiHidden/>
    <w:rsid w:val="00934784"/>
    <w:rPr>
      <w:rFonts w:ascii="Consolas" w:hAnsi="Consolas" w:cs="Consolas"/>
      <w:lang w:val="en-AU"/>
    </w:rPr>
  </w:style>
  <w:style w:type="paragraph" w:styleId="Index1">
    <w:name w:val="index 1"/>
    <w:basedOn w:val="Normal"/>
    <w:next w:val="Normal"/>
    <w:autoRedefine/>
    <w:semiHidden/>
    <w:unhideWhenUsed/>
    <w:rsid w:val="00934784"/>
    <w:pPr>
      <w:ind w:left="200" w:hanging="200"/>
    </w:pPr>
  </w:style>
  <w:style w:type="paragraph" w:styleId="Index2">
    <w:name w:val="index 2"/>
    <w:basedOn w:val="Normal"/>
    <w:next w:val="Normal"/>
    <w:autoRedefine/>
    <w:semiHidden/>
    <w:unhideWhenUsed/>
    <w:rsid w:val="00934784"/>
    <w:pPr>
      <w:ind w:left="400" w:hanging="200"/>
    </w:pPr>
  </w:style>
  <w:style w:type="paragraph" w:styleId="Index3">
    <w:name w:val="index 3"/>
    <w:basedOn w:val="Normal"/>
    <w:next w:val="Normal"/>
    <w:autoRedefine/>
    <w:semiHidden/>
    <w:unhideWhenUsed/>
    <w:rsid w:val="00934784"/>
    <w:pPr>
      <w:ind w:left="600" w:hanging="200"/>
    </w:pPr>
  </w:style>
  <w:style w:type="paragraph" w:styleId="Index4">
    <w:name w:val="index 4"/>
    <w:basedOn w:val="Normal"/>
    <w:next w:val="Normal"/>
    <w:autoRedefine/>
    <w:semiHidden/>
    <w:unhideWhenUsed/>
    <w:rsid w:val="00934784"/>
    <w:pPr>
      <w:ind w:left="800" w:hanging="200"/>
    </w:pPr>
  </w:style>
  <w:style w:type="paragraph" w:styleId="Index5">
    <w:name w:val="index 5"/>
    <w:basedOn w:val="Normal"/>
    <w:next w:val="Normal"/>
    <w:autoRedefine/>
    <w:semiHidden/>
    <w:unhideWhenUsed/>
    <w:rsid w:val="00934784"/>
    <w:pPr>
      <w:ind w:left="1000" w:hanging="200"/>
    </w:pPr>
  </w:style>
  <w:style w:type="paragraph" w:styleId="Index6">
    <w:name w:val="index 6"/>
    <w:basedOn w:val="Normal"/>
    <w:next w:val="Normal"/>
    <w:autoRedefine/>
    <w:semiHidden/>
    <w:unhideWhenUsed/>
    <w:rsid w:val="00934784"/>
    <w:pPr>
      <w:ind w:left="1200" w:hanging="200"/>
    </w:pPr>
  </w:style>
  <w:style w:type="paragraph" w:styleId="Index7">
    <w:name w:val="index 7"/>
    <w:basedOn w:val="Normal"/>
    <w:next w:val="Normal"/>
    <w:autoRedefine/>
    <w:semiHidden/>
    <w:unhideWhenUsed/>
    <w:rsid w:val="00934784"/>
    <w:pPr>
      <w:ind w:left="1400" w:hanging="200"/>
    </w:pPr>
  </w:style>
  <w:style w:type="paragraph" w:styleId="Index8">
    <w:name w:val="index 8"/>
    <w:basedOn w:val="Normal"/>
    <w:next w:val="Normal"/>
    <w:autoRedefine/>
    <w:semiHidden/>
    <w:unhideWhenUsed/>
    <w:rsid w:val="00934784"/>
    <w:pPr>
      <w:ind w:left="1600" w:hanging="200"/>
    </w:pPr>
  </w:style>
  <w:style w:type="paragraph" w:styleId="Index9">
    <w:name w:val="index 9"/>
    <w:basedOn w:val="Normal"/>
    <w:next w:val="Normal"/>
    <w:autoRedefine/>
    <w:semiHidden/>
    <w:unhideWhenUsed/>
    <w:rsid w:val="00934784"/>
    <w:pPr>
      <w:ind w:left="1800" w:hanging="200"/>
    </w:pPr>
  </w:style>
  <w:style w:type="paragraph" w:styleId="IndexHeading">
    <w:name w:val="index heading"/>
    <w:basedOn w:val="Normal"/>
    <w:next w:val="Index1"/>
    <w:semiHidden/>
    <w:unhideWhenUsed/>
    <w:rsid w:val="0093478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347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4784"/>
    <w:rPr>
      <w:rFonts w:ascii="EYInterstate Light" w:hAnsi="EYInterstate Light"/>
      <w:b/>
      <w:bCs/>
      <w:i/>
      <w:iCs/>
      <w:color w:val="4F81BD" w:themeColor="accent1"/>
      <w:lang w:val="en-AU"/>
    </w:rPr>
  </w:style>
  <w:style w:type="paragraph" w:styleId="List">
    <w:name w:val="List"/>
    <w:basedOn w:val="Normal"/>
    <w:semiHidden/>
    <w:unhideWhenUsed/>
    <w:rsid w:val="00934784"/>
    <w:pPr>
      <w:ind w:left="283" w:hanging="283"/>
      <w:contextualSpacing/>
    </w:pPr>
  </w:style>
  <w:style w:type="paragraph" w:styleId="List2">
    <w:name w:val="List 2"/>
    <w:basedOn w:val="Normal"/>
    <w:semiHidden/>
    <w:unhideWhenUsed/>
    <w:rsid w:val="00934784"/>
    <w:pPr>
      <w:ind w:left="566" w:hanging="283"/>
      <w:contextualSpacing/>
    </w:pPr>
  </w:style>
  <w:style w:type="paragraph" w:styleId="List3">
    <w:name w:val="List 3"/>
    <w:basedOn w:val="Normal"/>
    <w:semiHidden/>
    <w:unhideWhenUsed/>
    <w:rsid w:val="00934784"/>
    <w:pPr>
      <w:ind w:left="849" w:hanging="283"/>
      <w:contextualSpacing/>
    </w:pPr>
  </w:style>
  <w:style w:type="paragraph" w:styleId="List4">
    <w:name w:val="List 4"/>
    <w:basedOn w:val="Normal"/>
    <w:rsid w:val="00934784"/>
    <w:pPr>
      <w:ind w:left="1132" w:hanging="283"/>
      <w:contextualSpacing/>
    </w:pPr>
  </w:style>
  <w:style w:type="paragraph" w:styleId="List5">
    <w:name w:val="List 5"/>
    <w:basedOn w:val="Normal"/>
    <w:rsid w:val="00934784"/>
    <w:pPr>
      <w:ind w:left="1415" w:hanging="283"/>
      <w:contextualSpacing/>
    </w:pPr>
  </w:style>
  <w:style w:type="paragraph" w:styleId="ListBullet3">
    <w:name w:val="List Bullet 3"/>
    <w:basedOn w:val="Normal"/>
    <w:semiHidden/>
    <w:unhideWhenUsed/>
    <w:rsid w:val="00934784"/>
    <w:pPr>
      <w:numPr>
        <w:numId w:val="64"/>
      </w:numPr>
      <w:contextualSpacing/>
    </w:pPr>
  </w:style>
  <w:style w:type="paragraph" w:styleId="ListBullet4">
    <w:name w:val="List Bullet 4"/>
    <w:basedOn w:val="Normal"/>
    <w:semiHidden/>
    <w:unhideWhenUsed/>
    <w:rsid w:val="00934784"/>
    <w:pPr>
      <w:numPr>
        <w:numId w:val="65"/>
      </w:numPr>
      <w:contextualSpacing/>
    </w:pPr>
  </w:style>
  <w:style w:type="paragraph" w:styleId="ListBullet5">
    <w:name w:val="List Bullet 5"/>
    <w:basedOn w:val="Normal"/>
    <w:semiHidden/>
    <w:unhideWhenUsed/>
    <w:rsid w:val="00934784"/>
    <w:pPr>
      <w:numPr>
        <w:numId w:val="66"/>
      </w:numPr>
      <w:contextualSpacing/>
    </w:pPr>
  </w:style>
  <w:style w:type="paragraph" w:styleId="ListContinue">
    <w:name w:val="List Continue"/>
    <w:basedOn w:val="Normal"/>
    <w:semiHidden/>
    <w:unhideWhenUsed/>
    <w:rsid w:val="00934784"/>
    <w:pPr>
      <w:spacing w:after="120"/>
      <w:ind w:left="283"/>
      <w:contextualSpacing/>
    </w:pPr>
  </w:style>
  <w:style w:type="paragraph" w:styleId="ListContinue2">
    <w:name w:val="List Continue 2"/>
    <w:basedOn w:val="Normal"/>
    <w:semiHidden/>
    <w:unhideWhenUsed/>
    <w:rsid w:val="00934784"/>
    <w:pPr>
      <w:spacing w:after="120"/>
      <w:ind w:left="566"/>
      <w:contextualSpacing/>
    </w:pPr>
  </w:style>
  <w:style w:type="paragraph" w:styleId="ListContinue3">
    <w:name w:val="List Continue 3"/>
    <w:basedOn w:val="Normal"/>
    <w:semiHidden/>
    <w:unhideWhenUsed/>
    <w:rsid w:val="00934784"/>
    <w:pPr>
      <w:spacing w:after="120"/>
      <w:ind w:left="849"/>
      <w:contextualSpacing/>
    </w:pPr>
  </w:style>
  <w:style w:type="paragraph" w:styleId="ListContinue4">
    <w:name w:val="List Continue 4"/>
    <w:basedOn w:val="Normal"/>
    <w:semiHidden/>
    <w:unhideWhenUsed/>
    <w:rsid w:val="00934784"/>
    <w:pPr>
      <w:spacing w:after="120"/>
      <w:ind w:left="1132"/>
      <w:contextualSpacing/>
    </w:pPr>
  </w:style>
  <w:style w:type="paragraph" w:styleId="ListContinue5">
    <w:name w:val="List Continue 5"/>
    <w:basedOn w:val="Normal"/>
    <w:semiHidden/>
    <w:unhideWhenUsed/>
    <w:rsid w:val="00934784"/>
    <w:pPr>
      <w:spacing w:after="120"/>
      <w:ind w:left="1415"/>
      <w:contextualSpacing/>
    </w:pPr>
  </w:style>
  <w:style w:type="paragraph" w:styleId="MacroText">
    <w:name w:val="macro"/>
    <w:link w:val="MacroTextChar"/>
    <w:semiHidden/>
    <w:unhideWhenUsed/>
    <w:rsid w:val="00934784"/>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onsolas"/>
      <w:lang w:val="en-AU"/>
    </w:rPr>
  </w:style>
  <w:style w:type="character" w:customStyle="1" w:styleId="MacroTextChar">
    <w:name w:val="Macro Text Char"/>
    <w:basedOn w:val="DefaultParagraphFont"/>
    <w:link w:val="MacroText"/>
    <w:semiHidden/>
    <w:rsid w:val="00934784"/>
    <w:rPr>
      <w:rFonts w:ascii="Consolas" w:hAnsi="Consolas" w:cs="Consolas"/>
      <w:lang w:val="en-AU"/>
    </w:rPr>
  </w:style>
  <w:style w:type="paragraph" w:styleId="MessageHeader">
    <w:name w:val="Message Header"/>
    <w:basedOn w:val="Normal"/>
    <w:link w:val="MessageHeaderChar"/>
    <w:semiHidden/>
    <w:unhideWhenUsed/>
    <w:rsid w:val="0093478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34784"/>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934784"/>
    <w:pPr>
      <w:widowControl w:val="0"/>
      <w:autoSpaceDE w:val="0"/>
      <w:autoSpaceDN w:val="0"/>
      <w:adjustRightInd w:val="0"/>
    </w:pPr>
    <w:rPr>
      <w:rFonts w:ascii="EYInterstate Light" w:hAnsi="EYInterstate Light"/>
      <w:lang w:val="en-AU"/>
    </w:rPr>
  </w:style>
  <w:style w:type="paragraph" w:styleId="NormalIndent">
    <w:name w:val="Normal Indent"/>
    <w:basedOn w:val="Normal"/>
    <w:semiHidden/>
    <w:unhideWhenUsed/>
    <w:rsid w:val="00934784"/>
    <w:pPr>
      <w:ind w:left="720"/>
    </w:pPr>
  </w:style>
  <w:style w:type="paragraph" w:styleId="NoteHeading">
    <w:name w:val="Note Heading"/>
    <w:basedOn w:val="Normal"/>
    <w:next w:val="Normal"/>
    <w:link w:val="NoteHeadingChar"/>
    <w:semiHidden/>
    <w:unhideWhenUsed/>
    <w:rsid w:val="00934784"/>
  </w:style>
  <w:style w:type="character" w:customStyle="1" w:styleId="NoteHeadingChar">
    <w:name w:val="Note Heading Char"/>
    <w:basedOn w:val="DefaultParagraphFont"/>
    <w:link w:val="NoteHeading"/>
    <w:semiHidden/>
    <w:rsid w:val="00934784"/>
    <w:rPr>
      <w:rFonts w:ascii="EYInterstate Light" w:hAnsi="EYInterstate Light"/>
      <w:lang w:val="en-AU"/>
    </w:rPr>
  </w:style>
  <w:style w:type="paragraph" w:styleId="PlainText">
    <w:name w:val="Plain Text"/>
    <w:basedOn w:val="Normal"/>
    <w:link w:val="PlainTextChar"/>
    <w:semiHidden/>
    <w:unhideWhenUsed/>
    <w:rsid w:val="00934784"/>
    <w:rPr>
      <w:rFonts w:ascii="Consolas" w:hAnsi="Consolas" w:cs="Consolas"/>
      <w:sz w:val="21"/>
      <w:szCs w:val="21"/>
    </w:rPr>
  </w:style>
  <w:style w:type="character" w:customStyle="1" w:styleId="PlainTextChar">
    <w:name w:val="Plain Text Char"/>
    <w:basedOn w:val="DefaultParagraphFont"/>
    <w:link w:val="PlainText"/>
    <w:semiHidden/>
    <w:rsid w:val="00934784"/>
    <w:rPr>
      <w:rFonts w:ascii="Consolas" w:hAnsi="Consolas" w:cs="Consolas"/>
      <w:sz w:val="21"/>
      <w:szCs w:val="21"/>
      <w:lang w:val="en-AU"/>
    </w:rPr>
  </w:style>
  <w:style w:type="paragraph" w:styleId="Quote">
    <w:name w:val="Quote"/>
    <w:basedOn w:val="Normal"/>
    <w:next w:val="Normal"/>
    <w:link w:val="QuoteChar"/>
    <w:uiPriority w:val="29"/>
    <w:qFormat/>
    <w:rsid w:val="00934784"/>
    <w:rPr>
      <w:i/>
      <w:iCs/>
      <w:color w:val="000000" w:themeColor="text1"/>
    </w:rPr>
  </w:style>
  <w:style w:type="character" w:customStyle="1" w:styleId="QuoteChar">
    <w:name w:val="Quote Char"/>
    <w:basedOn w:val="DefaultParagraphFont"/>
    <w:link w:val="Quote"/>
    <w:uiPriority w:val="29"/>
    <w:rsid w:val="00934784"/>
    <w:rPr>
      <w:rFonts w:ascii="EYInterstate Light" w:hAnsi="EYInterstate Light"/>
      <w:i/>
      <w:iCs/>
      <w:color w:val="000000" w:themeColor="text1"/>
      <w:lang w:val="en-AU"/>
    </w:rPr>
  </w:style>
  <w:style w:type="paragraph" w:styleId="Salutation">
    <w:name w:val="Salutation"/>
    <w:basedOn w:val="Normal"/>
    <w:next w:val="Normal"/>
    <w:link w:val="SalutationChar"/>
    <w:rsid w:val="00934784"/>
  </w:style>
  <w:style w:type="character" w:customStyle="1" w:styleId="SalutationChar">
    <w:name w:val="Salutation Char"/>
    <w:basedOn w:val="DefaultParagraphFont"/>
    <w:link w:val="Salutation"/>
    <w:rsid w:val="00934784"/>
    <w:rPr>
      <w:rFonts w:ascii="EYInterstate Light" w:hAnsi="EYInterstate Light"/>
      <w:lang w:val="en-AU"/>
    </w:rPr>
  </w:style>
  <w:style w:type="paragraph" w:styleId="Signature">
    <w:name w:val="Signature"/>
    <w:basedOn w:val="Normal"/>
    <w:link w:val="SignatureChar"/>
    <w:semiHidden/>
    <w:unhideWhenUsed/>
    <w:rsid w:val="00934784"/>
    <w:pPr>
      <w:ind w:left="4252"/>
    </w:pPr>
  </w:style>
  <w:style w:type="character" w:customStyle="1" w:styleId="SignatureChar">
    <w:name w:val="Signature Char"/>
    <w:basedOn w:val="DefaultParagraphFont"/>
    <w:link w:val="Signature"/>
    <w:semiHidden/>
    <w:rsid w:val="00934784"/>
    <w:rPr>
      <w:rFonts w:ascii="EYInterstate Light" w:hAnsi="EYInterstate Light"/>
      <w:lang w:val="en-AU"/>
    </w:rPr>
  </w:style>
  <w:style w:type="paragraph" w:styleId="Subtitle">
    <w:name w:val="Subtitle"/>
    <w:basedOn w:val="Normal"/>
    <w:next w:val="Normal"/>
    <w:link w:val="SubtitleChar"/>
    <w:qFormat/>
    <w:rsid w:val="009347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34784"/>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semiHidden/>
    <w:unhideWhenUsed/>
    <w:rsid w:val="00934784"/>
    <w:pPr>
      <w:ind w:left="200" w:hanging="200"/>
    </w:pPr>
  </w:style>
  <w:style w:type="paragraph" w:styleId="Title">
    <w:name w:val="Title"/>
    <w:basedOn w:val="Normal"/>
    <w:next w:val="Normal"/>
    <w:link w:val="TitleChar"/>
    <w:qFormat/>
    <w:rsid w:val="0093478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34784"/>
    <w:rPr>
      <w:rFonts w:asciiTheme="majorHAnsi" w:eastAsiaTheme="majorEastAsia" w:hAnsiTheme="majorHAnsi" w:cstheme="majorBidi"/>
      <w:color w:val="17365D" w:themeColor="text2" w:themeShade="BF"/>
      <w:spacing w:val="5"/>
      <w:kern w:val="28"/>
      <w:sz w:val="52"/>
      <w:szCs w:val="52"/>
      <w:lang w:val="en-AU"/>
    </w:rPr>
  </w:style>
  <w:style w:type="paragraph" w:styleId="TOAHeading">
    <w:name w:val="toa heading"/>
    <w:basedOn w:val="Normal"/>
    <w:next w:val="Normal"/>
    <w:semiHidden/>
    <w:unhideWhenUsed/>
    <w:rsid w:val="00934784"/>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73229">
      <w:bodyDiv w:val="1"/>
      <w:marLeft w:val="0"/>
      <w:marRight w:val="0"/>
      <w:marTop w:val="0"/>
      <w:marBottom w:val="0"/>
      <w:divBdr>
        <w:top w:val="none" w:sz="0" w:space="0" w:color="auto"/>
        <w:left w:val="none" w:sz="0" w:space="0" w:color="auto"/>
        <w:bottom w:val="none" w:sz="0" w:space="0" w:color="auto"/>
        <w:right w:val="none" w:sz="0" w:space="0" w:color="auto"/>
      </w:divBdr>
    </w:div>
    <w:div w:id="320623217">
      <w:bodyDiv w:val="1"/>
      <w:marLeft w:val="0"/>
      <w:marRight w:val="0"/>
      <w:marTop w:val="0"/>
      <w:marBottom w:val="0"/>
      <w:divBdr>
        <w:top w:val="none" w:sz="0" w:space="0" w:color="auto"/>
        <w:left w:val="none" w:sz="0" w:space="0" w:color="auto"/>
        <w:bottom w:val="none" w:sz="0" w:space="0" w:color="auto"/>
        <w:right w:val="none" w:sz="0" w:space="0" w:color="auto"/>
      </w:divBdr>
    </w:div>
    <w:div w:id="482090470">
      <w:bodyDiv w:val="1"/>
      <w:marLeft w:val="0"/>
      <w:marRight w:val="0"/>
      <w:marTop w:val="0"/>
      <w:marBottom w:val="0"/>
      <w:divBdr>
        <w:top w:val="none" w:sz="0" w:space="0" w:color="auto"/>
        <w:left w:val="none" w:sz="0" w:space="0" w:color="auto"/>
        <w:bottom w:val="none" w:sz="0" w:space="0" w:color="auto"/>
        <w:right w:val="none" w:sz="0" w:space="0" w:color="auto"/>
      </w:divBdr>
    </w:div>
    <w:div w:id="571621904">
      <w:bodyDiv w:val="1"/>
      <w:marLeft w:val="0"/>
      <w:marRight w:val="0"/>
      <w:marTop w:val="0"/>
      <w:marBottom w:val="0"/>
      <w:divBdr>
        <w:top w:val="none" w:sz="0" w:space="0" w:color="auto"/>
        <w:left w:val="none" w:sz="0" w:space="0" w:color="auto"/>
        <w:bottom w:val="none" w:sz="0" w:space="0" w:color="auto"/>
        <w:right w:val="none" w:sz="0" w:space="0" w:color="auto"/>
      </w:divBdr>
    </w:div>
    <w:div w:id="915894001">
      <w:bodyDiv w:val="1"/>
      <w:marLeft w:val="0"/>
      <w:marRight w:val="0"/>
      <w:marTop w:val="0"/>
      <w:marBottom w:val="0"/>
      <w:divBdr>
        <w:top w:val="none" w:sz="0" w:space="0" w:color="auto"/>
        <w:left w:val="none" w:sz="0" w:space="0" w:color="auto"/>
        <w:bottom w:val="none" w:sz="0" w:space="0" w:color="auto"/>
        <w:right w:val="none" w:sz="0" w:space="0" w:color="auto"/>
      </w:divBdr>
    </w:div>
    <w:div w:id="1030304187">
      <w:bodyDiv w:val="1"/>
      <w:marLeft w:val="0"/>
      <w:marRight w:val="0"/>
      <w:marTop w:val="0"/>
      <w:marBottom w:val="0"/>
      <w:divBdr>
        <w:top w:val="none" w:sz="0" w:space="0" w:color="auto"/>
        <w:left w:val="none" w:sz="0" w:space="0" w:color="auto"/>
        <w:bottom w:val="none" w:sz="0" w:space="0" w:color="auto"/>
        <w:right w:val="none" w:sz="0" w:space="0" w:color="auto"/>
      </w:divBdr>
    </w:div>
    <w:div w:id="1064641562">
      <w:bodyDiv w:val="1"/>
      <w:marLeft w:val="0"/>
      <w:marRight w:val="0"/>
      <w:marTop w:val="0"/>
      <w:marBottom w:val="0"/>
      <w:divBdr>
        <w:top w:val="none" w:sz="0" w:space="0" w:color="auto"/>
        <w:left w:val="none" w:sz="0" w:space="0" w:color="auto"/>
        <w:bottom w:val="none" w:sz="0" w:space="0" w:color="auto"/>
        <w:right w:val="none" w:sz="0" w:space="0" w:color="auto"/>
      </w:divBdr>
    </w:div>
    <w:div w:id="1068070728">
      <w:bodyDiv w:val="1"/>
      <w:marLeft w:val="0"/>
      <w:marRight w:val="0"/>
      <w:marTop w:val="0"/>
      <w:marBottom w:val="0"/>
      <w:divBdr>
        <w:top w:val="none" w:sz="0" w:space="0" w:color="auto"/>
        <w:left w:val="none" w:sz="0" w:space="0" w:color="auto"/>
        <w:bottom w:val="none" w:sz="0" w:space="0" w:color="auto"/>
        <w:right w:val="none" w:sz="0" w:space="0" w:color="auto"/>
      </w:divBdr>
    </w:div>
    <w:div w:id="1102842482">
      <w:bodyDiv w:val="1"/>
      <w:marLeft w:val="0"/>
      <w:marRight w:val="0"/>
      <w:marTop w:val="0"/>
      <w:marBottom w:val="0"/>
      <w:divBdr>
        <w:top w:val="none" w:sz="0" w:space="0" w:color="auto"/>
        <w:left w:val="none" w:sz="0" w:space="0" w:color="auto"/>
        <w:bottom w:val="none" w:sz="0" w:space="0" w:color="auto"/>
        <w:right w:val="none" w:sz="0" w:space="0" w:color="auto"/>
      </w:divBdr>
    </w:div>
    <w:div w:id="1280382154">
      <w:bodyDiv w:val="1"/>
      <w:marLeft w:val="0"/>
      <w:marRight w:val="0"/>
      <w:marTop w:val="0"/>
      <w:marBottom w:val="0"/>
      <w:divBdr>
        <w:top w:val="none" w:sz="0" w:space="0" w:color="auto"/>
        <w:left w:val="none" w:sz="0" w:space="0" w:color="auto"/>
        <w:bottom w:val="none" w:sz="0" w:space="0" w:color="auto"/>
        <w:right w:val="none" w:sz="0" w:space="0" w:color="auto"/>
      </w:divBdr>
    </w:div>
    <w:div w:id="1299994059">
      <w:bodyDiv w:val="1"/>
      <w:marLeft w:val="0"/>
      <w:marRight w:val="0"/>
      <w:marTop w:val="0"/>
      <w:marBottom w:val="0"/>
      <w:divBdr>
        <w:top w:val="none" w:sz="0" w:space="0" w:color="auto"/>
        <w:left w:val="none" w:sz="0" w:space="0" w:color="auto"/>
        <w:bottom w:val="none" w:sz="0" w:space="0" w:color="auto"/>
        <w:right w:val="none" w:sz="0" w:space="0" w:color="auto"/>
      </w:divBdr>
    </w:div>
    <w:div w:id="1301308906">
      <w:bodyDiv w:val="1"/>
      <w:marLeft w:val="0"/>
      <w:marRight w:val="0"/>
      <w:marTop w:val="0"/>
      <w:marBottom w:val="0"/>
      <w:divBdr>
        <w:top w:val="none" w:sz="0" w:space="0" w:color="auto"/>
        <w:left w:val="none" w:sz="0" w:space="0" w:color="auto"/>
        <w:bottom w:val="none" w:sz="0" w:space="0" w:color="auto"/>
        <w:right w:val="none" w:sz="0" w:space="0" w:color="auto"/>
      </w:divBdr>
    </w:div>
    <w:div w:id="1341009402">
      <w:bodyDiv w:val="1"/>
      <w:marLeft w:val="0"/>
      <w:marRight w:val="0"/>
      <w:marTop w:val="0"/>
      <w:marBottom w:val="0"/>
      <w:divBdr>
        <w:top w:val="none" w:sz="0" w:space="0" w:color="auto"/>
        <w:left w:val="none" w:sz="0" w:space="0" w:color="auto"/>
        <w:bottom w:val="none" w:sz="0" w:space="0" w:color="auto"/>
        <w:right w:val="none" w:sz="0" w:space="0" w:color="auto"/>
      </w:divBdr>
    </w:div>
    <w:div w:id="1364748830">
      <w:bodyDiv w:val="1"/>
      <w:marLeft w:val="0"/>
      <w:marRight w:val="0"/>
      <w:marTop w:val="0"/>
      <w:marBottom w:val="0"/>
      <w:divBdr>
        <w:top w:val="none" w:sz="0" w:space="0" w:color="auto"/>
        <w:left w:val="none" w:sz="0" w:space="0" w:color="auto"/>
        <w:bottom w:val="none" w:sz="0" w:space="0" w:color="auto"/>
        <w:right w:val="none" w:sz="0" w:space="0" w:color="auto"/>
      </w:divBdr>
    </w:div>
    <w:div w:id="1404718937">
      <w:bodyDiv w:val="1"/>
      <w:marLeft w:val="0"/>
      <w:marRight w:val="0"/>
      <w:marTop w:val="0"/>
      <w:marBottom w:val="0"/>
      <w:divBdr>
        <w:top w:val="none" w:sz="0" w:space="0" w:color="auto"/>
        <w:left w:val="none" w:sz="0" w:space="0" w:color="auto"/>
        <w:bottom w:val="none" w:sz="0" w:space="0" w:color="auto"/>
        <w:right w:val="none" w:sz="0" w:space="0" w:color="auto"/>
      </w:divBdr>
    </w:div>
    <w:div w:id="1501189068">
      <w:bodyDiv w:val="1"/>
      <w:marLeft w:val="0"/>
      <w:marRight w:val="0"/>
      <w:marTop w:val="0"/>
      <w:marBottom w:val="0"/>
      <w:divBdr>
        <w:top w:val="none" w:sz="0" w:space="0" w:color="auto"/>
        <w:left w:val="none" w:sz="0" w:space="0" w:color="auto"/>
        <w:bottom w:val="none" w:sz="0" w:space="0" w:color="auto"/>
        <w:right w:val="none" w:sz="0" w:space="0" w:color="auto"/>
      </w:divBdr>
    </w:div>
    <w:div w:id="1532453766">
      <w:bodyDiv w:val="1"/>
      <w:marLeft w:val="0"/>
      <w:marRight w:val="0"/>
      <w:marTop w:val="0"/>
      <w:marBottom w:val="0"/>
      <w:divBdr>
        <w:top w:val="none" w:sz="0" w:space="0" w:color="auto"/>
        <w:left w:val="none" w:sz="0" w:space="0" w:color="auto"/>
        <w:bottom w:val="none" w:sz="0" w:space="0" w:color="auto"/>
        <w:right w:val="none" w:sz="0" w:space="0" w:color="auto"/>
      </w:divBdr>
    </w:div>
    <w:div w:id="1612392105">
      <w:bodyDiv w:val="1"/>
      <w:marLeft w:val="0"/>
      <w:marRight w:val="0"/>
      <w:marTop w:val="0"/>
      <w:marBottom w:val="0"/>
      <w:divBdr>
        <w:top w:val="none" w:sz="0" w:space="0" w:color="auto"/>
        <w:left w:val="none" w:sz="0" w:space="0" w:color="auto"/>
        <w:bottom w:val="none" w:sz="0" w:space="0" w:color="auto"/>
        <w:right w:val="none" w:sz="0" w:space="0" w:color="auto"/>
      </w:divBdr>
    </w:div>
    <w:div w:id="1741517123">
      <w:bodyDiv w:val="1"/>
      <w:marLeft w:val="0"/>
      <w:marRight w:val="0"/>
      <w:marTop w:val="0"/>
      <w:marBottom w:val="0"/>
      <w:divBdr>
        <w:top w:val="none" w:sz="0" w:space="0" w:color="auto"/>
        <w:left w:val="none" w:sz="0" w:space="0" w:color="auto"/>
        <w:bottom w:val="none" w:sz="0" w:space="0" w:color="auto"/>
        <w:right w:val="none" w:sz="0" w:space="0" w:color="auto"/>
      </w:divBdr>
    </w:div>
    <w:div w:id="1741908004">
      <w:bodyDiv w:val="1"/>
      <w:marLeft w:val="0"/>
      <w:marRight w:val="0"/>
      <w:marTop w:val="0"/>
      <w:marBottom w:val="0"/>
      <w:divBdr>
        <w:top w:val="none" w:sz="0" w:space="0" w:color="auto"/>
        <w:left w:val="none" w:sz="0" w:space="0" w:color="auto"/>
        <w:bottom w:val="none" w:sz="0" w:space="0" w:color="auto"/>
        <w:right w:val="none" w:sz="0" w:space="0" w:color="auto"/>
      </w:divBdr>
    </w:div>
    <w:div w:id="2046245840">
      <w:bodyDiv w:val="1"/>
      <w:marLeft w:val="0"/>
      <w:marRight w:val="0"/>
      <w:marTop w:val="0"/>
      <w:marBottom w:val="0"/>
      <w:divBdr>
        <w:top w:val="none" w:sz="0" w:space="0" w:color="auto"/>
        <w:left w:val="none" w:sz="0" w:space="0" w:color="auto"/>
        <w:bottom w:val="none" w:sz="0" w:space="0" w:color="auto"/>
        <w:right w:val="none" w:sz="0" w:space="0" w:color="auto"/>
      </w:divBdr>
    </w:div>
    <w:div w:id="2067562304">
      <w:bodyDiv w:val="1"/>
      <w:marLeft w:val="0"/>
      <w:marRight w:val="0"/>
      <w:marTop w:val="0"/>
      <w:marBottom w:val="0"/>
      <w:divBdr>
        <w:top w:val="none" w:sz="0" w:space="0" w:color="auto"/>
        <w:left w:val="none" w:sz="0" w:space="0" w:color="auto"/>
        <w:bottom w:val="none" w:sz="0" w:space="0" w:color="auto"/>
        <w:right w:val="none" w:sz="0" w:space="0" w:color="auto"/>
      </w:divBdr>
    </w:div>
    <w:div w:id="211296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footer" Target="footer5.xml"/><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hyperlink" Target="http://www.energyandresources.vic.gov.au/energy/sustainable-energy/wind-energy/wind-projects" TargetMode="External"/><Relationship Id="rId68" Type="http://schemas.openxmlformats.org/officeDocument/2006/relationships/footer" Target="footer14.xml"/><Relationship Id="rId76" Type="http://schemas.openxmlformats.org/officeDocument/2006/relationships/image" Target="media/image48.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oter" Target="footer12.xml"/><Relationship Id="rId74" Type="http://schemas.openxmlformats.org/officeDocument/2006/relationships/image" Target="media/image46.jpeg"/><Relationship Id="rId79"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hyperlink" Target="http://www.mpa.vic.gov.au/" TargetMode="External"/><Relationship Id="rId82" Type="http://schemas.openxmlformats.org/officeDocument/2006/relationships/footer" Target="footer17.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oter" Target="footer11.xml"/><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footer" Target="footer6.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6.png"/><Relationship Id="rId64" Type="http://schemas.openxmlformats.org/officeDocument/2006/relationships/footer" Target="footer10.xml"/><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footer" Target="footer9.xml"/><Relationship Id="rId72" Type="http://schemas.openxmlformats.org/officeDocument/2006/relationships/image" Target="media/image44.jpeg"/><Relationship Id="rId80"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39.png"/><Relationship Id="rId67" Type="http://schemas.openxmlformats.org/officeDocument/2006/relationships/footer" Target="footer13.xml"/><Relationship Id="rId20" Type="http://schemas.openxmlformats.org/officeDocument/2006/relationships/footer" Target="footer4.xm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hyperlink" Target="http://www.rdv.vic.gov.au/information-portal/more-information/region-descriptions-and-geography-structure" TargetMode="External"/><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oter" Target="footer7.xml"/><Relationship Id="rId36" Type="http://schemas.openxmlformats.org/officeDocument/2006/relationships/image" Target="media/image18.png"/><Relationship Id="rId49" Type="http://schemas.openxmlformats.org/officeDocument/2006/relationships/footer" Target="footer8.xml"/><Relationship Id="rId57" Type="http://schemas.openxmlformats.org/officeDocument/2006/relationships/image" Target="media/image3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Y:\Oceania%20ESS%20CoDE\03.%20CoDE%20Knowledge%20Management\TEMPLATES\TEMPLATES%20FOR%20TRAINING%20%20PLEASE%20LEAVE\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C8FC0-041D-4DA6-A0F1-77E9B64E7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37</TotalTime>
  <Pages>111</Pages>
  <Words>35057</Words>
  <Characters>206608</Characters>
  <Application>Microsoft Office Word</Application>
  <DocSecurity>8</DocSecurity>
  <PresentationFormat/>
  <Lines>1721</Lines>
  <Paragraphs>482</Paragraphs>
  <ScaleCrop>false</ScaleCrop>
  <HeadingPairs>
    <vt:vector size="2" baseType="variant">
      <vt:variant>
        <vt:lpstr>Title</vt:lpstr>
      </vt:variant>
      <vt:variant>
        <vt:i4>1</vt:i4>
      </vt:variant>
    </vt:vector>
  </HeadingPairs>
  <TitlesOfParts>
    <vt:vector size="1" baseType="lpstr">
      <vt:lpstr>Report</vt:lpstr>
    </vt:vector>
  </TitlesOfParts>
  <Company>EY</Company>
  <LinksUpToDate>false</LinksUpToDate>
  <CharactersWithSpaces>241183</CharactersWithSpaces>
  <SharedDoc>false</SharedDoc>
  <HLinks>
    <vt:vector size="24" baseType="variant">
      <vt:variant>
        <vt:i4>1572915</vt:i4>
      </vt:variant>
      <vt:variant>
        <vt:i4>20</vt:i4>
      </vt:variant>
      <vt:variant>
        <vt:i4>0</vt:i4>
      </vt:variant>
      <vt:variant>
        <vt:i4>5</vt:i4>
      </vt:variant>
      <vt:variant>
        <vt:lpwstr/>
      </vt:variant>
      <vt:variant>
        <vt:lpwstr>_Toc212966515</vt:lpwstr>
      </vt:variant>
      <vt:variant>
        <vt:i4>1572915</vt:i4>
      </vt:variant>
      <vt:variant>
        <vt:i4>14</vt:i4>
      </vt:variant>
      <vt:variant>
        <vt:i4>0</vt:i4>
      </vt:variant>
      <vt:variant>
        <vt:i4>5</vt:i4>
      </vt:variant>
      <vt:variant>
        <vt:lpwstr/>
      </vt:variant>
      <vt:variant>
        <vt:lpwstr>_Toc212966514</vt:lpwstr>
      </vt:variant>
      <vt:variant>
        <vt:i4>1572915</vt:i4>
      </vt:variant>
      <vt:variant>
        <vt:i4>8</vt:i4>
      </vt:variant>
      <vt:variant>
        <vt:i4>0</vt:i4>
      </vt:variant>
      <vt:variant>
        <vt:i4>5</vt:i4>
      </vt:variant>
      <vt:variant>
        <vt:lpwstr/>
      </vt:variant>
      <vt:variant>
        <vt:lpwstr>_Toc212966513</vt:lpwstr>
      </vt:variant>
      <vt:variant>
        <vt:i4>1572915</vt:i4>
      </vt:variant>
      <vt:variant>
        <vt:i4>2</vt:i4>
      </vt:variant>
      <vt:variant>
        <vt:i4>0</vt:i4>
      </vt:variant>
      <vt:variant>
        <vt:i4>5</vt:i4>
      </vt:variant>
      <vt:variant>
        <vt:lpwstr/>
      </vt:variant>
      <vt:variant>
        <vt:lpwstr>_Toc212966512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20150214 00575203</dc:subject>
  <dc:creator>Wendy.Mclean</dc:creator>
  <cp:lastModifiedBy>Eva Rampal</cp:lastModifiedBy>
  <cp:revision>7</cp:revision>
  <cp:lastPrinted>2016-04-19T08:09:00Z</cp:lastPrinted>
  <dcterms:created xsi:type="dcterms:W3CDTF">2016-05-24T01:49:00Z</dcterms:created>
  <dcterms:modified xsi:type="dcterms:W3CDTF">2016-07-21T04:55:00Z</dcterms:modified>
</cp:coreProperties>
</file>