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59D79" w14:textId="7B8A5C51" w:rsidR="00E97F02" w:rsidRPr="00F13974" w:rsidRDefault="00E97F02" w:rsidP="00E97F02">
      <w:pPr>
        <w:pStyle w:val="Summary"/>
        <w:rPr>
          <w:lang w:val="en-AU"/>
        </w:rPr>
      </w:pPr>
      <w:r>
        <w:rPr>
          <w:lang w:val="en-AU"/>
        </w:rPr>
        <w:t>Preface – DJPR Cover Note</w:t>
      </w:r>
    </w:p>
    <w:p w14:paraId="4BB6EF5E" w14:textId="77777777" w:rsidR="00E97F02" w:rsidRPr="008828FB" w:rsidRDefault="00E97F02" w:rsidP="00E97F02">
      <w:pPr>
        <w:rPr>
          <w:rFonts w:cs="Arial"/>
          <w:b/>
          <w:bCs/>
        </w:rPr>
      </w:pPr>
      <w:r w:rsidRPr="008828FB">
        <w:rPr>
          <w:rFonts w:cs="Arial"/>
          <w:b/>
          <w:bCs/>
        </w:rPr>
        <w:t>Latrobe Valley Regional Rehabilitation Strategy: Geotechnical-related Metrics and Thresholds for Impact Assessment on Recognised Regional Receptors</w:t>
      </w:r>
    </w:p>
    <w:p w14:paraId="4409BCC5" w14:textId="77777777" w:rsidR="00E97F02" w:rsidRPr="008828FB" w:rsidRDefault="00E97F02" w:rsidP="00E97F02">
      <w:pPr>
        <w:rPr>
          <w:rFonts w:cs="Arial"/>
        </w:rPr>
      </w:pPr>
      <w:r w:rsidRPr="008828FB">
        <w:rPr>
          <w:rFonts w:cs="Arial"/>
        </w:rPr>
        <w:t>February 2021</w:t>
      </w:r>
    </w:p>
    <w:p w14:paraId="449BA051" w14:textId="77777777" w:rsidR="00E97F02" w:rsidRPr="008828FB" w:rsidRDefault="00E97F02" w:rsidP="00E97F02">
      <w:pPr>
        <w:autoSpaceDE w:val="0"/>
        <w:autoSpaceDN w:val="0"/>
        <w:adjustRightInd w:val="0"/>
        <w:spacing w:after="100" w:line="181" w:lineRule="atLeast"/>
        <w:rPr>
          <w:rFonts w:cs="Arial"/>
        </w:rPr>
      </w:pPr>
      <w:r w:rsidRPr="008828FB">
        <w:rPr>
          <w:rFonts w:cs="Arial"/>
        </w:rPr>
        <w:t>The</w:t>
      </w:r>
      <w:r w:rsidRPr="008828FB">
        <w:rPr>
          <w:rFonts w:cs="Arial"/>
          <w:b/>
          <w:bCs/>
        </w:rPr>
        <w:t xml:space="preserve"> </w:t>
      </w:r>
      <w:r w:rsidRPr="008828FB">
        <w:rPr>
          <w:rFonts w:cs="Arial"/>
          <w:i/>
          <w:iCs/>
        </w:rPr>
        <w:t>Latrobe Valley Regional Rehabilitation Strategy:</w:t>
      </w:r>
      <w:r w:rsidRPr="008828FB">
        <w:rPr>
          <w:rFonts w:cs="Arial"/>
        </w:rPr>
        <w:t xml:space="preserve"> Geotechnical-related Metrics and Thresholds for Impact Assessment on Recognised Regional Receptors, authored by Jacobs and commissioned by the Department of Jobs, Precincts and Regions (DJPR), was largely developed over the period of August to December 2017</w:t>
      </w:r>
      <w:r w:rsidRPr="008828FB">
        <w:rPr>
          <w:rFonts w:eastAsia="MS Mincho" w:cs="Arial"/>
        </w:rPr>
        <w:t xml:space="preserve">. It was undertaken at an early stage in the process of preparing the </w:t>
      </w:r>
      <w:r w:rsidRPr="008828FB">
        <w:rPr>
          <w:rFonts w:cs="Arial"/>
          <w:i/>
          <w:iCs/>
        </w:rPr>
        <w:t xml:space="preserve">Latrobe Valley Regional Rehabilitation Strategy </w:t>
      </w:r>
      <w:r w:rsidRPr="008828FB">
        <w:rPr>
          <w:rFonts w:cs="Arial"/>
        </w:rPr>
        <w:t xml:space="preserve">(LVRRS), and its primary purpose was to inform the scope of the regional studies that would inform the LVRRS – particularly the </w:t>
      </w:r>
      <w:hyperlink r:id="rId11" w:history="1">
        <w:r w:rsidRPr="008828FB">
          <w:rPr>
            <w:rStyle w:val="Hyperlink"/>
            <w:rFonts w:cs="Arial"/>
          </w:rPr>
          <w:t>regional geotechnical study</w:t>
        </w:r>
      </w:hyperlink>
      <w:r w:rsidRPr="008828FB">
        <w:rPr>
          <w:rStyle w:val="Hyperlink"/>
          <w:rFonts w:cs="Arial"/>
        </w:rPr>
        <w:t>.</w:t>
      </w:r>
      <w:r w:rsidRPr="008828FB">
        <w:rPr>
          <w:rFonts w:cs="Arial"/>
        </w:rPr>
        <w:t xml:space="preserve"> Parts of this report have therefore been superseded by the regional study and the LVRRS itself. The LVRRS was released by the Minister for Resources in June 2020 and is currently being implemented.</w:t>
      </w:r>
    </w:p>
    <w:p w14:paraId="21621998" w14:textId="77777777" w:rsidR="00E97F02" w:rsidRDefault="00E97F02" w:rsidP="00E97F02">
      <w:pPr>
        <w:autoSpaceDE w:val="0"/>
        <w:autoSpaceDN w:val="0"/>
        <w:adjustRightInd w:val="0"/>
        <w:spacing w:after="100" w:line="181" w:lineRule="atLeast"/>
        <w:rPr>
          <w:rFonts w:cs="Arial"/>
        </w:rPr>
      </w:pPr>
      <w:r w:rsidRPr="008828FB">
        <w:rPr>
          <w:rFonts w:cs="Arial"/>
        </w:rPr>
        <w:t xml:space="preserve">The regional receptors in this report were identified based on a </w:t>
      </w:r>
      <w:r w:rsidRPr="008828FB">
        <w:rPr>
          <w:rFonts w:cs="Arial"/>
          <w:i/>
          <w:iCs/>
        </w:rPr>
        <w:t>scenario</w:t>
      </w:r>
      <w:r w:rsidRPr="008828FB">
        <w:rPr>
          <w:rFonts w:cs="Arial"/>
        </w:rPr>
        <w:t xml:space="preserve"> in which the three coal mine voids of the Latrobe Valley would be filled with water to create waterbodies as final rehabilitated landforms. This particular scenario was used in this study because, in response to the findings of the Hazelwood Fire Mine Inquiry (HMFI), the Victorian Government committed to further investigating the feasibility of water-based rehabilitation options. It is also unlikely that all receptors that may be relevant to the scenario at hand have been identified. The receptor inventory may also need to be re-visited in the future if different options are explored or put forward by mine licensees. </w:t>
      </w:r>
    </w:p>
    <w:p w14:paraId="4B7CB1B6" w14:textId="77777777" w:rsidR="00E97F02" w:rsidRPr="008828FB" w:rsidRDefault="00E97F02" w:rsidP="00E97F02">
      <w:pPr>
        <w:autoSpaceDE w:val="0"/>
        <w:autoSpaceDN w:val="0"/>
        <w:adjustRightInd w:val="0"/>
        <w:spacing w:after="100" w:line="181" w:lineRule="atLeast"/>
        <w:rPr>
          <w:rFonts w:cs="Arial"/>
        </w:rPr>
      </w:pPr>
      <w:r w:rsidRPr="008828FB">
        <w:rPr>
          <w:rFonts w:cs="Arial"/>
        </w:rPr>
        <w:t xml:space="preserve">This report </w:t>
      </w:r>
      <w:r>
        <w:rPr>
          <w:rFonts w:cs="Arial"/>
        </w:rPr>
        <w:t>provides</w:t>
      </w:r>
      <w:r w:rsidRPr="008828FB">
        <w:rPr>
          <w:rFonts w:cs="Arial"/>
        </w:rPr>
        <w:t xml:space="preserve"> </w:t>
      </w:r>
      <w:r>
        <w:rPr>
          <w:rFonts w:cs="Arial"/>
        </w:rPr>
        <w:t xml:space="preserve">guidance for assessing potential geotechnical </w:t>
      </w:r>
      <w:r w:rsidRPr="008828FB">
        <w:rPr>
          <w:rFonts w:cs="Arial"/>
        </w:rPr>
        <w:t>impacts of regional rehabilitation scenarios. Th</w:t>
      </w:r>
      <w:r>
        <w:rPr>
          <w:rFonts w:cs="Arial"/>
        </w:rPr>
        <w:t>e</w:t>
      </w:r>
      <w:r w:rsidRPr="008828FB">
        <w:rPr>
          <w:rFonts w:cs="Arial"/>
        </w:rPr>
        <w:t xml:space="preserve"> report is focused on physical receptors (e.g. environmental assets, Aboriginal heritage places, infrastructure, land or water resources). Social and economic receptors (e.g. rehabilitated mine land amenity and use, employment and jobs growth, industry, tourism and recreation), valued by stakeholders and communities in the Latrobe Valley that could potentially be affected by mine rehabilitation are being further considered, including as part of the LVRRS implementation.</w:t>
      </w:r>
    </w:p>
    <w:p w14:paraId="09BA76A0" w14:textId="77777777" w:rsidR="00E97F02" w:rsidRDefault="00E97F02" w:rsidP="00E97F02"/>
    <w:p w14:paraId="39987ECF" w14:textId="516593FE" w:rsidR="00E97F02" w:rsidRDefault="00E97F02"/>
    <w:tbl>
      <w:tblPr>
        <w:tblW w:w="10773" w:type="dxa"/>
        <w:tblLayout w:type="fixed"/>
        <w:tblCellMar>
          <w:left w:w="0" w:type="dxa"/>
          <w:right w:w="0" w:type="dxa"/>
        </w:tblCellMar>
        <w:tblLook w:val="04A0" w:firstRow="1" w:lastRow="0" w:firstColumn="1" w:lastColumn="0" w:noHBand="0" w:noVBand="1"/>
      </w:tblPr>
      <w:tblGrid>
        <w:gridCol w:w="10773"/>
      </w:tblGrid>
      <w:tr w:rsidR="0061134C" w:rsidRPr="00E5000B" w14:paraId="4B4652CC" w14:textId="77777777" w:rsidTr="00FB065B">
        <w:trPr>
          <w:trHeight w:hRule="exact" w:val="10772"/>
        </w:trPr>
        <w:tc>
          <w:tcPr>
            <w:tcW w:w="10773" w:type="dxa"/>
            <w:shd w:val="clear" w:color="auto" w:fill="auto"/>
          </w:tcPr>
          <w:p w14:paraId="655F2D70" w14:textId="68E1CD93" w:rsidR="005E3B9B" w:rsidRPr="00C472C5" w:rsidRDefault="005E3B9B" w:rsidP="00891F6C">
            <w:pPr>
              <w:pStyle w:val="CoverHeading"/>
              <w:rPr>
                <w:color w:val="FFFFFF"/>
              </w:rPr>
            </w:pPr>
          </w:p>
          <w:p w14:paraId="0F5F056C" w14:textId="77777777" w:rsidR="005E3B9B" w:rsidRPr="00C472C5" w:rsidRDefault="005E3B9B" w:rsidP="00891F6C">
            <w:pPr>
              <w:pStyle w:val="CoverHeading"/>
              <w:rPr>
                <w:color w:val="FFFFFF"/>
              </w:rPr>
            </w:pPr>
          </w:p>
          <w:p w14:paraId="4B5FAAA5" w14:textId="0A8A9B4B" w:rsidR="005E3B9B" w:rsidRPr="00C472C5" w:rsidRDefault="005E3B9B" w:rsidP="00891F6C">
            <w:pPr>
              <w:pStyle w:val="CoverHeading"/>
              <w:rPr>
                <w:color w:val="FFFFFF"/>
              </w:rPr>
            </w:pPr>
          </w:p>
          <w:p w14:paraId="5E6019D7" w14:textId="77777777" w:rsidR="0061134C" w:rsidRPr="00FB065B" w:rsidRDefault="0061134C" w:rsidP="00891F6C">
            <w:pPr>
              <w:pStyle w:val="CoverHeading"/>
              <w:rPr>
                <w:color w:val="FFFFFF"/>
              </w:rPr>
            </w:pPr>
          </w:p>
          <w:p w14:paraId="27CC266C" w14:textId="63951826" w:rsidR="0061134C" w:rsidRPr="00C00253" w:rsidRDefault="0061134C" w:rsidP="00891F6C">
            <w:pPr>
              <w:pStyle w:val="CoverHeading2"/>
              <w:tabs>
                <w:tab w:val="left" w:pos="9950"/>
              </w:tabs>
            </w:pPr>
            <w:r w:rsidRPr="00FB065B">
              <w:rPr>
                <w:color w:val="FFFFFF"/>
              </w:rPr>
              <w:br/>
            </w:r>
            <w:fldSimple w:instr=" DOCPROPERTY  &quot;Cover Heading&quot;  \* MERGEFORMAT ">
              <w:r w:rsidR="006A02BD">
                <w:t>Latrobe Valley Regional Rehabilitation Strategy</w:t>
              </w:r>
            </w:fldSimple>
          </w:p>
          <w:p w14:paraId="5DEAC47D" w14:textId="6689EB72" w:rsidR="0061134C" w:rsidRPr="006B5496" w:rsidRDefault="00B556AD" w:rsidP="00891F6C">
            <w:pPr>
              <w:pStyle w:val="CoverSubheading2"/>
            </w:pPr>
            <w:fldSimple w:instr=" DOCPROPERTY  &quot;Client Name&quot;  \* MERGEFORMAT ">
              <w:r w:rsidR="006A02BD">
                <w:t>Department of Jobs Precincts and Regions and Department of Environment, Land, Water and Planning</w:t>
              </w:r>
            </w:fldSimple>
          </w:p>
          <w:p w14:paraId="1280E5A6" w14:textId="7CB37C2F" w:rsidR="0061134C" w:rsidRDefault="00B556AD" w:rsidP="00891F6C">
            <w:pPr>
              <w:pStyle w:val="CoverTitle"/>
            </w:pPr>
            <w:fldSimple w:instr=" DOCPROPERTY  &quot;Cover Subheading&quot;  \* MERGEFORMAT ">
              <w:r w:rsidR="006A02BD">
                <w:t>Geotechnical-related Metrics and Thresholds for Impact Assessment on Recognised Regional Receptors</w:t>
              </w:r>
            </w:fldSimple>
          </w:p>
          <w:p w14:paraId="75F6DCE8" w14:textId="1C1E72CE" w:rsidR="0061134C" w:rsidRDefault="0061134C" w:rsidP="00891F6C">
            <w:pPr>
              <w:pStyle w:val="CoverDate2"/>
            </w:pPr>
          </w:p>
          <w:p w14:paraId="1A8594B0" w14:textId="7153809D" w:rsidR="0061134C" w:rsidRPr="00C00253" w:rsidRDefault="00B556AD" w:rsidP="00891F6C">
            <w:pPr>
              <w:pStyle w:val="CoverDate2"/>
            </w:pPr>
            <w:fldSimple w:instr=" DOCPROPERTY  &quot;Document Number&quot;  \* MERGEFORMAT ">
              <w:r w:rsidR="006A02BD">
                <w:t>IS209100-204</w:t>
              </w:r>
            </w:fldSimple>
            <w:r w:rsidR="0061134C" w:rsidRPr="00C00253">
              <w:t xml:space="preserve"> | </w:t>
            </w:r>
            <w:fldSimple w:instr=" DOCPROPERTY  Revision  \* MERGEFORMAT ">
              <w:r w:rsidR="006A02BD">
                <w:t>Final</w:t>
              </w:r>
            </w:fldSimple>
          </w:p>
          <w:p w14:paraId="11A5E6B4" w14:textId="0AA3B813" w:rsidR="0061134C" w:rsidRDefault="00B556AD" w:rsidP="00891F6C">
            <w:pPr>
              <w:pStyle w:val="CoverDate2"/>
            </w:pPr>
            <w:fldSimple w:instr=" DOCPROPERTY  Date  \* MERGEFORMAT ">
              <w:r w:rsidR="006A02BD">
                <w:t>4 December 2020</w:t>
              </w:r>
            </w:fldSimple>
            <w:r w:rsidR="0061134C">
              <w:t xml:space="preserve"> </w:t>
            </w:r>
          </w:p>
          <w:p w14:paraId="249034CD" w14:textId="45D956D1" w:rsidR="0061134C" w:rsidRPr="00E5000B" w:rsidRDefault="00934FFC" w:rsidP="00891F6C">
            <w:pPr>
              <w:pStyle w:val="CoverDate2"/>
            </w:pPr>
            <w:r>
              <w:rPr>
                <w:noProof/>
                <w:lang w:val="en-AU" w:eastAsia="en-AU"/>
              </w:rPr>
              <w:drawing>
                <wp:anchor distT="0" distB="0" distL="114300" distR="114300" simplePos="0" relativeHeight="251661312" behindDoc="0" locked="0" layoutInCell="1" allowOverlap="1" wp14:anchorId="30224E70" wp14:editId="1F3C9EF6">
                  <wp:simplePos x="0" y="0"/>
                  <wp:positionH relativeFrom="page">
                    <wp:posOffset>4368800</wp:posOffset>
                  </wp:positionH>
                  <wp:positionV relativeFrom="page">
                    <wp:posOffset>892175</wp:posOffset>
                  </wp:positionV>
                  <wp:extent cx="1915160" cy="295275"/>
                  <wp:effectExtent l="0" t="0" r="8890" b="9525"/>
                  <wp:wrapNone/>
                  <wp:docPr id="2" name="jacobs c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obs cove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5160" cy="295275"/>
                          </a:xfrm>
                          <a:prstGeom prst="rect">
                            <a:avLst/>
                          </a:prstGeom>
                          <a:noFill/>
                        </pic:spPr>
                      </pic:pic>
                    </a:graphicData>
                  </a:graphic>
                  <wp14:sizeRelH relativeFrom="page">
                    <wp14:pctWidth>0</wp14:pctWidth>
                  </wp14:sizeRelH>
                  <wp14:sizeRelV relativeFrom="page">
                    <wp14:pctHeight>0</wp14:pctHeight>
                  </wp14:sizeRelV>
                </wp:anchor>
              </w:drawing>
            </w:r>
            <w:fldSimple w:instr=" DOCPROPERTY  &quot;Cover Reference&quot;  \* MERGEFORMAT ">
              <w:r w:rsidR="006A02BD">
                <w:t>Prepared by Mining One and Jacobs</w:t>
              </w:r>
            </w:fldSimple>
          </w:p>
        </w:tc>
      </w:tr>
      <w:tr w:rsidR="0061134C" w:rsidRPr="00E5000B" w14:paraId="039F8B0E" w14:textId="77777777" w:rsidTr="00FB065B">
        <w:trPr>
          <w:trHeight w:hRule="exact" w:val="4820"/>
        </w:trPr>
        <w:tc>
          <w:tcPr>
            <w:tcW w:w="10773" w:type="dxa"/>
            <w:shd w:val="clear" w:color="auto" w:fill="auto"/>
          </w:tcPr>
          <w:p w14:paraId="63E32A08" w14:textId="57F0A96B" w:rsidR="0061134C" w:rsidRPr="00FB065B" w:rsidRDefault="0061134C" w:rsidP="00891F6C">
            <w:pPr>
              <w:pStyle w:val="ClientName"/>
              <w:spacing w:after="0" w:line="240" w:lineRule="auto"/>
              <w:rPr>
                <w:color w:val="FFFFFF" w:themeColor="background1"/>
                <w:sz w:val="2"/>
              </w:rPr>
            </w:pPr>
            <w:r w:rsidRPr="00FB065B">
              <w:rPr>
                <w:color w:val="FFFFFF" w:themeColor="background1"/>
                <w:sz w:val="2"/>
              </w:rPr>
              <w:fldChar w:fldCharType="begin"/>
            </w:r>
            <w:r w:rsidRPr="00FB065B">
              <w:rPr>
                <w:color w:val="FFFFFF" w:themeColor="background1"/>
                <w:sz w:val="2"/>
              </w:rPr>
              <w:instrText xml:space="preserve"> DOCPROPERTY  "Client Name"  \* MERGEFORMAT </w:instrText>
            </w:r>
            <w:r w:rsidRPr="00FB065B">
              <w:rPr>
                <w:color w:val="FFFFFF" w:themeColor="background1"/>
                <w:sz w:val="2"/>
              </w:rPr>
              <w:fldChar w:fldCharType="separate"/>
            </w:r>
            <w:r w:rsidR="006A02BD" w:rsidRPr="006A02BD">
              <w:rPr>
                <w:color w:val="FFFFFF"/>
                <w:sz w:val="2"/>
              </w:rPr>
              <w:t>Department of Jobs Precincts and Regions and Department of Environment, Land, Water and Planning</w:t>
            </w:r>
            <w:r w:rsidRPr="00FB065B">
              <w:rPr>
                <w:color w:val="FFFFFF" w:themeColor="background1"/>
                <w:sz w:val="2"/>
              </w:rPr>
              <w:fldChar w:fldCharType="end"/>
            </w:r>
          </w:p>
          <w:p w14:paraId="1CD07184" w14:textId="11A637DB" w:rsidR="0061134C" w:rsidRPr="00E5000B" w:rsidRDefault="00246B19" w:rsidP="00891F6C">
            <w:pPr>
              <w:pStyle w:val="DocumentTitle"/>
              <w:spacing w:after="0" w:line="240" w:lineRule="auto"/>
            </w:pPr>
            <w:r>
              <w:rPr>
                <w:noProof/>
                <w:lang w:val="en-AU" w:eastAsia="en-AU"/>
              </w:rPr>
              <w:drawing>
                <wp:inline distT="0" distB="0" distL="0" distR="0" wp14:anchorId="6A7E74A2" wp14:editId="01187446">
                  <wp:extent cx="6838950" cy="3054350"/>
                  <wp:effectExtent l="0" t="0" r="0" b="0"/>
                  <wp:docPr id="97"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8950" cy="3054350"/>
                          </a:xfrm>
                          <a:prstGeom prst="rect">
                            <a:avLst/>
                          </a:prstGeom>
                          <a:noFill/>
                          <a:ln>
                            <a:noFill/>
                          </a:ln>
                        </pic:spPr>
                      </pic:pic>
                    </a:graphicData>
                  </a:graphic>
                </wp:inline>
              </w:drawing>
            </w:r>
            <w:r w:rsidR="0061134C" w:rsidRPr="00FB065B">
              <w:rPr>
                <w:color w:val="FFFFFF" w:themeColor="background1"/>
                <w:sz w:val="2"/>
              </w:rPr>
              <w:fldChar w:fldCharType="begin"/>
            </w:r>
            <w:r w:rsidR="0061134C" w:rsidRPr="00FB065B">
              <w:rPr>
                <w:color w:val="FFFFFF" w:themeColor="background1"/>
                <w:sz w:val="2"/>
              </w:rPr>
              <w:instrText xml:space="preserve"> DOCPROPERTY  "Document Title"  \* MERGEFORMAT </w:instrText>
            </w:r>
            <w:r w:rsidR="0061134C" w:rsidRPr="00FB065B">
              <w:rPr>
                <w:color w:val="FFFFFF" w:themeColor="background1"/>
                <w:sz w:val="2"/>
              </w:rPr>
              <w:fldChar w:fldCharType="separate"/>
            </w:r>
            <w:r w:rsidR="006A02BD" w:rsidRPr="006A02BD">
              <w:rPr>
                <w:color w:val="FFFFFF"/>
                <w:sz w:val="2"/>
              </w:rPr>
              <w:t>Geotechnical-related Metrics and Thresholds for Impact Assessment on Recognised Regional</w:t>
            </w:r>
            <w:r w:rsidR="006A02BD">
              <w:rPr>
                <w:color w:val="FFFFFF" w:themeColor="background1"/>
                <w:sz w:val="2"/>
              </w:rPr>
              <w:t xml:space="preserve"> Receptors</w:t>
            </w:r>
            <w:r w:rsidR="0061134C" w:rsidRPr="00FB065B">
              <w:rPr>
                <w:color w:val="FFFFFF" w:themeColor="background1"/>
                <w:sz w:val="2"/>
              </w:rPr>
              <w:fldChar w:fldCharType="end"/>
            </w:r>
          </w:p>
        </w:tc>
      </w:tr>
    </w:tbl>
    <w:p w14:paraId="1AA6511C" w14:textId="77777777" w:rsidR="0061134C" w:rsidRPr="00670836" w:rsidRDefault="0061134C" w:rsidP="00891F6C">
      <w:pPr>
        <w:pStyle w:val="Para0"/>
        <w:spacing w:before="0" w:after="0" w:line="240" w:lineRule="auto"/>
        <w:rPr>
          <w:sz w:val="2"/>
        </w:rPr>
        <w:sectPr w:rsidR="0061134C" w:rsidRPr="00670836" w:rsidSect="00891F6C">
          <w:headerReference w:type="even" r:id="rId14"/>
          <w:headerReference w:type="default" r:id="rId15"/>
          <w:footerReference w:type="even" r:id="rId16"/>
          <w:footerReference w:type="default" r:id="rId17"/>
          <w:headerReference w:type="first" r:id="rId18"/>
          <w:footerReference w:type="first" r:id="rId19"/>
          <w:pgSz w:w="11901" w:h="16840" w:code="9"/>
          <w:pgMar w:top="567" w:right="567" w:bottom="567" w:left="567" w:header="567" w:footer="369" w:gutter="0"/>
          <w:cols w:space="0"/>
          <w:formProt w:val="0"/>
          <w:docGrid w:linePitch="360"/>
        </w:sectPr>
      </w:pPr>
    </w:p>
    <w:tbl>
      <w:tblPr>
        <w:tblW w:w="5001" w:type="pct"/>
        <w:tblCellMar>
          <w:left w:w="0" w:type="dxa"/>
          <w:right w:w="0" w:type="dxa"/>
        </w:tblCellMar>
        <w:tblLook w:val="00A0" w:firstRow="1" w:lastRow="0" w:firstColumn="1" w:lastColumn="0" w:noHBand="0" w:noVBand="0"/>
      </w:tblPr>
      <w:tblGrid>
        <w:gridCol w:w="1984"/>
        <w:gridCol w:w="2975"/>
        <w:gridCol w:w="4959"/>
      </w:tblGrid>
      <w:tr w:rsidR="0023226C" w:rsidRPr="0023226C" w14:paraId="18F9CCD9" w14:textId="77777777" w:rsidTr="00503F2D">
        <w:trPr>
          <w:trHeight w:hRule="exact" w:val="683"/>
        </w:trPr>
        <w:tc>
          <w:tcPr>
            <w:tcW w:w="5000" w:type="pct"/>
            <w:gridSpan w:val="3"/>
          </w:tcPr>
          <w:p w14:paraId="79825B69" w14:textId="594ED579" w:rsidR="0023226C" w:rsidRPr="0023226C" w:rsidRDefault="00B556AD" w:rsidP="0023226C">
            <w:pPr>
              <w:pStyle w:val="ProjectName"/>
            </w:pPr>
            <w:fldSimple w:instr=" DOCPROPERTY  &quot;Project Name&quot;  \* MERGEFORMAT ">
              <w:r w:rsidR="006A02BD">
                <w:t>Latrobe Valley Regional Rehabilitation Strategy</w:t>
              </w:r>
            </w:fldSimple>
          </w:p>
        </w:tc>
      </w:tr>
      <w:tr w:rsidR="0023226C" w:rsidRPr="0023226C" w14:paraId="70836A48" w14:textId="77777777" w:rsidTr="00503F2D">
        <w:trPr>
          <w:trHeight w:val="284"/>
        </w:trPr>
        <w:tc>
          <w:tcPr>
            <w:tcW w:w="1000" w:type="pct"/>
          </w:tcPr>
          <w:p w14:paraId="4234647E" w14:textId="77777777" w:rsidR="0023226C" w:rsidRPr="0023226C" w:rsidRDefault="0023226C" w:rsidP="0023226C">
            <w:pPr>
              <w:pStyle w:val="Tabletext"/>
              <w:spacing w:before="0"/>
            </w:pPr>
            <w:r w:rsidRPr="0023226C">
              <w:t>Project No:</w:t>
            </w:r>
          </w:p>
        </w:tc>
        <w:tc>
          <w:tcPr>
            <w:tcW w:w="4000" w:type="pct"/>
            <w:gridSpan w:val="2"/>
          </w:tcPr>
          <w:p w14:paraId="6F00106F" w14:textId="4CBAC56F" w:rsidR="0023226C" w:rsidRPr="0023226C" w:rsidRDefault="00B556AD" w:rsidP="0023226C">
            <w:pPr>
              <w:pStyle w:val="ProjectNo"/>
            </w:pPr>
            <w:fldSimple w:instr=" DOCPROPERTY  &quot;Project Number&quot;  \* MERGEFORMAT ">
              <w:r w:rsidR="006A02BD">
                <w:t>IS209100</w:t>
              </w:r>
            </w:fldSimple>
          </w:p>
        </w:tc>
      </w:tr>
      <w:tr w:rsidR="0023226C" w:rsidRPr="0023226C" w14:paraId="76FBC3C4" w14:textId="77777777" w:rsidTr="00503F2D">
        <w:trPr>
          <w:trHeight w:val="284"/>
        </w:trPr>
        <w:tc>
          <w:tcPr>
            <w:tcW w:w="1000" w:type="pct"/>
          </w:tcPr>
          <w:p w14:paraId="7C914503" w14:textId="77777777" w:rsidR="0023226C" w:rsidRPr="0023226C" w:rsidRDefault="0023226C" w:rsidP="0023226C">
            <w:pPr>
              <w:pStyle w:val="Tabletext"/>
              <w:spacing w:before="0"/>
            </w:pPr>
            <w:r w:rsidRPr="0023226C">
              <w:t>Document Title:</w:t>
            </w:r>
          </w:p>
        </w:tc>
        <w:tc>
          <w:tcPr>
            <w:tcW w:w="4000" w:type="pct"/>
            <w:gridSpan w:val="2"/>
          </w:tcPr>
          <w:p w14:paraId="6C1183D7" w14:textId="748B7BCE" w:rsidR="0023226C" w:rsidRPr="0023226C" w:rsidRDefault="00B556AD" w:rsidP="0023226C">
            <w:pPr>
              <w:pStyle w:val="DocumentTitle"/>
            </w:pPr>
            <w:fldSimple w:instr=" DOCPROPERTY  &quot;Document Title&quot;  \* MERGEFORMAT ">
              <w:r w:rsidR="006A02BD">
                <w:t>Geotechnical-related Metrics and Thresholds for Impact Assessment on Recognised Regional Receptors</w:t>
              </w:r>
            </w:fldSimple>
          </w:p>
        </w:tc>
      </w:tr>
      <w:tr w:rsidR="0023226C" w:rsidRPr="0023226C" w14:paraId="678C0AAD" w14:textId="77777777" w:rsidTr="00503F2D">
        <w:trPr>
          <w:trHeight w:val="284"/>
        </w:trPr>
        <w:tc>
          <w:tcPr>
            <w:tcW w:w="1000" w:type="pct"/>
          </w:tcPr>
          <w:p w14:paraId="33922F5D" w14:textId="77777777" w:rsidR="0023226C" w:rsidRPr="0023226C" w:rsidRDefault="0023226C" w:rsidP="0023226C">
            <w:pPr>
              <w:pStyle w:val="Tabletext"/>
              <w:spacing w:before="0"/>
            </w:pPr>
            <w:r w:rsidRPr="0023226C">
              <w:t>Document No.:</w:t>
            </w:r>
          </w:p>
        </w:tc>
        <w:tc>
          <w:tcPr>
            <w:tcW w:w="4000" w:type="pct"/>
            <w:gridSpan w:val="2"/>
          </w:tcPr>
          <w:p w14:paraId="0A2FD1B0" w14:textId="39549674" w:rsidR="0023226C" w:rsidRPr="0023226C" w:rsidRDefault="00B556AD" w:rsidP="0023226C">
            <w:pPr>
              <w:pStyle w:val="Tabletext"/>
              <w:spacing w:before="0"/>
            </w:pPr>
            <w:fldSimple w:instr=" DOCPROPERTY  &quot;Document Number&quot;  \* MERGEFORMAT ">
              <w:r w:rsidR="006A02BD">
                <w:t>IS209100-204</w:t>
              </w:r>
            </w:fldSimple>
          </w:p>
        </w:tc>
      </w:tr>
      <w:tr w:rsidR="0023226C" w:rsidRPr="0023226C" w14:paraId="4F70F974" w14:textId="77777777" w:rsidTr="00503F2D">
        <w:trPr>
          <w:trHeight w:val="284"/>
        </w:trPr>
        <w:tc>
          <w:tcPr>
            <w:tcW w:w="1000" w:type="pct"/>
          </w:tcPr>
          <w:p w14:paraId="02828277" w14:textId="77777777" w:rsidR="0023226C" w:rsidRPr="0023226C" w:rsidRDefault="0023226C" w:rsidP="0023226C">
            <w:pPr>
              <w:pStyle w:val="Tabletext"/>
              <w:spacing w:before="0"/>
            </w:pPr>
            <w:r w:rsidRPr="0023226C">
              <w:t>Revision:</w:t>
            </w:r>
          </w:p>
        </w:tc>
        <w:tc>
          <w:tcPr>
            <w:tcW w:w="4000" w:type="pct"/>
            <w:gridSpan w:val="2"/>
          </w:tcPr>
          <w:p w14:paraId="63D3CD1F" w14:textId="53A731E1" w:rsidR="0023226C" w:rsidRPr="0023226C" w:rsidRDefault="00B556AD" w:rsidP="0023226C">
            <w:pPr>
              <w:pStyle w:val="Tabletext"/>
              <w:spacing w:before="0"/>
            </w:pPr>
            <w:fldSimple w:instr=" DOCPROPERTY  Revision  \* MERGEFORMAT ">
              <w:r w:rsidR="006A02BD">
                <w:t>Final</w:t>
              </w:r>
            </w:fldSimple>
          </w:p>
        </w:tc>
      </w:tr>
      <w:tr w:rsidR="0023226C" w:rsidRPr="0023226C" w14:paraId="54730431" w14:textId="77777777" w:rsidTr="00503F2D">
        <w:trPr>
          <w:trHeight w:val="284"/>
        </w:trPr>
        <w:tc>
          <w:tcPr>
            <w:tcW w:w="1000" w:type="pct"/>
          </w:tcPr>
          <w:p w14:paraId="3C1EA3CB" w14:textId="77777777" w:rsidR="0023226C" w:rsidRPr="0023226C" w:rsidRDefault="0023226C" w:rsidP="0023226C">
            <w:pPr>
              <w:pStyle w:val="Tabletext"/>
              <w:spacing w:before="0"/>
            </w:pPr>
            <w:r w:rsidRPr="0023226C">
              <w:t>Date:</w:t>
            </w:r>
          </w:p>
        </w:tc>
        <w:tc>
          <w:tcPr>
            <w:tcW w:w="4000" w:type="pct"/>
            <w:gridSpan w:val="2"/>
          </w:tcPr>
          <w:p w14:paraId="7E7E759D" w14:textId="115C6190" w:rsidR="0023226C" w:rsidRPr="0023226C" w:rsidRDefault="00B556AD" w:rsidP="00BA6CDE">
            <w:pPr>
              <w:pStyle w:val="Tabletext"/>
              <w:spacing w:before="0"/>
            </w:pPr>
            <w:fldSimple w:instr=" DOCPROPERTY  Date  \* MERGEFORMAT ">
              <w:r w:rsidR="006A02BD">
                <w:t>4 December 2020</w:t>
              </w:r>
            </w:fldSimple>
          </w:p>
        </w:tc>
      </w:tr>
      <w:tr w:rsidR="0023226C" w:rsidRPr="0023226C" w14:paraId="3D508BBC" w14:textId="77777777" w:rsidTr="00503F2D">
        <w:trPr>
          <w:trHeight w:val="284"/>
        </w:trPr>
        <w:tc>
          <w:tcPr>
            <w:tcW w:w="1000" w:type="pct"/>
          </w:tcPr>
          <w:p w14:paraId="5B74A4E4" w14:textId="77777777" w:rsidR="0023226C" w:rsidRPr="0023226C" w:rsidRDefault="0023226C" w:rsidP="0023226C">
            <w:pPr>
              <w:pStyle w:val="Tabletext"/>
              <w:spacing w:before="0"/>
            </w:pPr>
            <w:r w:rsidRPr="0023226C">
              <w:t>Client Name:</w:t>
            </w:r>
          </w:p>
        </w:tc>
        <w:tc>
          <w:tcPr>
            <w:tcW w:w="4000" w:type="pct"/>
            <w:gridSpan w:val="2"/>
          </w:tcPr>
          <w:p w14:paraId="24E6978C" w14:textId="3FF51A93" w:rsidR="0023226C" w:rsidRPr="0023226C" w:rsidRDefault="00B556AD" w:rsidP="0023226C">
            <w:pPr>
              <w:pStyle w:val="ClientName"/>
            </w:pPr>
            <w:fldSimple w:instr=" DOCPROPERTY  &quot;Client Name&quot;  \* MERGEFORMAT ">
              <w:r w:rsidR="006A02BD">
                <w:t>Department of Jobs Precincts and Regions and Department of Environment, Land, Water and Planning</w:t>
              </w:r>
            </w:fldSimple>
          </w:p>
        </w:tc>
      </w:tr>
      <w:tr w:rsidR="0023226C" w:rsidRPr="0023226C" w14:paraId="177720C5" w14:textId="77777777" w:rsidTr="00503F2D">
        <w:trPr>
          <w:trHeight w:val="284"/>
        </w:trPr>
        <w:tc>
          <w:tcPr>
            <w:tcW w:w="1000" w:type="pct"/>
          </w:tcPr>
          <w:p w14:paraId="560D75C6" w14:textId="77777777" w:rsidR="0023226C" w:rsidRPr="0023226C" w:rsidRDefault="0023226C" w:rsidP="0023226C">
            <w:pPr>
              <w:pStyle w:val="Tabletext"/>
              <w:spacing w:before="0"/>
            </w:pPr>
            <w:r w:rsidRPr="0023226C">
              <w:t>Client No:</w:t>
            </w:r>
          </w:p>
        </w:tc>
        <w:tc>
          <w:tcPr>
            <w:tcW w:w="4000" w:type="pct"/>
            <w:gridSpan w:val="2"/>
          </w:tcPr>
          <w:p w14:paraId="5D6C1BE6" w14:textId="35190B37" w:rsidR="0023226C" w:rsidRPr="0023226C" w:rsidRDefault="00B556AD" w:rsidP="0023226C">
            <w:pPr>
              <w:pStyle w:val="Tabletext"/>
              <w:spacing w:before="0"/>
            </w:pPr>
            <w:fldSimple w:instr=" DOCPROPERTY  &quot;Client Reference&quot;  \* MERGEFORMAT ">
              <w:r w:rsidR="006A02BD">
                <w:t>Prepared by Mining One and Jacobs</w:t>
              </w:r>
            </w:fldSimple>
          </w:p>
        </w:tc>
      </w:tr>
      <w:tr w:rsidR="0023226C" w:rsidRPr="0023226C" w14:paraId="5C8C5696" w14:textId="77777777" w:rsidTr="00503F2D">
        <w:trPr>
          <w:trHeight w:val="284"/>
        </w:trPr>
        <w:tc>
          <w:tcPr>
            <w:tcW w:w="1000" w:type="pct"/>
          </w:tcPr>
          <w:p w14:paraId="5030F3B7" w14:textId="77777777" w:rsidR="0023226C" w:rsidRPr="0023226C" w:rsidRDefault="0023226C" w:rsidP="0023226C">
            <w:pPr>
              <w:pStyle w:val="Tabletext"/>
              <w:spacing w:before="0"/>
            </w:pPr>
            <w:r w:rsidRPr="0023226C">
              <w:t>Project Manager:</w:t>
            </w:r>
          </w:p>
        </w:tc>
        <w:tc>
          <w:tcPr>
            <w:tcW w:w="4000" w:type="pct"/>
            <w:gridSpan w:val="2"/>
          </w:tcPr>
          <w:p w14:paraId="01029EA2" w14:textId="7402DF3D" w:rsidR="0023226C" w:rsidRPr="0023226C" w:rsidRDefault="00E97F02" w:rsidP="0023226C">
            <w:pPr>
              <w:pStyle w:val="Tabletext"/>
              <w:spacing w:before="0"/>
            </w:pPr>
            <w:r>
              <w:fldChar w:fldCharType="begin"/>
            </w:r>
            <w:r>
              <w:instrText xml:space="preserve"> DOCPROPERTY  "Project Manager"  \* MERGEFORMAT </w:instrText>
            </w:r>
            <w:r>
              <w:fldChar w:fldCharType="separate"/>
            </w:r>
            <w:r w:rsidR="006A02BD">
              <w:t>Greg Hoxley</w:t>
            </w:r>
            <w:r>
              <w:fldChar w:fldCharType="end"/>
            </w:r>
          </w:p>
        </w:tc>
      </w:tr>
      <w:tr w:rsidR="0023226C" w:rsidRPr="0023226C" w14:paraId="7A5FCF17" w14:textId="77777777" w:rsidTr="00503F2D">
        <w:trPr>
          <w:trHeight w:val="284"/>
        </w:trPr>
        <w:tc>
          <w:tcPr>
            <w:tcW w:w="1000" w:type="pct"/>
          </w:tcPr>
          <w:p w14:paraId="0EE29901" w14:textId="77777777" w:rsidR="0023226C" w:rsidRPr="0023226C" w:rsidRDefault="0023226C" w:rsidP="0023226C">
            <w:pPr>
              <w:pStyle w:val="Tabletext"/>
              <w:spacing w:before="0"/>
            </w:pPr>
            <w:r w:rsidRPr="0023226C">
              <w:t>Author:</w:t>
            </w:r>
          </w:p>
        </w:tc>
        <w:tc>
          <w:tcPr>
            <w:tcW w:w="4000" w:type="pct"/>
            <w:gridSpan w:val="2"/>
          </w:tcPr>
          <w:p w14:paraId="26147882" w14:textId="4D7F5947" w:rsidR="0023226C" w:rsidRPr="0023226C" w:rsidRDefault="00B556AD" w:rsidP="0023226C">
            <w:pPr>
              <w:pStyle w:val="Tabletext"/>
              <w:spacing w:before="0"/>
            </w:pPr>
            <w:fldSimple w:instr=" DOCPROPERTY  &quot;Prepared By&quot;  \* MERGEFORMAT ">
              <w:r w:rsidR="006A02BD">
                <w:t>Meredith Goss and Andrew Nelson</w:t>
              </w:r>
            </w:fldSimple>
          </w:p>
        </w:tc>
      </w:tr>
      <w:tr w:rsidR="0023226C" w:rsidRPr="0023226C" w14:paraId="350D9391" w14:textId="77777777" w:rsidTr="00503F2D">
        <w:trPr>
          <w:trHeight w:val="284"/>
        </w:trPr>
        <w:tc>
          <w:tcPr>
            <w:tcW w:w="1000" w:type="pct"/>
          </w:tcPr>
          <w:p w14:paraId="4898AA94" w14:textId="77777777" w:rsidR="0023226C" w:rsidRPr="0023226C" w:rsidRDefault="0023226C" w:rsidP="0023226C">
            <w:pPr>
              <w:pStyle w:val="Tabletext"/>
              <w:spacing w:before="0"/>
            </w:pPr>
            <w:r w:rsidRPr="0023226C">
              <w:t>File Name:</w:t>
            </w:r>
          </w:p>
        </w:tc>
        <w:tc>
          <w:tcPr>
            <w:tcW w:w="4000" w:type="pct"/>
            <w:gridSpan w:val="2"/>
          </w:tcPr>
          <w:p w14:paraId="23D4C81C" w14:textId="35DEAC27" w:rsidR="0023226C" w:rsidRPr="0023226C" w:rsidRDefault="00892AEA" w:rsidP="0023226C">
            <w:pPr>
              <w:pStyle w:val="Tabletext"/>
              <w:spacing w:before="0"/>
            </w:pPr>
            <w:r>
              <w:rPr>
                <w:noProof/>
              </w:rPr>
              <w:fldChar w:fldCharType="begin"/>
            </w:r>
            <w:r>
              <w:rPr>
                <w:noProof/>
              </w:rPr>
              <w:instrText xml:space="preserve"> FILENAME  \p  \* MERGEFORMAT </w:instrText>
            </w:r>
            <w:r>
              <w:rPr>
                <w:noProof/>
              </w:rPr>
              <w:fldChar w:fldCharType="separate"/>
            </w:r>
            <w:r w:rsidR="006A02BD">
              <w:rPr>
                <w:noProof/>
              </w:rPr>
              <w:t>J:\IE\Projects\03_Southern\IS209100\21 Deliverables\Final Set Dec 2020\IS209100-204 LVRRS geotechnical metrics and thresholds Final w markup.docx</w:t>
            </w:r>
            <w:r>
              <w:rPr>
                <w:noProof/>
              </w:rPr>
              <w:fldChar w:fldCharType="end"/>
            </w:r>
          </w:p>
        </w:tc>
      </w:tr>
      <w:tr w:rsidR="0023226C" w:rsidRPr="0023226C" w14:paraId="73A0FF92" w14:textId="77777777" w:rsidTr="00503F2D">
        <w:trPr>
          <w:trHeight w:hRule="exact" w:val="122"/>
        </w:trPr>
        <w:tc>
          <w:tcPr>
            <w:tcW w:w="5000" w:type="pct"/>
            <w:gridSpan w:val="3"/>
          </w:tcPr>
          <w:p w14:paraId="64E300C2" w14:textId="77777777" w:rsidR="0023226C" w:rsidRPr="0023226C" w:rsidRDefault="0023226C" w:rsidP="0023226C">
            <w:pPr>
              <w:pStyle w:val="Tabletext"/>
            </w:pPr>
          </w:p>
        </w:tc>
      </w:tr>
      <w:tr w:rsidR="001777ED" w:rsidRPr="0023226C" w14:paraId="17C7F127" w14:textId="77777777" w:rsidTr="00503F2D">
        <w:trPr>
          <w:trHeight w:val="2278"/>
        </w:trPr>
        <w:tc>
          <w:tcPr>
            <w:tcW w:w="2500" w:type="pct"/>
            <w:gridSpan w:val="2"/>
          </w:tcPr>
          <w:p w14:paraId="02796FDD" w14:textId="1A3B8CEC" w:rsidR="001777ED" w:rsidRPr="0023226C" w:rsidRDefault="00B556AD" w:rsidP="001777ED">
            <w:pPr>
              <w:pStyle w:val="Tabletext"/>
              <w:spacing w:before="0" w:after="0"/>
            </w:pPr>
            <w:fldSimple w:instr=" DOCVARIABLE  EntityOnly  \* MERGEFORMAT ">
              <w:r w:rsidR="006A02BD">
                <w:t>Jacobs Group (Australia) Pty Limited</w:t>
              </w:r>
            </w:fldSimple>
            <w:r w:rsidR="001777ED" w:rsidRPr="0023226C">
              <w:br/>
            </w:r>
            <w:fldSimple w:instr=" DOCVARIABLE  CoverBusinessRegoNo  \* MERGEFORMAT ">
              <w:r w:rsidR="006A02BD">
                <w:t>ABN 37 001 024 095</w:t>
              </w:r>
            </w:fldSimple>
            <w:r w:rsidR="001777ED" w:rsidRPr="0023226C">
              <w:br/>
            </w:r>
            <w:fldSimple w:instr=" DOCVARIABLE  Address  \* MERGEFORMAT ">
              <w:r w:rsidR="006A02BD">
                <w:t>Floor 11, 452 Flinders Street</w:t>
              </w:r>
              <w:r w:rsidR="006A02BD">
                <w:br/>
                <w:t>Melbourne VIC 3000</w:t>
              </w:r>
              <w:r w:rsidR="006A02BD">
                <w:br/>
                <w:t>PO Box 312, Flinders Lane</w:t>
              </w:r>
              <w:r w:rsidR="006A02BD">
                <w:br/>
                <w:t>Melbourne VIC 8009 Australia</w:t>
              </w:r>
            </w:fldSimple>
            <w:r w:rsidR="001777ED" w:rsidRPr="0023226C">
              <w:br/>
            </w:r>
            <w:fldSimple w:instr=" DOCVARIABLE  Phone  \* MERGEFORMAT ">
              <w:r w:rsidR="006A02BD">
                <w:t>T +61 3 8668 3000</w:t>
              </w:r>
            </w:fldSimple>
            <w:r w:rsidR="001777ED" w:rsidRPr="0023226C">
              <w:br/>
            </w:r>
            <w:fldSimple w:instr=" DOCVARIABLE  Fax  \* MERGEFORMAT ">
              <w:r w:rsidR="006A02BD">
                <w:t>F +61 3 8668 3001</w:t>
              </w:r>
            </w:fldSimple>
            <w:r w:rsidR="001777ED" w:rsidRPr="0023226C">
              <w:br/>
            </w:r>
            <w:fldSimple w:instr=" DOCVARIABLE  Web  \* MERGEFORMAT ">
              <w:r w:rsidR="006A02BD">
                <w:t>www.jacobs.com</w:t>
              </w:r>
            </w:fldSimple>
          </w:p>
        </w:tc>
        <w:tc>
          <w:tcPr>
            <w:tcW w:w="2500" w:type="pct"/>
          </w:tcPr>
          <w:p w14:paraId="07C53373" w14:textId="77777777" w:rsidR="001777ED" w:rsidRPr="00C33FAA" w:rsidRDefault="001777ED" w:rsidP="001777ED">
            <w:pPr>
              <w:spacing w:after="0" w:line="240" w:lineRule="auto"/>
              <w:rPr>
                <w:b/>
              </w:rPr>
            </w:pPr>
            <w:r w:rsidRPr="00C33FAA">
              <w:rPr>
                <w:rFonts w:cs="Arial"/>
              </w:rPr>
              <w:t>Mining One Pty Ltd</w:t>
            </w:r>
          </w:p>
          <w:p w14:paraId="3353852B" w14:textId="77777777" w:rsidR="001777ED" w:rsidRPr="00C33FAA" w:rsidRDefault="001777ED" w:rsidP="001777ED">
            <w:pPr>
              <w:spacing w:after="0" w:line="240" w:lineRule="auto"/>
            </w:pPr>
            <w:r w:rsidRPr="00C33FAA">
              <w:t xml:space="preserve">Level </w:t>
            </w:r>
            <w:r>
              <w:t>9</w:t>
            </w:r>
            <w:r w:rsidRPr="00C33FAA">
              <w:t xml:space="preserve">, </w:t>
            </w:r>
            <w:r>
              <w:t>50 Market</w:t>
            </w:r>
            <w:r w:rsidRPr="00C33FAA">
              <w:t xml:space="preserve"> Street</w:t>
            </w:r>
          </w:p>
          <w:p w14:paraId="26288A8B" w14:textId="77777777" w:rsidR="001777ED" w:rsidRPr="00C33FAA" w:rsidRDefault="001777ED" w:rsidP="001777ED">
            <w:pPr>
              <w:spacing w:after="0" w:line="240" w:lineRule="auto"/>
            </w:pPr>
            <w:r w:rsidRPr="00C33FAA">
              <w:t>Melbourne VIC 3000</w:t>
            </w:r>
          </w:p>
          <w:p w14:paraId="7C57CF78" w14:textId="77777777" w:rsidR="001777ED" w:rsidRPr="00C33FAA" w:rsidRDefault="001777ED" w:rsidP="001777ED">
            <w:pPr>
              <w:spacing w:after="0" w:line="240" w:lineRule="auto"/>
              <w:rPr>
                <w:rFonts w:cs="Arial"/>
              </w:rPr>
            </w:pPr>
            <w:r w:rsidRPr="00C33FAA">
              <w:rPr>
                <w:rFonts w:cs="Arial"/>
              </w:rPr>
              <w:t>Ph: 03 9600 3588</w:t>
            </w:r>
          </w:p>
          <w:p w14:paraId="4FBF3667" w14:textId="77777777" w:rsidR="001777ED" w:rsidRDefault="001777ED" w:rsidP="001777ED">
            <w:pPr>
              <w:spacing w:after="0" w:line="240" w:lineRule="auto"/>
              <w:rPr>
                <w:rFonts w:cs="Arial"/>
              </w:rPr>
            </w:pPr>
            <w:r w:rsidRPr="00C33FAA">
              <w:rPr>
                <w:rFonts w:cs="Arial"/>
              </w:rPr>
              <w:t>Fax: 03 9600 3944</w:t>
            </w:r>
          </w:p>
          <w:p w14:paraId="7596DCC4" w14:textId="77777777" w:rsidR="001777ED" w:rsidRDefault="001777ED" w:rsidP="001777ED">
            <w:pPr>
              <w:spacing w:after="0" w:line="240" w:lineRule="auto"/>
              <w:rPr>
                <w:rFonts w:cs="Arial"/>
              </w:rPr>
            </w:pPr>
          </w:p>
          <w:p w14:paraId="37A032C1" w14:textId="09D00E0E" w:rsidR="001777ED" w:rsidRPr="00C33FAA" w:rsidRDefault="00246B19" w:rsidP="001777ED">
            <w:pPr>
              <w:spacing w:after="0" w:line="240" w:lineRule="auto"/>
              <w:rPr>
                <w:b/>
              </w:rPr>
            </w:pPr>
            <w:r>
              <w:rPr>
                <w:noProof/>
                <w:lang w:val="en-AU" w:eastAsia="en-AU"/>
              </w:rPr>
              <w:drawing>
                <wp:anchor distT="0" distB="0" distL="114300" distR="114300" simplePos="0" relativeHeight="251683840" behindDoc="0" locked="0" layoutInCell="1" allowOverlap="1" wp14:anchorId="17D659A5" wp14:editId="567C80DA">
                  <wp:simplePos x="0" y="0"/>
                  <wp:positionH relativeFrom="column">
                    <wp:posOffset>-1905</wp:posOffset>
                  </wp:positionH>
                  <wp:positionV relativeFrom="paragraph">
                    <wp:posOffset>2540</wp:posOffset>
                  </wp:positionV>
                  <wp:extent cx="1717675" cy="561340"/>
                  <wp:effectExtent l="0" t="0" r="0" b="0"/>
                  <wp:wrapNone/>
                  <wp:docPr id="8" name="Picture 2102" descr="M1 Consul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descr="M1 Consulta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7675" cy="561340"/>
                          </a:xfrm>
                          <a:prstGeom prst="rect">
                            <a:avLst/>
                          </a:prstGeom>
                          <a:noFill/>
                        </pic:spPr>
                      </pic:pic>
                    </a:graphicData>
                  </a:graphic>
                  <wp14:sizeRelH relativeFrom="page">
                    <wp14:pctWidth>0</wp14:pctWidth>
                  </wp14:sizeRelH>
                  <wp14:sizeRelV relativeFrom="page">
                    <wp14:pctHeight>0</wp14:pctHeight>
                  </wp14:sizeRelV>
                </wp:anchor>
              </w:drawing>
            </w:r>
          </w:p>
        </w:tc>
      </w:tr>
      <w:tr w:rsidR="001777ED" w:rsidRPr="0023226C" w14:paraId="3EAAB6AD" w14:textId="77777777" w:rsidTr="00503F2D">
        <w:trPr>
          <w:trHeight w:val="1677"/>
        </w:trPr>
        <w:tc>
          <w:tcPr>
            <w:tcW w:w="5000" w:type="pct"/>
            <w:gridSpan w:val="3"/>
            <w:tcMar>
              <w:left w:w="28" w:type="dxa"/>
              <w:right w:w="28" w:type="dxa"/>
            </w:tcMar>
          </w:tcPr>
          <w:p w14:paraId="6C7B333E" w14:textId="77777777" w:rsidR="001777ED" w:rsidRPr="0023226C" w:rsidRDefault="001777ED" w:rsidP="001777ED">
            <w:pPr>
              <w:suppressAutoHyphens/>
              <w:autoSpaceDE w:val="0"/>
              <w:autoSpaceDN w:val="0"/>
              <w:adjustRightInd w:val="0"/>
              <w:spacing w:after="0" w:line="180" w:lineRule="atLeast"/>
              <w:textAlignment w:val="center"/>
              <w:rPr>
                <w:sz w:val="14"/>
              </w:rPr>
            </w:pPr>
          </w:p>
          <w:p w14:paraId="4D69B5B4" w14:textId="478FFC50" w:rsidR="001777ED" w:rsidRPr="0023226C" w:rsidRDefault="001777ED" w:rsidP="001777ED">
            <w:pPr>
              <w:pStyle w:val="CopyrightInfo"/>
              <w:spacing w:after="240"/>
            </w:pPr>
            <w:r w:rsidRPr="0023226C">
              <w:t xml:space="preserve">© Copyright </w:t>
            </w:r>
            <w:r w:rsidRPr="0023226C">
              <w:fldChar w:fldCharType="begin"/>
            </w:r>
            <w:r w:rsidRPr="0023226C">
              <w:instrText xml:space="preserve"> CREATEDATE  \@ "YYYY"  \* MERGEFORMAT </w:instrText>
            </w:r>
            <w:r w:rsidRPr="0023226C">
              <w:fldChar w:fldCharType="separate"/>
            </w:r>
            <w:r w:rsidR="006A02BD">
              <w:rPr>
                <w:noProof/>
              </w:rPr>
              <w:t>2020</w:t>
            </w:r>
            <w:r w:rsidRPr="0023226C">
              <w:fldChar w:fldCharType="end"/>
            </w:r>
            <w:r w:rsidRPr="0023226C">
              <w:t xml:space="preserve"> </w:t>
            </w:r>
            <w:fldSimple w:instr=" DOCVARIABLE  CoverCopyright  \* MERGEFORMAT ">
              <w:r w:rsidR="006A02BD">
                <w:t>Jacobs Group (Australia) Pty Limited</w:t>
              </w:r>
            </w:fldSimple>
            <w:r w:rsidRPr="0023226C">
              <w:t xml:space="preserve">. The concepts and information contained in this document are the property of </w:t>
            </w:r>
            <w:fldSimple w:instr=" DOCVARIABLE  CoverLimitation  \* MERGEFORMAT ">
              <w:r w:rsidR="006A02BD">
                <w:t>Jacobs</w:t>
              </w:r>
            </w:fldSimple>
            <w:r w:rsidRPr="0023226C">
              <w:t xml:space="preserve">. Use or copying of this document in whole or in part without the written permission of </w:t>
            </w:r>
            <w:fldSimple w:instr=" DOCVARIABLE  CoverLimitation  \* MERGEFORMAT ">
              <w:r w:rsidR="006A02BD">
                <w:t>Jacobs</w:t>
              </w:r>
            </w:fldSimple>
            <w:r w:rsidRPr="0023226C">
              <w:t xml:space="preserve"> constitutes an infringement of copyright.</w:t>
            </w:r>
          </w:p>
          <w:p w14:paraId="6B6C8EAF" w14:textId="2F816A97" w:rsidR="001777ED" w:rsidRPr="0023226C" w:rsidRDefault="001777ED" w:rsidP="001777ED">
            <w:pPr>
              <w:spacing w:before="200" w:after="240" w:line="180" w:lineRule="atLeast"/>
              <w:rPr>
                <w:sz w:val="14"/>
              </w:rPr>
            </w:pPr>
            <w:r w:rsidRPr="0023226C">
              <w:rPr>
                <w:sz w:val="14"/>
              </w:rPr>
              <w:t xml:space="preserve">Limitation:  This document has been prepared on behalf of, and for the exclusive use of </w:t>
            </w:r>
            <w:r w:rsidRPr="0023226C">
              <w:fldChar w:fldCharType="begin"/>
            </w:r>
            <w:r w:rsidRPr="00134183">
              <w:instrText xml:space="preserve"> DOCVARIABLE  CoverLimitation  \* MERGEFORMAT </w:instrText>
            </w:r>
            <w:r w:rsidRPr="0023226C">
              <w:fldChar w:fldCharType="separate"/>
            </w:r>
            <w:r w:rsidR="006A02BD" w:rsidRPr="006A02BD">
              <w:rPr>
                <w:sz w:val="14"/>
              </w:rPr>
              <w:t>Jacobs</w:t>
            </w:r>
            <w:r w:rsidRPr="0023226C">
              <w:rPr>
                <w:sz w:val="14"/>
              </w:rPr>
              <w:fldChar w:fldCharType="end"/>
            </w:r>
            <w:r w:rsidRPr="0023226C">
              <w:rPr>
                <w:sz w:val="14"/>
              </w:rPr>
              <w:t xml:space="preserve">’ client, and is subject to, and issued in accordance with, the provisions of the contract between </w:t>
            </w:r>
            <w:r w:rsidR="00892AEA">
              <w:rPr>
                <w:sz w:val="14"/>
              </w:rPr>
              <w:fldChar w:fldCharType="begin"/>
            </w:r>
            <w:r w:rsidR="00892AEA">
              <w:rPr>
                <w:sz w:val="14"/>
              </w:rPr>
              <w:instrText xml:space="preserve"> DOCVARIABLE  CoverLimitation  \* MERGEFORMAT </w:instrText>
            </w:r>
            <w:r w:rsidR="00892AEA">
              <w:rPr>
                <w:sz w:val="14"/>
              </w:rPr>
              <w:fldChar w:fldCharType="separate"/>
            </w:r>
            <w:r w:rsidR="006A02BD">
              <w:rPr>
                <w:sz w:val="14"/>
              </w:rPr>
              <w:t>Jacobs</w:t>
            </w:r>
            <w:r w:rsidR="00892AEA">
              <w:rPr>
                <w:sz w:val="14"/>
              </w:rPr>
              <w:fldChar w:fldCharType="end"/>
            </w:r>
            <w:r w:rsidRPr="0023226C">
              <w:rPr>
                <w:sz w:val="14"/>
              </w:rPr>
              <w:t xml:space="preserve"> and the client.  </w:t>
            </w:r>
            <w:r w:rsidRPr="0023226C">
              <w:fldChar w:fldCharType="begin"/>
            </w:r>
            <w:r w:rsidRPr="00134183">
              <w:instrText xml:space="preserve"> DOCVARIABLE  CoverLimitation  \* MERGEFORMAT </w:instrText>
            </w:r>
            <w:r w:rsidRPr="0023226C">
              <w:fldChar w:fldCharType="separate"/>
            </w:r>
            <w:r w:rsidR="006A02BD" w:rsidRPr="006A02BD">
              <w:rPr>
                <w:sz w:val="14"/>
              </w:rPr>
              <w:t>Jacobs</w:t>
            </w:r>
            <w:r w:rsidRPr="0023226C">
              <w:rPr>
                <w:sz w:val="14"/>
              </w:rPr>
              <w:fldChar w:fldCharType="end"/>
            </w:r>
            <w:r w:rsidRPr="0023226C">
              <w:rPr>
                <w:sz w:val="14"/>
              </w:rPr>
              <w:t xml:space="preserve"> accepts no liability or responsibility whatsoever for, or in respect of, any use of, or reliance upon, thi</w:t>
            </w:r>
            <w:r>
              <w:rPr>
                <w:sz w:val="14"/>
              </w:rPr>
              <w:t xml:space="preserve">s document by any third party. </w:t>
            </w:r>
          </w:p>
        </w:tc>
      </w:tr>
    </w:tbl>
    <w:p w14:paraId="2A11FDF6" w14:textId="77777777" w:rsidR="004C2DCA" w:rsidRDefault="004C2DCA">
      <w:r>
        <w:rPr>
          <w:b/>
        </w:rPr>
        <w:br w:type="page"/>
      </w:r>
    </w:p>
    <w:tbl>
      <w:tblPr>
        <w:tblW w:w="4973" w:type="pct"/>
        <w:tblInd w:w="28" w:type="dxa"/>
        <w:tblCellMar>
          <w:left w:w="0" w:type="dxa"/>
          <w:right w:w="0" w:type="dxa"/>
        </w:tblCellMar>
        <w:tblLook w:val="00A0" w:firstRow="1" w:lastRow="0" w:firstColumn="1" w:lastColumn="0" w:noHBand="0" w:noVBand="0"/>
      </w:tblPr>
      <w:tblGrid>
        <w:gridCol w:w="9918"/>
      </w:tblGrid>
      <w:tr w:rsidR="001777ED" w:rsidRPr="0023226C" w14:paraId="623BDF7E" w14:textId="77777777" w:rsidTr="004C2DCA">
        <w:trPr>
          <w:trHeight w:val="1677"/>
        </w:trPr>
        <w:tc>
          <w:tcPr>
            <w:tcW w:w="5000" w:type="pct"/>
            <w:tcMar>
              <w:left w:w="28" w:type="dxa"/>
              <w:right w:w="28" w:type="dxa"/>
            </w:tcMar>
          </w:tcPr>
          <w:p w14:paraId="362EE24A" w14:textId="77777777" w:rsidR="001777ED" w:rsidRPr="00BC5572" w:rsidRDefault="001777ED" w:rsidP="001777ED">
            <w:pPr>
              <w:pStyle w:val="Tablecaption"/>
            </w:pPr>
            <w:r w:rsidRPr="00BC5572">
              <w:lastRenderedPageBreak/>
              <w:t>Document history and status</w:t>
            </w:r>
          </w:p>
          <w:tbl>
            <w:tblPr>
              <w:tblW w:w="4926"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firstRow="1" w:lastRow="0" w:firstColumn="1" w:lastColumn="0" w:noHBand="0" w:noVBand="0"/>
            </w:tblPr>
            <w:tblGrid>
              <w:gridCol w:w="1072"/>
              <w:gridCol w:w="1071"/>
              <w:gridCol w:w="4399"/>
              <w:gridCol w:w="1166"/>
              <w:gridCol w:w="1063"/>
              <w:gridCol w:w="935"/>
            </w:tblGrid>
            <w:tr w:rsidR="0032547E" w:rsidRPr="00BC5572" w14:paraId="6A65A24D" w14:textId="77777777" w:rsidTr="00C472C5">
              <w:trPr>
                <w:cantSplit/>
                <w:tblHeader/>
              </w:trPr>
              <w:tc>
                <w:tcPr>
                  <w:tcW w:w="1072" w:type="dxa"/>
                  <w:tcBorders>
                    <w:top w:val="single" w:sz="4" w:space="0" w:color="808080"/>
                    <w:left w:val="single" w:sz="4" w:space="0" w:color="808080"/>
                    <w:bottom w:val="single" w:sz="4" w:space="0" w:color="808080"/>
                    <w:right w:val="single" w:sz="4" w:space="0" w:color="FFFFFF"/>
                  </w:tcBorders>
                  <w:shd w:val="clear" w:color="auto" w:fill="00338D"/>
                </w:tcPr>
                <w:p w14:paraId="3FAC09C0" w14:textId="77777777" w:rsidR="001777ED" w:rsidRPr="00BC5572" w:rsidRDefault="001777ED" w:rsidP="001777ED">
                  <w:pPr>
                    <w:pStyle w:val="Tablesmallheading"/>
                  </w:pPr>
                  <w:r w:rsidRPr="00BC5572">
                    <w:t>Revision</w:t>
                  </w:r>
                </w:p>
              </w:tc>
              <w:tc>
                <w:tcPr>
                  <w:tcW w:w="1071" w:type="dxa"/>
                  <w:tcBorders>
                    <w:top w:val="single" w:sz="4" w:space="0" w:color="808080"/>
                    <w:left w:val="single" w:sz="4" w:space="0" w:color="FFFFFF"/>
                    <w:bottom w:val="single" w:sz="4" w:space="0" w:color="808080"/>
                    <w:right w:val="single" w:sz="4" w:space="0" w:color="FFFFFF"/>
                  </w:tcBorders>
                  <w:shd w:val="clear" w:color="auto" w:fill="00338D"/>
                </w:tcPr>
                <w:p w14:paraId="45FECE8F" w14:textId="77777777" w:rsidR="001777ED" w:rsidRPr="00BC5572" w:rsidRDefault="001777ED" w:rsidP="001777ED">
                  <w:pPr>
                    <w:pStyle w:val="Tablesmallheading"/>
                  </w:pPr>
                  <w:r w:rsidRPr="00BC5572">
                    <w:t>Date</w:t>
                  </w:r>
                </w:p>
              </w:tc>
              <w:tc>
                <w:tcPr>
                  <w:tcW w:w="4399" w:type="dxa"/>
                  <w:tcBorders>
                    <w:top w:val="single" w:sz="4" w:space="0" w:color="808080"/>
                    <w:left w:val="single" w:sz="4" w:space="0" w:color="FFFFFF"/>
                    <w:bottom w:val="single" w:sz="4" w:space="0" w:color="808080"/>
                    <w:right w:val="single" w:sz="4" w:space="0" w:color="FFFFFF"/>
                  </w:tcBorders>
                  <w:shd w:val="clear" w:color="auto" w:fill="00338D"/>
                </w:tcPr>
                <w:p w14:paraId="5B472C8C" w14:textId="77777777" w:rsidR="001777ED" w:rsidRPr="00BC5572" w:rsidRDefault="001777ED" w:rsidP="001777ED">
                  <w:pPr>
                    <w:pStyle w:val="Tablesmallheading"/>
                  </w:pPr>
                  <w:r w:rsidRPr="00BC5572">
                    <w:t>Description</w:t>
                  </w:r>
                </w:p>
              </w:tc>
              <w:tc>
                <w:tcPr>
                  <w:tcW w:w="1166" w:type="dxa"/>
                  <w:tcBorders>
                    <w:top w:val="single" w:sz="4" w:space="0" w:color="808080"/>
                    <w:left w:val="single" w:sz="4" w:space="0" w:color="FFFFFF"/>
                    <w:bottom w:val="single" w:sz="4" w:space="0" w:color="808080"/>
                    <w:right w:val="single" w:sz="4" w:space="0" w:color="FFFFFF"/>
                  </w:tcBorders>
                  <w:shd w:val="clear" w:color="auto" w:fill="00338D"/>
                </w:tcPr>
                <w:p w14:paraId="5484E694" w14:textId="77777777" w:rsidR="001777ED" w:rsidRPr="00BC5572" w:rsidRDefault="001777ED" w:rsidP="001777ED">
                  <w:pPr>
                    <w:pStyle w:val="Tablesmallheading"/>
                  </w:pPr>
                  <w:r w:rsidRPr="00BC5572">
                    <w:t>By</w:t>
                  </w:r>
                </w:p>
              </w:tc>
              <w:tc>
                <w:tcPr>
                  <w:tcW w:w="1063" w:type="dxa"/>
                  <w:tcBorders>
                    <w:top w:val="single" w:sz="4" w:space="0" w:color="808080"/>
                    <w:left w:val="single" w:sz="4" w:space="0" w:color="FFFFFF"/>
                    <w:bottom w:val="single" w:sz="4" w:space="0" w:color="808080"/>
                    <w:right w:val="single" w:sz="4" w:space="0" w:color="FFFFFF"/>
                  </w:tcBorders>
                  <w:shd w:val="clear" w:color="auto" w:fill="00338D"/>
                </w:tcPr>
                <w:p w14:paraId="098E8EF1" w14:textId="77777777" w:rsidR="001777ED" w:rsidRPr="00BC5572" w:rsidRDefault="001777ED" w:rsidP="001777ED">
                  <w:pPr>
                    <w:pStyle w:val="Tablesmallheading"/>
                  </w:pPr>
                  <w:r w:rsidRPr="00BC5572">
                    <w:t>Review</w:t>
                  </w:r>
                </w:p>
              </w:tc>
              <w:tc>
                <w:tcPr>
                  <w:tcW w:w="935" w:type="dxa"/>
                  <w:tcBorders>
                    <w:top w:val="single" w:sz="4" w:space="0" w:color="808080"/>
                    <w:left w:val="single" w:sz="4" w:space="0" w:color="FFFFFF"/>
                    <w:bottom w:val="single" w:sz="4" w:space="0" w:color="808080"/>
                    <w:right w:val="single" w:sz="4" w:space="0" w:color="808080"/>
                  </w:tcBorders>
                  <w:shd w:val="clear" w:color="auto" w:fill="00338D"/>
                </w:tcPr>
                <w:p w14:paraId="3D0E587E" w14:textId="77777777" w:rsidR="001777ED" w:rsidRPr="00BC5572" w:rsidRDefault="001777ED" w:rsidP="001777ED">
                  <w:pPr>
                    <w:pStyle w:val="Tablesmallheading"/>
                  </w:pPr>
                  <w:r w:rsidRPr="00BC5572">
                    <w:t>Approved</w:t>
                  </w:r>
                </w:p>
              </w:tc>
            </w:tr>
            <w:tr w:rsidR="001777ED" w:rsidRPr="00BC5572" w14:paraId="2F10530D" w14:textId="77777777" w:rsidTr="00FB065B">
              <w:trPr>
                <w:cantSplit/>
              </w:trPr>
              <w:tc>
                <w:tcPr>
                  <w:tcW w:w="1072" w:type="dxa"/>
                  <w:tcBorders>
                    <w:top w:val="single" w:sz="4" w:space="0" w:color="808080"/>
                    <w:left w:val="single" w:sz="4" w:space="0" w:color="808080"/>
                    <w:bottom w:val="single" w:sz="4" w:space="0" w:color="808080"/>
                    <w:right w:val="single" w:sz="4" w:space="0" w:color="808080"/>
                  </w:tcBorders>
                </w:tcPr>
                <w:p w14:paraId="58105D95" w14:textId="77777777" w:rsidR="001777ED" w:rsidRPr="00BC5572" w:rsidRDefault="001777ED" w:rsidP="001777ED">
                  <w:pPr>
                    <w:pStyle w:val="Tablesmalltext"/>
                  </w:pPr>
                  <w:r>
                    <w:t>A</w:t>
                  </w:r>
                </w:p>
              </w:tc>
              <w:tc>
                <w:tcPr>
                  <w:tcW w:w="1071" w:type="dxa"/>
                  <w:tcBorders>
                    <w:top w:val="single" w:sz="4" w:space="0" w:color="808080"/>
                    <w:left w:val="single" w:sz="4" w:space="0" w:color="808080"/>
                    <w:bottom w:val="single" w:sz="4" w:space="0" w:color="808080"/>
                    <w:right w:val="single" w:sz="4" w:space="0" w:color="808080"/>
                  </w:tcBorders>
                </w:tcPr>
                <w:p w14:paraId="06E2EF67" w14:textId="77777777" w:rsidR="001777ED" w:rsidRPr="00772CB6" w:rsidRDefault="001777ED" w:rsidP="001777ED">
                  <w:pPr>
                    <w:rPr>
                      <w:sz w:val="16"/>
                    </w:rPr>
                  </w:pPr>
                  <w:r w:rsidRPr="00772CB6">
                    <w:rPr>
                      <w:sz w:val="16"/>
                    </w:rPr>
                    <w:t>30/11/17</w:t>
                  </w:r>
                </w:p>
              </w:tc>
              <w:tc>
                <w:tcPr>
                  <w:tcW w:w="4399" w:type="dxa"/>
                  <w:tcBorders>
                    <w:top w:val="single" w:sz="4" w:space="0" w:color="808080"/>
                    <w:left w:val="single" w:sz="4" w:space="0" w:color="808080"/>
                    <w:bottom w:val="single" w:sz="4" w:space="0" w:color="808080"/>
                    <w:right w:val="single" w:sz="4" w:space="0" w:color="808080"/>
                  </w:tcBorders>
                </w:tcPr>
                <w:p w14:paraId="4B0706D4" w14:textId="77777777" w:rsidR="001777ED" w:rsidRPr="00772CB6" w:rsidRDefault="001777ED" w:rsidP="001777ED">
                  <w:pPr>
                    <w:rPr>
                      <w:sz w:val="16"/>
                      <w:lang w:val="en-US"/>
                    </w:rPr>
                  </w:pPr>
                  <w:r w:rsidRPr="00772CB6">
                    <w:rPr>
                      <w:sz w:val="16"/>
                      <w:lang w:val="en-US"/>
                    </w:rPr>
                    <w:t>Exposure Draft Report</w:t>
                  </w:r>
                </w:p>
              </w:tc>
              <w:tc>
                <w:tcPr>
                  <w:tcW w:w="1166" w:type="dxa"/>
                  <w:tcBorders>
                    <w:top w:val="single" w:sz="4" w:space="0" w:color="808080"/>
                    <w:left w:val="single" w:sz="4" w:space="0" w:color="808080"/>
                    <w:bottom w:val="single" w:sz="4" w:space="0" w:color="808080"/>
                    <w:right w:val="single" w:sz="4" w:space="0" w:color="808080"/>
                  </w:tcBorders>
                </w:tcPr>
                <w:p w14:paraId="679DC6A2" w14:textId="77777777" w:rsidR="001777ED" w:rsidRPr="00BC5572" w:rsidRDefault="001777ED" w:rsidP="001777ED">
                  <w:pPr>
                    <w:pStyle w:val="Tablesmalltext"/>
                  </w:pPr>
                  <w:r>
                    <w:t>MG</w:t>
                  </w:r>
                </w:p>
              </w:tc>
              <w:tc>
                <w:tcPr>
                  <w:tcW w:w="1063" w:type="dxa"/>
                  <w:tcBorders>
                    <w:top w:val="single" w:sz="4" w:space="0" w:color="808080"/>
                    <w:left w:val="single" w:sz="4" w:space="0" w:color="808080"/>
                    <w:bottom w:val="single" w:sz="4" w:space="0" w:color="808080"/>
                    <w:right w:val="single" w:sz="4" w:space="0" w:color="808080"/>
                  </w:tcBorders>
                </w:tcPr>
                <w:p w14:paraId="2ADA29F7" w14:textId="77777777" w:rsidR="001777ED" w:rsidRPr="00BC5572" w:rsidRDefault="001777ED" w:rsidP="001777ED">
                  <w:pPr>
                    <w:pStyle w:val="Tablesmalltext"/>
                  </w:pPr>
                  <w:r>
                    <w:t>KD</w:t>
                  </w:r>
                </w:p>
              </w:tc>
              <w:tc>
                <w:tcPr>
                  <w:tcW w:w="935" w:type="dxa"/>
                  <w:tcBorders>
                    <w:top w:val="single" w:sz="4" w:space="0" w:color="808080"/>
                    <w:left w:val="single" w:sz="4" w:space="0" w:color="808080"/>
                    <w:bottom w:val="single" w:sz="4" w:space="0" w:color="808080"/>
                    <w:right w:val="single" w:sz="4" w:space="0" w:color="808080"/>
                  </w:tcBorders>
                </w:tcPr>
                <w:p w14:paraId="0E88BEE7" w14:textId="77777777" w:rsidR="001777ED" w:rsidRPr="00BC5572" w:rsidRDefault="001777ED" w:rsidP="001777ED">
                  <w:pPr>
                    <w:pStyle w:val="Tablesmalltext"/>
                  </w:pPr>
                  <w:r>
                    <w:t>GH</w:t>
                  </w:r>
                </w:p>
              </w:tc>
            </w:tr>
            <w:tr w:rsidR="00FE4015" w:rsidRPr="00BC5572" w14:paraId="1F325627" w14:textId="77777777" w:rsidTr="00FB065B">
              <w:trPr>
                <w:cantSplit/>
              </w:trPr>
              <w:tc>
                <w:tcPr>
                  <w:tcW w:w="1072" w:type="dxa"/>
                  <w:tcBorders>
                    <w:top w:val="single" w:sz="4" w:space="0" w:color="808080"/>
                    <w:left w:val="single" w:sz="4" w:space="0" w:color="808080"/>
                    <w:bottom w:val="single" w:sz="4" w:space="0" w:color="808080"/>
                    <w:right w:val="single" w:sz="4" w:space="0" w:color="808080"/>
                  </w:tcBorders>
                </w:tcPr>
                <w:p w14:paraId="204ED6DE" w14:textId="77777777" w:rsidR="00FE4015" w:rsidRPr="00BC5572" w:rsidRDefault="00FE4015" w:rsidP="00FE4015">
                  <w:pPr>
                    <w:pStyle w:val="Tablesmalltext"/>
                  </w:pPr>
                  <w:r>
                    <w:t>B</w:t>
                  </w:r>
                </w:p>
              </w:tc>
              <w:tc>
                <w:tcPr>
                  <w:tcW w:w="1071" w:type="dxa"/>
                  <w:tcBorders>
                    <w:top w:val="single" w:sz="4" w:space="0" w:color="808080"/>
                    <w:left w:val="single" w:sz="4" w:space="0" w:color="808080"/>
                    <w:bottom w:val="single" w:sz="4" w:space="0" w:color="808080"/>
                    <w:right w:val="single" w:sz="4" w:space="0" w:color="808080"/>
                  </w:tcBorders>
                </w:tcPr>
                <w:p w14:paraId="0B95BE85" w14:textId="77777777" w:rsidR="00FE4015" w:rsidRPr="00772CB6" w:rsidRDefault="00FE4015" w:rsidP="00FE4015">
                  <w:pPr>
                    <w:rPr>
                      <w:sz w:val="16"/>
                    </w:rPr>
                  </w:pPr>
                  <w:r w:rsidRPr="00772CB6">
                    <w:rPr>
                      <w:sz w:val="16"/>
                    </w:rPr>
                    <w:t>1</w:t>
                  </w:r>
                  <w:r>
                    <w:rPr>
                      <w:sz w:val="16"/>
                    </w:rPr>
                    <w:t>8</w:t>
                  </w:r>
                  <w:r w:rsidRPr="00772CB6">
                    <w:rPr>
                      <w:sz w:val="16"/>
                    </w:rPr>
                    <w:t>/12/17</w:t>
                  </w:r>
                </w:p>
              </w:tc>
              <w:tc>
                <w:tcPr>
                  <w:tcW w:w="4399" w:type="dxa"/>
                  <w:tcBorders>
                    <w:top w:val="single" w:sz="4" w:space="0" w:color="808080"/>
                    <w:left w:val="single" w:sz="4" w:space="0" w:color="808080"/>
                    <w:bottom w:val="single" w:sz="4" w:space="0" w:color="808080"/>
                    <w:right w:val="single" w:sz="4" w:space="0" w:color="808080"/>
                  </w:tcBorders>
                </w:tcPr>
                <w:p w14:paraId="0ABAACD1" w14:textId="4A90AABF" w:rsidR="00FE4015" w:rsidRPr="00772CB6" w:rsidRDefault="00FE4015" w:rsidP="00FE4015">
                  <w:pPr>
                    <w:rPr>
                      <w:sz w:val="16"/>
                      <w:lang w:val="en-US"/>
                    </w:rPr>
                  </w:pPr>
                  <w:r>
                    <w:rPr>
                      <w:sz w:val="16"/>
                      <w:lang w:val="en-US"/>
                    </w:rPr>
                    <w:t>Internal Review</w:t>
                  </w:r>
                </w:p>
              </w:tc>
              <w:tc>
                <w:tcPr>
                  <w:tcW w:w="1166" w:type="dxa"/>
                  <w:tcBorders>
                    <w:top w:val="single" w:sz="4" w:space="0" w:color="808080"/>
                    <w:left w:val="single" w:sz="4" w:space="0" w:color="808080"/>
                    <w:bottom w:val="single" w:sz="4" w:space="0" w:color="808080"/>
                    <w:right w:val="single" w:sz="4" w:space="0" w:color="808080"/>
                  </w:tcBorders>
                </w:tcPr>
                <w:p w14:paraId="36847FC1" w14:textId="7DA31EBA" w:rsidR="00FE4015" w:rsidRPr="00BC5572" w:rsidRDefault="00FE4015" w:rsidP="00FE4015">
                  <w:pPr>
                    <w:pStyle w:val="Tablesmalltext"/>
                  </w:pPr>
                  <w:r>
                    <w:t>MG</w:t>
                  </w:r>
                </w:p>
              </w:tc>
              <w:tc>
                <w:tcPr>
                  <w:tcW w:w="1063" w:type="dxa"/>
                  <w:tcBorders>
                    <w:top w:val="single" w:sz="4" w:space="0" w:color="808080"/>
                    <w:left w:val="single" w:sz="4" w:space="0" w:color="808080"/>
                    <w:bottom w:val="single" w:sz="4" w:space="0" w:color="808080"/>
                    <w:right w:val="single" w:sz="4" w:space="0" w:color="808080"/>
                  </w:tcBorders>
                </w:tcPr>
                <w:p w14:paraId="1425E0F0" w14:textId="75DEBF53" w:rsidR="00FE4015" w:rsidRPr="00BC5572" w:rsidRDefault="00FE4015" w:rsidP="00FE4015">
                  <w:pPr>
                    <w:pStyle w:val="Tablesmalltext"/>
                  </w:pPr>
                  <w:r>
                    <w:t>KD/AN</w:t>
                  </w:r>
                </w:p>
              </w:tc>
              <w:tc>
                <w:tcPr>
                  <w:tcW w:w="935" w:type="dxa"/>
                  <w:tcBorders>
                    <w:top w:val="single" w:sz="4" w:space="0" w:color="808080"/>
                    <w:left w:val="single" w:sz="4" w:space="0" w:color="808080"/>
                    <w:bottom w:val="single" w:sz="4" w:space="0" w:color="808080"/>
                    <w:right w:val="single" w:sz="4" w:space="0" w:color="808080"/>
                  </w:tcBorders>
                </w:tcPr>
                <w:p w14:paraId="0C331827" w14:textId="7D5ED9CC" w:rsidR="00FE4015" w:rsidRPr="00BC5572" w:rsidRDefault="00FE4015" w:rsidP="00FE4015">
                  <w:pPr>
                    <w:pStyle w:val="Tablesmalltext"/>
                  </w:pPr>
                  <w:r>
                    <w:t>GH</w:t>
                  </w:r>
                </w:p>
              </w:tc>
            </w:tr>
            <w:tr w:rsidR="00FE4015" w:rsidRPr="00BC5572" w14:paraId="17925CD2" w14:textId="77777777" w:rsidTr="00FB065B">
              <w:trPr>
                <w:cantSplit/>
              </w:trPr>
              <w:tc>
                <w:tcPr>
                  <w:tcW w:w="1072" w:type="dxa"/>
                  <w:tcBorders>
                    <w:top w:val="single" w:sz="4" w:space="0" w:color="808080"/>
                    <w:left w:val="single" w:sz="4" w:space="0" w:color="808080"/>
                    <w:bottom w:val="single" w:sz="4" w:space="0" w:color="808080"/>
                    <w:right w:val="single" w:sz="4" w:space="0" w:color="808080"/>
                  </w:tcBorders>
                </w:tcPr>
                <w:p w14:paraId="691FE2AB" w14:textId="138F5E25" w:rsidR="00FE4015" w:rsidRPr="00BC5572" w:rsidRDefault="00FE4015" w:rsidP="00FE4015">
                  <w:pPr>
                    <w:pStyle w:val="Tablesmalltext"/>
                  </w:pPr>
                  <w:r>
                    <w:t>C</w:t>
                  </w:r>
                </w:p>
              </w:tc>
              <w:tc>
                <w:tcPr>
                  <w:tcW w:w="1071" w:type="dxa"/>
                  <w:tcBorders>
                    <w:top w:val="single" w:sz="4" w:space="0" w:color="808080"/>
                    <w:left w:val="single" w:sz="4" w:space="0" w:color="808080"/>
                    <w:bottom w:val="single" w:sz="4" w:space="0" w:color="808080"/>
                    <w:right w:val="single" w:sz="4" w:space="0" w:color="808080"/>
                  </w:tcBorders>
                </w:tcPr>
                <w:p w14:paraId="0747A56C" w14:textId="1A9ED0C0" w:rsidR="00FE4015" w:rsidRPr="00BC5572" w:rsidRDefault="00FE4015" w:rsidP="00FE4015">
                  <w:pPr>
                    <w:pStyle w:val="Tablesmalltext"/>
                  </w:pPr>
                  <w:r>
                    <w:t>21/12/17</w:t>
                  </w:r>
                </w:p>
              </w:tc>
              <w:tc>
                <w:tcPr>
                  <w:tcW w:w="4399" w:type="dxa"/>
                  <w:tcBorders>
                    <w:top w:val="single" w:sz="4" w:space="0" w:color="808080"/>
                    <w:left w:val="single" w:sz="4" w:space="0" w:color="808080"/>
                    <w:bottom w:val="single" w:sz="4" w:space="0" w:color="808080"/>
                    <w:right w:val="single" w:sz="4" w:space="0" w:color="808080"/>
                  </w:tcBorders>
                </w:tcPr>
                <w:p w14:paraId="62A1D7E8" w14:textId="07C09378" w:rsidR="00FE4015" w:rsidRPr="00BC5572" w:rsidRDefault="00FE4015" w:rsidP="00FE4015">
                  <w:pPr>
                    <w:pStyle w:val="Tablesmalltext"/>
                  </w:pPr>
                  <w:r>
                    <w:rPr>
                      <w:lang w:val="en-US"/>
                    </w:rPr>
                    <w:t xml:space="preserve">Final </w:t>
                  </w:r>
                  <w:r w:rsidRPr="00772CB6">
                    <w:rPr>
                      <w:lang w:val="en-US"/>
                    </w:rPr>
                    <w:t xml:space="preserve">Draft </w:t>
                  </w:r>
                  <w:r>
                    <w:rPr>
                      <w:lang w:val="en-US"/>
                    </w:rPr>
                    <w:t>with client comments resolved</w:t>
                  </w:r>
                </w:p>
              </w:tc>
              <w:tc>
                <w:tcPr>
                  <w:tcW w:w="1166" w:type="dxa"/>
                  <w:tcBorders>
                    <w:top w:val="single" w:sz="4" w:space="0" w:color="808080"/>
                    <w:left w:val="single" w:sz="4" w:space="0" w:color="808080"/>
                    <w:bottom w:val="single" w:sz="4" w:space="0" w:color="808080"/>
                    <w:right w:val="single" w:sz="4" w:space="0" w:color="808080"/>
                  </w:tcBorders>
                </w:tcPr>
                <w:p w14:paraId="75E4B78B" w14:textId="01E613D3" w:rsidR="00FE4015" w:rsidRPr="00BC5572" w:rsidRDefault="00FE4015" w:rsidP="00FE4015">
                  <w:pPr>
                    <w:pStyle w:val="Tablesmalltext"/>
                  </w:pPr>
                  <w:r>
                    <w:t>MG</w:t>
                  </w:r>
                </w:p>
              </w:tc>
              <w:tc>
                <w:tcPr>
                  <w:tcW w:w="1063" w:type="dxa"/>
                  <w:tcBorders>
                    <w:top w:val="single" w:sz="4" w:space="0" w:color="808080"/>
                    <w:left w:val="single" w:sz="4" w:space="0" w:color="808080"/>
                    <w:bottom w:val="single" w:sz="4" w:space="0" w:color="808080"/>
                    <w:right w:val="single" w:sz="4" w:space="0" w:color="808080"/>
                  </w:tcBorders>
                </w:tcPr>
                <w:p w14:paraId="62624EA6" w14:textId="72934617" w:rsidR="00FE4015" w:rsidRPr="00BC5572" w:rsidRDefault="00FE4015" w:rsidP="00FE4015">
                  <w:pPr>
                    <w:pStyle w:val="Tablesmalltext"/>
                  </w:pPr>
                  <w:r>
                    <w:t>KD/AN</w:t>
                  </w:r>
                </w:p>
              </w:tc>
              <w:tc>
                <w:tcPr>
                  <w:tcW w:w="935" w:type="dxa"/>
                  <w:tcBorders>
                    <w:top w:val="single" w:sz="4" w:space="0" w:color="808080"/>
                    <w:left w:val="single" w:sz="4" w:space="0" w:color="808080"/>
                    <w:bottom w:val="single" w:sz="4" w:space="0" w:color="808080"/>
                    <w:right w:val="single" w:sz="4" w:space="0" w:color="808080"/>
                  </w:tcBorders>
                </w:tcPr>
                <w:p w14:paraId="70701995" w14:textId="16F4C24B" w:rsidR="00FE4015" w:rsidRPr="00BC5572" w:rsidRDefault="00FE4015" w:rsidP="00FE4015">
                  <w:pPr>
                    <w:pStyle w:val="Tablesmalltext"/>
                  </w:pPr>
                  <w:r>
                    <w:t>GH</w:t>
                  </w:r>
                </w:p>
              </w:tc>
            </w:tr>
            <w:tr w:rsidR="00FE4015" w:rsidRPr="00BC5572" w14:paraId="47BA3E38" w14:textId="77777777" w:rsidTr="00FB065B">
              <w:trPr>
                <w:cantSplit/>
              </w:trPr>
              <w:tc>
                <w:tcPr>
                  <w:tcW w:w="1072" w:type="dxa"/>
                  <w:tcBorders>
                    <w:top w:val="single" w:sz="4" w:space="0" w:color="808080"/>
                    <w:left w:val="single" w:sz="4" w:space="0" w:color="808080"/>
                    <w:bottom w:val="single" w:sz="4" w:space="0" w:color="808080"/>
                    <w:right w:val="single" w:sz="4" w:space="0" w:color="808080"/>
                  </w:tcBorders>
                </w:tcPr>
                <w:p w14:paraId="64FFA925" w14:textId="1A70849D" w:rsidR="00FE4015" w:rsidRPr="00BC5572" w:rsidRDefault="009467F4" w:rsidP="00FE4015">
                  <w:pPr>
                    <w:pStyle w:val="Tablesmalltext"/>
                  </w:pPr>
                  <w:r>
                    <w:t>D</w:t>
                  </w:r>
                </w:p>
              </w:tc>
              <w:tc>
                <w:tcPr>
                  <w:tcW w:w="1071" w:type="dxa"/>
                  <w:tcBorders>
                    <w:top w:val="single" w:sz="4" w:space="0" w:color="808080"/>
                    <w:left w:val="single" w:sz="4" w:space="0" w:color="808080"/>
                    <w:bottom w:val="single" w:sz="4" w:space="0" w:color="808080"/>
                    <w:right w:val="single" w:sz="4" w:space="0" w:color="808080"/>
                  </w:tcBorders>
                </w:tcPr>
                <w:p w14:paraId="3F08EDDF" w14:textId="53A5E9EB" w:rsidR="00FE4015" w:rsidRPr="00BC5572" w:rsidRDefault="009467F4" w:rsidP="00FE4015">
                  <w:pPr>
                    <w:pStyle w:val="Tablesmalltext"/>
                  </w:pPr>
                  <w:r>
                    <w:t>9/02/18</w:t>
                  </w:r>
                </w:p>
              </w:tc>
              <w:tc>
                <w:tcPr>
                  <w:tcW w:w="4399" w:type="dxa"/>
                  <w:tcBorders>
                    <w:top w:val="single" w:sz="4" w:space="0" w:color="808080"/>
                    <w:left w:val="single" w:sz="4" w:space="0" w:color="808080"/>
                    <w:bottom w:val="single" w:sz="4" w:space="0" w:color="808080"/>
                    <w:right w:val="single" w:sz="4" w:space="0" w:color="808080"/>
                  </w:tcBorders>
                </w:tcPr>
                <w:p w14:paraId="549A6066" w14:textId="6355F16A" w:rsidR="00FE4015" w:rsidRPr="00BC5572" w:rsidRDefault="00BA6CDE" w:rsidP="00FE4015">
                  <w:pPr>
                    <w:pStyle w:val="Tablesmalltext"/>
                  </w:pPr>
                  <w:r>
                    <w:t>Final Draft with client technical comments resolved</w:t>
                  </w:r>
                </w:p>
              </w:tc>
              <w:tc>
                <w:tcPr>
                  <w:tcW w:w="1166" w:type="dxa"/>
                  <w:tcBorders>
                    <w:top w:val="single" w:sz="4" w:space="0" w:color="808080"/>
                    <w:left w:val="single" w:sz="4" w:space="0" w:color="808080"/>
                    <w:bottom w:val="single" w:sz="4" w:space="0" w:color="808080"/>
                    <w:right w:val="single" w:sz="4" w:space="0" w:color="808080"/>
                  </w:tcBorders>
                </w:tcPr>
                <w:p w14:paraId="41710178" w14:textId="7D8D38D1" w:rsidR="00FE4015" w:rsidRPr="00BC5572" w:rsidRDefault="009467F4" w:rsidP="00FE4015">
                  <w:pPr>
                    <w:pStyle w:val="Tablesmalltext"/>
                  </w:pPr>
                  <w:r>
                    <w:t>MG</w:t>
                  </w:r>
                </w:p>
              </w:tc>
              <w:tc>
                <w:tcPr>
                  <w:tcW w:w="1063" w:type="dxa"/>
                  <w:tcBorders>
                    <w:top w:val="single" w:sz="4" w:space="0" w:color="808080"/>
                    <w:left w:val="single" w:sz="4" w:space="0" w:color="808080"/>
                    <w:bottom w:val="single" w:sz="4" w:space="0" w:color="808080"/>
                    <w:right w:val="single" w:sz="4" w:space="0" w:color="808080"/>
                  </w:tcBorders>
                </w:tcPr>
                <w:p w14:paraId="27523F53" w14:textId="1F5E83BA" w:rsidR="00FE4015" w:rsidRPr="00BC5572" w:rsidRDefault="009467F4" w:rsidP="00FE4015">
                  <w:pPr>
                    <w:pStyle w:val="Tablesmalltext"/>
                  </w:pPr>
                  <w:r>
                    <w:t>AN</w:t>
                  </w:r>
                </w:p>
              </w:tc>
              <w:tc>
                <w:tcPr>
                  <w:tcW w:w="935" w:type="dxa"/>
                  <w:tcBorders>
                    <w:top w:val="single" w:sz="4" w:space="0" w:color="808080"/>
                    <w:left w:val="single" w:sz="4" w:space="0" w:color="808080"/>
                    <w:bottom w:val="single" w:sz="4" w:space="0" w:color="808080"/>
                    <w:right w:val="single" w:sz="4" w:space="0" w:color="808080"/>
                  </w:tcBorders>
                </w:tcPr>
                <w:p w14:paraId="195407C1" w14:textId="0828C2D9" w:rsidR="00FE4015" w:rsidRPr="00BC5572" w:rsidRDefault="009467F4" w:rsidP="00FE4015">
                  <w:pPr>
                    <w:pStyle w:val="Tablesmalltext"/>
                  </w:pPr>
                  <w:r>
                    <w:t>GH</w:t>
                  </w:r>
                </w:p>
              </w:tc>
            </w:tr>
            <w:tr w:rsidR="00FE4015" w:rsidRPr="00BC5572" w14:paraId="7BE53EA4" w14:textId="77777777" w:rsidTr="00FB065B">
              <w:trPr>
                <w:cantSplit/>
              </w:trPr>
              <w:tc>
                <w:tcPr>
                  <w:tcW w:w="1072" w:type="dxa"/>
                  <w:tcBorders>
                    <w:top w:val="single" w:sz="4" w:space="0" w:color="808080"/>
                    <w:left w:val="single" w:sz="4" w:space="0" w:color="808080"/>
                    <w:bottom w:val="single" w:sz="4" w:space="0" w:color="808080"/>
                    <w:right w:val="single" w:sz="4" w:space="0" w:color="808080"/>
                  </w:tcBorders>
                </w:tcPr>
                <w:p w14:paraId="4EF1D2A5" w14:textId="39D3A3EC" w:rsidR="00FE4015" w:rsidRPr="00BC5572" w:rsidRDefault="00014DAB" w:rsidP="00FE4015">
                  <w:pPr>
                    <w:pStyle w:val="Tablesmalltext"/>
                  </w:pPr>
                  <w:r>
                    <w:t>E</w:t>
                  </w:r>
                </w:p>
              </w:tc>
              <w:tc>
                <w:tcPr>
                  <w:tcW w:w="1071" w:type="dxa"/>
                  <w:tcBorders>
                    <w:top w:val="single" w:sz="4" w:space="0" w:color="808080"/>
                    <w:left w:val="single" w:sz="4" w:space="0" w:color="808080"/>
                    <w:bottom w:val="single" w:sz="4" w:space="0" w:color="808080"/>
                    <w:right w:val="single" w:sz="4" w:space="0" w:color="808080"/>
                  </w:tcBorders>
                </w:tcPr>
                <w:p w14:paraId="2E2AD7CA" w14:textId="3984AA0C" w:rsidR="00FE4015" w:rsidRPr="00BC5572" w:rsidRDefault="00014DAB" w:rsidP="00FE4015">
                  <w:pPr>
                    <w:pStyle w:val="Tablesmalltext"/>
                  </w:pPr>
                  <w:r>
                    <w:t>9/3/18</w:t>
                  </w:r>
                </w:p>
              </w:tc>
              <w:tc>
                <w:tcPr>
                  <w:tcW w:w="4399" w:type="dxa"/>
                  <w:tcBorders>
                    <w:top w:val="single" w:sz="4" w:space="0" w:color="808080"/>
                    <w:left w:val="single" w:sz="4" w:space="0" w:color="808080"/>
                    <w:bottom w:val="single" w:sz="4" w:space="0" w:color="808080"/>
                    <w:right w:val="single" w:sz="4" w:space="0" w:color="808080"/>
                  </w:tcBorders>
                </w:tcPr>
                <w:p w14:paraId="3CA51DAD" w14:textId="20FD9769" w:rsidR="00FE4015" w:rsidRPr="00BC5572" w:rsidRDefault="00014DAB" w:rsidP="00FE4015">
                  <w:pPr>
                    <w:pStyle w:val="Tablesmalltext"/>
                  </w:pPr>
                  <w:r>
                    <w:t>Final draft for review prior to stakeholder issue</w:t>
                  </w:r>
                </w:p>
              </w:tc>
              <w:tc>
                <w:tcPr>
                  <w:tcW w:w="1166" w:type="dxa"/>
                  <w:tcBorders>
                    <w:top w:val="single" w:sz="4" w:space="0" w:color="808080"/>
                    <w:left w:val="single" w:sz="4" w:space="0" w:color="808080"/>
                    <w:bottom w:val="single" w:sz="4" w:space="0" w:color="808080"/>
                    <w:right w:val="single" w:sz="4" w:space="0" w:color="808080"/>
                  </w:tcBorders>
                </w:tcPr>
                <w:p w14:paraId="25703FA7" w14:textId="4FF90887" w:rsidR="00FE4015" w:rsidRPr="00BC5572" w:rsidRDefault="00014DAB" w:rsidP="00FE4015">
                  <w:pPr>
                    <w:pStyle w:val="Tablesmalltext"/>
                  </w:pPr>
                  <w:r>
                    <w:t>MG</w:t>
                  </w:r>
                </w:p>
              </w:tc>
              <w:tc>
                <w:tcPr>
                  <w:tcW w:w="1063" w:type="dxa"/>
                  <w:tcBorders>
                    <w:top w:val="single" w:sz="4" w:space="0" w:color="808080"/>
                    <w:left w:val="single" w:sz="4" w:space="0" w:color="808080"/>
                    <w:bottom w:val="single" w:sz="4" w:space="0" w:color="808080"/>
                    <w:right w:val="single" w:sz="4" w:space="0" w:color="808080"/>
                  </w:tcBorders>
                </w:tcPr>
                <w:p w14:paraId="5E46C049" w14:textId="1D738227" w:rsidR="00FE4015" w:rsidRPr="00BC5572" w:rsidRDefault="00014DAB" w:rsidP="00FE4015">
                  <w:pPr>
                    <w:pStyle w:val="Tablesmalltext"/>
                  </w:pPr>
                  <w:r>
                    <w:t>KD/AN</w:t>
                  </w:r>
                </w:p>
              </w:tc>
              <w:tc>
                <w:tcPr>
                  <w:tcW w:w="935" w:type="dxa"/>
                  <w:tcBorders>
                    <w:top w:val="single" w:sz="4" w:space="0" w:color="808080"/>
                    <w:left w:val="single" w:sz="4" w:space="0" w:color="808080"/>
                    <w:bottom w:val="single" w:sz="4" w:space="0" w:color="808080"/>
                    <w:right w:val="single" w:sz="4" w:space="0" w:color="808080"/>
                  </w:tcBorders>
                </w:tcPr>
                <w:p w14:paraId="5B4B8975" w14:textId="46F85D2B" w:rsidR="00FE4015" w:rsidRPr="00BC5572" w:rsidRDefault="00014DAB" w:rsidP="00FE4015">
                  <w:pPr>
                    <w:pStyle w:val="Tablesmalltext"/>
                  </w:pPr>
                  <w:r>
                    <w:t>GH</w:t>
                  </w:r>
                </w:p>
              </w:tc>
            </w:tr>
            <w:tr w:rsidR="00FE4015" w:rsidRPr="00BC5572" w14:paraId="7751E59D" w14:textId="77777777" w:rsidTr="00FB065B">
              <w:trPr>
                <w:cantSplit/>
              </w:trPr>
              <w:tc>
                <w:tcPr>
                  <w:tcW w:w="1072" w:type="dxa"/>
                  <w:tcBorders>
                    <w:top w:val="single" w:sz="4" w:space="0" w:color="808080"/>
                    <w:left w:val="single" w:sz="4" w:space="0" w:color="808080"/>
                    <w:bottom w:val="single" w:sz="4" w:space="0" w:color="808080"/>
                    <w:right w:val="single" w:sz="4" w:space="0" w:color="808080"/>
                  </w:tcBorders>
                </w:tcPr>
                <w:p w14:paraId="24A1246C" w14:textId="1CBAB072" w:rsidR="00FE4015" w:rsidRPr="00BC5572" w:rsidRDefault="001A705E" w:rsidP="00FE4015">
                  <w:pPr>
                    <w:pStyle w:val="Tablesmalltext"/>
                  </w:pPr>
                  <w:r>
                    <w:t>F</w:t>
                  </w:r>
                </w:p>
              </w:tc>
              <w:tc>
                <w:tcPr>
                  <w:tcW w:w="1071" w:type="dxa"/>
                  <w:tcBorders>
                    <w:top w:val="single" w:sz="4" w:space="0" w:color="808080"/>
                    <w:left w:val="single" w:sz="4" w:space="0" w:color="808080"/>
                    <w:bottom w:val="single" w:sz="4" w:space="0" w:color="808080"/>
                    <w:right w:val="single" w:sz="4" w:space="0" w:color="808080"/>
                  </w:tcBorders>
                </w:tcPr>
                <w:p w14:paraId="54FF0D0A" w14:textId="630A34EA" w:rsidR="00FE4015" w:rsidRPr="00BC5572" w:rsidRDefault="001A705E" w:rsidP="00FE4015">
                  <w:pPr>
                    <w:pStyle w:val="Tablesmalltext"/>
                  </w:pPr>
                  <w:r>
                    <w:t>8/6/18</w:t>
                  </w:r>
                </w:p>
              </w:tc>
              <w:tc>
                <w:tcPr>
                  <w:tcW w:w="4399" w:type="dxa"/>
                  <w:tcBorders>
                    <w:top w:val="single" w:sz="4" w:space="0" w:color="808080"/>
                    <w:left w:val="single" w:sz="4" w:space="0" w:color="808080"/>
                    <w:bottom w:val="single" w:sz="4" w:space="0" w:color="808080"/>
                    <w:right w:val="single" w:sz="4" w:space="0" w:color="808080"/>
                  </w:tcBorders>
                </w:tcPr>
                <w:p w14:paraId="57A40F40" w14:textId="0A29832B" w:rsidR="00FE4015" w:rsidRPr="00BC5572" w:rsidRDefault="001A705E" w:rsidP="00FE4015">
                  <w:pPr>
                    <w:pStyle w:val="Tablesmalltext"/>
                  </w:pPr>
                  <w:r>
                    <w:t>Client comments resolved. Reissued for review</w:t>
                  </w:r>
                </w:p>
              </w:tc>
              <w:tc>
                <w:tcPr>
                  <w:tcW w:w="1166" w:type="dxa"/>
                  <w:tcBorders>
                    <w:top w:val="single" w:sz="4" w:space="0" w:color="808080"/>
                    <w:left w:val="single" w:sz="4" w:space="0" w:color="808080"/>
                    <w:bottom w:val="single" w:sz="4" w:space="0" w:color="808080"/>
                    <w:right w:val="single" w:sz="4" w:space="0" w:color="808080"/>
                  </w:tcBorders>
                </w:tcPr>
                <w:p w14:paraId="4BE9E331" w14:textId="2EE90073" w:rsidR="00FE4015" w:rsidRPr="00BC5572" w:rsidRDefault="001A705E" w:rsidP="00FE4015">
                  <w:pPr>
                    <w:pStyle w:val="Tablesmalltext"/>
                  </w:pPr>
                  <w:r>
                    <w:t>MG</w:t>
                  </w:r>
                </w:p>
              </w:tc>
              <w:tc>
                <w:tcPr>
                  <w:tcW w:w="1063" w:type="dxa"/>
                  <w:tcBorders>
                    <w:top w:val="single" w:sz="4" w:space="0" w:color="808080"/>
                    <w:left w:val="single" w:sz="4" w:space="0" w:color="808080"/>
                    <w:bottom w:val="single" w:sz="4" w:space="0" w:color="808080"/>
                    <w:right w:val="single" w:sz="4" w:space="0" w:color="808080"/>
                  </w:tcBorders>
                </w:tcPr>
                <w:p w14:paraId="66BD9994" w14:textId="25689DC4" w:rsidR="00FE4015" w:rsidRPr="00BC5572" w:rsidRDefault="001A705E" w:rsidP="00FE4015">
                  <w:pPr>
                    <w:pStyle w:val="Tablesmalltext"/>
                  </w:pPr>
                  <w:r>
                    <w:t>AN</w:t>
                  </w:r>
                </w:p>
              </w:tc>
              <w:tc>
                <w:tcPr>
                  <w:tcW w:w="935" w:type="dxa"/>
                  <w:tcBorders>
                    <w:top w:val="single" w:sz="4" w:space="0" w:color="808080"/>
                    <w:left w:val="single" w:sz="4" w:space="0" w:color="808080"/>
                    <w:bottom w:val="single" w:sz="4" w:space="0" w:color="808080"/>
                    <w:right w:val="single" w:sz="4" w:space="0" w:color="808080"/>
                  </w:tcBorders>
                </w:tcPr>
                <w:p w14:paraId="12B9A73F" w14:textId="732F9D79" w:rsidR="00FE4015" w:rsidRPr="00BC5572" w:rsidRDefault="001A705E" w:rsidP="00FE4015">
                  <w:pPr>
                    <w:pStyle w:val="Tablesmalltext"/>
                  </w:pPr>
                  <w:r>
                    <w:t>GH</w:t>
                  </w:r>
                </w:p>
              </w:tc>
            </w:tr>
            <w:tr w:rsidR="00324288" w:rsidRPr="00BC5572" w14:paraId="6124E509" w14:textId="77777777" w:rsidTr="00FB065B">
              <w:trPr>
                <w:cantSplit/>
              </w:trPr>
              <w:tc>
                <w:tcPr>
                  <w:tcW w:w="1072" w:type="dxa"/>
                  <w:tcBorders>
                    <w:top w:val="single" w:sz="4" w:space="0" w:color="808080"/>
                    <w:left w:val="single" w:sz="4" w:space="0" w:color="808080"/>
                    <w:bottom w:val="single" w:sz="4" w:space="0" w:color="808080"/>
                    <w:right w:val="single" w:sz="4" w:space="0" w:color="808080"/>
                  </w:tcBorders>
                </w:tcPr>
                <w:p w14:paraId="1DEAB246" w14:textId="4355033D" w:rsidR="00324288" w:rsidRDefault="00324288" w:rsidP="00FE4015">
                  <w:pPr>
                    <w:pStyle w:val="Tablesmalltext"/>
                  </w:pPr>
                  <w:r>
                    <w:t>G</w:t>
                  </w:r>
                </w:p>
              </w:tc>
              <w:tc>
                <w:tcPr>
                  <w:tcW w:w="1071" w:type="dxa"/>
                  <w:tcBorders>
                    <w:top w:val="single" w:sz="4" w:space="0" w:color="808080"/>
                    <w:left w:val="single" w:sz="4" w:space="0" w:color="808080"/>
                    <w:bottom w:val="single" w:sz="4" w:space="0" w:color="808080"/>
                    <w:right w:val="single" w:sz="4" w:space="0" w:color="808080"/>
                  </w:tcBorders>
                </w:tcPr>
                <w:p w14:paraId="4FC5F428" w14:textId="26AAC3F5" w:rsidR="00324288" w:rsidRDefault="00324288" w:rsidP="00FE4015">
                  <w:pPr>
                    <w:pStyle w:val="Tablesmalltext"/>
                  </w:pPr>
                  <w:r>
                    <w:t>21/6/18</w:t>
                  </w:r>
                </w:p>
              </w:tc>
              <w:tc>
                <w:tcPr>
                  <w:tcW w:w="4399" w:type="dxa"/>
                  <w:tcBorders>
                    <w:top w:val="single" w:sz="4" w:space="0" w:color="808080"/>
                    <w:left w:val="single" w:sz="4" w:space="0" w:color="808080"/>
                    <w:bottom w:val="single" w:sz="4" w:space="0" w:color="808080"/>
                    <w:right w:val="single" w:sz="4" w:space="0" w:color="808080"/>
                  </w:tcBorders>
                </w:tcPr>
                <w:p w14:paraId="78347C5E" w14:textId="57918FC4" w:rsidR="00324288" w:rsidRDefault="00324288" w:rsidP="00FE4015">
                  <w:pPr>
                    <w:pStyle w:val="Tablesmalltext"/>
                  </w:pPr>
                  <w:r>
                    <w:t>Client comments resolved. Reissued for review</w:t>
                  </w:r>
                </w:p>
              </w:tc>
              <w:tc>
                <w:tcPr>
                  <w:tcW w:w="1166" w:type="dxa"/>
                  <w:tcBorders>
                    <w:top w:val="single" w:sz="4" w:space="0" w:color="808080"/>
                    <w:left w:val="single" w:sz="4" w:space="0" w:color="808080"/>
                    <w:bottom w:val="single" w:sz="4" w:space="0" w:color="808080"/>
                    <w:right w:val="single" w:sz="4" w:space="0" w:color="808080"/>
                  </w:tcBorders>
                </w:tcPr>
                <w:p w14:paraId="10941A30" w14:textId="3B1DE528" w:rsidR="00324288" w:rsidRDefault="00324288" w:rsidP="00FE4015">
                  <w:pPr>
                    <w:pStyle w:val="Tablesmalltext"/>
                  </w:pPr>
                  <w:r>
                    <w:t>AN</w:t>
                  </w:r>
                </w:p>
              </w:tc>
              <w:tc>
                <w:tcPr>
                  <w:tcW w:w="1063" w:type="dxa"/>
                  <w:tcBorders>
                    <w:top w:val="single" w:sz="4" w:space="0" w:color="808080"/>
                    <w:left w:val="single" w:sz="4" w:space="0" w:color="808080"/>
                    <w:bottom w:val="single" w:sz="4" w:space="0" w:color="808080"/>
                    <w:right w:val="single" w:sz="4" w:space="0" w:color="808080"/>
                  </w:tcBorders>
                </w:tcPr>
                <w:p w14:paraId="1CBD569E" w14:textId="57DB4EAF" w:rsidR="00324288" w:rsidRDefault="00324288" w:rsidP="00FE4015">
                  <w:pPr>
                    <w:pStyle w:val="Tablesmalltext"/>
                  </w:pPr>
                  <w:r>
                    <w:t>GH</w:t>
                  </w:r>
                </w:p>
              </w:tc>
              <w:tc>
                <w:tcPr>
                  <w:tcW w:w="935" w:type="dxa"/>
                  <w:tcBorders>
                    <w:top w:val="single" w:sz="4" w:space="0" w:color="808080"/>
                    <w:left w:val="single" w:sz="4" w:space="0" w:color="808080"/>
                    <w:bottom w:val="single" w:sz="4" w:space="0" w:color="808080"/>
                    <w:right w:val="single" w:sz="4" w:space="0" w:color="808080"/>
                  </w:tcBorders>
                </w:tcPr>
                <w:p w14:paraId="26B0A133" w14:textId="53BA63CF" w:rsidR="00324288" w:rsidRDefault="00324288" w:rsidP="00FE4015">
                  <w:pPr>
                    <w:pStyle w:val="Tablesmalltext"/>
                  </w:pPr>
                  <w:r>
                    <w:t>GH</w:t>
                  </w:r>
                </w:p>
              </w:tc>
            </w:tr>
            <w:tr w:rsidR="00717A53" w:rsidRPr="00BC5572" w14:paraId="5AB38C7F" w14:textId="77777777" w:rsidTr="00CE1D6D">
              <w:trPr>
                <w:cantSplit/>
              </w:trPr>
              <w:tc>
                <w:tcPr>
                  <w:tcW w:w="1072" w:type="dxa"/>
                  <w:tcBorders>
                    <w:top w:val="single" w:sz="4" w:space="0" w:color="808080"/>
                    <w:left w:val="single" w:sz="4" w:space="0" w:color="808080"/>
                    <w:bottom w:val="single" w:sz="4" w:space="0" w:color="808080"/>
                    <w:right w:val="single" w:sz="4" w:space="0" w:color="808080"/>
                  </w:tcBorders>
                  <w:shd w:val="clear" w:color="auto" w:fill="auto"/>
                </w:tcPr>
                <w:p w14:paraId="0D560CFE" w14:textId="0F834F99" w:rsidR="00717A53" w:rsidRPr="00CE1D6D" w:rsidRDefault="006629D7" w:rsidP="00CE1D6D">
                  <w:pPr>
                    <w:pStyle w:val="Tablesmalltext"/>
                  </w:pPr>
                  <w:r w:rsidRPr="00CE1D6D">
                    <w:t>H</w:t>
                  </w:r>
                </w:p>
              </w:tc>
              <w:tc>
                <w:tcPr>
                  <w:tcW w:w="1071" w:type="dxa"/>
                  <w:tcBorders>
                    <w:top w:val="single" w:sz="4" w:space="0" w:color="808080"/>
                    <w:left w:val="single" w:sz="4" w:space="0" w:color="808080"/>
                    <w:bottom w:val="single" w:sz="4" w:space="0" w:color="808080"/>
                    <w:right w:val="single" w:sz="4" w:space="0" w:color="808080"/>
                  </w:tcBorders>
                  <w:shd w:val="clear" w:color="auto" w:fill="auto"/>
                </w:tcPr>
                <w:p w14:paraId="393D188F" w14:textId="3E2A99AD" w:rsidR="00717A53" w:rsidRPr="00CE1D6D" w:rsidRDefault="006629D7" w:rsidP="00CE1D6D">
                  <w:pPr>
                    <w:pStyle w:val="Tablesmalltext"/>
                  </w:pPr>
                  <w:r w:rsidRPr="00CE1D6D">
                    <w:t>July 2019</w:t>
                  </w:r>
                </w:p>
              </w:tc>
              <w:tc>
                <w:tcPr>
                  <w:tcW w:w="4399" w:type="dxa"/>
                  <w:tcBorders>
                    <w:top w:val="single" w:sz="4" w:space="0" w:color="808080"/>
                    <w:left w:val="single" w:sz="4" w:space="0" w:color="808080"/>
                    <w:bottom w:val="single" w:sz="4" w:space="0" w:color="808080"/>
                    <w:right w:val="single" w:sz="4" w:space="0" w:color="808080"/>
                  </w:tcBorders>
                  <w:shd w:val="clear" w:color="auto" w:fill="auto"/>
                </w:tcPr>
                <w:p w14:paraId="77E3E6D6" w14:textId="2C85621C" w:rsidR="00717A53" w:rsidRPr="00CE1D6D" w:rsidRDefault="006629D7" w:rsidP="00CE1D6D">
                  <w:pPr>
                    <w:pStyle w:val="Tablesmalltext"/>
                  </w:pPr>
                  <w:r w:rsidRPr="00CE1D6D">
                    <w:t>Revised TOC and Executive summary issued</w:t>
                  </w:r>
                </w:p>
              </w:tc>
              <w:tc>
                <w:tcPr>
                  <w:tcW w:w="1166" w:type="dxa"/>
                  <w:tcBorders>
                    <w:top w:val="single" w:sz="4" w:space="0" w:color="808080"/>
                    <w:left w:val="single" w:sz="4" w:space="0" w:color="808080"/>
                    <w:bottom w:val="single" w:sz="4" w:space="0" w:color="808080"/>
                    <w:right w:val="single" w:sz="4" w:space="0" w:color="808080"/>
                  </w:tcBorders>
                  <w:shd w:val="clear" w:color="auto" w:fill="auto"/>
                </w:tcPr>
                <w:p w14:paraId="7D1B851E" w14:textId="40EB5877" w:rsidR="00717A53" w:rsidRPr="00CE1D6D" w:rsidRDefault="006629D7" w:rsidP="00CE1D6D">
                  <w:pPr>
                    <w:pStyle w:val="Tablesmalltext"/>
                  </w:pPr>
                  <w:r w:rsidRPr="00CE1D6D">
                    <w:t>EM</w:t>
                  </w:r>
                </w:p>
              </w:tc>
              <w:tc>
                <w:tcPr>
                  <w:tcW w:w="1063" w:type="dxa"/>
                  <w:tcBorders>
                    <w:top w:val="single" w:sz="4" w:space="0" w:color="808080"/>
                    <w:left w:val="single" w:sz="4" w:space="0" w:color="808080"/>
                    <w:bottom w:val="single" w:sz="4" w:space="0" w:color="808080"/>
                    <w:right w:val="single" w:sz="4" w:space="0" w:color="808080"/>
                  </w:tcBorders>
                  <w:shd w:val="clear" w:color="auto" w:fill="auto"/>
                </w:tcPr>
                <w:p w14:paraId="23CEC6F6" w14:textId="655E3A93" w:rsidR="00717A53" w:rsidRPr="00CE1D6D" w:rsidRDefault="006629D7" w:rsidP="00CE1D6D">
                  <w:pPr>
                    <w:pStyle w:val="Tablesmalltext"/>
                  </w:pPr>
                  <w:r w:rsidRPr="00CE1D6D">
                    <w:t>GH</w:t>
                  </w:r>
                </w:p>
              </w:tc>
              <w:tc>
                <w:tcPr>
                  <w:tcW w:w="935" w:type="dxa"/>
                  <w:tcBorders>
                    <w:top w:val="single" w:sz="4" w:space="0" w:color="808080"/>
                    <w:left w:val="single" w:sz="4" w:space="0" w:color="808080"/>
                    <w:bottom w:val="single" w:sz="4" w:space="0" w:color="808080"/>
                    <w:right w:val="single" w:sz="4" w:space="0" w:color="808080"/>
                  </w:tcBorders>
                  <w:shd w:val="clear" w:color="auto" w:fill="auto"/>
                </w:tcPr>
                <w:p w14:paraId="4EB396F8" w14:textId="1117AB3B" w:rsidR="00717A53" w:rsidRPr="00CE1D6D" w:rsidRDefault="006629D7" w:rsidP="00CE1D6D">
                  <w:pPr>
                    <w:pStyle w:val="Tablesmalltext"/>
                  </w:pPr>
                  <w:r w:rsidRPr="00CE1D6D">
                    <w:t>GH</w:t>
                  </w:r>
                </w:p>
              </w:tc>
            </w:tr>
            <w:tr w:rsidR="006629D7" w:rsidRPr="00BC5572" w14:paraId="1CF29207" w14:textId="77777777" w:rsidTr="00FB065B">
              <w:trPr>
                <w:cantSplit/>
              </w:trPr>
              <w:tc>
                <w:tcPr>
                  <w:tcW w:w="1072" w:type="dxa"/>
                  <w:tcBorders>
                    <w:top w:val="single" w:sz="4" w:space="0" w:color="808080"/>
                    <w:left w:val="single" w:sz="4" w:space="0" w:color="808080"/>
                    <w:bottom w:val="single" w:sz="4" w:space="0" w:color="808080"/>
                    <w:right w:val="single" w:sz="4" w:space="0" w:color="808080"/>
                  </w:tcBorders>
                </w:tcPr>
                <w:p w14:paraId="02A2C452" w14:textId="47F2AD4C" w:rsidR="006629D7" w:rsidRDefault="006629D7" w:rsidP="00FE4015">
                  <w:pPr>
                    <w:pStyle w:val="Tablesmalltext"/>
                  </w:pPr>
                  <w:r>
                    <w:t>I</w:t>
                  </w:r>
                </w:p>
              </w:tc>
              <w:tc>
                <w:tcPr>
                  <w:tcW w:w="1071" w:type="dxa"/>
                  <w:tcBorders>
                    <w:top w:val="single" w:sz="4" w:space="0" w:color="808080"/>
                    <w:left w:val="single" w:sz="4" w:space="0" w:color="808080"/>
                    <w:bottom w:val="single" w:sz="4" w:space="0" w:color="808080"/>
                    <w:right w:val="single" w:sz="4" w:space="0" w:color="808080"/>
                  </w:tcBorders>
                </w:tcPr>
                <w:p w14:paraId="395233D0" w14:textId="2333D63F" w:rsidR="006629D7" w:rsidRDefault="006629D7" w:rsidP="00FE4015">
                  <w:pPr>
                    <w:pStyle w:val="Tablesmalltext"/>
                  </w:pPr>
                  <w:r>
                    <w:t xml:space="preserve">Oct </w:t>
                  </w:r>
                  <w:r w:rsidR="00390802">
                    <w:t>2019</w:t>
                  </w:r>
                </w:p>
              </w:tc>
              <w:tc>
                <w:tcPr>
                  <w:tcW w:w="4399" w:type="dxa"/>
                  <w:tcBorders>
                    <w:top w:val="single" w:sz="4" w:space="0" w:color="808080"/>
                    <w:left w:val="single" w:sz="4" w:space="0" w:color="808080"/>
                    <w:bottom w:val="single" w:sz="4" w:space="0" w:color="808080"/>
                    <w:right w:val="single" w:sz="4" w:space="0" w:color="808080"/>
                  </w:tcBorders>
                </w:tcPr>
                <w:p w14:paraId="219A8AFB" w14:textId="7E5D59DE" w:rsidR="006629D7" w:rsidRDefault="00390802" w:rsidP="00FE4015">
                  <w:pPr>
                    <w:pStyle w:val="Tablesmalltext"/>
                  </w:pPr>
                  <w:r>
                    <w:t xml:space="preserve">Further revised ES issued </w:t>
                  </w:r>
                </w:p>
              </w:tc>
              <w:tc>
                <w:tcPr>
                  <w:tcW w:w="1166" w:type="dxa"/>
                  <w:tcBorders>
                    <w:top w:val="single" w:sz="4" w:space="0" w:color="808080"/>
                    <w:left w:val="single" w:sz="4" w:space="0" w:color="808080"/>
                    <w:bottom w:val="single" w:sz="4" w:space="0" w:color="808080"/>
                    <w:right w:val="single" w:sz="4" w:space="0" w:color="808080"/>
                  </w:tcBorders>
                </w:tcPr>
                <w:p w14:paraId="40D2968D" w14:textId="2411F0AC" w:rsidR="006629D7" w:rsidRDefault="00390802" w:rsidP="00FE4015">
                  <w:pPr>
                    <w:pStyle w:val="Tablesmalltext"/>
                  </w:pPr>
                  <w:r>
                    <w:t>GH</w:t>
                  </w:r>
                </w:p>
              </w:tc>
              <w:tc>
                <w:tcPr>
                  <w:tcW w:w="1063" w:type="dxa"/>
                  <w:tcBorders>
                    <w:top w:val="single" w:sz="4" w:space="0" w:color="808080"/>
                    <w:left w:val="single" w:sz="4" w:space="0" w:color="808080"/>
                    <w:bottom w:val="single" w:sz="4" w:space="0" w:color="808080"/>
                    <w:right w:val="single" w:sz="4" w:space="0" w:color="808080"/>
                  </w:tcBorders>
                </w:tcPr>
                <w:p w14:paraId="69E6711E" w14:textId="77777777" w:rsidR="006629D7" w:rsidRDefault="006629D7" w:rsidP="00FE4015">
                  <w:pPr>
                    <w:pStyle w:val="Tablesmalltext"/>
                  </w:pPr>
                </w:p>
              </w:tc>
              <w:tc>
                <w:tcPr>
                  <w:tcW w:w="935" w:type="dxa"/>
                  <w:tcBorders>
                    <w:top w:val="single" w:sz="4" w:space="0" w:color="808080"/>
                    <w:left w:val="single" w:sz="4" w:space="0" w:color="808080"/>
                    <w:bottom w:val="single" w:sz="4" w:space="0" w:color="808080"/>
                    <w:right w:val="single" w:sz="4" w:space="0" w:color="808080"/>
                  </w:tcBorders>
                </w:tcPr>
                <w:p w14:paraId="488E7A31" w14:textId="4BD9F175" w:rsidR="006629D7" w:rsidRDefault="00390802" w:rsidP="00FE4015">
                  <w:pPr>
                    <w:pStyle w:val="Tablesmalltext"/>
                  </w:pPr>
                  <w:r>
                    <w:t>GH</w:t>
                  </w:r>
                </w:p>
              </w:tc>
            </w:tr>
            <w:tr w:rsidR="006629D7" w:rsidRPr="00BC5572" w14:paraId="78241D35" w14:textId="77777777" w:rsidTr="00FB065B">
              <w:trPr>
                <w:cantSplit/>
              </w:trPr>
              <w:tc>
                <w:tcPr>
                  <w:tcW w:w="1072" w:type="dxa"/>
                  <w:tcBorders>
                    <w:top w:val="single" w:sz="4" w:space="0" w:color="808080"/>
                    <w:left w:val="single" w:sz="4" w:space="0" w:color="808080"/>
                    <w:bottom w:val="single" w:sz="4" w:space="0" w:color="808080"/>
                    <w:right w:val="single" w:sz="4" w:space="0" w:color="808080"/>
                  </w:tcBorders>
                </w:tcPr>
                <w:p w14:paraId="1ADA9B31" w14:textId="6014162F" w:rsidR="006629D7" w:rsidRDefault="006629D7" w:rsidP="00FE4015">
                  <w:pPr>
                    <w:pStyle w:val="Tablesmalltext"/>
                  </w:pPr>
                  <w:r>
                    <w:t>J</w:t>
                  </w:r>
                </w:p>
              </w:tc>
              <w:tc>
                <w:tcPr>
                  <w:tcW w:w="1071" w:type="dxa"/>
                  <w:tcBorders>
                    <w:top w:val="single" w:sz="4" w:space="0" w:color="808080"/>
                    <w:left w:val="single" w:sz="4" w:space="0" w:color="808080"/>
                    <w:bottom w:val="single" w:sz="4" w:space="0" w:color="808080"/>
                    <w:right w:val="single" w:sz="4" w:space="0" w:color="808080"/>
                  </w:tcBorders>
                </w:tcPr>
                <w:p w14:paraId="4F8075ED" w14:textId="09156A04" w:rsidR="006629D7" w:rsidRDefault="00212A67" w:rsidP="00FE4015">
                  <w:pPr>
                    <w:pStyle w:val="Tablesmalltext"/>
                  </w:pPr>
                  <w:r>
                    <w:t>Mar 2020</w:t>
                  </w:r>
                </w:p>
              </w:tc>
              <w:tc>
                <w:tcPr>
                  <w:tcW w:w="4399" w:type="dxa"/>
                  <w:tcBorders>
                    <w:top w:val="single" w:sz="4" w:space="0" w:color="808080"/>
                    <w:left w:val="single" w:sz="4" w:space="0" w:color="808080"/>
                    <w:bottom w:val="single" w:sz="4" w:space="0" w:color="808080"/>
                    <w:right w:val="single" w:sz="4" w:space="0" w:color="808080"/>
                  </w:tcBorders>
                </w:tcPr>
                <w:p w14:paraId="0E38D7BF" w14:textId="2D7F48E0" w:rsidR="006629D7" w:rsidRDefault="00212A67" w:rsidP="00FE4015">
                  <w:pPr>
                    <w:pStyle w:val="Tablesmalltext"/>
                  </w:pPr>
                  <w:r>
                    <w:t>Fully revised in line with DJPR directions</w:t>
                  </w:r>
                </w:p>
              </w:tc>
              <w:tc>
                <w:tcPr>
                  <w:tcW w:w="1166" w:type="dxa"/>
                  <w:tcBorders>
                    <w:top w:val="single" w:sz="4" w:space="0" w:color="808080"/>
                    <w:left w:val="single" w:sz="4" w:space="0" w:color="808080"/>
                    <w:bottom w:val="single" w:sz="4" w:space="0" w:color="808080"/>
                    <w:right w:val="single" w:sz="4" w:space="0" w:color="808080"/>
                  </w:tcBorders>
                </w:tcPr>
                <w:p w14:paraId="35B97B47" w14:textId="504CA30B" w:rsidR="006629D7" w:rsidRDefault="00212A67" w:rsidP="00FE4015">
                  <w:pPr>
                    <w:pStyle w:val="Tablesmalltext"/>
                  </w:pPr>
                  <w:r>
                    <w:t>EM/AR/GH</w:t>
                  </w:r>
                </w:p>
              </w:tc>
              <w:tc>
                <w:tcPr>
                  <w:tcW w:w="1063" w:type="dxa"/>
                  <w:tcBorders>
                    <w:top w:val="single" w:sz="4" w:space="0" w:color="808080"/>
                    <w:left w:val="single" w:sz="4" w:space="0" w:color="808080"/>
                    <w:bottom w:val="single" w:sz="4" w:space="0" w:color="808080"/>
                    <w:right w:val="single" w:sz="4" w:space="0" w:color="808080"/>
                  </w:tcBorders>
                </w:tcPr>
                <w:p w14:paraId="27BB11CF" w14:textId="4CF44EBE" w:rsidR="006629D7" w:rsidRDefault="00212A67" w:rsidP="00FE4015">
                  <w:pPr>
                    <w:pStyle w:val="Tablesmalltext"/>
                  </w:pPr>
                  <w:r>
                    <w:t>GH</w:t>
                  </w:r>
                </w:p>
              </w:tc>
              <w:tc>
                <w:tcPr>
                  <w:tcW w:w="935" w:type="dxa"/>
                  <w:tcBorders>
                    <w:top w:val="single" w:sz="4" w:space="0" w:color="808080"/>
                    <w:left w:val="single" w:sz="4" w:space="0" w:color="808080"/>
                    <w:bottom w:val="single" w:sz="4" w:space="0" w:color="808080"/>
                    <w:right w:val="single" w:sz="4" w:space="0" w:color="808080"/>
                  </w:tcBorders>
                </w:tcPr>
                <w:p w14:paraId="4EA702D2" w14:textId="1D79F111" w:rsidR="006629D7" w:rsidRDefault="00212A67" w:rsidP="00FE4015">
                  <w:pPr>
                    <w:pStyle w:val="Tablesmalltext"/>
                  </w:pPr>
                  <w:r>
                    <w:t>GH</w:t>
                  </w:r>
                </w:p>
              </w:tc>
            </w:tr>
            <w:tr w:rsidR="00996C07" w:rsidRPr="00BC5572" w14:paraId="50FE7C93" w14:textId="77777777" w:rsidTr="00FB065B">
              <w:trPr>
                <w:cantSplit/>
              </w:trPr>
              <w:tc>
                <w:tcPr>
                  <w:tcW w:w="1072" w:type="dxa"/>
                  <w:tcBorders>
                    <w:top w:val="single" w:sz="4" w:space="0" w:color="808080"/>
                    <w:left w:val="single" w:sz="4" w:space="0" w:color="808080"/>
                    <w:bottom w:val="single" w:sz="4" w:space="0" w:color="808080"/>
                    <w:right w:val="single" w:sz="4" w:space="0" w:color="808080"/>
                  </w:tcBorders>
                </w:tcPr>
                <w:p w14:paraId="0A21CFE8" w14:textId="5878A3E0" w:rsidR="00996C07" w:rsidRDefault="00996C07" w:rsidP="00FE4015">
                  <w:pPr>
                    <w:pStyle w:val="Tablesmalltext"/>
                  </w:pPr>
                  <w:r>
                    <w:t>K</w:t>
                  </w:r>
                </w:p>
              </w:tc>
              <w:tc>
                <w:tcPr>
                  <w:tcW w:w="1071" w:type="dxa"/>
                  <w:tcBorders>
                    <w:top w:val="single" w:sz="4" w:space="0" w:color="808080"/>
                    <w:left w:val="single" w:sz="4" w:space="0" w:color="808080"/>
                    <w:bottom w:val="single" w:sz="4" w:space="0" w:color="808080"/>
                    <w:right w:val="single" w:sz="4" w:space="0" w:color="808080"/>
                  </w:tcBorders>
                </w:tcPr>
                <w:p w14:paraId="4E31AD14" w14:textId="203AFE6D" w:rsidR="00996C07" w:rsidRDefault="00996C07" w:rsidP="00FE4015">
                  <w:pPr>
                    <w:pStyle w:val="Tablesmalltext"/>
                  </w:pPr>
                  <w:r>
                    <w:t>June 2020</w:t>
                  </w:r>
                </w:p>
              </w:tc>
              <w:tc>
                <w:tcPr>
                  <w:tcW w:w="4399" w:type="dxa"/>
                  <w:tcBorders>
                    <w:top w:val="single" w:sz="4" w:space="0" w:color="808080"/>
                    <w:left w:val="single" w:sz="4" w:space="0" w:color="808080"/>
                    <w:bottom w:val="single" w:sz="4" w:space="0" w:color="808080"/>
                    <w:right w:val="single" w:sz="4" w:space="0" w:color="808080"/>
                  </w:tcBorders>
                </w:tcPr>
                <w:p w14:paraId="62C9C223" w14:textId="0FE25999" w:rsidR="00996C07" w:rsidRDefault="00A2651C" w:rsidP="00FE4015">
                  <w:pPr>
                    <w:pStyle w:val="Tablesmalltext"/>
                  </w:pPr>
                  <w:r>
                    <w:t>Further revisions</w:t>
                  </w:r>
                  <w:r w:rsidR="00965126">
                    <w:t xml:space="preserve"> after DJPR review</w:t>
                  </w:r>
                </w:p>
              </w:tc>
              <w:tc>
                <w:tcPr>
                  <w:tcW w:w="1166" w:type="dxa"/>
                  <w:tcBorders>
                    <w:top w:val="single" w:sz="4" w:space="0" w:color="808080"/>
                    <w:left w:val="single" w:sz="4" w:space="0" w:color="808080"/>
                    <w:bottom w:val="single" w:sz="4" w:space="0" w:color="808080"/>
                    <w:right w:val="single" w:sz="4" w:space="0" w:color="808080"/>
                  </w:tcBorders>
                </w:tcPr>
                <w:p w14:paraId="7129ABCD" w14:textId="288825A8" w:rsidR="00996C07" w:rsidRDefault="00965126" w:rsidP="00FE4015">
                  <w:pPr>
                    <w:pStyle w:val="Tablesmalltext"/>
                  </w:pPr>
                  <w:r>
                    <w:t>GH</w:t>
                  </w:r>
                </w:p>
              </w:tc>
              <w:tc>
                <w:tcPr>
                  <w:tcW w:w="1063" w:type="dxa"/>
                  <w:tcBorders>
                    <w:top w:val="single" w:sz="4" w:space="0" w:color="808080"/>
                    <w:left w:val="single" w:sz="4" w:space="0" w:color="808080"/>
                    <w:bottom w:val="single" w:sz="4" w:space="0" w:color="808080"/>
                    <w:right w:val="single" w:sz="4" w:space="0" w:color="808080"/>
                  </w:tcBorders>
                </w:tcPr>
                <w:p w14:paraId="66B0D7AC" w14:textId="77777777" w:rsidR="00996C07" w:rsidRDefault="00996C07" w:rsidP="00FE4015">
                  <w:pPr>
                    <w:pStyle w:val="Tablesmalltext"/>
                  </w:pPr>
                </w:p>
              </w:tc>
              <w:tc>
                <w:tcPr>
                  <w:tcW w:w="935" w:type="dxa"/>
                  <w:tcBorders>
                    <w:top w:val="single" w:sz="4" w:space="0" w:color="808080"/>
                    <w:left w:val="single" w:sz="4" w:space="0" w:color="808080"/>
                    <w:bottom w:val="single" w:sz="4" w:space="0" w:color="808080"/>
                    <w:right w:val="single" w:sz="4" w:space="0" w:color="808080"/>
                  </w:tcBorders>
                </w:tcPr>
                <w:p w14:paraId="294ED999" w14:textId="02219CD2" w:rsidR="00996C07" w:rsidRDefault="00965126" w:rsidP="00FE4015">
                  <w:pPr>
                    <w:pStyle w:val="Tablesmalltext"/>
                  </w:pPr>
                  <w:r>
                    <w:t>GH</w:t>
                  </w:r>
                </w:p>
              </w:tc>
            </w:tr>
            <w:tr w:rsidR="00CB2E14" w:rsidRPr="00BC5572" w14:paraId="3AB382C4" w14:textId="77777777" w:rsidTr="00FB065B">
              <w:trPr>
                <w:cantSplit/>
              </w:trPr>
              <w:tc>
                <w:tcPr>
                  <w:tcW w:w="1072" w:type="dxa"/>
                  <w:tcBorders>
                    <w:top w:val="single" w:sz="4" w:space="0" w:color="808080"/>
                    <w:left w:val="single" w:sz="4" w:space="0" w:color="808080"/>
                    <w:bottom w:val="single" w:sz="4" w:space="0" w:color="808080"/>
                    <w:right w:val="single" w:sz="4" w:space="0" w:color="808080"/>
                  </w:tcBorders>
                </w:tcPr>
                <w:p w14:paraId="1CFB8A26" w14:textId="077E74F5" w:rsidR="00CB2E14" w:rsidRDefault="00E4140A" w:rsidP="00FE4015">
                  <w:pPr>
                    <w:pStyle w:val="Tablesmalltext"/>
                  </w:pPr>
                  <w:r>
                    <w:t>L</w:t>
                  </w:r>
                </w:p>
              </w:tc>
              <w:tc>
                <w:tcPr>
                  <w:tcW w:w="1071" w:type="dxa"/>
                  <w:tcBorders>
                    <w:top w:val="single" w:sz="4" w:space="0" w:color="808080"/>
                    <w:left w:val="single" w:sz="4" w:space="0" w:color="808080"/>
                    <w:bottom w:val="single" w:sz="4" w:space="0" w:color="808080"/>
                    <w:right w:val="single" w:sz="4" w:space="0" w:color="808080"/>
                  </w:tcBorders>
                </w:tcPr>
                <w:p w14:paraId="78EF8627" w14:textId="2689F061" w:rsidR="00CB2E14" w:rsidRDefault="00E4140A" w:rsidP="00FE4015">
                  <w:pPr>
                    <w:pStyle w:val="Tablesmalltext"/>
                  </w:pPr>
                  <w:r>
                    <w:t>July 2020</w:t>
                  </w:r>
                </w:p>
              </w:tc>
              <w:tc>
                <w:tcPr>
                  <w:tcW w:w="4399" w:type="dxa"/>
                  <w:tcBorders>
                    <w:top w:val="single" w:sz="4" w:space="0" w:color="808080"/>
                    <w:left w:val="single" w:sz="4" w:space="0" w:color="808080"/>
                    <w:bottom w:val="single" w:sz="4" w:space="0" w:color="808080"/>
                    <w:right w:val="single" w:sz="4" w:space="0" w:color="808080"/>
                  </w:tcBorders>
                </w:tcPr>
                <w:p w14:paraId="17FA88C5" w14:textId="4DCAEC87" w:rsidR="00CB2E14" w:rsidRDefault="00E4140A" w:rsidP="00FE4015">
                  <w:pPr>
                    <w:pStyle w:val="Tablesmalltext"/>
                  </w:pPr>
                  <w:r>
                    <w:t>Final edits in response to comments</w:t>
                  </w:r>
                </w:p>
              </w:tc>
              <w:tc>
                <w:tcPr>
                  <w:tcW w:w="1166" w:type="dxa"/>
                  <w:tcBorders>
                    <w:top w:val="single" w:sz="4" w:space="0" w:color="808080"/>
                    <w:left w:val="single" w:sz="4" w:space="0" w:color="808080"/>
                    <w:bottom w:val="single" w:sz="4" w:space="0" w:color="808080"/>
                    <w:right w:val="single" w:sz="4" w:space="0" w:color="808080"/>
                  </w:tcBorders>
                </w:tcPr>
                <w:p w14:paraId="015DB820" w14:textId="225A7D79" w:rsidR="00CB2E14" w:rsidRDefault="00E4140A" w:rsidP="00FE4015">
                  <w:pPr>
                    <w:pStyle w:val="Tablesmalltext"/>
                  </w:pPr>
                  <w:r>
                    <w:t>GH</w:t>
                  </w:r>
                </w:p>
              </w:tc>
              <w:tc>
                <w:tcPr>
                  <w:tcW w:w="1063" w:type="dxa"/>
                  <w:tcBorders>
                    <w:top w:val="single" w:sz="4" w:space="0" w:color="808080"/>
                    <w:left w:val="single" w:sz="4" w:space="0" w:color="808080"/>
                    <w:bottom w:val="single" w:sz="4" w:space="0" w:color="808080"/>
                    <w:right w:val="single" w:sz="4" w:space="0" w:color="808080"/>
                  </w:tcBorders>
                </w:tcPr>
                <w:p w14:paraId="036D4CD7" w14:textId="77777777" w:rsidR="00CB2E14" w:rsidRDefault="00CB2E14" w:rsidP="00FE4015">
                  <w:pPr>
                    <w:pStyle w:val="Tablesmalltext"/>
                  </w:pPr>
                </w:p>
              </w:tc>
              <w:tc>
                <w:tcPr>
                  <w:tcW w:w="935" w:type="dxa"/>
                  <w:tcBorders>
                    <w:top w:val="single" w:sz="4" w:space="0" w:color="808080"/>
                    <w:left w:val="single" w:sz="4" w:space="0" w:color="808080"/>
                    <w:bottom w:val="single" w:sz="4" w:space="0" w:color="808080"/>
                    <w:right w:val="single" w:sz="4" w:space="0" w:color="808080"/>
                  </w:tcBorders>
                </w:tcPr>
                <w:p w14:paraId="132983D7" w14:textId="071AB9D5" w:rsidR="00CB2E14" w:rsidRDefault="00E4140A" w:rsidP="00FE4015">
                  <w:pPr>
                    <w:pStyle w:val="Tablesmalltext"/>
                  </w:pPr>
                  <w:r>
                    <w:t>GH</w:t>
                  </w:r>
                </w:p>
              </w:tc>
            </w:tr>
            <w:tr w:rsidR="006A02BD" w:rsidRPr="00BC5572" w14:paraId="0452DC35" w14:textId="77777777" w:rsidTr="00FB065B">
              <w:trPr>
                <w:cantSplit/>
              </w:trPr>
              <w:tc>
                <w:tcPr>
                  <w:tcW w:w="1072" w:type="dxa"/>
                  <w:tcBorders>
                    <w:top w:val="single" w:sz="4" w:space="0" w:color="808080"/>
                    <w:left w:val="single" w:sz="4" w:space="0" w:color="808080"/>
                    <w:bottom w:val="single" w:sz="4" w:space="0" w:color="808080"/>
                    <w:right w:val="single" w:sz="4" w:space="0" w:color="808080"/>
                  </w:tcBorders>
                </w:tcPr>
                <w:p w14:paraId="0EAD5F31" w14:textId="611834D7" w:rsidR="006A02BD" w:rsidRDefault="006A02BD" w:rsidP="00FE4015">
                  <w:pPr>
                    <w:pStyle w:val="Tablesmalltext"/>
                  </w:pPr>
                  <w:r>
                    <w:t>Final</w:t>
                  </w:r>
                </w:p>
              </w:tc>
              <w:tc>
                <w:tcPr>
                  <w:tcW w:w="1071" w:type="dxa"/>
                  <w:tcBorders>
                    <w:top w:val="single" w:sz="4" w:space="0" w:color="808080"/>
                    <w:left w:val="single" w:sz="4" w:space="0" w:color="808080"/>
                    <w:bottom w:val="single" w:sz="4" w:space="0" w:color="808080"/>
                    <w:right w:val="single" w:sz="4" w:space="0" w:color="808080"/>
                  </w:tcBorders>
                </w:tcPr>
                <w:p w14:paraId="2C29952C" w14:textId="5159C3F3" w:rsidR="006A02BD" w:rsidRDefault="006A02BD" w:rsidP="00FE4015">
                  <w:pPr>
                    <w:pStyle w:val="Tablesmalltext"/>
                  </w:pPr>
                  <w:r>
                    <w:t>Dec 2020</w:t>
                  </w:r>
                </w:p>
              </w:tc>
              <w:tc>
                <w:tcPr>
                  <w:tcW w:w="4399" w:type="dxa"/>
                  <w:tcBorders>
                    <w:top w:val="single" w:sz="4" w:space="0" w:color="808080"/>
                    <w:left w:val="single" w:sz="4" w:space="0" w:color="808080"/>
                    <w:bottom w:val="single" w:sz="4" w:space="0" w:color="808080"/>
                    <w:right w:val="single" w:sz="4" w:space="0" w:color="808080"/>
                  </w:tcBorders>
                </w:tcPr>
                <w:p w14:paraId="524C7F91" w14:textId="05506450" w:rsidR="006A02BD" w:rsidRDefault="006A02BD" w:rsidP="00FE4015">
                  <w:pPr>
                    <w:pStyle w:val="Tablesmalltext"/>
                  </w:pPr>
                  <w:r>
                    <w:t>Changes to intro and context provided by DJPR</w:t>
                  </w:r>
                </w:p>
              </w:tc>
              <w:tc>
                <w:tcPr>
                  <w:tcW w:w="1166" w:type="dxa"/>
                  <w:tcBorders>
                    <w:top w:val="single" w:sz="4" w:space="0" w:color="808080"/>
                    <w:left w:val="single" w:sz="4" w:space="0" w:color="808080"/>
                    <w:bottom w:val="single" w:sz="4" w:space="0" w:color="808080"/>
                    <w:right w:val="single" w:sz="4" w:space="0" w:color="808080"/>
                  </w:tcBorders>
                </w:tcPr>
                <w:p w14:paraId="5BC6BB8F" w14:textId="1BB612DB" w:rsidR="006A02BD" w:rsidRDefault="006A02BD" w:rsidP="00FE4015">
                  <w:pPr>
                    <w:pStyle w:val="Tablesmalltext"/>
                  </w:pPr>
                  <w:r>
                    <w:t>GH</w:t>
                  </w:r>
                </w:p>
              </w:tc>
              <w:tc>
                <w:tcPr>
                  <w:tcW w:w="1063" w:type="dxa"/>
                  <w:tcBorders>
                    <w:top w:val="single" w:sz="4" w:space="0" w:color="808080"/>
                    <w:left w:val="single" w:sz="4" w:space="0" w:color="808080"/>
                    <w:bottom w:val="single" w:sz="4" w:space="0" w:color="808080"/>
                    <w:right w:val="single" w:sz="4" w:space="0" w:color="808080"/>
                  </w:tcBorders>
                </w:tcPr>
                <w:p w14:paraId="72164DA3" w14:textId="77777777" w:rsidR="006A02BD" w:rsidRDefault="006A02BD" w:rsidP="00FE4015">
                  <w:pPr>
                    <w:pStyle w:val="Tablesmalltext"/>
                  </w:pPr>
                </w:p>
              </w:tc>
              <w:tc>
                <w:tcPr>
                  <w:tcW w:w="935" w:type="dxa"/>
                  <w:tcBorders>
                    <w:top w:val="single" w:sz="4" w:space="0" w:color="808080"/>
                    <w:left w:val="single" w:sz="4" w:space="0" w:color="808080"/>
                    <w:bottom w:val="single" w:sz="4" w:space="0" w:color="808080"/>
                    <w:right w:val="single" w:sz="4" w:space="0" w:color="808080"/>
                  </w:tcBorders>
                </w:tcPr>
                <w:p w14:paraId="5CAD6D9C" w14:textId="23817874" w:rsidR="006A02BD" w:rsidRDefault="006A02BD" w:rsidP="00FE4015">
                  <w:pPr>
                    <w:pStyle w:val="Tablesmalltext"/>
                  </w:pPr>
                  <w:r>
                    <w:t>GH</w:t>
                  </w:r>
                </w:p>
              </w:tc>
            </w:tr>
          </w:tbl>
          <w:p w14:paraId="1BE2AE0D" w14:textId="77777777" w:rsidR="001777ED" w:rsidRPr="0023226C" w:rsidRDefault="001777ED" w:rsidP="001777ED">
            <w:pPr>
              <w:suppressAutoHyphens/>
              <w:autoSpaceDE w:val="0"/>
              <w:autoSpaceDN w:val="0"/>
              <w:adjustRightInd w:val="0"/>
              <w:spacing w:after="0" w:line="180" w:lineRule="atLeast"/>
              <w:textAlignment w:val="center"/>
              <w:rPr>
                <w:sz w:val="14"/>
              </w:rPr>
            </w:pPr>
          </w:p>
        </w:tc>
      </w:tr>
    </w:tbl>
    <w:p w14:paraId="743EB621" w14:textId="77777777" w:rsidR="0058016C" w:rsidRDefault="0058016C">
      <w:pPr>
        <w:spacing w:after="0" w:line="240" w:lineRule="auto"/>
        <w:rPr>
          <w:b/>
          <w:color w:val="00338D"/>
          <w:sz w:val="24"/>
        </w:rPr>
      </w:pPr>
      <w:r>
        <w:br w:type="page"/>
      </w:r>
    </w:p>
    <w:p w14:paraId="2DF9DC83" w14:textId="7B9A9478" w:rsidR="0023226C" w:rsidRPr="0023226C" w:rsidRDefault="0023226C" w:rsidP="0023226C">
      <w:pPr>
        <w:pStyle w:val="Contents"/>
      </w:pPr>
      <w:r w:rsidRPr="0023226C">
        <w:lastRenderedPageBreak/>
        <w:t>Contents</w:t>
      </w:r>
    </w:p>
    <w:sdt>
      <w:sdtPr>
        <w:rPr>
          <w:b/>
          <w:noProof w:val="0"/>
          <w:szCs w:val="24"/>
        </w:rPr>
        <w:id w:val="243461376"/>
        <w:docPartObj>
          <w:docPartGallery w:val="Table of Contents"/>
          <w:docPartUnique/>
        </w:docPartObj>
      </w:sdtPr>
      <w:sdtEndPr>
        <w:rPr>
          <w:noProof/>
        </w:rPr>
      </w:sdtEndPr>
      <w:sdtContent>
        <w:p w14:paraId="4F57E72B" w14:textId="0A902635" w:rsidR="00FE004D" w:rsidRDefault="00D45465">
          <w:pPr>
            <w:pStyle w:val="TOC2"/>
            <w:rPr>
              <w:rFonts w:asciiTheme="minorHAnsi" w:hAnsiTheme="minorHAnsi"/>
              <w:sz w:val="22"/>
              <w:szCs w:val="22"/>
              <w:lang w:val="en-AU" w:eastAsia="en-AU"/>
            </w:rPr>
          </w:pPr>
          <w:r>
            <w:fldChar w:fldCharType="begin"/>
          </w:r>
          <w:r>
            <w:instrText xml:space="preserve"> TOC \o "1-2" \h \z \u </w:instrText>
          </w:r>
          <w:r>
            <w:fldChar w:fldCharType="separate"/>
          </w:r>
          <w:hyperlink w:anchor="_Toc57907070" w:history="1">
            <w:r w:rsidR="00FE004D" w:rsidRPr="008D7F0A">
              <w:rPr>
                <w:rStyle w:val="Hyperlink"/>
              </w:rPr>
              <w:t>Acknowledgements</w:t>
            </w:r>
            <w:r w:rsidR="00FE004D">
              <w:rPr>
                <w:webHidden/>
              </w:rPr>
              <w:tab/>
            </w:r>
            <w:r w:rsidR="00FE004D">
              <w:rPr>
                <w:webHidden/>
              </w:rPr>
              <w:fldChar w:fldCharType="begin"/>
            </w:r>
            <w:r w:rsidR="00FE004D">
              <w:rPr>
                <w:webHidden/>
              </w:rPr>
              <w:instrText xml:space="preserve"> PAGEREF _Toc57907070 \h </w:instrText>
            </w:r>
            <w:r w:rsidR="00FE004D">
              <w:rPr>
                <w:webHidden/>
              </w:rPr>
            </w:r>
            <w:r w:rsidR="00FE004D">
              <w:rPr>
                <w:webHidden/>
              </w:rPr>
              <w:fldChar w:fldCharType="separate"/>
            </w:r>
            <w:r w:rsidR="00A83148">
              <w:rPr>
                <w:webHidden/>
              </w:rPr>
              <w:t>i</w:t>
            </w:r>
            <w:r w:rsidR="00FE004D">
              <w:rPr>
                <w:webHidden/>
              </w:rPr>
              <w:fldChar w:fldCharType="end"/>
            </w:r>
          </w:hyperlink>
        </w:p>
        <w:p w14:paraId="7A4C3329" w14:textId="0085F45F" w:rsidR="00FE004D" w:rsidRDefault="00E97F02">
          <w:pPr>
            <w:pStyle w:val="TOC2"/>
            <w:rPr>
              <w:rFonts w:asciiTheme="minorHAnsi" w:hAnsiTheme="minorHAnsi"/>
              <w:sz w:val="22"/>
              <w:szCs w:val="22"/>
              <w:lang w:val="en-AU" w:eastAsia="en-AU"/>
            </w:rPr>
          </w:pPr>
          <w:hyperlink w:anchor="_Toc57907071" w:history="1">
            <w:r w:rsidR="00FE004D" w:rsidRPr="008D7F0A">
              <w:rPr>
                <w:rStyle w:val="Hyperlink"/>
              </w:rPr>
              <w:t>Definitions and abbreviations</w:t>
            </w:r>
            <w:r w:rsidR="00FE004D">
              <w:rPr>
                <w:webHidden/>
              </w:rPr>
              <w:tab/>
            </w:r>
            <w:r w:rsidR="00FE004D">
              <w:rPr>
                <w:webHidden/>
              </w:rPr>
              <w:fldChar w:fldCharType="begin"/>
            </w:r>
            <w:r w:rsidR="00FE004D">
              <w:rPr>
                <w:webHidden/>
              </w:rPr>
              <w:instrText xml:space="preserve"> PAGEREF _Toc57907071 \h </w:instrText>
            </w:r>
            <w:r w:rsidR="00FE004D">
              <w:rPr>
                <w:webHidden/>
              </w:rPr>
            </w:r>
            <w:r w:rsidR="00FE004D">
              <w:rPr>
                <w:webHidden/>
              </w:rPr>
              <w:fldChar w:fldCharType="separate"/>
            </w:r>
            <w:r w:rsidR="00A83148">
              <w:rPr>
                <w:webHidden/>
              </w:rPr>
              <w:t>i</w:t>
            </w:r>
            <w:r w:rsidR="00FE004D">
              <w:rPr>
                <w:webHidden/>
              </w:rPr>
              <w:fldChar w:fldCharType="end"/>
            </w:r>
          </w:hyperlink>
        </w:p>
        <w:p w14:paraId="5853A43A" w14:textId="4D86E56E" w:rsidR="00FE004D" w:rsidRDefault="00E97F02">
          <w:pPr>
            <w:pStyle w:val="TOC2"/>
            <w:rPr>
              <w:rFonts w:asciiTheme="minorHAnsi" w:hAnsiTheme="minorHAnsi"/>
              <w:sz w:val="22"/>
              <w:szCs w:val="22"/>
              <w:lang w:val="en-AU" w:eastAsia="en-AU"/>
            </w:rPr>
          </w:pPr>
          <w:hyperlink w:anchor="_Toc57907072" w:history="1">
            <w:r w:rsidR="00FE004D" w:rsidRPr="008D7F0A">
              <w:rPr>
                <w:rStyle w:val="Hyperlink"/>
              </w:rPr>
              <w:t>Executive Summary</w:t>
            </w:r>
            <w:r w:rsidR="00FE004D">
              <w:rPr>
                <w:webHidden/>
              </w:rPr>
              <w:tab/>
            </w:r>
            <w:r w:rsidR="00FE004D">
              <w:rPr>
                <w:webHidden/>
              </w:rPr>
              <w:fldChar w:fldCharType="begin"/>
            </w:r>
            <w:r w:rsidR="00FE004D">
              <w:rPr>
                <w:webHidden/>
              </w:rPr>
              <w:instrText xml:space="preserve"> PAGEREF _Toc57907072 \h </w:instrText>
            </w:r>
            <w:r w:rsidR="00FE004D">
              <w:rPr>
                <w:webHidden/>
              </w:rPr>
            </w:r>
            <w:r w:rsidR="00FE004D">
              <w:rPr>
                <w:webHidden/>
              </w:rPr>
              <w:fldChar w:fldCharType="separate"/>
            </w:r>
            <w:r w:rsidR="00A83148">
              <w:rPr>
                <w:webHidden/>
              </w:rPr>
              <w:t>ii</w:t>
            </w:r>
            <w:r w:rsidR="00FE004D">
              <w:rPr>
                <w:webHidden/>
              </w:rPr>
              <w:fldChar w:fldCharType="end"/>
            </w:r>
          </w:hyperlink>
        </w:p>
        <w:p w14:paraId="1BD03A7C" w14:textId="1E6B1F45" w:rsidR="00FE004D" w:rsidRDefault="00E97F02">
          <w:pPr>
            <w:pStyle w:val="TOC2"/>
            <w:rPr>
              <w:rFonts w:asciiTheme="minorHAnsi" w:hAnsiTheme="minorHAnsi"/>
              <w:sz w:val="22"/>
              <w:szCs w:val="22"/>
              <w:lang w:val="en-AU" w:eastAsia="en-AU"/>
            </w:rPr>
          </w:pPr>
          <w:hyperlink w:anchor="_Toc57907073" w:history="1">
            <w:r w:rsidR="00FE004D" w:rsidRPr="008D7F0A">
              <w:rPr>
                <w:rStyle w:val="Hyperlink"/>
              </w:rPr>
              <w:t>Important note about this report</w:t>
            </w:r>
            <w:r w:rsidR="00FE004D">
              <w:rPr>
                <w:webHidden/>
              </w:rPr>
              <w:tab/>
            </w:r>
            <w:r w:rsidR="00FE004D">
              <w:rPr>
                <w:webHidden/>
              </w:rPr>
              <w:fldChar w:fldCharType="begin"/>
            </w:r>
            <w:r w:rsidR="00FE004D">
              <w:rPr>
                <w:webHidden/>
              </w:rPr>
              <w:instrText xml:space="preserve"> PAGEREF _Toc57907073 \h </w:instrText>
            </w:r>
            <w:r w:rsidR="00FE004D">
              <w:rPr>
                <w:webHidden/>
              </w:rPr>
            </w:r>
            <w:r w:rsidR="00FE004D">
              <w:rPr>
                <w:webHidden/>
              </w:rPr>
              <w:fldChar w:fldCharType="separate"/>
            </w:r>
            <w:r w:rsidR="00A83148">
              <w:rPr>
                <w:webHidden/>
              </w:rPr>
              <w:t>xiii</w:t>
            </w:r>
            <w:r w:rsidR="00FE004D">
              <w:rPr>
                <w:webHidden/>
              </w:rPr>
              <w:fldChar w:fldCharType="end"/>
            </w:r>
          </w:hyperlink>
        </w:p>
        <w:p w14:paraId="1E6072BA" w14:textId="78704E5A" w:rsidR="00FE004D" w:rsidRDefault="00E97F02">
          <w:pPr>
            <w:pStyle w:val="TOC1"/>
            <w:rPr>
              <w:rFonts w:asciiTheme="minorHAnsi" w:hAnsiTheme="minorHAnsi"/>
              <w:b w:val="0"/>
              <w:sz w:val="22"/>
              <w:szCs w:val="22"/>
              <w:lang w:val="en-AU" w:eastAsia="en-AU"/>
            </w:rPr>
          </w:pPr>
          <w:hyperlink w:anchor="_Toc57907074" w:history="1">
            <w:r w:rsidR="00FE004D" w:rsidRPr="008D7F0A">
              <w:rPr>
                <w:rStyle w:val="Hyperlink"/>
              </w:rPr>
              <w:t>1.</w:t>
            </w:r>
            <w:r w:rsidR="00FE004D">
              <w:rPr>
                <w:rFonts w:asciiTheme="minorHAnsi" w:hAnsiTheme="minorHAnsi"/>
                <w:b w:val="0"/>
                <w:sz w:val="22"/>
                <w:szCs w:val="22"/>
                <w:lang w:val="en-AU" w:eastAsia="en-AU"/>
              </w:rPr>
              <w:tab/>
            </w:r>
            <w:r w:rsidR="00FE004D" w:rsidRPr="008D7F0A">
              <w:rPr>
                <w:rStyle w:val="Hyperlink"/>
              </w:rPr>
              <w:t>Introduction</w:t>
            </w:r>
            <w:r w:rsidR="00FE004D">
              <w:rPr>
                <w:webHidden/>
              </w:rPr>
              <w:tab/>
            </w:r>
            <w:r w:rsidR="00FE004D">
              <w:rPr>
                <w:webHidden/>
              </w:rPr>
              <w:fldChar w:fldCharType="begin"/>
            </w:r>
            <w:r w:rsidR="00FE004D">
              <w:rPr>
                <w:webHidden/>
              </w:rPr>
              <w:instrText xml:space="preserve"> PAGEREF _Toc57907074 \h </w:instrText>
            </w:r>
            <w:r w:rsidR="00FE004D">
              <w:rPr>
                <w:webHidden/>
              </w:rPr>
            </w:r>
            <w:r w:rsidR="00FE004D">
              <w:rPr>
                <w:webHidden/>
              </w:rPr>
              <w:fldChar w:fldCharType="separate"/>
            </w:r>
            <w:r w:rsidR="00A83148">
              <w:rPr>
                <w:webHidden/>
              </w:rPr>
              <w:t>1</w:t>
            </w:r>
            <w:r w:rsidR="00FE004D">
              <w:rPr>
                <w:webHidden/>
              </w:rPr>
              <w:fldChar w:fldCharType="end"/>
            </w:r>
          </w:hyperlink>
        </w:p>
        <w:p w14:paraId="751E0E94" w14:textId="0E1C11C1" w:rsidR="00FE004D" w:rsidRDefault="00E97F02">
          <w:pPr>
            <w:pStyle w:val="TOC2"/>
            <w:rPr>
              <w:rFonts w:asciiTheme="minorHAnsi" w:hAnsiTheme="minorHAnsi"/>
              <w:sz w:val="22"/>
              <w:szCs w:val="22"/>
              <w:lang w:val="en-AU" w:eastAsia="en-AU"/>
            </w:rPr>
          </w:pPr>
          <w:hyperlink w:anchor="_Toc57907075" w:history="1">
            <w:r w:rsidR="00FE004D" w:rsidRPr="008D7F0A">
              <w:rPr>
                <w:rStyle w:val="Hyperlink"/>
                <w:lang w:val="en-AU"/>
              </w:rPr>
              <w:t>1.1</w:t>
            </w:r>
            <w:r w:rsidR="00FE004D">
              <w:rPr>
                <w:rFonts w:asciiTheme="minorHAnsi" w:hAnsiTheme="minorHAnsi"/>
                <w:sz w:val="22"/>
                <w:szCs w:val="22"/>
                <w:lang w:val="en-AU" w:eastAsia="en-AU"/>
              </w:rPr>
              <w:tab/>
            </w:r>
            <w:r w:rsidR="00FE004D" w:rsidRPr="008D7F0A">
              <w:rPr>
                <w:rStyle w:val="Hyperlink"/>
                <w:lang w:val="en-AU"/>
              </w:rPr>
              <w:t>Background</w:t>
            </w:r>
            <w:r w:rsidR="00FE004D">
              <w:rPr>
                <w:webHidden/>
              </w:rPr>
              <w:tab/>
            </w:r>
            <w:r w:rsidR="00FE004D">
              <w:rPr>
                <w:webHidden/>
              </w:rPr>
              <w:fldChar w:fldCharType="begin"/>
            </w:r>
            <w:r w:rsidR="00FE004D">
              <w:rPr>
                <w:webHidden/>
              </w:rPr>
              <w:instrText xml:space="preserve"> PAGEREF _Toc57907075 \h </w:instrText>
            </w:r>
            <w:r w:rsidR="00FE004D">
              <w:rPr>
                <w:webHidden/>
              </w:rPr>
            </w:r>
            <w:r w:rsidR="00FE004D">
              <w:rPr>
                <w:webHidden/>
              </w:rPr>
              <w:fldChar w:fldCharType="separate"/>
            </w:r>
            <w:r w:rsidR="00A83148">
              <w:rPr>
                <w:webHidden/>
              </w:rPr>
              <w:t>1</w:t>
            </w:r>
            <w:r w:rsidR="00FE004D">
              <w:rPr>
                <w:webHidden/>
              </w:rPr>
              <w:fldChar w:fldCharType="end"/>
            </w:r>
          </w:hyperlink>
        </w:p>
        <w:p w14:paraId="1D2228C5" w14:textId="21C3366B" w:rsidR="00FE004D" w:rsidRDefault="00E97F02">
          <w:pPr>
            <w:pStyle w:val="TOC2"/>
            <w:rPr>
              <w:rFonts w:asciiTheme="minorHAnsi" w:hAnsiTheme="minorHAnsi"/>
              <w:sz w:val="22"/>
              <w:szCs w:val="22"/>
              <w:lang w:val="en-AU" w:eastAsia="en-AU"/>
            </w:rPr>
          </w:pPr>
          <w:hyperlink w:anchor="_Toc57907076" w:history="1">
            <w:r w:rsidR="00FE004D" w:rsidRPr="008D7F0A">
              <w:rPr>
                <w:rStyle w:val="Hyperlink"/>
                <w:lang w:val="en-AU"/>
              </w:rPr>
              <w:t>1.2</w:t>
            </w:r>
            <w:r w:rsidR="00FE004D">
              <w:rPr>
                <w:rFonts w:asciiTheme="minorHAnsi" w:hAnsiTheme="minorHAnsi"/>
                <w:sz w:val="22"/>
                <w:szCs w:val="22"/>
                <w:lang w:val="en-AU" w:eastAsia="en-AU"/>
              </w:rPr>
              <w:tab/>
            </w:r>
            <w:r w:rsidR="00FE004D" w:rsidRPr="008D7F0A">
              <w:rPr>
                <w:rStyle w:val="Hyperlink"/>
                <w:lang w:val="en-AU"/>
              </w:rPr>
              <w:t>LVRRS Development Context for the Study</w:t>
            </w:r>
            <w:r w:rsidR="00FE004D">
              <w:rPr>
                <w:webHidden/>
              </w:rPr>
              <w:tab/>
            </w:r>
            <w:r w:rsidR="00FE004D">
              <w:rPr>
                <w:webHidden/>
              </w:rPr>
              <w:fldChar w:fldCharType="begin"/>
            </w:r>
            <w:r w:rsidR="00FE004D">
              <w:rPr>
                <w:webHidden/>
              </w:rPr>
              <w:instrText xml:space="preserve"> PAGEREF _Toc57907076 \h </w:instrText>
            </w:r>
            <w:r w:rsidR="00FE004D">
              <w:rPr>
                <w:webHidden/>
              </w:rPr>
            </w:r>
            <w:r w:rsidR="00FE004D">
              <w:rPr>
                <w:webHidden/>
              </w:rPr>
              <w:fldChar w:fldCharType="separate"/>
            </w:r>
            <w:r w:rsidR="00A83148">
              <w:rPr>
                <w:webHidden/>
              </w:rPr>
              <w:t>2</w:t>
            </w:r>
            <w:r w:rsidR="00FE004D">
              <w:rPr>
                <w:webHidden/>
              </w:rPr>
              <w:fldChar w:fldCharType="end"/>
            </w:r>
          </w:hyperlink>
        </w:p>
        <w:p w14:paraId="4282E1B6" w14:textId="26B2162F" w:rsidR="00FE004D" w:rsidRDefault="00E97F02">
          <w:pPr>
            <w:pStyle w:val="TOC2"/>
            <w:rPr>
              <w:rFonts w:asciiTheme="minorHAnsi" w:hAnsiTheme="minorHAnsi"/>
              <w:sz w:val="22"/>
              <w:szCs w:val="22"/>
              <w:lang w:val="en-AU" w:eastAsia="en-AU"/>
            </w:rPr>
          </w:pPr>
          <w:hyperlink w:anchor="_Toc57907077" w:history="1">
            <w:r w:rsidR="00FE004D" w:rsidRPr="008D7F0A">
              <w:rPr>
                <w:rStyle w:val="Hyperlink"/>
              </w:rPr>
              <w:t>1.3</w:t>
            </w:r>
            <w:r w:rsidR="00FE004D">
              <w:rPr>
                <w:rFonts w:asciiTheme="minorHAnsi" w:hAnsiTheme="minorHAnsi"/>
                <w:sz w:val="22"/>
                <w:szCs w:val="22"/>
                <w:lang w:val="en-AU" w:eastAsia="en-AU"/>
              </w:rPr>
              <w:tab/>
            </w:r>
            <w:r w:rsidR="00FE004D" w:rsidRPr="008D7F0A">
              <w:rPr>
                <w:rStyle w:val="Hyperlink"/>
              </w:rPr>
              <w:t>Objective</w:t>
            </w:r>
            <w:r w:rsidR="00FE004D">
              <w:rPr>
                <w:webHidden/>
              </w:rPr>
              <w:tab/>
            </w:r>
            <w:r w:rsidR="00FE004D">
              <w:rPr>
                <w:webHidden/>
              </w:rPr>
              <w:fldChar w:fldCharType="begin"/>
            </w:r>
            <w:r w:rsidR="00FE004D">
              <w:rPr>
                <w:webHidden/>
              </w:rPr>
              <w:instrText xml:space="preserve"> PAGEREF _Toc57907077 \h </w:instrText>
            </w:r>
            <w:r w:rsidR="00FE004D">
              <w:rPr>
                <w:webHidden/>
              </w:rPr>
            </w:r>
            <w:r w:rsidR="00FE004D">
              <w:rPr>
                <w:webHidden/>
              </w:rPr>
              <w:fldChar w:fldCharType="separate"/>
            </w:r>
            <w:r w:rsidR="00A83148">
              <w:rPr>
                <w:webHidden/>
              </w:rPr>
              <w:t>2</w:t>
            </w:r>
            <w:r w:rsidR="00FE004D">
              <w:rPr>
                <w:webHidden/>
              </w:rPr>
              <w:fldChar w:fldCharType="end"/>
            </w:r>
          </w:hyperlink>
        </w:p>
        <w:p w14:paraId="3219DC48" w14:textId="26E94F82" w:rsidR="00FE004D" w:rsidRDefault="00E97F02">
          <w:pPr>
            <w:pStyle w:val="TOC2"/>
            <w:rPr>
              <w:rFonts w:asciiTheme="minorHAnsi" w:hAnsiTheme="minorHAnsi"/>
              <w:sz w:val="22"/>
              <w:szCs w:val="22"/>
              <w:lang w:val="en-AU" w:eastAsia="en-AU"/>
            </w:rPr>
          </w:pPr>
          <w:hyperlink w:anchor="_Toc57907078" w:history="1">
            <w:r w:rsidR="00FE004D" w:rsidRPr="008D7F0A">
              <w:rPr>
                <w:rStyle w:val="Hyperlink"/>
              </w:rPr>
              <w:t>1.4</w:t>
            </w:r>
            <w:r w:rsidR="00FE004D">
              <w:rPr>
                <w:rFonts w:asciiTheme="minorHAnsi" w:hAnsiTheme="minorHAnsi"/>
                <w:sz w:val="22"/>
                <w:szCs w:val="22"/>
                <w:lang w:val="en-AU" w:eastAsia="en-AU"/>
              </w:rPr>
              <w:tab/>
            </w:r>
            <w:r w:rsidR="00FE004D" w:rsidRPr="008D7F0A">
              <w:rPr>
                <w:rStyle w:val="Hyperlink"/>
              </w:rPr>
              <w:t>Scope</w:t>
            </w:r>
            <w:r w:rsidR="00FE004D">
              <w:rPr>
                <w:webHidden/>
              </w:rPr>
              <w:tab/>
            </w:r>
            <w:r w:rsidR="00FE004D">
              <w:rPr>
                <w:webHidden/>
              </w:rPr>
              <w:fldChar w:fldCharType="begin"/>
            </w:r>
            <w:r w:rsidR="00FE004D">
              <w:rPr>
                <w:webHidden/>
              </w:rPr>
              <w:instrText xml:space="preserve"> PAGEREF _Toc57907078 \h </w:instrText>
            </w:r>
            <w:r w:rsidR="00FE004D">
              <w:rPr>
                <w:webHidden/>
              </w:rPr>
            </w:r>
            <w:r w:rsidR="00FE004D">
              <w:rPr>
                <w:webHidden/>
              </w:rPr>
              <w:fldChar w:fldCharType="separate"/>
            </w:r>
            <w:r w:rsidR="00A83148">
              <w:rPr>
                <w:webHidden/>
              </w:rPr>
              <w:t>2</w:t>
            </w:r>
            <w:r w:rsidR="00FE004D">
              <w:rPr>
                <w:webHidden/>
              </w:rPr>
              <w:fldChar w:fldCharType="end"/>
            </w:r>
          </w:hyperlink>
        </w:p>
        <w:p w14:paraId="252495D7" w14:textId="7B5C5A7B" w:rsidR="00FE004D" w:rsidRDefault="00E97F02">
          <w:pPr>
            <w:pStyle w:val="TOC2"/>
            <w:rPr>
              <w:rFonts w:asciiTheme="minorHAnsi" w:hAnsiTheme="minorHAnsi"/>
              <w:sz w:val="22"/>
              <w:szCs w:val="22"/>
              <w:lang w:val="en-AU" w:eastAsia="en-AU"/>
            </w:rPr>
          </w:pPr>
          <w:hyperlink w:anchor="_Toc57907079" w:history="1">
            <w:r w:rsidR="00FE004D" w:rsidRPr="008D7F0A">
              <w:rPr>
                <w:rStyle w:val="Hyperlink"/>
              </w:rPr>
              <w:t>1.5</w:t>
            </w:r>
            <w:r w:rsidR="00FE004D">
              <w:rPr>
                <w:rFonts w:asciiTheme="minorHAnsi" w:hAnsiTheme="minorHAnsi"/>
                <w:sz w:val="22"/>
                <w:szCs w:val="22"/>
                <w:lang w:val="en-AU" w:eastAsia="en-AU"/>
              </w:rPr>
              <w:tab/>
            </w:r>
            <w:r w:rsidR="00FE004D" w:rsidRPr="008D7F0A">
              <w:rPr>
                <w:rStyle w:val="Hyperlink"/>
              </w:rPr>
              <w:t>Approach</w:t>
            </w:r>
            <w:r w:rsidR="00FE004D">
              <w:rPr>
                <w:webHidden/>
              </w:rPr>
              <w:tab/>
            </w:r>
            <w:r w:rsidR="00FE004D">
              <w:rPr>
                <w:webHidden/>
              </w:rPr>
              <w:fldChar w:fldCharType="begin"/>
            </w:r>
            <w:r w:rsidR="00FE004D">
              <w:rPr>
                <w:webHidden/>
              </w:rPr>
              <w:instrText xml:space="preserve"> PAGEREF _Toc57907079 \h </w:instrText>
            </w:r>
            <w:r w:rsidR="00FE004D">
              <w:rPr>
                <w:webHidden/>
              </w:rPr>
            </w:r>
            <w:r w:rsidR="00FE004D">
              <w:rPr>
                <w:webHidden/>
              </w:rPr>
              <w:fldChar w:fldCharType="separate"/>
            </w:r>
            <w:r w:rsidR="00A83148">
              <w:rPr>
                <w:webHidden/>
              </w:rPr>
              <w:t>3</w:t>
            </w:r>
            <w:r w:rsidR="00FE004D">
              <w:rPr>
                <w:webHidden/>
              </w:rPr>
              <w:fldChar w:fldCharType="end"/>
            </w:r>
          </w:hyperlink>
        </w:p>
        <w:p w14:paraId="0795313A" w14:textId="4E36298E" w:rsidR="00FE004D" w:rsidRDefault="00E97F02">
          <w:pPr>
            <w:pStyle w:val="TOC2"/>
            <w:rPr>
              <w:rFonts w:asciiTheme="minorHAnsi" w:hAnsiTheme="minorHAnsi"/>
              <w:sz w:val="22"/>
              <w:szCs w:val="22"/>
              <w:lang w:val="en-AU" w:eastAsia="en-AU"/>
            </w:rPr>
          </w:pPr>
          <w:hyperlink w:anchor="_Toc57907080" w:history="1">
            <w:r w:rsidR="00FE004D" w:rsidRPr="008D7F0A">
              <w:rPr>
                <w:rStyle w:val="Hyperlink"/>
              </w:rPr>
              <w:t>1.6</w:t>
            </w:r>
            <w:r w:rsidR="00FE004D">
              <w:rPr>
                <w:rFonts w:asciiTheme="minorHAnsi" w:hAnsiTheme="minorHAnsi"/>
                <w:sz w:val="22"/>
                <w:szCs w:val="22"/>
                <w:lang w:val="en-AU" w:eastAsia="en-AU"/>
              </w:rPr>
              <w:tab/>
            </w:r>
            <w:r w:rsidR="00FE004D" w:rsidRPr="008D7F0A">
              <w:rPr>
                <w:rStyle w:val="Hyperlink"/>
              </w:rPr>
              <w:t>Report Structure</w:t>
            </w:r>
            <w:r w:rsidR="00FE004D">
              <w:rPr>
                <w:webHidden/>
              </w:rPr>
              <w:tab/>
            </w:r>
            <w:r w:rsidR="00FE004D">
              <w:rPr>
                <w:webHidden/>
              </w:rPr>
              <w:fldChar w:fldCharType="begin"/>
            </w:r>
            <w:r w:rsidR="00FE004D">
              <w:rPr>
                <w:webHidden/>
              </w:rPr>
              <w:instrText xml:space="preserve"> PAGEREF _Toc57907080 \h </w:instrText>
            </w:r>
            <w:r w:rsidR="00FE004D">
              <w:rPr>
                <w:webHidden/>
              </w:rPr>
            </w:r>
            <w:r w:rsidR="00FE004D">
              <w:rPr>
                <w:webHidden/>
              </w:rPr>
              <w:fldChar w:fldCharType="separate"/>
            </w:r>
            <w:r w:rsidR="00A83148">
              <w:rPr>
                <w:webHidden/>
              </w:rPr>
              <w:t>3</w:t>
            </w:r>
            <w:r w:rsidR="00FE004D">
              <w:rPr>
                <w:webHidden/>
              </w:rPr>
              <w:fldChar w:fldCharType="end"/>
            </w:r>
          </w:hyperlink>
        </w:p>
        <w:p w14:paraId="018E2291" w14:textId="05425D9B" w:rsidR="00FE004D" w:rsidRDefault="00E97F02">
          <w:pPr>
            <w:pStyle w:val="TOC1"/>
            <w:rPr>
              <w:rFonts w:asciiTheme="minorHAnsi" w:hAnsiTheme="minorHAnsi"/>
              <w:b w:val="0"/>
              <w:sz w:val="22"/>
              <w:szCs w:val="22"/>
              <w:lang w:val="en-AU" w:eastAsia="en-AU"/>
            </w:rPr>
          </w:pPr>
          <w:hyperlink w:anchor="_Toc57907081" w:history="1">
            <w:r w:rsidR="00FE004D" w:rsidRPr="008D7F0A">
              <w:rPr>
                <w:rStyle w:val="Hyperlink"/>
              </w:rPr>
              <w:t>2.</w:t>
            </w:r>
            <w:r w:rsidR="00FE004D">
              <w:rPr>
                <w:rFonts w:asciiTheme="minorHAnsi" w:hAnsiTheme="minorHAnsi"/>
                <w:b w:val="0"/>
                <w:sz w:val="22"/>
                <w:szCs w:val="22"/>
                <w:lang w:val="en-AU" w:eastAsia="en-AU"/>
              </w:rPr>
              <w:tab/>
            </w:r>
            <w:r w:rsidR="00FE004D" w:rsidRPr="008D7F0A">
              <w:rPr>
                <w:rStyle w:val="Hyperlink"/>
              </w:rPr>
              <w:t>Approach to identifying metrics and thresholds</w:t>
            </w:r>
            <w:r w:rsidR="00FE004D">
              <w:rPr>
                <w:webHidden/>
              </w:rPr>
              <w:tab/>
            </w:r>
            <w:r w:rsidR="00FE004D">
              <w:rPr>
                <w:webHidden/>
              </w:rPr>
              <w:fldChar w:fldCharType="begin"/>
            </w:r>
            <w:r w:rsidR="00FE004D">
              <w:rPr>
                <w:webHidden/>
              </w:rPr>
              <w:instrText xml:space="preserve"> PAGEREF _Toc57907081 \h </w:instrText>
            </w:r>
            <w:r w:rsidR="00FE004D">
              <w:rPr>
                <w:webHidden/>
              </w:rPr>
            </w:r>
            <w:r w:rsidR="00FE004D">
              <w:rPr>
                <w:webHidden/>
              </w:rPr>
              <w:fldChar w:fldCharType="separate"/>
            </w:r>
            <w:r w:rsidR="00A83148">
              <w:rPr>
                <w:webHidden/>
              </w:rPr>
              <w:t>5</w:t>
            </w:r>
            <w:r w:rsidR="00FE004D">
              <w:rPr>
                <w:webHidden/>
              </w:rPr>
              <w:fldChar w:fldCharType="end"/>
            </w:r>
          </w:hyperlink>
        </w:p>
        <w:p w14:paraId="44D0B365" w14:textId="510FD8D6" w:rsidR="00FE004D" w:rsidRDefault="00E97F02">
          <w:pPr>
            <w:pStyle w:val="TOC1"/>
            <w:rPr>
              <w:rFonts w:asciiTheme="minorHAnsi" w:hAnsiTheme="minorHAnsi"/>
              <w:b w:val="0"/>
              <w:sz w:val="22"/>
              <w:szCs w:val="22"/>
              <w:lang w:val="en-AU" w:eastAsia="en-AU"/>
            </w:rPr>
          </w:pPr>
          <w:hyperlink w:anchor="_Toc57907082" w:history="1">
            <w:r w:rsidR="00FE004D" w:rsidRPr="008D7F0A">
              <w:rPr>
                <w:rStyle w:val="Hyperlink"/>
                <w:lang w:val="en-US"/>
              </w:rPr>
              <w:t>3.</w:t>
            </w:r>
            <w:r w:rsidR="00FE004D">
              <w:rPr>
                <w:rFonts w:asciiTheme="minorHAnsi" w:hAnsiTheme="minorHAnsi"/>
                <w:b w:val="0"/>
                <w:sz w:val="22"/>
                <w:szCs w:val="22"/>
                <w:lang w:val="en-AU" w:eastAsia="en-AU"/>
              </w:rPr>
              <w:tab/>
            </w:r>
            <w:r w:rsidR="00FE004D" w:rsidRPr="008D7F0A">
              <w:rPr>
                <w:rStyle w:val="Hyperlink"/>
              </w:rPr>
              <w:t>Overview of Ground Movement</w:t>
            </w:r>
            <w:r w:rsidR="00FE004D">
              <w:rPr>
                <w:webHidden/>
              </w:rPr>
              <w:tab/>
            </w:r>
            <w:r w:rsidR="00FE004D">
              <w:rPr>
                <w:webHidden/>
              </w:rPr>
              <w:fldChar w:fldCharType="begin"/>
            </w:r>
            <w:r w:rsidR="00FE004D">
              <w:rPr>
                <w:webHidden/>
              </w:rPr>
              <w:instrText xml:space="preserve"> PAGEREF _Toc57907082 \h </w:instrText>
            </w:r>
            <w:r w:rsidR="00FE004D">
              <w:rPr>
                <w:webHidden/>
              </w:rPr>
            </w:r>
            <w:r w:rsidR="00FE004D">
              <w:rPr>
                <w:webHidden/>
              </w:rPr>
              <w:fldChar w:fldCharType="separate"/>
            </w:r>
            <w:r w:rsidR="00A83148">
              <w:rPr>
                <w:webHidden/>
              </w:rPr>
              <w:t>7</w:t>
            </w:r>
            <w:r w:rsidR="00FE004D">
              <w:rPr>
                <w:webHidden/>
              </w:rPr>
              <w:fldChar w:fldCharType="end"/>
            </w:r>
          </w:hyperlink>
        </w:p>
        <w:p w14:paraId="157F15AB" w14:textId="244AC7CC" w:rsidR="00FE004D" w:rsidRDefault="00E97F02">
          <w:pPr>
            <w:pStyle w:val="TOC2"/>
            <w:rPr>
              <w:rFonts w:asciiTheme="minorHAnsi" w:hAnsiTheme="minorHAnsi"/>
              <w:sz w:val="22"/>
              <w:szCs w:val="22"/>
              <w:lang w:val="en-AU" w:eastAsia="en-AU"/>
            </w:rPr>
          </w:pPr>
          <w:hyperlink w:anchor="_Toc57907083" w:history="1">
            <w:r w:rsidR="00FE004D" w:rsidRPr="008D7F0A">
              <w:rPr>
                <w:rStyle w:val="Hyperlink"/>
              </w:rPr>
              <w:t>3.1</w:t>
            </w:r>
            <w:r w:rsidR="00FE004D">
              <w:rPr>
                <w:rFonts w:asciiTheme="minorHAnsi" w:hAnsiTheme="minorHAnsi"/>
                <w:sz w:val="22"/>
                <w:szCs w:val="22"/>
                <w:lang w:val="en-AU" w:eastAsia="en-AU"/>
              </w:rPr>
              <w:tab/>
            </w:r>
            <w:r w:rsidR="00FE004D" w:rsidRPr="008D7F0A">
              <w:rPr>
                <w:rStyle w:val="Hyperlink"/>
              </w:rPr>
              <w:t>Ground Movement Types</w:t>
            </w:r>
            <w:r w:rsidR="00FE004D">
              <w:rPr>
                <w:webHidden/>
              </w:rPr>
              <w:tab/>
            </w:r>
            <w:r w:rsidR="00FE004D">
              <w:rPr>
                <w:webHidden/>
              </w:rPr>
              <w:fldChar w:fldCharType="begin"/>
            </w:r>
            <w:r w:rsidR="00FE004D">
              <w:rPr>
                <w:webHidden/>
              </w:rPr>
              <w:instrText xml:space="preserve"> PAGEREF _Toc57907083 \h </w:instrText>
            </w:r>
            <w:r w:rsidR="00FE004D">
              <w:rPr>
                <w:webHidden/>
              </w:rPr>
            </w:r>
            <w:r w:rsidR="00FE004D">
              <w:rPr>
                <w:webHidden/>
              </w:rPr>
              <w:fldChar w:fldCharType="separate"/>
            </w:r>
            <w:r w:rsidR="00A83148">
              <w:rPr>
                <w:webHidden/>
              </w:rPr>
              <w:t>7</w:t>
            </w:r>
            <w:r w:rsidR="00FE004D">
              <w:rPr>
                <w:webHidden/>
              </w:rPr>
              <w:fldChar w:fldCharType="end"/>
            </w:r>
          </w:hyperlink>
        </w:p>
        <w:p w14:paraId="476EF63F" w14:textId="1369F447" w:rsidR="00FE004D" w:rsidRDefault="00E97F02">
          <w:pPr>
            <w:pStyle w:val="TOC2"/>
            <w:rPr>
              <w:rFonts w:asciiTheme="minorHAnsi" w:hAnsiTheme="minorHAnsi"/>
              <w:sz w:val="22"/>
              <w:szCs w:val="22"/>
              <w:lang w:val="en-AU" w:eastAsia="en-AU"/>
            </w:rPr>
          </w:pPr>
          <w:hyperlink w:anchor="_Toc57907084" w:history="1">
            <w:r w:rsidR="00FE004D" w:rsidRPr="008D7F0A">
              <w:rPr>
                <w:rStyle w:val="Hyperlink"/>
                <w:rFonts w:eastAsia="MS Mincho"/>
                <w:lang w:val="en-AU"/>
              </w:rPr>
              <w:t>3.2</w:t>
            </w:r>
            <w:r w:rsidR="00FE004D">
              <w:rPr>
                <w:rFonts w:asciiTheme="minorHAnsi" w:hAnsiTheme="minorHAnsi"/>
                <w:sz w:val="22"/>
                <w:szCs w:val="22"/>
                <w:lang w:val="en-AU" w:eastAsia="en-AU"/>
              </w:rPr>
              <w:tab/>
            </w:r>
            <w:r w:rsidR="00FE004D" w:rsidRPr="008D7F0A">
              <w:rPr>
                <w:rStyle w:val="Hyperlink"/>
                <w:rFonts w:eastAsia="MS Mincho"/>
                <w:lang w:val="en-AU"/>
              </w:rPr>
              <w:t>Ground movement as it relates to receptors</w:t>
            </w:r>
            <w:r w:rsidR="00FE004D">
              <w:rPr>
                <w:webHidden/>
              </w:rPr>
              <w:tab/>
            </w:r>
            <w:r w:rsidR="00FE004D">
              <w:rPr>
                <w:webHidden/>
              </w:rPr>
              <w:fldChar w:fldCharType="begin"/>
            </w:r>
            <w:r w:rsidR="00FE004D">
              <w:rPr>
                <w:webHidden/>
              </w:rPr>
              <w:instrText xml:space="preserve"> PAGEREF _Toc57907084 \h </w:instrText>
            </w:r>
            <w:r w:rsidR="00FE004D">
              <w:rPr>
                <w:webHidden/>
              </w:rPr>
            </w:r>
            <w:r w:rsidR="00FE004D">
              <w:rPr>
                <w:webHidden/>
              </w:rPr>
              <w:fldChar w:fldCharType="separate"/>
            </w:r>
            <w:r w:rsidR="00A83148">
              <w:rPr>
                <w:webHidden/>
              </w:rPr>
              <w:t>16</w:t>
            </w:r>
            <w:r w:rsidR="00FE004D">
              <w:rPr>
                <w:webHidden/>
              </w:rPr>
              <w:fldChar w:fldCharType="end"/>
            </w:r>
          </w:hyperlink>
        </w:p>
        <w:p w14:paraId="06E9A06A" w14:textId="6F515AE5" w:rsidR="00FE004D" w:rsidRDefault="00E97F02">
          <w:pPr>
            <w:pStyle w:val="TOC1"/>
            <w:rPr>
              <w:rFonts w:asciiTheme="minorHAnsi" w:hAnsiTheme="minorHAnsi"/>
              <w:b w:val="0"/>
              <w:sz w:val="22"/>
              <w:szCs w:val="22"/>
              <w:lang w:val="en-AU" w:eastAsia="en-AU"/>
            </w:rPr>
          </w:pPr>
          <w:hyperlink w:anchor="_Toc57907085" w:history="1">
            <w:r w:rsidR="00FE004D" w:rsidRPr="008D7F0A">
              <w:rPr>
                <w:rStyle w:val="Hyperlink"/>
                <w:lang w:val="en-US"/>
              </w:rPr>
              <w:t>4.</w:t>
            </w:r>
            <w:r w:rsidR="00FE004D">
              <w:rPr>
                <w:rFonts w:asciiTheme="minorHAnsi" w:hAnsiTheme="minorHAnsi"/>
                <w:b w:val="0"/>
                <w:sz w:val="22"/>
                <w:szCs w:val="22"/>
                <w:lang w:val="en-AU" w:eastAsia="en-AU"/>
              </w:rPr>
              <w:tab/>
            </w:r>
            <w:r w:rsidR="00FE004D" w:rsidRPr="008D7F0A">
              <w:rPr>
                <w:rStyle w:val="Hyperlink"/>
                <w:lang w:val="en-US"/>
              </w:rPr>
              <w:t>Introduction to recognised regional receptors</w:t>
            </w:r>
            <w:r w:rsidR="00FE004D">
              <w:rPr>
                <w:webHidden/>
              </w:rPr>
              <w:tab/>
            </w:r>
            <w:r w:rsidR="00FE004D">
              <w:rPr>
                <w:webHidden/>
              </w:rPr>
              <w:fldChar w:fldCharType="begin"/>
            </w:r>
            <w:r w:rsidR="00FE004D">
              <w:rPr>
                <w:webHidden/>
              </w:rPr>
              <w:instrText xml:space="preserve"> PAGEREF _Toc57907085 \h </w:instrText>
            </w:r>
            <w:r w:rsidR="00FE004D">
              <w:rPr>
                <w:webHidden/>
              </w:rPr>
            </w:r>
            <w:r w:rsidR="00FE004D">
              <w:rPr>
                <w:webHidden/>
              </w:rPr>
              <w:fldChar w:fldCharType="separate"/>
            </w:r>
            <w:r w:rsidR="00A83148">
              <w:rPr>
                <w:webHidden/>
              </w:rPr>
              <w:t>17</w:t>
            </w:r>
            <w:r w:rsidR="00FE004D">
              <w:rPr>
                <w:webHidden/>
              </w:rPr>
              <w:fldChar w:fldCharType="end"/>
            </w:r>
          </w:hyperlink>
        </w:p>
        <w:p w14:paraId="4BBBA799" w14:textId="1DD4E92B" w:rsidR="00FE004D" w:rsidRDefault="00E97F02">
          <w:pPr>
            <w:pStyle w:val="TOC1"/>
            <w:rPr>
              <w:rFonts w:asciiTheme="minorHAnsi" w:hAnsiTheme="minorHAnsi"/>
              <w:b w:val="0"/>
              <w:sz w:val="22"/>
              <w:szCs w:val="22"/>
              <w:lang w:val="en-AU" w:eastAsia="en-AU"/>
            </w:rPr>
          </w:pPr>
          <w:hyperlink w:anchor="_Toc57907086" w:history="1">
            <w:r w:rsidR="00FE004D" w:rsidRPr="008D7F0A">
              <w:rPr>
                <w:rStyle w:val="Hyperlink"/>
                <w:lang w:val="en-AU"/>
              </w:rPr>
              <w:t>5.</w:t>
            </w:r>
            <w:r w:rsidR="00FE004D">
              <w:rPr>
                <w:rFonts w:asciiTheme="minorHAnsi" w:hAnsiTheme="minorHAnsi"/>
                <w:b w:val="0"/>
                <w:sz w:val="22"/>
                <w:szCs w:val="22"/>
                <w:lang w:val="en-AU" w:eastAsia="en-AU"/>
              </w:rPr>
              <w:tab/>
            </w:r>
            <w:r w:rsidR="00FE004D" w:rsidRPr="008D7F0A">
              <w:rPr>
                <w:rStyle w:val="Hyperlink"/>
                <w:lang w:val="en-AU"/>
              </w:rPr>
              <w:t>Quantitative Metrics and Thresholds</w:t>
            </w:r>
            <w:r w:rsidR="00FE004D">
              <w:rPr>
                <w:webHidden/>
              </w:rPr>
              <w:tab/>
            </w:r>
            <w:r w:rsidR="00FE004D">
              <w:rPr>
                <w:webHidden/>
              </w:rPr>
              <w:fldChar w:fldCharType="begin"/>
            </w:r>
            <w:r w:rsidR="00FE004D">
              <w:rPr>
                <w:webHidden/>
              </w:rPr>
              <w:instrText xml:space="preserve"> PAGEREF _Toc57907086 \h </w:instrText>
            </w:r>
            <w:r w:rsidR="00FE004D">
              <w:rPr>
                <w:webHidden/>
              </w:rPr>
            </w:r>
            <w:r w:rsidR="00FE004D">
              <w:rPr>
                <w:webHidden/>
              </w:rPr>
              <w:fldChar w:fldCharType="separate"/>
            </w:r>
            <w:r w:rsidR="00A83148">
              <w:rPr>
                <w:webHidden/>
              </w:rPr>
              <w:t>18</w:t>
            </w:r>
            <w:r w:rsidR="00FE004D">
              <w:rPr>
                <w:webHidden/>
              </w:rPr>
              <w:fldChar w:fldCharType="end"/>
            </w:r>
          </w:hyperlink>
        </w:p>
        <w:p w14:paraId="79196F0C" w14:textId="3CA18805" w:rsidR="00FE004D" w:rsidRDefault="00E97F02">
          <w:pPr>
            <w:pStyle w:val="TOC2"/>
            <w:rPr>
              <w:rFonts w:asciiTheme="minorHAnsi" w:hAnsiTheme="minorHAnsi"/>
              <w:sz w:val="22"/>
              <w:szCs w:val="22"/>
              <w:lang w:val="en-AU" w:eastAsia="en-AU"/>
            </w:rPr>
          </w:pPr>
          <w:hyperlink w:anchor="_Toc57907087" w:history="1">
            <w:r w:rsidR="00FE004D" w:rsidRPr="008D7F0A">
              <w:rPr>
                <w:rStyle w:val="Hyperlink"/>
                <w:lang w:val="en-AU"/>
              </w:rPr>
              <w:t>5.1</w:t>
            </w:r>
            <w:r w:rsidR="00FE004D">
              <w:rPr>
                <w:rFonts w:asciiTheme="minorHAnsi" w:hAnsiTheme="minorHAnsi"/>
                <w:sz w:val="22"/>
                <w:szCs w:val="22"/>
                <w:lang w:val="en-AU" w:eastAsia="en-AU"/>
              </w:rPr>
              <w:tab/>
            </w:r>
            <w:r w:rsidR="00FE004D" w:rsidRPr="008D7F0A">
              <w:rPr>
                <w:rStyle w:val="Hyperlink"/>
              </w:rPr>
              <w:t>Aboriginal</w:t>
            </w:r>
            <w:r w:rsidR="00FE004D" w:rsidRPr="008D7F0A">
              <w:rPr>
                <w:rStyle w:val="Hyperlink"/>
                <w:lang w:val="en-AU"/>
              </w:rPr>
              <w:t xml:space="preserve"> and Non-aboriginal cultural heritage</w:t>
            </w:r>
            <w:r w:rsidR="00FE004D">
              <w:rPr>
                <w:webHidden/>
              </w:rPr>
              <w:tab/>
            </w:r>
            <w:r w:rsidR="00FE004D">
              <w:rPr>
                <w:webHidden/>
              </w:rPr>
              <w:fldChar w:fldCharType="begin"/>
            </w:r>
            <w:r w:rsidR="00FE004D">
              <w:rPr>
                <w:webHidden/>
              </w:rPr>
              <w:instrText xml:space="preserve"> PAGEREF _Toc57907087 \h </w:instrText>
            </w:r>
            <w:r w:rsidR="00FE004D">
              <w:rPr>
                <w:webHidden/>
              </w:rPr>
            </w:r>
            <w:r w:rsidR="00FE004D">
              <w:rPr>
                <w:webHidden/>
              </w:rPr>
              <w:fldChar w:fldCharType="separate"/>
            </w:r>
            <w:r w:rsidR="00A83148">
              <w:rPr>
                <w:webHidden/>
              </w:rPr>
              <w:t>18</w:t>
            </w:r>
            <w:r w:rsidR="00FE004D">
              <w:rPr>
                <w:webHidden/>
              </w:rPr>
              <w:fldChar w:fldCharType="end"/>
            </w:r>
          </w:hyperlink>
        </w:p>
        <w:p w14:paraId="5FC610B9" w14:textId="4872B6EB" w:rsidR="00FE004D" w:rsidRDefault="00E97F02">
          <w:pPr>
            <w:pStyle w:val="TOC2"/>
            <w:rPr>
              <w:rFonts w:asciiTheme="minorHAnsi" w:hAnsiTheme="minorHAnsi"/>
              <w:sz w:val="22"/>
              <w:szCs w:val="22"/>
              <w:lang w:val="en-AU" w:eastAsia="en-AU"/>
            </w:rPr>
          </w:pPr>
          <w:hyperlink w:anchor="_Toc57907088" w:history="1">
            <w:r w:rsidR="00FE004D" w:rsidRPr="008D7F0A">
              <w:rPr>
                <w:rStyle w:val="Hyperlink"/>
              </w:rPr>
              <w:t>5.2</w:t>
            </w:r>
            <w:r w:rsidR="00FE004D">
              <w:rPr>
                <w:rFonts w:asciiTheme="minorHAnsi" w:hAnsiTheme="minorHAnsi"/>
                <w:sz w:val="22"/>
                <w:szCs w:val="22"/>
                <w:lang w:val="en-AU" w:eastAsia="en-AU"/>
              </w:rPr>
              <w:tab/>
            </w:r>
            <w:r w:rsidR="00FE004D" w:rsidRPr="008D7F0A">
              <w:rPr>
                <w:rStyle w:val="Hyperlink"/>
              </w:rPr>
              <w:t>Environment</w:t>
            </w:r>
            <w:r w:rsidR="00FE004D">
              <w:rPr>
                <w:webHidden/>
              </w:rPr>
              <w:tab/>
            </w:r>
            <w:r w:rsidR="00FE004D">
              <w:rPr>
                <w:webHidden/>
              </w:rPr>
              <w:fldChar w:fldCharType="begin"/>
            </w:r>
            <w:r w:rsidR="00FE004D">
              <w:rPr>
                <w:webHidden/>
              </w:rPr>
              <w:instrText xml:space="preserve"> PAGEREF _Toc57907088 \h </w:instrText>
            </w:r>
            <w:r w:rsidR="00FE004D">
              <w:rPr>
                <w:webHidden/>
              </w:rPr>
            </w:r>
            <w:r w:rsidR="00FE004D">
              <w:rPr>
                <w:webHidden/>
              </w:rPr>
              <w:fldChar w:fldCharType="separate"/>
            </w:r>
            <w:r w:rsidR="00A83148">
              <w:rPr>
                <w:webHidden/>
              </w:rPr>
              <w:t>19</w:t>
            </w:r>
            <w:r w:rsidR="00FE004D">
              <w:rPr>
                <w:webHidden/>
              </w:rPr>
              <w:fldChar w:fldCharType="end"/>
            </w:r>
          </w:hyperlink>
        </w:p>
        <w:p w14:paraId="4C7C82AA" w14:textId="7A941B61" w:rsidR="00FE004D" w:rsidRDefault="00E97F02">
          <w:pPr>
            <w:pStyle w:val="TOC2"/>
            <w:rPr>
              <w:rFonts w:asciiTheme="minorHAnsi" w:hAnsiTheme="minorHAnsi"/>
              <w:sz w:val="22"/>
              <w:szCs w:val="22"/>
              <w:lang w:val="en-AU" w:eastAsia="en-AU"/>
            </w:rPr>
          </w:pPr>
          <w:hyperlink w:anchor="_Toc57907089" w:history="1">
            <w:r w:rsidR="00FE004D" w:rsidRPr="008D7F0A">
              <w:rPr>
                <w:rStyle w:val="Hyperlink"/>
                <w:lang w:val="en-AU"/>
              </w:rPr>
              <w:t>5.3</w:t>
            </w:r>
            <w:r w:rsidR="00FE004D">
              <w:rPr>
                <w:rFonts w:asciiTheme="minorHAnsi" w:hAnsiTheme="minorHAnsi"/>
                <w:sz w:val="22"/>
                <w:szCs w:val="22"/>
                <w:lang w:val="en-AU" w:eastAsia="en-AU"/>
              </w:rPr>
              <w:tab/>
            </w:r>
            <w:r w:rsidR="00FE004D" w:rsidRPr="008D7F0A">
              <w:rPr>
                <w:rStyle w:val="Hyperlink"/>
                <w:lang w:val="en-AU"/>
              </w:rPr>
              <w:t>Infrastructure</w:t>
            </w:r>
            <w:r w:rsidR="00FE004D">
              <w:rPr>
                <w:webHidden/>
              </w:rPr>
              <w:tab/>
            </w:r>
            <w:r w:rsidR="00FE004D">
              <w:rPr>
                <w:webHidden/>
              </w:rPr>
              <w:fldChar w:fldCharType="begin"/>
            </w:r>
            <w:r w:rsidR="00FE004D">
              <w:rPr>
                <w:webHidden/>
              </w:rPr>
              <w:instrText xml:space="preserve"> PAGEREF _Toc57907089 \h </w:instrText>
            </w:r>
            <w:r w:rsidR="00FE004D">
              <w:rPr>
                <w:webHidden/>
              </w:rPr>
            </w:r>
            <w:r w:rsidR="00FE004D">
              <w:rPr>
                <w:webHidden/>
              </w:rPr>
              <w:fldChar w:fldCharType="separate"/>
            </w:r>
            <w:r w:rsidR="00A83148">
              <w:rPr>
                <w:webHidden/>
              </w:rPr>
              <w:t>20</w:t>
            </w:r>
            <w:r w:rsidR="00FE004D">
              <w:rPr>
                <w:webHidden/>
              </w:rPr>
              <w:fldChar w:fldCharType="end"/>
            </w:r>
          </w:hyperlink>
        </w:p>
        <w:p w14:paraId="5FAD9E74" w14:textId="470B6905" w:rsidR="00FE004D" w:rsidRDefault="00E97F02">
          <w:pPr>
            <w:pStyle w:val="TOC2"/>
            <w:rPr>
              <w:rFonts w:asciiTheme="minorHAnsi" w:hAnsiTheme="minorHAnsi"/>
              <w:sz w:val="22"/>
              <w:szCs w:val="22"/>
              <w:lang w:val="en-AU" w:eastAsia="en-AU"/>
            </w:rPr>
          </w:pPr>
          <w:hyperlink w:anchor="_Toc57907090" w:history="1">
            <w:r w:rsidR="00FE004D" w:rsidRPr="008D7F0A">
              <w:rPr>
                <w:rStyle w:val="Hyperlink"/>
                <w:lang w:val="en-AU"/>
              </w:rPr>
              <w:t>5.4</w:t>
            </w:r>
            <w:r w:rsidR="00FE004D">
              <w:rPr>
                <w:rFonts w:asciiTheme="minorHAnsi" w:hAnsiTheme="minorHAnsi"/>
                <w:sz w:val="22"/>
                <w:szCs w:val="22"/>
                <w:lang w:val="en-AU" w:eastAsia="en-AU"/>
              </w:rPr>
              <w:tab/>
            </w:r>
            <w:r w:rsidR="00FE004D" w:rsidRPr="008D7F0A">
              <w:rPr>
                <w:rStyle w:val="Hyperlink"/>
                <w:lang w:val="en-AU"/>
              </w:rPr>
              <w:t>Quantitative Metrics and Thresholds – Land</w:t>
            </w:r>
            <w:r w:rsidR="00FE004D">
              <w:rPr>
                <w:webHidden/>
              </w:rPr>
              <w:tab/>
            </w:r>
            <w:r w:rsidR="00FE004D">
              <w:rPr>
                <w:webHidden/>
              </w:rPr>
              <w:fldChar w:fldCharType="begin"/>
            </w:r>
            <w:r w:rsidR="00FE004D">
              <w:rPr>
                <w:webHidden/>
              </w:rPr>
              <w:instrText xml:space="preserve"> PAGEREF _Toc57907090 \h </w:instrText>
            </w:r>
            <w:r w:rsidR="00FE004D">
              <w:rPr>
                <w:webHidden/>
              </w:rPr>
            </w:r>
            <w:r w:rsidR="00FE004D">
              <w:rPr>
                <w:webHidden/>
              </w:rPr>
              <w:fldChar w:fldCharType="separate"/>
            </w:r>
            <w:r w:rsidR="00A83148">
              <w:rPr>
                <w:webHidden/>
              </w:rPr>
              <w:t>51</w:t>
            </w:r>
            <w:r w:rsidR="00FE004D">
              <w:rPr>
                <w:webHidden/>
              </w:rPr>
              <w:fldChar w:fldCharType="end"/>
            </w:r>
          </w:hyperlink>
        </w:p>
        <w:p w14:paraId="22A4BB28" w14:textId="7FA5E06F" w:rsidR="00FE004D" w:rsidRDefault="00E97F02">
          <w:pPr>
            <w:pStyle w:val="TOC2"/>
            <w:rPr>
              <w:rFonts w:asciiTheme="minorHAnsi" w:hAnsiTheme="minorHAnsi"/>
              <w:sz w:val="22"/>
              <w:szCs w:val="22"/>
              <w:lang w:val="en-AU" w:eastAsia="en-AU"/>
            </w:rPr>
          </w:pPr>
          <w:hyperlink w:anchor="_Toc57907091" w:history="1">
            <w:r w:rsidR="00FE004D" w:rsidRPr="008D7F0A">
              <w:rPr>
                <w:rStyle w:val="Hyperlink"/>
                <w:lang w:val="en-AU"/>
              </w:rPr>
              <w:t>5.5</w:t>
            </w:r>
            <w:r w:rsidR="00FE004D">
              <w:rPr>
                <w:rFonts w:asciiTheme="minorHAnsi" w:hAnsiTheme="minorHAnsi"/>
                <w:sz w:val="22"/>
                <w:szCs w:val="22"/>
                <w:lang w:val="en-AU" w:eastAsia="en-AU"/>
              </w:rPr>
              <w:tab/>
            </w:r>
            <w:r w:rsidR="00FE004D" w:rsidRPr="008D7F0A">
              <w:rPr>
                <w:rStyle w:val="Hyperlink"/>
                <w:lang w:val="en-AU"/>
              </w:rPr>
              <w:t>Quantitative Metrics and Thresholds – Water</w:t>
            </w:r>
            <w:r w:rsidR="00FE004D">
              <w:rPr>
                <w:webHidden/>
              </w:rPr>
              <w:tab/>
            </w:r>
            <w:r w:rsidR="00FE004D">
              <w:rPr>
                <w:webHidden/>
              </w:rPr>
              <w:fldChar w:fldCharType="begin"/>
            </w:r>
            <w:r w:rsidR="00FE004D">
              <w:rPr>
                <w:webHidden/>
              </w:rPr>
              <w:instrText xml:space="preserve"> PAGEREF _Toc57907091 \h </w:instrText>
            </w:r>
            <w:r w:rsidR="00FE004D">
              <w:rPr>
                <w:webHidden/>
              </w:rPr>
            </w:r>
            <w:r w:rsidR="00FE004D">
              <w:rPr>
                <w:webHidden/>
              </w:rPr>
              <w:fldChar w:fldCharType="separate"/>
            </w:r>
            <w:r w:rsidR="00A83148">
              <w:rPr>
                <w:webHidden/>
              </w:rPr>
              <w:t>54</w:t>
            </w:r>
            <w:r w:rsidR="00FE004D">
              <w:rPr>
                <w:webHidden/>
              </w:rPr>
              <w:fldChar w:fldCharType="end"/>
            </w:r>
          </w:hyperlink>
        </w:p>
        <w:p w14:paraId="24ACC067" w14:textId="275A8BB9" w:rsidR="00FE004D" w:rsidRDefault="00E97F02">
          <w:pPr>
            <w:pStyle w:val="TOC1"/>
            <w:rPr>
              <w:rFonts w:asciiTheme="minorHAnsi" w:hAnsiTheme="minorHAnsi"/>
              <w:b w:val="0"/>
              <w:sz w:val="22"/>
              <w:szCs w:val="22"/>
              <w:lang w:val="en-AU" w:eastAsia="en-AU"/>
            </w:rPr>
          </w:pPr>
          <w:hyperlink w:anchor="_Toc57907092" w:history="1">
            <w:r w:rsidR="00FE004D" w:rsidRPr="008D7F0A">
              <w:rPr>
                <w:rStyle w:val="Hyperlink"/>
                <w:lang w:val="en-AU"/>
              </w:rPr>
              <w:t>6.</w:t>
            </w:r>
            <w:r w:rsidR="00FE004D">
              <w:rPr>
                <w:rFonts w:asciiTheme="minorHAnsi" w:hAnsiTheme="minorHAnsi"/>
                <w:b w:val="0"/>
                <w:sz w:val="22"/>
                <w:szCs w:val="22"/>
                <w:lang w:val="en-AU" w:eastAsia="en-AU"/>
              </w:rPr>
              <w:tab/>
            </w:r>
            <w:r w:rsidR="00FE004D" w:rsidRPr="008D7F0A">
              <w:rPr>
                <w:rStyle w:val="Hyperlink"/>
              </w:rPr>
              <w:t>Conclusions</w:t>
            </w:r>
            <w:r w:rsidR="00FE004D">
              <w:rPr>
                <w:webHidden/>
              </w:rPr>
              <w:tab/>
            </w:r>
            <w:r w:rsidR="00FE004D">
              <w:rPr>
                <w:webHidden/>
              </w:rPr>
              <w:fldChar w:fldCharType="begin"/>
            </w:r>
            <w:r w:rsidR="00FE004D">
              <w:rPr>
                <w:webHidden/>
              </w:rPr>
              <w:instrText xml:space="preserve"> PAGEREF _Toc57907092 \h </w:instrText>
            </w:r>
            <w:r w:rsidR="00FE004D">
              <w:rPr>
                <w:webHidden/>
              </w:rPr>
            </w:r>
            <w:r w:rsidR="00FE004D">
              <w:rPr>
                <w:webHidden/>
              </w:rPr>
              <w:fldChar w:fldCharType="separate"/>
            </w:r>
            <w:r w:rsidR="00A83148">
              <w:rPr>
                <w:webHidden/>
              </w:rPr>
              <w:t>56</w:t>
            </w:r>
            <w:r w:rsidR="00FE004D">
              <w:rPr>
                <w:webHidden/>
              </w:rPr>
              <w:fldChar w:fldCharType="end"/>
            </w:r>
          </w:hyperlink>
        </w:p>
        <w:p w14:paraId="0F0F17BB" w14:textId="125E0537" w:rsidR="0023226C" w:rsidRPr="0023226C" w:rsidRDefault="00D45465" w:rsidP="00E17764">
          <w:pPr>
            <w:pStyle w:val="TOC1"/>
          </w:pPr>
          <w:r>
            <w:fldChar w:fldCharType="end"/>
          </w:r>
        </w:p>
        <w:p w14:paraId="7C72C0C5" w14:textId="614C0739" w:rsidR="006A02BD" w:rsidRDefault="0023226C">
          <w:pPr>
            <w:pStyle w:val="TOC1"/>
            <w:rPr>
              <w:rFonts w:asciiTheme="minorHAnsi" w:hAnsiTheme="minorHAnsi"/>
              <w:b w:val="0"/>
              <w:sz w:val="22"/>
              <w:szCs w:val="22"/>
              <w:lang w:val="en-AU" w:eastAsia="en-AU"/>
            </w:rPr>
          </w:pPr>
          <w:r w:rsidRPr="0023226C">
            <w:fldChar w:fldCharType="begin"/>
          </w:r>
          <w:r w:rsidRPr="0023226C">
            <w:instrText xml:space="preserve"> TOC \n \h \z \t "Heading 9,1,Appendix subheading 1,2,Appendix subheading 2,3" </w:instrText>
          </w:r>
          <w:r w:rsidRPr="0023226C">
            <w:fldChar w:fldCharType="separate"/>
          </w:r>
          <w:hyperlink w:anchor="_Toc57899340" w:history="1">
            <w:r w:rsidR="006A02BD" w:rsidRPr="00DD43C7">
              <w:rPr>
                <w:rStyle w:val="Hyperlink"/>
              </w:rPr>
              <w:t>Appendix A. Literature reviewed and referenced - Technical Papers/Reports/Letters</w:t>
            </w:r>
          </w:hyperlink>
        </w:p>
        <w:p w14:paraId="23A53901" w14:textId="595A3416" w:rsidR="0023226C" w:rsidRPr="0023226C" w:rsidRDefault="0023226C" w:rsidP="00E17764">
          <w:pPr>
            <w:pStyle w:val="TOC1"/>
          </w:pPr>
          <w:r w:rsidRPr="0023226C">
            <w:fldChar w:fldCharType="end"/>
          </w:r>
        </w:p>
      </w:sdtContent>
    </w:sdt>
    <w:p w14:paraId="14888FE4" w14:textId="77777777" w:rsidR="0023226C" w:rsidRPr="0023226C" w:rsidRDefault="0023226C" w:rsidP="0023226C">
      <w:pPr>
        <w:pStyle w:val="Para0"/>
        <w:sectPr w:rsidR="0023226C" w:rsidRPr="0023226C" w:rsidSect="0023226C">
          <w:headerReference w:type="even" r:id="rId21"/>
          <w:headerReference w:type="default" r:id="rId22"/>
          <w:footerReference w:type="default" r:id="rId23"/>
          <w:headerReference w:type="first" r:id="rId24"/>
          <w:footerReference w:type="first" r:id="rId25"/>
          <w:pgSz w:w="11901" w:h="16840" w:code="9"/>
          <w:pgMar w:top="567" w:right="851" w:bottom="851" w:left="1134" w:header="567" w:footer="370" w:gutter="0"/>
          <w:pgNumType w:fmt="lowerRoman" w:start="1"/>
          <w:cols w:space="0"/>
          <w:formProt w:val="0"/>
          <w:docGrid w:linePitch="360"/>
        </w:sectPr>
      </w:pPr>
    </w:p>
    <w:p w14:paraId="05E23A1A" w14:textId="7548E397" w:rsidR="00892AEA" w:rsidRDefault="00892AEA" w:rsidP="00892AEA">
      <w:pPr>
        <w:pStyle w:val="SectionSubheading1"/>
      </w:pPr>
      <w:bookmarkStart w:id="0" w:name="_Toc57907070"/>
      <w:bookmarkStart w:id="1" w:name="_Toc369504437"/>
      <w:r>
        <w:t>Acknowledgements</w:t>
      </w:r>
      <w:bookmarkEnd w:id="0"/>
    </w:p>
    <w:p w14:paraId="08501FDB" w14:textId="48EA49EB" w:rsidR="00085855" w:rsidRPr="00085855" w:rsidRDefault="00516DFC" w:rsidP="00C42D04">
      <w:pPr>
        <w:pStyle w:val="Para0"/>
      </w:pPr>
      <w:r w:rsidRPr="00AF49EE">
        <w:t xml:space="preserve">The authors of this report wish to acknowledge the </w:t>
      </w:r>
      <w:r w:rsidR="00C97F9B" w:rsidRPr="00AF49EE">
        <w:t>guidance and support provided by the Technical Advisory Group for the LVRRS and the many reviewers who have contributed to this document.</w:t>
      </w:r>
      <w:r w:rsidR="00466C17">
        <w:t xml:space="preserve"> </w:t>
      </w:r>
      <w:r w:rsidR="00DC6B08">
        <w:t xml:space="preserve"> </w:t>
      </w:r>
      <w:r w:rsidR="00466C17">
        <w:t>We also acknowledge the contribution made by many stakeholders in participating in workshops and meetings and providing generously of their time and experience to the development of th</w:t>
      </w:r>
      <w:r w:rsidR="002B75F0">
        <w:t>is report.</w:t>
      </w:r>
    </w:p>
    <w:p w14:paraId="2A8E720B" w14:textId="389490BC" w:rsidR="00892AEA" w:rsidRDefault="00892AEA" w:rsidP="00892AEA">
      <w:pPr>
        <w:pStyle w:val="SectionSubheading1"/>
      </w:pPr>
      <w:bookmarkStart w:id="2" w:name="_Toc57907071"/>
      <w:bookmarkStart w:id="3" w:name="_Hlk13055110"/>
      <w:r>
        <w:t>Definitions and abbreviations</w:t>
      </w:r>
      <w:bookmarkEnd w:id="2"/>
      <w:r w:rsidRPr="009467F4">
        <w:t xml:space="preserve"> </w:t>
      </w:r>
    </w:p>
    <w:tbl>
      <w:tblPr>
        <w:tblW w:w="973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55"/>
        <w:gridCol w:w="7984"/>
      </w:tblGrid>
      <w:tr w:rsidR="00323DB0" w:rsidRPr="00AD3BE8" w14:paraId="2168E7B6" w14:textId="77777777" w:rsidTr="00E13530">
        <w:trPr>
          <w:tblHeader/>
          <w:jc w:val="center"/>
        </w:trPr>
        <w:tc>
          <w:tcPr>
            <w:tcW w:w="1755" w:type="dxa"/>
            <w:shd w:val="clear" w:color="auto" w:fill="00338D"/>
          </w:tcPr>
          <w:p w14:paraId="285159D1" w14:textId="77777777" w:rsidR="00323DB0" w:rsidRPr="00AD3BE8" w:rsidRDefault="00323DB0" w:rsidP="00E13530">
            <w:pPr>
              <w:keepNext/>
              <w:spacing w:before="100" w:after="100"/>
              <w:rPr>
                <w:rFonts w:ascii="Arial Narrow" w:eastAsia="Times New Roman" w:hAnsi="Arial Narrow"/>
                <w:b/>
                <w:color w:val="FFFFFF" w:themeColor="background1"/>
                <w:szCs w:val="20"/>
              </w:rPr>
            </w:pPr>
            <w:r w:rsidRPr="00AD3BE8">
              <w:rPr>
                <w:rFonts w:ascii="Arial Narrow" w:eastAsia="Times New Roman" w:hAnsi="Arial Narrow"/>
                <w:b/>
                <w:color w:val="FFFFFF" w:themeColor="background1"/>
                <w:szCs w:val="20"/>
              </w:rPr>
              <w:t>Abbreviations</w:t>
            </w:r>
          </w:p>
        </w:tc>
        <w:tc>
          <w:tcPr>
            <w:tcW w:w="7984" w:type="dxa"/>
            <w:shd w:val="clear" w:color="auto" w:fill="00338D"/>
          </w:tcPr>
          <w:p w14:paraId="53EF60FF" w14:textId="77777777" w:rsidR="00323DB0" w:rsidRPr="00AD3BE8" w:rsidRDefault="00323DB0" w:rsidP="00E13530">
            <w:pPr>
              <w:keepNext/>
              <w:spacing w:before="100" w:after="100"/>
              <w:rPr>
                <w:rFonts w:ascii="Arial Narrow" w:eastAsia="Times New Roman" w:hAnsi="Arial Narrow"/>
                <w:b/>
                <w:color w:val="FFFFFF" w:themeColor="background1"/>
                <w:szCs w:val="20"/>
              </w:rPr>
            </w:pPr>
            <w:r w:rsidRPr="00AD3BE8">
              <w:rPr>
                <w:rFonts w:ascii="Arial Narrow" w:eastAsia="Times New Roman" w:hAnsi="Arial Narrow"/>
                <w:b/>
                <w:color w:val="FFFFFF" w:themeColor="background1"/>
                <w:szCs w:val="20"/>
              </w:rPr>
              <w:t>Definition</w:t>
            </w:r>
          </w:p>
        </w:tc>
      </w:tr>
      <w:tr w:rsidR="00323DB0" w:rsidRPr="00AD3BE8" w14:paraId="63C69642" w14:textId="77777777" w:rsidTr="00E13530">
        <w:trPr>
          <w:jc w:val="center"/>
        </w:trPr>
        <w:tc>
          <w:tcPr>
            <w:tcW w:w="1755" w:type="dxa"/>
            <w:shd w:val="clear" w:color="auto" w:fill="E6E5E3"/>
            <w:vAlign w:val="center"/>
          </w:tcPr>
          <w:p w14:paraId="508DF91F" w14:textId="77777777" w:rsidR="00323DB0" w:rsidRPr="00AD3BE8" w:rsidRDefault="00323DB0" w:rsidP="0059628D">
            <w:pPr>
              <w:spacing w:before="20" w:after="20" w:line="240" w:lineRule="auto"/>
              <w:ind w:left="113"/>
              <w:rPr>
                <w:sz w:val="18"/>
                <w:szCs w:val="18"/>
              </w:rPr>
            </w:pPr>
            <w:r w:rsidRPr="00AD3BE8">
              <w:rPr>
                <w:sz w:val="18"/>
                <w:szCs w:val="18"/>
              </w:rPr>
              <w:t>AEP</w:t>
            </w:r>
          </w:p>
        </w:tc>
        <w:tc>
          <w:tcPr>
            <w:tcW w:w="7984" w:type="dxa"/>
            <w:shd w:val="clear" w:color="auto" w:fill="auto"/>
            <w:vAlign w:val="center"/>
          </w:tcPr>
          <w:p w14:paraId="719B0974" w14:textId="77777777" w:rsidR="00323DB0" w:rsidRPr="00AD3BE8" w:rsidRDefault="00323DB0" w:rsidP="0059628D">
            <w:pPr>
              <w:spacing w:before="20" w:after="20" w:line="240" w:lineRule="auto"/>
              <w:ind w:left="113"/>
              <w:rPr>
                <w:sz w:val="18"/>
                <w:szCs w:val="18"/>
              </w:rPr>
            </w:pPr>
            <w:r w:rsidRPr="00AD3BE8">
              <w:rPr>
                <w:sz w:val="18"/>
                <w:szCs w:val="18"/>
              </w:rPr>
              <w:t>Annual Exceedance Probability</w:t>
            </w:r>
          </w:p>
        </w:tc>
      </w:tr>
      <w:tr w:rsidR="00323DB0" w:rsidRPr="00AD3BE8" w14:paraId="07A23BFC" w14:textId="77777777" w:rsidTr="00E13530">
        <w:trPr>
          <w:jc w:val="center"/>
        </w:trPr>
        <w:tc>
          <w:tcPr>
            <w:tcW w:w="1755" w:type="dxa"/>
            <w:shd w:val="clear" w:color="auto" w:fill="E6E5E3"/>
            <w:vAlign w:val="center"/>
          </w:tcPr>
          <w:p w14:paraId="547F4A33" w14:textId="77777777" w:rsidR="00323DB0" w:rsidRPr="00AD3BE8" w:rsidRDefault="00323DB0" w:rsidP="0059628D">
            <w:pPr>
              <w:spacing w:before="20" w:after="20" w:line="240" w:lineRule="auto"/>
              <w:ind w:left="113"/>
              <w:rPr>
                <w:sz w:val="18"/>
                <w:szCs w:val="18"/>
              </w:rPr>
            </w:pPr>
            <w:r w:rsidRPr="00AD3BE8">
              <w:rPr>
                <w:sz w:val="18"/>
                <w:szCs w:val="18"/>
              </w:rPr>
              <w:t>ANCOLD</w:t>
            </w:r>
          </w:p>
        </w:tc>
        <w:tc>
          <w:tcPr>
            <w:tcW w:w="7984" w:type="dxa"/>
            <w:shd w:val="clear" w:color="auto" w:fill="auto"/>
            <w:vAlign w:val="center"/>
          </w:tcPr>
          <w:p w14:paraId="324E79C5" w14:textId="77777777" w:rsidR="00323DB0" w:rsidRPr="00AD3BE8" w:rsidRDefault="00323DB0" w:rsidP="0059628D">
            <w:pPr>
              <w:spacing w:before="20" w:after="20" w:line="240" w:lineRule="auto"/>
              <w:ind w:left="113"/>
              <w:rPr>
                <w:sz w:val="18"/>
                <w:szCs w:val="18"/>
              </w:rPr>
            </w:pPr>
            <w:r w:rsidRPr="00AD3BE8">
              <w:rPr>
                <w:sz w:val="18"/>
                <w:szCs w:val="18"/>
              </w:rPr>
              <w:t>Australia National Committee on Large Dams</w:t>
            </w:r>
          </w:p>
        </w:tc>
      </w:tr>
      <w:tr w:rsidR="00323DB0" w:rsidRPr="00AD3BE8" w14:paraId="0CD3FF9C" w14:textId="77777777" w:rsidTr="00E13530">
        <w:trPr>
          <w:jc w:val="center"/>
        </w:trPr>
        <w:tc>
          <w:tcPr>
            <w:tcW w:w="1755" w:type="dxa"/>
            <w:shd w:val="clear" w:color="auto" w:fill="E6E5E3"/>
            <w:vAlign w:val="center"/>
          </w:tcPr>
          <w:p w14:paraId="75E3D59C" w14:textId="77777777" w:rsidR="00323DB0" w:rsidRPr="00AD3BE8" w:rsidRDefault="00323DB0" w:rsidP="0059628D">
            <w:pPr>
              <w:spacing w:before="20" w:after="20" w:line="240" w:lineRule="auto"/>
              <w:ind w:left="113"/>
              <w:rPr>
                <w:sz w:val="18"/>
                <w:szCs w:val="18"/>
              </w:rPr>
            </w:pPr>
            <w:r w:rsidRPr="00AD3BE8">
              <w:rPr>
                <w:sz w:val="18"/>
                <w:szCs w:val="18"/>
              </w:rPr>
              <w:t>ARI</w:t>
            </w:r>
          </w:p>
        </w:tc>
        <w:tc>
          <w:tcPr>
            <w:tcW w:w="7984" w:type="dxa"/>
            <w:shd w:val="clear" w:color="auto" w:fill="auto"/>
            <w:vAlign w:val="center"/>
          </w:tcPr>
          <w:p w14:paraId="4086C22D" w14:textId="77777777" w:rsidR="00323DB0" w:rsidRPr="00AD3BE8" w:rsidRDefault="00323DB0" w:rsidP="0059628D">
            <w:pPr>
              <w:spacing w:before="20" w:after="20" w:line="240" w:lineRule="auto"/>
              <w:ind w:left="113"/>
              <w:rPr>
                <w:sz w:val="18"/>
                <w:szCs w:val="18"/>
              </w:rPr>
            </w:pPr>
            <w:r w:rsidRPr="00AD3BE8">
              <w:rPr>
                <w:sz w:val="18"/>
                <w:szCs w:val="18"/>
              </w:rPr>
              <w:t>Annual Recurrence Interval</w:t>
            </w:r>
          </w:p>
        </w:tc>
      </w:tr>
      <w:tr w:rsidR="00323DB0" w:rsidRPr="00AD3BE8" w14:paraId="50296440" w14:textId="77777777" w:rsidTr="00E13530">
        <w:trPr>
          <w:jc w:val="center"/>
        </w:trPr>
        <w:tc>
          <w:tcPr>
            <w:tcW w:w="1755" w:type="dxa"/>
            <w:shd w:val="clear" w:color="auto" w:fill="E6E5E3"/>
            <w:vAlign w:val="center"/>
          </w:tcPr>
          <w:p w14:paraId="3C01AD2F" w14:textId="77777777" w:rsidR="00323DB0" w:rsidRPr="00AD3BE8" w:rsidRDefault="00323DB0" w:rsidP="0059628D">
            <w:pPr>
              <w:spacing w:before="20" w:after="20" w:line="240" w:lineRule="auto"/>
              <w:ind w:left="113"/>
              <w:rPr>
                <w:sz w:val="18"/>
                <w:szCs w:val="18"/>
              </w:rPr>
            </w:pPr>
            <w:r w:rsidRPr="00AD3BE8">
              <w:rPr>
                <w:sz w:val="18"/>
                <w:szCs w:val="18"/>
              </w:rPr>
              <w:t>AS</w:t>
            </w:r>
          </w:p>
        </w:tc>
        <w:tc>
          <w:tcPr>
            <w:tcW w:w="7984" w:type="dxa"/>
            <w:shd w:val="clear" w:color="auto" w:fill="auto"/>
            <w:vAlign w:val="center"/>
          </w:tcPr>
          <w:p w14:paraId="275DAFAE" w14:textId="77777777" w:rsidR="00323DB0" w:rsidRPr="00AD3BE8" w:rsidRDefault="00323DB0" w:rsidP="0059628D">
            <w:pPr>
              <w:spacing w:before="20" w:after="20" w:line="240" w:lineRule="auto"/>
              <w:ind w:left="113"/>
              <w:rPr>
                <w:sz w:val="18"/>
                <w:szCs w:val="18"/>
              </w:rPr>
            </w:pPr>
            <w:r w:rsidRPr="00AD3BE8">
              <w:rPr>
                <w:sz w:val="18"/>
                <w:szCs w:val="18"/>
              </w:rPr>
              <w:t>Australian Standard</w:t>
            </w:r>
          </w:p>
        </w:tc>
      </w:tr>
      <w:tr w:rsidR="00323DB0" w:rsidRPr="00AD3BE8" w14:paraId="3225A8A1" w14:textId="77777777" w:rsidTr="00E13530">
        <w:trPr>
          <w:jc w:val="center"/>
        </w:trPr>
        <w:tc>
          <w:tcPr>
            <w:tcW w:w="1755" w:type="dxa"/>
            <w:shd w:val="clear" w:color="auto" w:fill="E6E5E3"/>
            <w:vAlign w:val="center"/>
          </w:tcPr>
          <w:p w14:paraId="5EF7D45F"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ASTM</w:t>
            </w:r>
          </w:p>
        </w:tc>
        <w:tc>
          <w:tcPr>
            <w:tcW w:w="7984" w:type="dxa"/>
            <w:shd w:val="clear" w:color="auto" w:fill="auto"/>
            <w:vAlign w:val="center"/>
          </w:tcPr>
          <w:p w14:paraId="649B3AA5"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American Society for Testing and Materials</w:t>
            </w:r>
          </w:p>
        </w:tc>
      </w:tr>
      <w:tr w:rsidR="00323DB0" w:rsidRPr="00AD3BE8" w14:paraId="3B99A036" w14:textId="77777777" w:rsidTr="00E13530">
        <w:trPr>
          <w:jc w:val="center"/>
        </w:trPr>
        <w:tc>
          <w:tcPr>
            <w:tcW w:w="1755" w:type="dxa"/>
            <w:shd w:val="clear" w:color="auto" w:fill="E6E5E3"/>
            <w:vAlign w:val="center"/>
          </w:tcPr>
          <w:p w14:paraId="69C2F669"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BCA</w:t>
            </w:r>
          </w:p>
        </w:tc>
        <w:tc>
          <w:tcPr>
            <w:tcW w:w="7984" w:type="dxa"/>
            <w:shd w:val="clear" w:color="auto" w:fill="auto"/>
            <w:vAlign w:val="center"/>
          </w:tcPr>
          <w:p w14:paraId="777416BF" w14:textId="77777777" w:rsidR="00323DB0" w:rsidRPr="00AD3BE8" w:rsidRDefault="00323DB0" w:rsidP="0059628D">
            <w:pPr>
              <w:spacing w:before="20" w:after="20" w:line="240" w:lineRule="auto"/>
              <w:ind w:left="111"/>
              <w:rPr>
                <w:color w:val="000000"/>
                <w:sz w:val="18"/>
                <w:szCs w:val="18"/>
              </w:rPr>
            </w:pPr>
            <w:r w:rsidRPr="00AD3BE8">
              <w:rPr>
                <w:color w:val="000000"/>
                <w:sz w:val="18"/>
                <w:szCs w:val="18"/>
              </w:rPr>
              <w:t>Building Classification Australia</w:t>
            </w:r>
          </w:p>
        </w:tc>
      </w:tr>
      <w:tr w:rsidR="00323DB0" w:rsidRPr="00AD3BE8" w14:paraId="4ABC126D" w14:textId="77777777" w:rsidTr="00E13530">
        <w:trPr>
          <w:jc w:val="center"/>
        </w:trPr>
        <w:tc>
          <w:tcPr>
            <w:tcW w:w="1755" w:type="dxa"/>
            <w:shd w:val="clear" w:color="auto" w:fill="E6E5E3"/>
            <w:vAlign w:val="center"/>
          </w:tcPr>
          <w:p w14:paraId="0FA41727"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CR</w:t>
            </w:r>
          </w:p>
        </w:tc>
        <w:tc>
          <w:tcPr>
            <w:tcW w:w="7984" w:type="dxa"/>
            <w:shd w:val="clear" w:color="auto" w:fill="auto"/>
            <w:vAlign w:val="center"/>
          </w:tcPr>
          <w:p w14:paraId="2518FD59" w14:textId="77777777" w:rsidR="00323DB0" w:rsidRPr="00AD3BE8" w:rsidRDefault="00323DB0" w:rsidP="0059628D">
            <w:pPr>
              <w:spacing w:before="20" w:after="20" w:line="240" w:lineRule="auto"/>
              <w:ind w:left="111"/>
              <w:rPr>
                <w:color w:val="000000"/>
                <w:sz w:val="18"/>
                <w:szCs w:val="18"/>
              </w:rPr>
            </w:pPr>
            <w:r w:rsidRPr="00AD3BE8">
              <w:rPr>
                <w:color w:val="000000"/>
                <w:sz w:val="18"/>
                <w:szCs w:val="18"/>
              </w:rPr>
              <w:t>Compression Ratio</w:t>
            </w:r>
          </w:p>
        </w:tc>
      </w:tr>
      <w:tr w:rsidR="00323DB0" w:rsidRPr="00AD3BE8" w14:paraId="65F3E735" w14:textId="77777777" w:rsidTr="00E13530">
        <w:trPr>
          <w:jc w:val="center"/>
        </w:trPr>
        <w:tc>
          <w:tcPr>
            <w:tcW w:w="1755" w:type="dxa"/>
            <w:shd w:val="clear" w:color="auto" w:fill="E6E5E3"/>
            <w:vAlign w:val="center"/>
          </w:tcPr>
          <w:p w14:paraId="2C1BCA4C"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DJPR</w:t>
            </w:r>
          </w:p>
        </w:tc>
        <w:tc>
          <w:tcPr>
            <w:tcW w:w="7984" w:type="dxa"/>
            <w:shd w:val="clear" w:color="auto" w:fill="auto"/>
            <w:vAlign w:val="center"/>
          </w:tcPr>
          <w:p w14:paraId="412C9243"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Department of Jobs, Precincts and Regions</w:t>
            </w:r>
          </w:p>
        </w:tc>
      </w:tr>
      <w:tr w:rsidR="00323DB0" w:rsidRPr="00AD3BE8" w14:paraId="2B35AFA5" w14:textId="77777777" w:rsidTr="00E13530">
        <w:trPr>
          <w:jc w:val="center"/>
        </w:trPr>
        <w:tc>
          <w:tcPr>
            <w:tcW w:w="1755" w:type="dxa"/>
            <w:shd w:val="clear" w:color="auto" w:fill="E6E5E3"/>
            <w:vAlign w:val="center"/>
          </w:tcPr>
          <w:p w14:paraId="58F9D869" w14:textId="77777777" w:rsidR="00323DB0" w:rsidRPr="00AD3BE8" w:rsidRDefault="00323DB0" w:rsidP="0059628D">
            <w:pPr>
              <w:spacing w:before="20" w:after="20" w:line="240" w:lineRule="auto"/>
              <w:ind w:left="113"/>
              <w:rPr>
                <w:sz w:val="18"/>
                <w:szCs w:val="18"/>
              </w:rPr>
            </w:pPr>
            <w:r w:rsidRPr="00AD3BE8">
              <w:rPr>
                <w:sz w:val="18"/>
                <w:szCs w:val="18"/>
              </w:rPr>
              <w:t>DELWP</w:t>
            </w:r>
          </w:p>
        </w:tc>
        <w:tc>
          <w:tcPr>
            <w:tcW w:w="7984" w:type="dxa"/>
            <w:shd w:val="clear" w:color="auto" w:fill="auto"/>
            <w:vAlign w:val="center"/>
          </w:tcPr>
          <w:p w14:paraId="03F00D2A" w14:textId="77777777" w:rsidR="00323DB0" w:rsidRPr="00AD3BE8" w:rsidRDefault="00323DB0" w:rsidP="0059628D">
            <w:pPr>
              <w:spacing w:before="20" w:after="20" w:line="240" w:lineRule="auto"/>
              <w:ind w:left="113"/>
              <w:rPr>
                <w:sz w:val="18"/>
                <w:szCs w:val="18"/>
              </w:rPr>
            </w:pPr>
            <w:r w:rsidRPr="00AD3BE8">
              <w:rPr>
                <w:sz w:val="18"/>
                <w:szCs w:val="18"/>
              </w:rPr>
              <w:t>Department of Environment, Land, Water and Planning</w:t>
            </w:r>
          </w:p>
        </w:tc>
      </w:tr>
      <w:tr w:rsidR="00323DB0" w:rsidRPr="00AD3BE8" w14:paraId="0186DC61" w14:textId="77777777" w:rsidTr="00E13530">
        <w:trPr>
          <w:jc w:val="center"/>
        </w:trPr>
        <w:tc>
          <w:tcPr>
            <w:tcW w:w="1755" w:type="dxa"/>
            <w:shd w:val="clear" w:color="auto" w:fill="E6E5E3"/>
            <w:vAlign w:val="center"/>
          </w:tcPr>
          <w:p w14:paraId="45A006F0" w14:textId="77777777" w:rsidR="00323DB0" w:rsidRPr="00AD3BE8" w:rsidRDefault="00323DB0" w:rsidP="0059628D">
            <w:pPr>
              <w:spacing w:before="20" w:after="20" w:line="240" w:lineRule="auto"/>
              <w:ind w:left="113"/>
              <w:rPr>
                <w:sz w:val="18"/>
                <w:szCs w:val="18"/>
              </w:rPr>
            </w:pPr>
            <w:r w:rsidRPr="00AD3BE8">
              <w:rPr>
                <w:sz w:val="18"/>
                <w:szCs w:val="18"/>
              </w:rPr>
              <w:t>DMR</w:t>
            </w:r>
          </w:p>
        </w:tc>
        <w:tc>
          <w:tcPr>
            <w:tcW w:w="7984" w:type="dxa"/>
            <w:shd w:val="clear" w:color="auto" w:fill="auto"/>
            <w:vAlign w:val="center"/>
          </w:tcPr>
          <w:p w14:paraId="2736EF4B" w14:textId="77777777" w:rsidR="00323DB0" w:rsidRPr="00AD3BE8" w:rsidRDefault="00323DB0" w:rsidP="0059628D">
            <w:pPr>
              <w:spacing w:before="20" w:after="20" w:line="240" w:lineRule="auto"/>
              <w:ind w:left="113"/>
              <w:rPr>
                <w:sz w:val="18"/>
                <w:szCs w:val="18"/>
              </w:rPr>
            </w:pPr>
            <w:r w:rsidRPr="00AD3BE8">
              <w:rPr>
                <w:sz w:val="18"/>
                <w:szCs w:val="18"/>
              </w:rPr>
              <w:t>Declared Mine Report</w:t>
            </w:r>
          </w:p>
        </w:tc>
      </w:tr>
      <w:tr w:rsidR="00323DB0" w:rsidRPr="00AD3BE8" w14:paraId="6145B46C" w14:textId="77777777" w:rsidTr="00E13530">
        <w:trPr>
          <w:jc w:val="center"/>
        </w:trPr>
        <w:tc>
          <w:tcPr>
            <w:tcW w:w="1755" w:type="dxa"/>
            <w:shd w:val="clear" w:color="auto" w:fill="E6E5E3"/>
            <w:vAlign w:val="center"/>
          </w:tcPr>
          <w:p w14:paraId="2DC11755" w14:textId="77777777" w:rsidR="00323DB0" w:rsidRPr="00AD3BE8" w:rsidRDefault="00323DB0" w:rsidP="0059628D">
            <w:pPr>
              <w:spacing w:before="20" w:after="20" w:line="240" w:lineRule="auto"/>
              <w:ind w:left="113"/>
              <w:rPr>
                <w:sz w:val="18"/>
                <w:szCs w:val="18"/>
              </w:rPr>
            </w:pPr>
            <w:r w:rsidRPr="00AD3BE8">
              <w:rPr>
                <w:sz w:val="18"/>
                <w:szCs w:val="18"/>
              </w:rPr>
              <w:t>EDC</w:t>
            </w:r>
          </w:p>
        </w:tc>
        <w:tc>
          <w:tcPr>
            <w:tcW w:w="7984" w:type="dxa"/>
            <w:shd w:val="clear" w:color="auto" w:fill="auto"/>
            <w:vAlign w:val="center"/>
          </w:tcPr>
          <w:p w14:paraId="63A8E428" w14:textId="77777777" w:rsidR="00323DB0" w:rsidRPr="00AD3BE8" w:rsidRDefault="00323DB0" w:rsidP="0059628D">
            <w:pPr>
              <w:spacing w:before="20" w:after="20" w:line="240" w:lineRule="auto"/>
              <w:ind w:left="113"/>
              <w:rPr>
                <w:sz w:val="18"/>
                <w:szCs w:val="18"/>
              </w:rPr>
            </w:pPr>
            <w:r w:rsidRPr="00AD3BE8">
              <w:rPr>
                <w:sz w:val="18"/>
                <w:szCs w:val="18"/>
              </w:rPr>
              <w:t>Earthquake Design Category</w:t>
            </w:r>
          </w:p>
        </w:tc>
      </w:tr>
      <w:tr w:rsidR="00323DB0" w:rsidRPr="00AD3BE8" w14:paraId="0B2FB434" w14:textId="77777777" w:rsidTr="00E13530">
        <w:trPr>
          <w:jc w:val="center"/>
        </w:trPr>
        <w:tc>
          <w:tcPr>
            <w:tcW w:w="1755" w:type="dxa"/>
            <w:shd w:val="clear" w:color="auto" w:fill="E6E5E3"/>
            <w:vAlign w:val="center"/>
          </w:tcPr>
          <w:p w14:paraId="4A278C51" w14:textId="77777777" w:rsidR="00323DB0" w:rsidRPr="00AD3BE8" w:rsidRDefault="00323DB0" w:rsidP="0059628D">
            <w:pPr>
              <w:spacing w:before="20" w:after="20" w:line="240" w:lineRule="auto"/>
              <w:ind w:left="113"/>
              <w:rPr>
                <w:sz w:val="18"/>
                <w:szCs w:val="18"/>
              </w:rPr>
            </w:pPr>
            <w:r w:rsidRPr="00AD3BE8">
              <w:rPr>
                <w:sz w:val="18"/>
                <w:szCs w:val="18"/>
              </w:rPr>
              <w:t>EPA</w:t>
            </w:r>
          </w:p>
        </w:tc>
        <w:tc>
          <w:tcPr>
            <w:tcW w:w="7984" w:type="dxa"/>
            <w:shd w:val="clear" w:color="auto" w:fill="auto"/>
            <w:vAlign w:val="center"/>
          </w:tcPr>
          <w:p w14:paraId="6A3EEDA5" w14:textId="77777777" w:rsidR="00323DB0" w:rsidRPr="00AD3BE8" w:rsidRDefault="00323DB0" w:rsidP="0059628D">
            <w:pPr>
              <w:spacing w:before="20" w:after="20" w:line="240" w:lineRule="auto"/>
              <w:ind w:left="113"/>
              <w:rPr>
                <w:sz w:val="18"/>
                <w:szCs w:val="18"/>
              </w:rPr>
            </w:pPr>
            <w:r w:rsidRPr="00AD3BE8">
              <w:rPr>
                <w:sz w:val="18"/>
                <w:szCs w:val="18"/>
              </w:rPr>
              <w:t>Environmental Protection Authority</w:t>
            </w:r>
          </w:p>
        </w:tc>
      </w:tr>
      <w:tr w:rsidR="00323DB0" w:rsidRPr="00AD3BE8" w14:paraId="5C72DF94" w14:textId="77777777" w:rsidTr="00E13530">
        <w:trPr>
          <w:jc w:val="center"/>
        </w:trPr>
        <w:tc>
          <w:tcPr>
            <w:tcW w:w="1755" w:type="dxa"/>
            <w:shd w:val="clear" w:color="auto" w:fill="E6E5E3"/>
            <w:vAlign w:val="center"/>
          </w:tcPr>
          <w:p w14:paraId="4020D986"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FOS</w:t>
            </w:r>
          </w:p>
        </w:tc>
        <w:tc>
          <w:tcPr>
            <w:tcW w:w="7984" w:type="dxa"/>
            <w:shd w:val="clear" w:color="auto" w:fill="auto"/>
            <w:vAlign w:val="center"/>
          </w:tcPr>
          <w:p w14:paraId="4745D115"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Factor of Safety</w:t>
            </w:r>
          </w:p>
        </w:tc>
      </w:tr>
      <w:tr w:rsidR="00323DB0" w:rsidRPr="00AD3BE8" w14:paraId="3CCBB712" w14:textId="77777777" w:rsidTr="00E13530">
        <w:trPr>
          <w:jc w:val="center"/>
        </w:trPr>
        <w:tc>
          <w:tcPr>
            <w:tcW w:w="1755" w:type="dxa"/>
            <w:shd w:val="clear" w:color="auto" w:fill="E6E5E3"/>
            <w:vAlign w:val="center"/>
          </w:tcPr>
          <w:p w14:paraId="3DF81F83" w14:textId="77777777" w:rsidR="00323DB0" w:rsidRPr="00AD3BE8" w:rsidRDefault="00323DB0" w:rsidP="0059628D">
            <w:pPr>
              <w:spacing w:before="20" w:after="20" w:line="240" w:lineRule="auto"/>
              <w:ind w:left="113"/>
              <w:rPr>
                <w:sz w:val="18"/>
                <w:szCs w:val="18"/>
              </w:rPr>
            </w:pPr>
            <w:r w:rsidRPr="00AD3BE8">
              <w:rPr>
                <w:sz w:val="18"/>
                <w:szCs w:val="18"/>
              </w:rPr>
              <w:t>GCMP</w:t>
            </w:r>
          </w:p>
        </w:tc>
        <w:tc>
          <w:tcPr>
            <w:tcW w:w="7984" w:type="dxa"/>
            <w:shd w:val="clear" w:color="auto" w:fill="auto"/>
            <w:vAlign w:val="center"/>
          </w:tcPr>
          <w:p w14:paraId="72DDA9E5" w14:textId="77777777" w:rsidR="00323DB0" w:rsidRPr="00AD3BE8" w:rsidRDefault="00323DB0" w:rsidP="0059628D">
            <w:pPr>
              <w:spacing w:before="20" w:after="20" w:line="240" w:lineRule="auto"/>
              <w:ind w:left="113"/>
              <w:rPr>
                <w:sz w:val="18"/>
                <w:szCs w:val="18"/>
              </w:rPr>
            </w:pPr>
            <w:r w:rsidRPr="00AD3BE8">
              <w:rPr>
                <w:sz w:val="18"/>
                <w:szCs w:val="18"/>
              </w:rPr>
              <w:t>Ground Control Management Plan</w:t>
            </w:r>
          </w:p>
        </w:tc>
      </w:tr>
      <w:tr w:rsidR="00323DB0" w:rsidRPr="00AD3BE8" w14:paraId="5B94858C" w14:textId="77777777" w:rsidTr="00E13530">
        <w:trPr>
          <w:jc w:val="center"/>
        </w:trPr>
        <w:tc>
          <w:tcPr>
            <w:tcW w:w="1755" w:type="dxa"/>
            <w:shd w:val="clear" w:color="auto" w:fill="E6E5E3"/>
            <w:vAlign w:val="center"/>
          </w:tcPr>
          <w:p w14:paraId="6E3AF132" w14:textId="77777777" w:rsidR="00323DB0" w:rsidRPr="00AD3BE8" w:rsidRDefault="00323DB0" w:rsidP="0059628D">
            <w:pPr>
              <w:spacing w:before="20" w:after="20" w:line="240" w:lineRule="auto"/>
              <w:ind w:left="113"/>
              <w:rPr>
                <w:sz w:val="18"/>
                <w:szCs w:val="18"/>
              </w:rPr>
            </w:pPr>
            <w:r w:rsidRPr="00AD3BE8">
              <w:rPr>
                <w:sz w:val="18"/>
                <w:szCs w:val="18"/>
              </w:rPr>
              <w:t>GHERG</w:t>
            </w:r>
          </w:p>
        </w:tc>
        <w:tc>
          <w:tcPr>
            <w:tcW w:w="7984" w:type="dxa"/>
            <w:shd w:val="clear" w:color="auto" w:fill="auto"/>
            <w:vAlign w:val="center"/>
          </w:tcPr>
          <w:p w14:paraId="66440C30" w14:textId="77777777" w:rsidR="00323DB0" w:rsidRPr="00AD3BE8" w:rsidRDefault="00323DB0" w:rsidP="0059628D">
            <w:pPr>
              <w:spacing w:before="20" w:after="20" w:line="240" w:lineRule="auto"/>
              <w:ind w:left="113"/>
              <w:rPr>
                <w:sz w:val="18"/>
                <w:szCs w:val="18"/>
              </w:rPr>
            </w:pPr>
            <w:r w:rsidRPr="00AD3BE8">
              <w:rPr>
                <w:sz w:val="18"/>
                <w:szCs w:val="18"/>
              </w:rPr>
              <w:t>Geotechnical and Hydrogeological Engineering Research Group</w:t>
            </w:r>
          </w:p>
        </w:tc>
      </w:tr>
      <w:tr w:rsidR="00323DB0" w:rsidRPr="00AD3BE8" w14:paraId="38B649FB" w14:textId="77777777" w:rsidTr="00E13530">
        <w:trPr>
          <w:jc w:val="center"/>
        </w:trPr>
        <w:tc>
          <w:tcPr>
            <w:tcW w:w="1755" w:type="dxa"/>
            <w:shd w:val="clear" w:color="auto" w:fill="E6E5E3"/>
            <w:vAlign w:val="center"/>
          </w:tcPr>
          <w:p w14:paraId="6BD42C37" w14:textId="77777777" w:rsidR="00323DB0" w:rsidRPr="00AD3BE8" w:rsidRDefault="00323DB0" w:rsidP="0059628D">
            <w:pPr>
              <w:spacing w:before="20" w:after="20" w:line="240" w:lineRule="auto"/>
              <w:ind w:left="113"/>
              <w:rPr>
                <w:sz w:val="18"/>
                <w:szCs w:val="18"/>
              </w:rPr>
            </w:pPr>
            <w:r w:rsidRPr="00AD3BE8">
              <w:rPr>
                <w:sz w:val="18"/>
                <w:szCs w:val="18"/>
              </w:rPr>
              <w:t>GL</w:t>
            </w:r>
          </w:p>
        </w:tc>
        <w:tc>
          <w:tcPr>
            <w:tcW w:w="7984" w:type="dxa"/>
            <w:shd w:val="clear" w:color="auto" w:fill="auto"/>
            <w:vAlign w:val="center"/>
          </w:tcPr>
          <w:p w14:paraId="45B12A73" w14:textId="77777777" w:rsidR="00323DB0" w:rsidRPr="00AD3BE8" w:rsidRDefault="00323DB0" w:rsidP="0059628D">
            <w:pPr>
              <w:spacing w:before="20" w:after="20" w:line="240" w:lineRule="auto"/>
              <w:ind w:left="113"/>
              <w:rPr>
                <w:sz w:val="18"/>
                <w:szCs w:val="18"/>
              </w:rPr>
            </w:pPr>
            <w:r w:rsidRPr="00AD3BE8">
              <w:rPr>
                <w:sz w:val="18"/>
                <w:szCs w:val="18"/>
              </w:rPr>
              <w:t>Gigalitre</w:t>
            </w:r>
          </w:p>
        </w:tc>
      </w:tr>
      <w:tr w:rsidR="00323DB0" w:rsidRPr="00AD3BE8" w14:paraId="2D295CC9" w14:textId="77777777" w:rsidTr="00E13530">
        <w:trPr>
          <w:jc w:val="center"/>
        </w:trPr>
        <w:tc>
          <w:tcPr>
            <w:tcW w:w="1755" w:type="dxa"/>
            <w:shd w:val="clear" w:color="auto" w:fill="E6E5E3"/>
            <w:vAlign w:val="center"/>
          </w:tcPr>
          <w:p w14:paraId="4440F19C" w14:textId="77777777" w:rsidR="00323DB0" w:rsidRPr="00AD3BE8" w:rsidRDefault="00323DB0" w:rsidP="0059628D">
            <w:pPr>
              <w:spacing w:before="20" w:after="20" w:line="240" w:lineRule="auto"/>
              <w:ind w:left="113"/>
              <w:rPr>
                <w:sz w:val="18"/>
                <w:szCs w:val="18"/>
              </w:rPr>
            </w:pPr>
            <w:r w:rsidRPr="00AD3BE8">
              <w:rPr>
                <w:sz w:val="18"/>
                <w:szCs w:val="18"/>
              </w:rPr>
              <w:t>GLaWAC</w:t>
            </w:r>
          </w:p>
        </w:tc>
        <w:tc>
          <w:tcPr>
            <w:tcW w:w="7984" w:type="dxa"/>
            <w:shd w:val="clear" w:color="auto" w:fill="auto"/>
            <w:vAlign w:val="center"/>
          </w:tcPr>
          <w:p w14:paraId="0A81B5D5" w14:textId="77777777" w:rsidR="00323DB0" w:rsidRPr="00AD3BE8" w:rsidRDefault="00323DB0" w:rsidP="0059628D">
            <w:pPr>
              <w:spacing w:before="20" w:after="20" w:line="240" w:lineRule="auto"/>
              <w:ind w:left="113"/>
              <w:rPr>
                <w:sz w:val="18"/>
                <w:szCs w:val="18"/>
              </w:rPr>
            </w:pPr>
            <w:r w:rsidRPr="00AD3BE8">
              <w:rPr>
                <w:sz w:val="18"/>
                <w:szCs w:val="18"/>
              </w:rPr>
              <w:t>Gunaikurnai Land and Waters Aboriginal Corporation</w:t>
            </w:r>
          </w:p>
        </w:tc>
      </w:tr>
      <w:tr w:rsidR="00323DB0" w:rsidRPr="00AD3BE8" w14:paraId="49275A90" w14:textId="77777777" w:rsidTr="00E13530">
        <w:trPr>
          <w:jc w:val="center"/>
        </w:trPr>
        <w:tc>
          <w:tcPr>
            <w:tcW w:w="1755" w:type="dxa"/>
            <w:shd w:val="clear" w:color="auto" w:fill="E6E5E3"/>
            <w:vAlign w:val="center"/>
          </w:tcPr>
          <w:p w14:paraId="26D94B89" w14:textId="77777777" w:rsidR="00323DB0" w:rsidRPr="00AD3BE8" w:rsidRDefault="00323DB0" w:rsidP="0059628D">
            <w:pPr>
              <w:spacing w:before="20" w:after="20" w:line="240" w:lineRule="auto"/>
              <w:ind w:left="113"/>
              <w:rPr>
                <w:sz w:val="18"/>
                <w:szCs w:val="18"/>
              </w:rPr>
            </w:pPr>
            <w:r w:rsidRPr="00AD3BE8">
              <w:rPr>
                <w:sz w:val="18"/>
                <w:szCs w:val="18"/>
              </w:rPr>
              <w:t>GMU</w:t>
            </w:r>
          </w:p>
        </w:tc>
        <w:tc>
          <w:tcPr>
            <w:tcW w:w="7984" w:type="dxa"/>
            <w:shd w:val="clear" w:color="auto" w:fill="auto"/>
            <w:vAlign w:val="center"/>
          </w:tcPr>
          <w:p w14:paraId="7933894D" w14:textId="77777777" w:rsidR="00323DB0" w:rsidRPr="00AD3BE8" w:rsidRDefault="00323DB0" w:rsidP="0059628D">
            <w:pPr>
              <w:spacing w:before="20" w:after="20" w:line="240" w:lineRule="auto"/>
              <w:ind w:left="113"/>
              <w:rPr>
                <w:sz w:val="18"/>
                <w:szCs w:val="18"/>
              </w:rPr>
            </w:pPr>
            <w:r w:rsidRPr="00AD3BE8">
              <w:rPr>
                <w:sz w:val="18"/>
                <w:szCs w:val="18"/>
              </w:rPr>
              <w:t>Groundwater Management Unit</w:t>
            </w:r>
          </w:p>
        </w:tc>
      </w:tr>
      <w:tr w:rsidR="00323DB0" w:rsidRPr="00AD3BE8" w14:paraId="416DD159" w14:textId="77777777" w:rsidTr="00E13530">
        <w:trPr>
          <w:jc w:val="center"/>
        </w:trPr>
        <w:tc>
          <w:tcPr>
            <w:tcW w:w="1755" w:type="dxa"/>
            <w:shd w:val="clear" w:color="auto" w:fill="E6E5E3"/>
            <w:vAlign w:val="center"/>
          </w:tcPr>
          <w:p w14:paraId="47F77DF2" w14:textId="77777777" w:rsidR="00323DB0" w:rsidRPr="00AD3BE8" w:rsidRDefault="00323DB0" w:rsidP="0059628D">
            <w:pPr>
              <w:spacing w:before="20" w:after="20" w:line="240" w:lineRule="auto"/>
              <w:ind w:left="113"/>
              <w:rPr>
                <w:sz w:val="18"/>
                <w:szCs w:val="18"/>
              </w:rPr>
            </w:pPr>
            <w:r w:rsidRPr="00AD3BE8">
              <w:rPr>
                <w:sz w:val="18"/>
                <w:szCs w:val="18"/>
              </w:rPr>
              <w:t>HMFI</w:t>
            </w:r>
          </w:p>
        </w:tc>
        <w:tc>
          <w:tcPr>
            <w:tcW w:w="7984" w:type="dxa"/>
            <w:shd w:val="clear" w:color="auto" w:fill="auto"/>
            <w:vAlign w:val="center"/>
          </w:tcPr>
          <w:p w14:paraId="7CA78387" w14:textId="77777777" w:rsidR="00323DB0" w:rsidRPr="00AD3BE8" w:rsidRDefault="00323DB0" w:rsidP="0059628D">
            <w:pPr>
              <w:spacing w:before="20" w:after="20" w:line="240" w:lineRule="auto"/>
              <w:ind w:left="113"/>
              <w:rPr>
                <w:sz w:val="18"/>
                <w:szCs w:val="18"/>
              </w:rPr>
            </w:pPr>
            <w:r w:rsidRPr="00AD3BE8">
              <w:rPr>
                <w:sz w:val="18"/>
                <w:szCs w:val="18"/>
              </w:rPr>
              <w:t>Hazelwood Mine Fire Inquiry</w:t>
            </w:r>
          </w:p>
        </w:tc>
      </w:tr>
      <w:tr w:rsidR="00323DB0" w:rsidRPr="00AD3BE8" w14:paraId="6E333649" w14:textId="77777777" w:rsidTr="00E13530">
        <w:trPr>
          <w:jc w:val="center"/>
        </w:trPr>
        <w:tc>
          <w:tcPr>
            <w:tcW w:w="1755" w:type="dxa"/>
            <w:shd w:val="clear" w:color="auto" w:fill="E6E5E3"/>
            <w:vAlign w:val="center"/>
          </w:tcPr>
          <w:p w14:paraId="2D050E30" w14:textId="77777777" w:rsidR="00323DB0" w:rsidRPr="00AD3BE8" w:rsidRDefault="00323DB0" w:rsidP="0059628D">
            <w:pPr>
              <w:spacing w:before="20" w:after="20" w:line="240" w:lineRule="auto"/>
              <w:ind w:left="113"/>
              <w:rPr>
                <w:sz w:val="18"/>
                <w:szCs w:val="18"/>
              </w:rPr>
            </w:pPr>
            <w:r w:rsidRPr="00AD3BE8">
              <w:rPr>
                <w:sz w:val="18"/>
                <w:szCs w:val="18"/>
              </w:rPr>
              <w:t>ICCP</w:t>
            </w:r>
          </w:p>
        </w:tc>
        <w:tc>
          <w:tcPr>
            <w:tcW w:w="7984" w:type="dxa"/>
            <w:shd w:val="clear" w:color="auto" w:fill="auto"/>
            <w:vAlign w:val="center"/>
          </w:tcPr>
          <w:p w14:paraId="35FE0C86" w14:textId="77777777" w:rsidR="00323DB0" w:rsidRPr="00AD3BE8" w:rsidRDefault="00323DB0" w:rsidP="0059628D">
            <w:pPr>
              <w:spacing w:before="20" w:after="20" w:line="240" w:lineRule="auto"/>
              <w:ind w:left="113"/>
              <w:rPr>
                <w:sz w:val="18"/>
                <w:szCs w:val="18"/>
              </w:rPr>
            </w:pPr>
            <w:r w:rsidRPr="00AD3BE8">
              <w:rPr>
                <w:sz w:val="18"/>
                <w:szCs w:val="18"/>
              </w:rPr>
              <w:t>International Commission of Coal Petrology</w:t>
            </w:r>
          </w:p>
        </w:tc>
      </w:tr>
      <w:tr w:rsidR="00323DB0" w:rsidRPr="00AD3BE8" w14:paraId="3C880174" w14:textId="77777777" w:rsidTr="00E13530">
        <w:trPr>
          <w:jc w:val="center"/>
        </w:trPr>
        <w:tc>
          <w:tcPr>
            <w:tcW w:w="1755" w:type="dxa"/>
            <w:shd w:val="clear" w:color="auto" w:fill="E6E5E3"/>
            <w:vAlign w:val="center"/>
          </w:tcPr>
          <w:p w14:paraId="3DB684E8" w14:textId="77777777" w:rsidR="00323DB0" w:rsidRPr="00AD3BE8" w:rsidRDefault="00323DB0" w:rsidP="0059628D">
            <w:pPr>
              <w:spacing w:before="20" w:after="20" w:line="240" w:lineRule="auto"/>
              <w:ind w:left="113"/>
              <w:rPr>
                <w:sz w:val="18"/>
                <w:szCs w:val="18"/>
              </w:rPr>
            </w:pPr>
            <w:r w:rsidRPr="00AD3BE8">
              <w:rPr>
                <w:sz w:val="18"/>
                <w:szCs w:val="18"/>
              </w:rPr>
              <w:t>ICOLD</w:t>
            </w:r>
          </w:p>
        </w:tc>
        <w:tc>
          <w:tcPr>
            <w:tcW w:w="7984" w:type="dxa"/>
            <w:shd w:val="clear" w:color="auto" w:fill="auto"/>
            <w:vAlign w:val="center"/>
          </w:tcPr>
          <w:p w14:paraId="1E1591D3" w14:textId="77777777" w:rsidR="00323DB0" w:rsidRPr="00AD3BE8" w:rsidRDefault="00323DB0" w:rsidP="0059628D">
            <w:pPr>
              <w:spacing w:before="20" w:after="20" w:line="240" w:lineRule="auto"/>
              <w:ind w:left="113"/>
              <w:rPr>
                <w:sz w:val="18"/>
                <w:szCs w:val="18"/>
              </w:rPr>
            </w:pPr>
            <w:r w:rsidRPr="00AD3BE8">
              <w:rPr>
                <w:sz w:val="18"/>
                <w:szCs w:val="18"/>
              </w:rPr>
              <w:t>International Commission of Large Dams</w:t>
            </w:r>
          </w:p>
        </w:tc>
      </w:tr>
      <w:tr w:rsidR="00323DB0" w:rsidRPr="00AD3BE8" w14:paraId="7E97B587" w14:textId="77777777" w:rsidTr="00E13530">
        <w:trPr>
          <w:jc w:val="center"/>
        </w:trPr>
        <w:tc>
          <w:tcPr>
            <w:tcW w:w="1755" w:type="dxa"/>
            <w:shd w:val="clear" w:color="auto" w:fill="E6E5E3"/>
            <w:vAlign w:val="center"/>
          </w:tcPr>
          <w:p w14:paraId="48AC82A7"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km</w:t>
            </w:r>
          </w:p>
        </w:tc>
        <w:tc>
          <w:tcPr>
            <w:tcW w:w="7984" w:type="dxa"/>
            <w:shd w:val="clear" w:color="auto" w:fill="auto"/>
            <w:vAlign w:val="center"/>
          </w:tcPr>
          <w:p w14:paraId="1D1D0D66"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Kilometre</w:t>
            </w:r>
          </w:p>
        </w:tc>
      </w:tr>
      <w:tr w:rsidR="00323DB0" w:rsidRPr="00AD3BE8" w14:paraId="5413C6FF" w14:textId="77777777" w:rsidTr="00E13530">
        <w:trPr>
          <w:jc w:val="center"/>
        </w:trPr>
        <w:tc>
          <w:tcPr>
            <w:tcW w:w="1755" w:type="dxa"/>
            <w:shd w:val="clear" w:color="auto" w:fill="E6E5E3"/>
            <w:vAlign w:val="center"/>
          </w:tcPr>
          <w:p w14:paraId="1D1BF415"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LiDAR</w:t>
            </w:r>
          </w:p>
        </w:tc>
        <w:tc>
          <w:tcPr>
            <w:tcW w:w="7984" w:type="dxa"/>
            <w:shd w:val="clear" w:color="auto" w:fill="auto"/>
            <w:vAlign w:val="center"/>
          </w:tcPr>
          <w:p w14:paraId="546F7CCE"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Light Detection and Ranging</w:t>
            </w:r>
          </w:p>
        </w:tc>
      </w:tr>
      <w:tr w:rsidR="00323DB0" w:rsidRPr="00AD3BE8" w14:paraId="090BF145" w14:textId="77777777" w:rsidTr="00E13530">
        <w:trPr>
          <w:jc w:val="center"/>
        </w:trPr>
        <w:tc>
          <w:tcPr>
            <w:tcW w:w="1755" w:type="dxa"/>
            <w:shd w:val="clear" w:color="auto" w:fill="E6E5E3"/>
            <w:vAlign w:val="center"/>
          </w:tcPr>
          <w:p w14:paraId="15C60E83"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LV</w:t>
            </w:r>
          </w:p>
        </w:tc>
        <w:tc>
          <w:tcPr>
            <w:tcW w:w="7984" w:type="dxa"/>
            <w:shd w:val="clear" w:color="auto" w:fill="auto"/>
            <w:vAlign w:val="center"/>
          </w:tcPr>
          <w:p w14:paraId="6A278450"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Latrobe Valley</w:t>
            </w:r>
          </w:p>
        </w:tc>
      </w:tr>
      <w:tr w:rsidR="00323DB0" w:rsidRPr="00AD3BE8" w14:paraId="62F211ED" w14:textId="77777777" w:rsidTr="00E13530">
        <w:trPr>
          <w:jc w:val="center"/>
        </w:trPr>
        <w:tc>
          <w:tcPr>
            <w:tcW w:w="1755" w:type="dxa"/>
            <w:shd w:val="clear" w:color="auto" w:fill="E6E5E3"/>
            <w:vAlign w:val="center"/>
          </w:tcPr>
          <w:p w14:paraId="2A338F60"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LVMRC</w:t>
            </w:r>
          </w:p>
        </w:tc>
        <w:tc>
          <w:tcPr>
            <w:tcW w:w="7984" w:type="dxa"/>
            <w:shd w:val="clear" w:color="auto" w:fill="auto"/>
            <w:vAlign w:val="center"/>
          </w:tcPr>
          <w:p w14:paraId="17102F44"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Latrobe Valley Mine Rehabilitation Commissioner</w:t>
            </w:r>
          </w:p>
        </w:tc>
      </w:tr>
      <w:tr w:rsidR="00323DB0" w:rsidRPr="00AD3BE8" w14:paraId="4A58D809" w14:textId="77777777" w:rsidTr="00E13530">
        <w:trPr>
          <w:jc w:val="center"/>
        </w:trPr>
        <w:tc>
          <w:tcPr>
            <w:tcW w:w="1755" w:type="dxa"/>
            <w:shd w:val="clear" w:color="auto" w:fill="E6E5E3"/>
            <w:vAlign w:val="center"/>
          </w:tcPr>
          <w:p w14:paraId="7BA6A336"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LVRRS</w:t>
            </w:r>
          </w:p>
        </w:tc>
        <w:tc>
          <w:tcPr>
            <w:tcW w:w="7984" w:type="dxa"/>
            <w:shd w:val="clear" w:color="auto" w:fill="auto"/>
            <w:vAlign w:val="center"/>
          </w:tcPr>
          <w:p w14:paraId="42D040F5"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Latrobe Valley Regional Rehabilitation Strategy</w:t>
            </w:r>
          </w:p>
        </w:tc>
      </w:tr>
      <w:tr w:rsidR="00323DB0" w:rsidRPr="00AD3BE8" w14:paraId="2BB82349" w14:textId="77777777" w:rsidTr="00E13530">
        <w:trPr>
          <w:jc w:val="center"/>
        </w:trPr>
        <w:tc>
          <w:tcPr>
            <w:tcW w:w="1755" w:type="dxa"/>
            <w:shd w:val="clear" w:color="auto" w:fill="E6E5E3"/>
            <w:vAlign w:val="center"/>
          </w:tcPr>
          <w:p w14:paraId="4D64B3BA"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m</w:t>
            </w:r>
          </w:p>
        </w:tc>
        <w:tc>
          <w:tcPr>
            <w:tcW w:w="7984" w:type="dxa"/>
            <w:shd w:val="clear" w:color="auto" w:fill="auto"/>
            <w:vAlign w:val="center"/>
          </w:tcPr>
          <w:p w14:paraId="2B4FB3F9"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Metre</w:t>
            </w:r>
          </w:p>
        </w:tc>
      </w:tr>
      <w:tr w:rsidR="00323DB0" w:rsidRPr="00AD3BE8" w14:paraId="602EFC2A" w14:textId="77777777" w:rsidTr="00E13530">
        <w:trPr>
          <w:jc w:val="center"/>
        </w:trPr>
        <w:tc>
          <w:tcPr>
            <w:tcW w:w="1755" w:type="dxa"/>
            <w:shd w:val="clear" w:color="auto" w:fill="E6E5E3"/>
            <w:vAlign w:val="center"/>
          </w:tcPr>
          <w:p w14:paraId="522E7A77"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mm</w:t>
            </w:r>
          </w:p>
        </w:tc>
        <w:tc>
          <w:tcPr>
            <w:tcW w:w="7984" w:type="dxa"/>
            <w:shd w:val="clear" w:color="auto" w:fill="auto"/>
            <w:vAlign w:val="center"/>
          </w:tcPr>
          <w:p w14:paraId="5C1D03FE"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Millimetre</w:t>
            </w:r>
          </w:p>
        </w:tc>
      </w:tr>
      <w:tr w:rsidR="00323DB0" w:rsidRPr="00AD3BE8" w14:paraId="360929E2" w14:textId="77777777" w:rsidTr="00E13530">
        <w:trPr>
          <w:jc w:val="center"/>
        </w:trPr>
        <w:tc>
          <w:tcPr>
            <w:tcW w:w="1755" w:type="dxa"/>
            <w:shd w:val="clear" w:color="auto" w:fill="E6E5E3"/>
            <w:vAlign w:val="center"/>
          </w:tcPr>
          <w:p w14:paraId="44CF5C05"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MFAS</w:t>
            </w:r>
          </w:p>
        </w:tc>
        <w:tc>
          <w:tcPr>
            <w:tcW w:w="7984" w:type="dxa"/>
            <w:shd w:val="clear" w:color="auto" w:fill="auto"/>
            <w:vAlign w:val="center"/>
          </w:tcPr>
          <w:p w14:paraId="620A0907"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Morwell Formation Aquifer System</w:t>
            </w:r>
          </w:p>
        </w:tc>
      </w:tr>
      <w:tr w:rsidR="00323DB0" w:rsidRPr="00AD3BE8" w14:paraId="260F6076" w14:textId="77777777" w:rsidTr="00E13530">
        <w:trPr>
          <w:jc w:val="center"/>
        </w:trPr>
        <w:tc>
          <w:tcPr>
            <w:tcW w:w="1755" w:type="dxa"/>
            <w:shd w:val="clear" w:color="auto" w:fill="E6E5E3"/>
            <w:vAlign w:val="center"/>
          </w:tcPr>
          <w:p w14:paraId="1898A2DD"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M</w:t>
            </w:r>
            <w:r w:rsidRPr="00AD3BE8">
              <w:rPr>
                <w:color w:val="000000"/>
                <w:sz w:val="18"/>
                <w:szCs w:val="18"/>
                <w:vertAlign w:val="subscript"/>
              </w:rPr>
              <w:t>L</w:t>
            </w:r>
          </w:p>
        </w:tc>
        <w:tc>
          <w:tcPr>
            <w:tcW w:w="7984" w:type="dxa"/>
            <w:shd w:val="clear" w:color="auto" w:fill="auto"/>
            <w:vAlign w:val="center"/>
          </w:tcPr>
          <w:p w14:paraId="32ACB102"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Local Magnitude</w:t>
            </w:r>
          </w:p>
        </w:tc>
      </w:tr>
      <w:tr w:rsidR="00323DB0" w:rsidRPr="00AD3BE8" w14:paraId="6A42E1B9" w14:textId="77777777" w:rsidTr="00E13530">
        <w:trPr>
          <w:jc w:val="center"/>
        </w:trPr>
        <w:tc>
          <w:tcPr>
            <w:tcW w:w="1755" w:type="dxa"/>
            <w:shd w:val="clear" w:color="auto" w:fill="E6E5E3"/>
            <w:vAlign w:val="center"/>
          </w:tcPr>
          <w:p w14:paraId="36F45454"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MRD</w:t>
            </w:r>
          </w:p>
        </w:tc>
        <w:tc>
          <w:tcPr>
            <w:tcW w:w="7984" w:type="dxa"/>
            <w:shd w:val="clear" w:color="auto" w:fill="auto"/>
            <w:vAlign w:val="center"/>
          </w:tcPr>
          <w:p w14:paraId="5653DC9A"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Morwell River Diversion</w:t>
            </w:r>
          </w:p>
        </w:tc>
      </w:tr>
      <w:tr w:rsidR="00323DB0" w:rsidRPr="00AD3BE8" w14:paraId="25550D32" w14:textId="77777777" w:rsidTr="00E13530">
        <w:trPr>
          <w:jc w:val="center"/>
        </w:trPr>
        <w:tc>
          <w:tcPr>
            <w:tcW w:w="1755" w:type="dxa"/>
            <w:shd w:val="clear" w:color="auto" w:fill="E6E5E3"/>
            <w:vAlign w:val="center"/>
          </w:tcPr>
          <w:p w14:paraId="7AC127E8"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POF</w:t>
            </w:r>
          </w:p>
        </w:tc>
        <w:tc>
          <w:tcPr>
            <w:tcW w:w="7984" w:type="dxa"/>
            <w:shd w:val="clear" w:color="auto" w:fill="auto"/>
            <w:vAlign w:val="center"/>
          </w:tcPr>
          <w:p w14:paraId="5F24E43E"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Probability of Failure</w:t>
            </w:r>
          </w:p>
        </w:tc>
      </w:tr>
      <w:tr w:rsidR="00323DB0" w:rsidRPr="00AD3BE8" w14:paraId="1864D5CA" w14:textId="77777777" w:rsidTr="00E13530">
        <w:trPr>
          <w:jc w:val="center"/>
        </w:trPr>
        <w:tc>
          <w:tcPr>
            <w:tcW w:w="1755" w:type="dxa"/>
            <w:shd w:val="clear" w:color="auto" w:fill="E6E5E3"/>
            <w:vAlign w:val="center"/>
          </w:tcPr>
          <w:p w14:paraId="4AE7F581"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RGS</w:t>
            </w:r>
          </w:p>
        </w:tc>
        <w:tc>
          <w:tcPr>
            <w:tcW w:w="7984" w:type="dxa"/>
            <w:shd w:val="clear" w:color="auto" w:fill="auto"/>
            <w:vAlign w:val="center"/>
          </w:tcPr>
          <w:p w14:paraId="3FC23480"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Regional Geotechnical Study</w:t>
            </w:r>
          </w:p>
        </w:tc>
      </w:tr>
      <w:tr w:rsidR="00323DB0" w:rsidRPr="00AD3BE8" w14:paraId="27C48445" w14:textId="77777777" w:rsidTr="00E13530">
        <w:trPr>
          <w:jc w:val="center"/>
        </w:trPr>
        <w:tc>
          <w:tcPr>
            <w:tcW w:w="1755" w:type="dxa"/>
            <w:shd w:val="clear" w:color="auto" w:fill="E6E5E3"/>
            <w:vAlign w:val="center"/>
          </w:tcPr>
          <w:p w14:paraId="6F6A5E34"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RIS</w:t>
            </w:r>
          </w:p>
        </w:tc>
        <w:tc>
          <w:tcPr>
            <w:tcW w:w="7984" w:type="dxa"/>
            <w:shd w:val="clear" w:color="auto" w:fill="auto"/>
            <w:vAlign w:val="center"/>
          </w:tcPr>
          <w:p w14:paraId="5EACD717"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Reservoir Induced Seismicity</w:t>
            </w:r>
          </w:p>
        </w:tc>
      </w:tr>
      <w:tr w:rsidR="00323DB0" w:rsidRPr="00AD3BE8" w14:paraId="7381DE3F" w14:textId="77777777" w:rsidTr="00E13530">
        <w:trPr>
          <w:jc w:val="center"/>
        </w:trPr>
        <w:tc>
          <w:tcPr>
            <w:tcW w:w="1755" w:type="dxa"/>
            <w:shd w:val="clear" w:color="auto" w:fill="E6E5E3"/>
            <w:vAlign w:val="center"/>
          </w:tcPr>
          <w:p w14:paraId="391308A9"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s</w:t>
            </w:r>
          </w:p>
        </w:tc>
        <w:tc>
          <w:tcPr>
            <w:tcW w:w="7984" w:type="dxa"/>
            <w:shd w:val="clear" w:color="auto" w:fill="auto"/>
            <w:vAlign w:val="center"/>
          </w:tcPr>
          <w:p w14:paraId="2A3FFAB6"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Second</w:t>
            </w:r>
          </w:p>
        </w:tc>
      </w:tr>
      <w:tr w:rsidR="00323DB0" w:rsidRPr="00AD3BE8" w14:paraId="2249D7EE" w14:textId="77777777" w:rsidTr="00E13530">
        <w:trPr>
          <w:jc w:val="center"/>
        </w:trPr>
        <w:tc>
          <w:tcPr>
            <w:tcW w:w="1755" w:type="dxa"/>
            <w:shd w:val="clear" w:color="auto" w:fill="E6E5E3"/>
            <w:vAlign w:val="center"/>
          </w:tcPr>
          <w:p w14:paraId="583817B0"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SAS</w:t>
            </w:r>
          </w:p>
        </w:tc>
        <w:tc>
          <w:tcPr>
            <w:tcW w:w="7984" w:type="dxa"/>
            <w:shd w:val="clear" w:color="auto" w:fill="auto"/>
            <w:vAlign w:val="center"/>
          </w:tcPr>
          <w:p w14:paraId="7AF19E10"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Shallow Aquifer System</w:t>
            </w:r>
          </w:p>
        </w:tc>
      </w:tr>
      <w:tr w:rsidR="00323DB0" w:rsidRPr="00AD3BE8" w14:paraId="693FFBB2" w14:textId="77777777" w:rsidTr="00E13530">
        <w:trPr>
          <w:jc w:val="center"/>
        </w:trPr>
        <w:tc>
          <w:tcPr>
            <w:tcW w:w="1755" w:type="dxa"/>
            <w:shd w:val="clear" w:color="auto" w:fill="E6E5E3"/>
            <w:vAlign w:val="center"/>
          </w:tcPr>
          <w:p w14:paraId="05ED92B7"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SECV</w:t>
            </w:r>
          </w:p>
        </w:tc>
        <w:tc>
          <w:tcPr>
            <w:tcW w:w="7984" w:type="dxa"/>
            <w:shd w:val="clear" w:color="auto" w:fill="auto"/>
            <w:vAlign w:val="center"/>
          </w:tcPr>
          <w:p w14:paraId="06223460"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State Electricity Commission of Victoria</w:t>
            </w:r>
          </w:p>
        </w:tc>
      </w:tr>
      <w:tr w:rsidR="00323DB0" w:rsidRPr="00AD3BE8" w14:paraId="2B8F1302" w14:textId="77777777" w:rsidTr="00E13530">
        <w:trPr>
          <w:jc w:val="center"/>
        </w:trPr>
        <w:tc>
          <w:tcPr>
            <w:tcW w:w="1755" w:type="dxa"/>
            <w:shd w:val="clear" w:color="auto" w:fill="E6E5E3"/>
            <w:vAlign w:val="center"/>
          </w:tcPr>
          <w:p w14:paraId="56A7DE0A"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t</w:t>
            </w:r>
          </w:p>
        </w:tc>
        <w:tc>
          <w:tcPr>
            <w:tcW w:w="7984" w:type="dxa"/>
            <w:shd w:val="clear" w:color="auto" w:fill="auto"/>
            <w:vAlign w:val="center"/>
          </w:tcPr>
          <w:p w14:paraId="00FE0193"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Tonne</w:t>
            </w:r>
          </w:p>
        </w:tc>
      </w:tr>
      <w:tr w:rsidR="00323DB0" w:rsidRPr="00AD3BE8" w14:paraId="606C59F6" w14:textId="77777777" w:rsidTr="00E13530">
        <w:trPr>
          <w:jc w:val="center"/>
        </w:trPr>
        <w:tc>
          <w:tcPr>
            <w:tcW w:w="1755" w:type="dxa"/>
            <w:shd w:val="clear" w:color="auto" w:fill="E6E5E3"/>
            <w:vAlign w:val="center"/>
          </w:tcPr>
          <w:p w14:paraId="2AD90CD2"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TAG</w:t>
            </w:r>
          </w:p>
        </w:tc>
        <w:tc>
          <w:tcPr>
            <w:tcW w:w="7984" w:type="dxa"/>
            <w:shd w:val="clear" w:color="auto" w:fill="auto"/>
            <w:vAlign w:val="center"/>
          </w:tcPr>
          <w:p w14:paraId="63CD9224"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LVRRS Regional Geotechnical Study Technical Advisory Group</w:t>
            </w:r>
          </w:p>
        </w:tc>
      </w:tr>
      <w:tr w:rsidR="00323DB0" w:rsidRPr="00AD3BE8" w14:paraId="5467BB44" w14:textId="77777777" w:rsidTr="00E13530">
        <w:trPr>
          <w:jc w:val="center"/>
        </w:trPr>
        <w:tc>
          <w:tcPr>
            <w:tcW w:w="1755" w:type="dxa"/>
            <w:shd w:val="clear" w:color="auto" w:fill="E6E5E3"/>
            <w:vAlign w:val="center"/>
          </w:tcPr>
          <w:p w14:paraId="37C423A9"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TARP</w:t>
            </w:r>
          </w:p>
        </w:tc>
        <w:tc>
          <w:tcPr>
            <w:tcW w:w="7984" w:type="dxa"/>
            <w:shd w:val="clear" w:color="auto" w:fill="auto"/>
            <w:vAlign w:val="center"/>
          </w:tcPr>
          <w:p w14:paraId="7A98D672" w14:textId="77777777" w:rsidR="00323DB0" w:rsidRPr="00AD3BE8" w:rsidRDefault="00323DB0" w:rsidP="0059628D">
            <w:pPr>
              <w:spacing w:before="20" w:after="20" w:line="240" w:lineRule="auto"/>
              <w:ind w:left="113"/>
              <w:rPr>
                <w:color w:val="000000"/>
                <w:sz w:val="18"/>
                <w:szCs w:val="18"/>
              </w:rPr>
            </w:pPr>
            <w:r w:rsidRPr="00AD3BE8">
              <w:rPr>
                <w:color w:val="000000"/>
                <w:sz w:val="18"/>
                <w:szCs w:val="18"/>
              </w:rPr>
              <w:t>Trigger, Action, Response Plan</w:t>
            </w:r>
          </w:p>
        </w:tc>
      </w:tr>
    </w:tbl>
    <w:p w14:paraId="36814401" w14:textId="7A68861D" w:rsidR="00480E35" w:rsidRDefault="00480E35" w:rsidP="0059628D">
      <w:pPr>
        <w:pStyle w:val="Para0"/>
        <w:spacing w:after="20"/>
      </w:pPr>
    </w:p>
    <w:p w14:paraId="29401DCA" w14:textId="5E19EA37" w:rsidR="00637497" w:rsidRDefault="00637497">
      <w:pPr>
        <w:spacing w:after="0" w:line="240" w:lineRule="auto"/>
      </w:pPr>
      <w:r>
        <w:br w:type="page"/>
      </w:r>
    </w:p>
    <w:p w14:paraId="0D387593" w14:textId="29FF5E1B" w:rsidR="005679CC" w:rsidRPr="005679CC" w:rsidRDefault="005679CC" w:rsidP="002000DD">
      <w:pPr>
        <w:pStyle w:val="SectionSubheading1"/>
      </w:pPr>
      <w:bookmarkStart w:id="4" w:name="_Toc57907072"/>
      <w:r>
        <w:t>Executive Summary</w:t>
      </w:r>
      <w:bookmarkEnd w:id="4"/>
    </w:p>
    <w:bookmarkEnd w:id="3"/>
    <w:p w14:paraId="009225C5" w14:textId="2E396B5A" w:rsidR="0077223B" w:rsidRPr="00061CB5" w:rsidRDefault="0077223B" w:rsidP="00AF263C">
      <w:pPr>
        <w:pStyle w:val="Para0bold"/>
      </w:pPr>
      <w:r w:rsidRPr="00061CB5">
        <w:t>Background to the need for geotechnical metrics and thresholds</w:t>
      </w:r>
    </w:p>
    <w:p w14:paraId="01BFB5BC" w14:textId="54AD7216" w:rsidR="0077223B" w:rsidRDefault="0077223B" w:rsidP="0077223B">
      <w:pPr>
        <w:pStyle w:val="Para0"/>
      </w:pPr>
      <w:r>
        <w:t>Following the 2014 fire in the Hazelwood Coal Mine, the Victorian Government opened the ‘Hazelwood Mine Fire Inquiry</w:t>
      </w:r>
      <w:r w:rsidR="00BD37EA">
        <w:t>’</w:t>
      </w:r>
      <w:r>
        <w:t xml:space="preserve"> (HMFI)</w:t>
      </w:r>
      <w:r w:rsidR="00BD37EA">
        <w:rPr>
          <w:rStyle w:val="FootnoteReference"/>
        </w:rPr>
        <w:footnoteReference w:id="2"/>
      </w:r>
      <w:r>
        <w:t xml:space="preserve">. In 2016 the HMFI made several recommendations regarding planning and preparing for closure of the Hazelwood, Yallourn and Loy Yang coal mines. </w:t>
      </w:r>
      <w:r w:rsidR="00C925F3">
        <w:t xml:space="preserve"> </w:t>
      </w:r>
      <w:r>
        <w:t xml:space="preserve">The HMFI concluded that for each of the three coal mines, the most feasible post-mining landform appears to be some variation of a pit lake. However, it was recognised that there were knowledge gaps that needed to be investigated to confirm that a pit lake is a feasible landform. </w:t>
      </w:r>
    </w:p>
    <w:p w14:paraId="32ABA57F" w14:textId="79239525" w:rsidR="0077223B" w:rsidRDefault="0077223B" w:rsidP="0077223B">
      <w:pPr>
        <w:pStyle w:val="Para0"/>
      </w:pPr>
      <w:r>
        <w:t>In June 2016, in response to the findings to the HMFI, the Victorian Government released the ‘Hazelwood Mine Fire Inquiry: Victorian Government Implementation Plan’</w:t>
      </w:r>
      <w:r w:rsidR="00235E02">
        <w:rPr>
          <w:rStyle w:val="FootnoteReference"/>
        </w:rPr>
        <w:footnoteReference w:id="3"/>
      </w:r>
      <w:r>
        <w:t xml:space="preserve"> which committed to develop a Latrobe Valley Regional Rehabilitation Strategy (LVRRS) by June 2020. </w:t>
      </w:r>
    </w:p>
    <w:p w14:paraId="7DF8C0F3" w14:textId="6DBD954A" w:rsidR="0077223B" w:rsidRDefault="0077223B" w:rsidP="0077223B">
      <w:pPr>
        <w:pStyle w:val="Para0"/>
      </w:pPr>
      <w:r>
        <w:t>Jacobs Group (Australia) Pty Ltd in partnership with Mining One Consultants was appointed in July 2017 to prepare this report for the (then) Department of Economic Development, Jobs, Transport and Resources (DEDJTR).</w:t>
      </w:r>
      <w:r w:rsidR="006E33BB">
        <w:t xml:space="preserve"> </w:t>
      </w:r>
      <w:r>
        <w:t xml:space="preserve"> In December 2018 the department changed to the Department of Jobs, Precincts and Regions (DJPR).</w:t>
      </w:r>
    </w:p>
    <w:p w14:paraId="4B0F2A97" w14:textId="77777777" w:rsidR="0077223B" w:rsidRDefault="0077223B" w:rsidP="0077223B">
      <w:pPr>
        <w:pStyle w:val="Para0"/>
      </w:pPr>
      <w:r>
        <w:t>The objective of this report is to define the metrics and threshold guidelines that can be used to determine the geotechnical impacts of regional rehabilitation scenarios on recognised receptors with the potential for material impact within the LVRRS study area.</w:t>
      </w:r>
    </w:p>
    <w:p w14:paraId="1FE1D247" w14:textId="7DE6F8E4" w:rsidR="0077223B" w:rsidRDefault="0077223B" w:rsidP="0077223B">
      <w:pPr>
        <w:pStyle w:val="Para0"/>
      </w:pPr>
      <w:r>
        <w:t>The study has involved the following steps:</w:t>
      </w:r>
    </w:p>
    <w:p w14:paraId="354CA517" w14:textId="636DF71B" w:rsidR="0077223B" w:rsidRDefault="0077223B" w:rsidP="0077223B">
      <w:pPr>
        <w:pStyle w:val="Para0"/>
      </w:pPr>
      <w:r w:rsidRPr="00E77400">
        <w:rPr>
          <w:b/>
        </w:rPr>
        <w:t>Step 1</w:t>
      </w:r>
      <w:r>
        <w:t xml:space="preserve"> - Collate recognised regional receptors identified from </w:t>
      </w:r>
      <w:r w:rsidR="004643D5">
        <w:t xml:space="preserve">the </w:t>
      </w:r>
      <w:r>
        <w:t xml:space="preserve">LVRRS </w:t>
      </w:r>
      <w:r w:rsidR="008E569D">
        <w:t>‘</w:t>
      </w:r>
      <w:r>
        <w:t>Identification of Recognised Regional Receptor</w:t>
      </w:r>
      <w:r w:rsidR="001F53D7">
        <w:t>s</w:t>
      </w:r>
      <w:r w:rsidR="008E569D">
        <w:t>’</w:t>
      </w:r>
      <w:r w:rsidR="004643D5">
        <w:t xml:space="preserve"> study (Jacobs, 20</w:t>
      </w:r>
      <w:r w:rsidR="0091398C">
        <w:t>20a</w:t>
      </w:r>
      <w:r w:rsidR="004643D5">
        <w:t>)</w:t>
      </w:r>
      <w:r>
        <w:t xml:space="preserve">. An inventory of </w:t>
      </w:r>
      <w:r w:rsidR="001D1F5E">
        <w:t xml:space="preserve">recognised </w:t>
      </w:r>
      <w:r>
        <w:t>receptors within the study area was developed</w:t>
      </w:r>
      <w:r w:rsidR="004643D5">
        <w:t>.</w:t>
      </w:r>
    </w:p>
    <w:p w14:paraId="58663F24" w14:textId="28B20B4E" w:rsidR="0077223B" w:rsidRDefault="0077223B" w:rsidP="0077223B">
      <w:pPr>
        <w:pStyle w:val="Para0"/>
      </w:pPr>
      <w:r w:rsidRPr="00E77400">
        <w:rPr>
          <w:b/>
        </w:rPr>
        <w:t>Step 2</w:t>
      </w:r>
      <w:r>
        <w:t xml:space="preserve"> - Consult with geotechnical related receptor custodians and identify proposed recognised and materially impacted receptors, to identify likely geotechnical-related dependent receptors</w:t>
      </w:r>
      <w:r w:rsidR="004643D5">
        <w:t>.</w:t>
      </w:r>
    </w:p>
    <w:p w14:paraId="65913579" w14:textId="77777777" w:rsidR="0077223B" w:rsidRDefault="0077223B" w:rsidP="0077223B">
      <w:pPr>
        <w:pStyle w:val="Para0"/>
      </w:pPr>
      <w:r w:rsidRPr="00E77400">
        <w:rPr>
          <w:b/>
        </w:rPr>
        <w:t>Step 3</w:t>
      </w:r>
      <w:r>
        <w:t xml:space="preserve"> - Conduct a literature review of geotechnical related receptor metrics including an overview of existing and accepted metrics used for the likely geotechnical-related dependent receptors.</w:t>
      </w:r>
    </w:p>
    <w:p w14:paraId="0EBD444B" w14:textId="2DB6875D" w:rsidR="0077223B" w:rsidRDefault="0077223B" w:rsidP="0077223B">
      <w:pPr>
        <w:pStyle w:val="Para0"/>
      </w:pPr>
      <w:r w:rsidRPr="00E77400">
        <w:rPr>
          <w:b/>
        </w:rPr>
        <w:t>Step 4</w:t>
      </w:r>
      <w:r>
        <w:t xml:space="preserve"> </w:t>
      </w:r>
      <w:r w:rsidR="002147E9">
        <w:t>-</w:t>
      </w:r>
      <w:r>
        <w:t xml:space="preserve"> </w:t>
      </w:r>
      <w:r w:rsidR="001D1F5E">
        <w:t>Select</w:t>
      </w:r>
      <w:r>
        <w:t xml:space="preserve"> metrics and thresholds </w:t>
      </w:r>
      <w:r w:rsidR="00322C28">
        <w:t>to</w:t>
      </w:r>
      <w:r>
        <w:t xml:space="preserve"> identify and describe the potential impact of geotechnical concern and identification of the best metrics to measure current condition and trends for each receptor</w:t>
      </w:r>
      <w:r w:rsidR="004C7EEA">
        <w:t>.</w:t>
      </w:r>
    </w:p>
    <w:p w14:paraId="0A01421E" w14:textId="77777777" w:rsidR="0077223B" w:rsidRPr="00061CB5" w:rsidRDefault="0077223B" w:rsidP="00AF263C">
      <w:pPr>
        <w:pStyle w:val="Para0bold"/>
      </w:pPr>
      <w:r w:rsidRPr="00061CB5">
        <w:t>Receptors considered in this assessment</w:t>
      </w:r>
    </w:p>
    <w:p w14:paraId="6D521FDC" w14:textId="59280829" w:rsidR="0077223B" w:rsidRDefault="0077223B" w:rsidP="0077223B">
      <w:pPr>
        <w:pStyle w:val="Para0"/>
      </w:pPr>
      <w:r>
        <w:t xml:space="preserve">Receptors for assessment as part of the LVRRS were defined in the LVRRS </w:t>
      </w:r>
      <w:r w:rsidR="00DB6BEF">
        <w:t>‘</w:t>
      </w:r>
      <w:r>
        <w:t>Identification of Recognised Regional Receptors</w:t>
      </w:r>
      <w:r w:rsidR="00DB6BEF">
        <w:t>’</w:t>
      </w:r>
      <w:r>
        <w:t xml:space="preserve"> </w:t>
      </w:r>
      <w:r w:rsidR="007515BF">
        <w:t>report (Jacobs, 20</w:t>
      </w:r>
      <w:r w:rsidR="00A23E94">
        <w:t>20a</w:t>
      </w:r>
      <w:r w:rsidR="007515BF">
        <w:t>)</w:t>
      </w:r>
      <w:r w:rsidR="004A3814">
        <w:t xml:space="preserve"> and further categorised </w:t>
      </w:r>
      <w:r w:rsidR="00E10467">
        <w:t xml:space="preserve">by </w:t>
      </w:r>
      <w:r w:rsidR="00141282">
        <w:t xml:space="preserve">those </w:t>
      </w:r>
      <w:r>
        <w:t xml:space="preserve">likely to be affected by the impacts of mine rehabilitation. </w:t>
      </w:r>
      <w:r w:rsidR="006E33BB">
        <w:t xml:space="preserve"> </w:t>
      </w:r>
      <w:r>
        <w:t>The approach used to determine whether recognised regional receptors are linked is described in the associated report.</w:t>
      </w:r>
    </w:p>
    <w:p w14:paraId="029D2626" w14:textId="77777777" w:rsidR="0077223B" w:rsidRDefault="0077223B" w:rsidP="0077223B">
      <w:pPr>
        <w:pStyle w:val="Para0"/>
      </w:pPr>
      <w:r>
        <w:t>The identification of recognised regional receptors was conducted to:</w:t>
      </w:r>
    </w:p>
    <w:p w14:paraId="61CD3095" w14:textId="77777777" w:rsidR="0077223B" w:rsidRDefault="0077223B" w:rsidP="0077223B">
      <w:pPr>
        <w:pStyle w:val="Para0bullet"/>
      </w:pPr>
      <w:r>
        <w:t>Define and describe the receptors within the LVRRS study area (Receptor Inventory);</w:t>
      </w:r>
    </w:p>
    <w:p w14:paraId="17CDA77D" w14:textId="16A39357" w:rsidR="0077223B" w:rsidRDefault="0077223B" w:rsidP="0077223B">
      <w:pPr>
        <w:pStyle w:val="Para0bullet"/>
      </w:pPr>
      <w:r>
        <w:t xml:space="preserve">Identify recognised receptors in which a material link or pathway for potential impact from a regional rehabilitation scenario is unclear. </w:t>
      </w:r>
      <w:r w:rsidR="006E33BB">
        <w:t xml:space="preserve"> </w:t>
      </w:r>
      <w:r>
        <w:t>While receptors may experience some ground movement, the current information su</w:t>
      </w:r>
      <w:r w:rsidR="00165BB5">
        <w:t>g</w:t>
      </w:r>
      <w:r>
        <w:t>gests that such movement will not be significant enough to warrant specific mitigating action, and therefore their impacts are to be qualitatively assessed (shorter list); and</w:t>
      </w:r>
    </w:p>
    <w:p w14:paraId="479F2B58" w14:textId="5D003286" w:rsidR="0077223B" w:rsidRDefault="0077223B" w:rsidP="00A06430">
      <w:pPr>
        <w:pStyle w:val="Para0bullet"/>
      </w:pPr>
      <w:r>
        <w:t xml:space="preserve">Identify recognised receptors likely to be </w:t>
      </w:r>
      <w:r w:rsidRPr="00A06430">
        <w:rPr>
          <w:b/>
          <w:bCs/>
        </w:rPr>
        <w:t>materially linked</w:t>
      </w:r>
      <w:r>
        <w:t xml:space="preserve">, that is, a clear impact pathway can be identified to a regional rehabilitation scenario and specific assessment to identify the potential for ground movement impacts quantitatively assessed in the </w:t>
      </w:r>
      <w:r w:rsidRPr="00A06430">
        <w:rPr>
          <w:b/>
          <w:bCs/>
        </w:rPr>
        <w:t>LVRRS (short list)</w:t>
      </w:r>
      <w:r>
        <w:t xml:space="preserve">. </w:t>
      </w:r>
    </w:p>
    <w:p w14:paraId="404EAD01" w14:textId="77777777" w:rsidR="0077223B" w:rsidRDefault="0077223B" w:rsidP="0077223B">
      <w:pPr>
        <w:pStyle w:val="Para0"/>
      </w:pPr>
      <w:r>
        <w:t>•</w:t>
      </w:r>
      <w:r>
        <w:tab/>
        <w:t xml:space="preserve">For this latter quantitative group of recognised receptors, </w:t>
      </w:r>
      <w:r w:rsidRPr="005F4582">
        <w:rPr>
          <w:b/>
        </w:rPr>
        <w:t>metrics (and thresholds) have been</w:t>
      </w:r>
      <w:r>
        <w:t xml:space="preserve"> identified.</w:t>
      </w:r>
    </w:p>
    <w:p w14:paraId="254FD7A1" w14:textId="0752C4AC" w:rsidR="0077223B" w:rsidRDefault="0077223B" w:rsidP="0077223B">
      <w:pPr>
        <w:pStyle w:val="Para0"/>
      </w:pPr>
      <w:r>
        <w:t>The LVRRS Identifi</w:t>
      </w:r>
      <w:r w:rsidR="00576992">
        <w:t xml:space="preserve">cation of </w:t>
      </w:r>
      <w:r>
        <w:t>Recognised Receptor</w:t>
      </w:r>
      <w:r w:rsidR="00576992">
        <w:t>s</w:t>
      </w:r>
      <w:r>
        <w:t xml:space="preserve"> report (Jacobs</w:t>
      </w:r>
      <w:r w:rsidR="00947FF1">
        <w:t>,</w:t>
      </w:r>
      <w:r>
        <w:t xml:space="preserve"> 20</w:t>
      </w:r>
      <w:r w:rsidR="00A23E94">
        <w:t>20a</w:t>
      </w:r>
      <w:r>
        <w:t>) formed the following category groups of receptors to be used for assessment in this study</w:t>
      </w:r>
      <w:r w:rsidR="00D64333">
        <w:t xml:space="preserve">: </w:t>
      </w:r>
    </w:p>
    <w:p w14:paraId="03101448" w14:textId="2D14DB81" w:rsidR="0077223B" w:rsidRDefault="0077223B" w:rsidP="0077223B">
      <w:pPr>
        <w:pStyle w:val="Para0bullet"/>
      </w:pPr>
      <w:r>
        <w:t xml:space="preserve">Aboriginal and </w:t>
      </w:r>
      <w:r w:rsidR="00D743D4">
        <w:t xml:space="preserve">non-aboriginal Cultural </w:t>
      </w:r>
      <w:r>
        <w:t>Heritage;</w:t>
      </w:r>
    </w:p>
    <w:p w14:paraId="1AE6CB00" w14:textId="77777777" w:rsidR="0077223B" w:rsidRDefault="0077223B" w:rsidP="0077223B">
      <w:pPr>
        <w:pStyle w:val="Para0bullet"/>
      </w:pPr>
      <w:r>
        <w:t>Environmental receptors;</w:t>
      </w:r>
    </w:p>
    <w:p w14:paraId="2306855D" w14:textId="77777777" w:rsidR="0077223B" w:rsidRDefault="0077223B" w:rsidP="0077223B">
      <w:pPr>
        <w:pStyle w:val="Para0bullet"/>
      </w:pPr>
      <w:r>
        <w:t>Infrastructure;</w:t>
      </w:r>
    </w:p>
    <w:p w14:paraId="4C36FA68" w14:textId="77777777" w:rsidR="0077223B" w:rsidRDefault="0077223B" w:rsidP="0077223B">
      <w:pPr>
        <w:pStyle w:val="Para0bullet"/>
      </w:pPr>
      <w:r>
        <w:t>Land; and</w:t>
      </w:r>
    </w:p>
    <w:p w14:paraId="74313567" w14:textId="77777777" w:rsidR="0077223B" w:rsidRDefault="0077223B" w:rsidP="0077223B">
      <w:pPr>
        <w:pStyle w:val="Para0bullet"/>
      </w:pPr>
      <w:r>
        <w:t>Water.</w:t>
      </w:r>
    </w:p>
    <w:p w14:paraId="1EDAB784" w14:textId="4E85051A" w:rsidR="0077223B" w:rsidRDefault="0077223B" w:rsidP="0077223B">
      <w:pPr>
        <w:pStyle w:val="Para0"/>
      </w:pPr>
      <w:r>
        <w:t xml:space="preserve">This geotechnical report is only focussed on physical receptors. </w:t>
      </w:r>
      <w:r w:rsidR="00EA3B29">
        <w:t xml:space="preserve"> </w:t>
      </w:r>
      <w:r>
        <w:t>These include existing Latrobe Valley coal reserves and foreseeable future receptors e.g.</w:t>
      </w:r>
      <w:r w:rsidR="00EA3B29">
        <w:t>,</w:t>
      </w:r>
      <w:r>
        <w:t xml:space="preserve"> new infrastructure such as Traralgon Bypass.</w:t>
      </w:r>
    </w:p>
    <w:p w14:paraId="47BF099C" w14:textId="77777777" w:rsidR="0077223B" w:rsidRPr="00061CB5" w:rsidRDefault="0077223B" w:rsidP="00AF263C">
      <w:pPr>
        <w:pStyle w:val="Para0bold"/>
      </w:pPr>
      <w:r w:rsidRPr="00061CB5">
        <w:t>Ground Movement Mechanisms</w:t>
      </w:r>
      <w:r>
        <w:t xml:space="preserve"> that can affect Recognised Regional Receptors</w:t>
      </w:r>
    </w:p>
    <w:p w14:paraId="06E08A87" w14:textId="06F1471B" w:rsidR="0077223B" w:rsidRDefault="0077223B" w:rsidP="0077223B">
      <w:pPr>
        <w:pStyle w:val="Para0"/>
      </w:pPr>
      <w:r>
        <w:t>Through an assessment of the available literature regarding historic ground movements (GHD, 2019) and consultation with stakeholders through the course of this study, the main ground movement mechanisms, or types, that have potential to affect regional receptors</w:t>
      </w:r>
      <w:r w:rsidR="007515BF">
        <w:t xml:space="preserve"> have been identified</w:t>
      </w:r>
      <w:r>
        <w:t>.  Exclusion of any ground movement mechanism from this assessment is not an indication that it is not relevant, rather that at this stage of the study the higher impact processes have been the focus.</w:t>
      </w:r>
    </w:p>
    <w:p w14:paraId="6F2F2340" w14:textId="77777777" w:rsidR="0077223B" w:rsidRDefault="0077223B" w:rsidP="0077223B">
      <w:pPr>
        <w:pStyle w:val="Para0"/>
      </w:pPr>
      <w:r>
        <w:t>The primary ground movement mechanisms adopted for this study are:</w:t>
      </w:r>
    </w:p>
    <w:p w14:paraId="7E682FA7" w14:textId="77777777" w:rsidR="0077223B" w:rsidRDefault="0077223B" w:rsidP="0077223B">
      <w:pPr>
        <w:pStyle w:val="Para0bullet"/>
      </w:pPr>
      <w:r>
        <w:t>Subsidence and Rebound - primarily vertical ground movement recorded across the Latrobe Valley</w:t>
      </w:r>
    </w:p>
    <w:p w14:paraId="7DF91EF6" w14:textId="64F767AF" w:rsidR="0077223B" w:rsidRDefault="0077223B" w:rsidP="0077223B">
      <w:pPr>
        <w:pStyle w:val="Para0bullet"/>
      </w:pPr>
      <w:r>
        <w:t xml:space="preserve">Stress Relief </w:t>
      </w:r>
      <w:r w:rsidR="00752281">
        <w:t xml:space="preserve">and </w:t>
      </w:r>
      <w:r>
        <w:t>Block Sliding</w:t>
      </w:r>
      <w:r w:rsidRPr="00C467D1">
        <w:t xml:space="preserve"> </w:t>
      </w:r>
      <w:r>
        <w:t>- primarily horizontal ground movement as it may affect regional receptors, recorded in the vicinity of the mines</w:t>
      </w:r>
    </w:p>
    <w:p w14:paraId="5925C8F7" w14:textId="04F971A4" w:rsidR="0077223B" w:rsidRDefault="0077223B" w:rsidP="0077223B">
      <w:pPr>
        <w:pStyle w:val="Para0bullet"/>
      </w:pPr>
      <w:r>
        <w:t>Reservoir Induced Seismicity – potential combination of vertical and horizontal ground movement, not yet recorded in the region as a result of mine rehabilitation.</w:t>
      </w:r>
    </w:p>
    <w:p w14:paraId="199B807A" w14:textId="4033786E" w:rsidR="0077223B" w:rsidRDefault="0077223B" w:rsidP="0077223B">
      <w:pPr>
        <w:pStyle w:val="Para0"/>
      </w:pPr>
      <w:r>
        <w:t xml:space="preserve">These mechanisms all have aspects that make them relevant </w:t>
      </w:r>
      <w:r w:rsidR="00767C83">
        <w:t xml:space="preserve">to </w:t>
      </w:r>
      <w:r>
        <w:t>regional receptors and the rehabilitation period that are the focus of this study.</w:t>
      </w:r>
      <w:r w:rsidR="006E33BB">
        <w:t xml:space="preserve"> </w:t>
      </w:r>
      <w:r>
        <w:t xml:space="preserve"> Within the mine areas and during operations, other mechanisms may also be relevant. In very simplistic terms, subsidence and rebound extend out to the regional areas with mainly vertical movement. </w:t>
      </w:r>
      <w:r w:rsidR="006E33BB">
        <w:t xml:space="preserve"> </w:t>
      </w:r>
      <w:r>
        <w:t xml:space="preserve">Stress relief and block sliding are at an inter-mine scale and involves mainly horizontal movement as it affects regional receptors. </w:t>
      </w:r>
      <w:r w:rsidR="006E33BB">
        <w:t xml:space="preserve"> </w:t>
      </w:r>
      <w:r>
        <w:t>There are vertical components to this mechanism within the mine voids.</w:t>
      </w:r>
      <w:r w:rsidRPr="00E800DC">
        <w:t xml:space="preserve"> </w:t>
      </w:r>
      <w:r w:rsidR="006E33BB">
        <w:t xml:space="preserve"> </w:t>
      </w:r>
      <w:r>
        <w:t xml:space="preserve">A regional receptor may extend across inter-mine and regional scales with examples including railway lines, gas pipelines and freeways. </w:t>
      </w:r>
      <w:r w:rsidR="006E33BB">
        <w:t xml:space="preserve"> </w:t>
      </w:r>
      <w:r>
        <w:t>Hence these receptors may be affected by more than one ground movement mechanism.</w:t>
      </w:r>
    </w:p>
    <w:p w14:paraId="7D9C8C80" w14:textId="77777777" w:rsidR="0077223B" w:rsidRDefault="0077223B" w:rsidP="0077223B">
      <w:pPr>
        <w:pStyle w:val="Para0"/>
      </w:pPr>
      <w:r>
        <w:t>These mechanisms are explained briefly below.</w:t>
      </w:r>
    </w:p>
    <w:p w14:paraId="79C715F0" w14:textId="77777777" w:rsidR="0077223B" w:rsidRPr="00467AE6" w:rsidRDefault="0077223B" w:rsidP="0077223B">
      <w:pPr>
        <w:pStyle w:val="Para0"/>
        <w:rPr>
          <w:b/>
        </w:rPr>
      </w:pPr>
      <w:r w:rsidRPr="00467AE6">
        <w:rPr>
          <w:b/>
        </w:rPr>
        <w:t>Subsidence</w:t>
      </w:r>
      <w:r>
        <w:rPr>
          <w:b/>
        </w:rPr>
        <w:t xml:space="preserve"> and Rebound</w:t>
      </w:r>
    </w:p>
    <w:p w14:paraId="65A199BD" w14:textId="1442D0EA" w:rsidR="0077223B" w:rsidRDefault="0077223B" w:rsidP="0077223B">
      <w:pPr>
        <w:pStyle w:val="Para0"/>
      </w:pPr>
      <w:r>
        <w:t>Under natural conditions sediments below the watertable contain water in the pore spaces between sediment particles, in part supporting the weight of overlying material.</w:t>
      </w:r>
      <w:r w:rsidRPr="00467AE6">
        <w:t xml:space="preserve"> </w:t>
      </w:r>
      <w:r w:rsidR="006E33BB">
        <w:t xml:space="preserve"> </w:t>
      </w:r>
      <w:r w:rsidRPr="00467AE6">
        <w:t>Depressurisation</w:t>
      </w:r>
      <w:r>
        <w:t xml:space="preserve"> of the geological materials (such as by the action of groundwater pumping)</w:t>
      </w:r>
      <w:r w:rsidRPr="00467AE6">
        <w:t xml:space="preserve"> causes groundwater to flow</w:t>
      </w:r>
      <w:r>
        <w:t xml:space="preserve"> out of the pores</w:t>
      </w:r>
      <w:r w:rsidRPr="00467AE6">
        <w:t xml:space="preserve">. </w:t>
      </w:r>
      <w:r w:rsidR="006E33BB">
        <w:t xml:space="preserve"> </w:t>
      </w:r>
      <w:r w:rsidRPr="00467AE6">
        <w:t xml:space="preserve">The structure of the </w:t>
      </w:r>
      <w:r>
        <w:t xml:space="preserve">drained </w:t>
      </w:r>
      <w:r w:rsidRPr="00467AE6">
        <w:t xml:space="preserve">material is compressed by the increase in effective </w:t>
      </w:r>
      <w:r>
        <w:t xml:space="preserve">vertical </w:t>
      </w:r>
      <w:r w:rsidRPr="00467AE6">
        <w:t>stress, causing subsidence over a period of time</w:t>
      </w:r>
      <w:r>
        <w:t>,</w:t>
      </w:r>
      <w:r w:rsidRPr="00467AE6">
        <w:t xml:space="preserve"> depending on the </w:t>
      </w:r>
      <w:r>
        <w:t xml:space="preserve">extent of depressurisation, </w:t>
      </w:r>
      <w:r w:rsidRPr="00467AE6">
        <w:t>mass permeabilities and material thickness characteristics at any location. Subsidence occurs over the inter-mine and regional scale</w:t>
      </w:r>
      <w:r>
        <w:t>s</w:t>
      </w:r>
      <w:r w:rsidRPr="00467AE6">
        <w:t xml:space="preserve"> and can </w:t>
      </w:r>
      <w:r>
        <w:t xml:space="preserve">affect </w:t>
      </w:r>
      <w:r w:rsidRPr="00467AE6">
        <w:t>up to 20</w:t>
      </w:r>
      <w:r w:rsidR="00CF7FA1">
        <w:t xml:space="preserve"> </w:t>
      </w:r>
      <w:r w:rsidRPr="00467AE6">
        <w:t>km x 45</w:t>
      </w:r>
      <w:r w:rsidR="00CF7FA1">
        <w:t xml:space="preserve"> </w:t>
      </w:r>
      <w:r w:rsidRPr="00467AE6">
        <w:t>km</w:t>
      </w:r>
      <w:r>
        <w:t xml:space="preserve"> of the Latrobe Valley (PSM</w:t>
      </w:r>
      <w:r w:rsidR="00874E74">
        <w:t>,</w:t>
      </w:r>
      <w:r>
        <w:t xml:space="preserve"> 201</w:t>
      </w:r>
      <w:r w:rsidR="006A0F3B">
        <w:t>3</w:t>
      </w:r>
      <w:r>
        <w:t>)</w:t>
      </w:r>
      <w:r w:rsidRPr="00467AE6">
        <w:t>.</w:t>
      </w:r>
      <w:r>
        <w:t xml:space="preserve"> </w:t>
      </w:r>
      <w:r w:rsidR="006E33BB">
        <w:t xml:space="preserve"> </w:t>
      </w:r>
      <w:r>
        <w:t xml:space="preserve">The most common expression of subsidence is the lowering in elevation of the ground surface over time. </w:t>
      </w:r>
    </w:p>
    <w:p w14:paraId="0393C3C0" w14:textId="0BF3789B" w:rsidR="0077223B" w:rsidRDefault="0077223B" w:rsidP="0077223B">
      <w:pPr>
        <w:pStyle w:val="Para0"/>
      </w:pPr>
      <w:r w:rsidRPr="00DD402A">
        <w:t xml:space="preserve">Rebound is the reverse geotechnical process to subsidence. </w:t>
      </w:r>
      <w:r w:rsidR="006E33BB">
        <w:t xml:space="preserve"> </w:t>
      </w:r>
      <w:r w:rsidRPr="00DD402A">
        <w:t xml:space="preserve">When depressurisation </w:t>
      </w:r>
      <w:r>
        <w:t>(groundwater extraction) ceases,</w:t>
      </w:r>
      <w:r w:rsidRPr="00DD402A">
        <w:t xml:space="preserve"> </w:t>
      </w:r>
      <w:r>
        <w:t xml:space="preserve">groundwater pressures will recover (rebound) with a consequent increase in </w:t>
      </w:r>
      <w:r w:rsidRPr="00DD402A">
        <w:t>pore pressures to a new</w:t>
      </w:r>
      <w:r>
        <w:t>,</w:t>
      </w:r>
      <w:r w:rsidRPr="00DD402A">
        <w:t xml:space="preserve"> and </w:t>
      </w:r>
      <w:r>
        <w:t xml:space="preserve">likely </w:t>
      </w:r>
      <w:r w:rsidRPr="00DD402A">
        <w:t>different</w:t>
      </w:r>
      <w:r>
        <w:t>,</w:t>
      </w:r>
      <w:r w:rsidRPr="00DD402A">
        <w:t xml:space="preserve"> equilibrium condition. </w:t>
      </w:r>
      <w:r w:rsidR="006E33BB">
        <w:t xml:space="preserve"> </w:t>
      </w:r>
      <w:r w:rsidRPr="00DD402A">
        <w:t xml:space="preserve">The reduction of effective stress </w:t>
      </w:r>
      <w:r>
        <w:t xml:space="preserve">that results </w:t>
      </w:r>
      <w:r w:rsidRPr="00DD402A">
        <w:t>will cause material to rebound recovering some of the volume lost to positive pore pressure changes.</w:t>
      </w:r>
      <w:r w:rsidR="006E33BB">
        <w:t xml:space="preserve"> </w:t>
      </w:r>
      <w:r>
        <w:t xml:space="preserve"> Experience elsewhere (as described generally in the literature on rebound) suggests that rebound does not fully recover the amount of subsidence that has occurred, although to what degree this will be the case in the Latrobe Valley is yet to be finally assessed.</w:t>
      </w:r>
    </w:p>
    <w:p w14:paraId="56C9594A" w14:textId="43E2FB11" w:rsidR="0077223B" w:rsidRPr="004B65FD" w:rsidRDefault="0077223B" w:rsidP="0077223B">
      <w:pPr>
        <w:pStyle w:val="Para0"/>
        <w:rPr>
          <w:b/>
        </w:rPr>
      </w:pPr>
      <w:r w:rsidRPr="004B65FD">
        <w:rPr>
          <w:b/>
        </w:rPr>
        <w:t xml:space="preserve">Stress Relief </w:t>
      </w:r>
      <w:r w:rsidR="006E33BB">
        <w:rPr>
          <w:b/>
        </w:rPr>
        <w:t xml:space="preserve">and </w:t>
      </w:r>
      <w:r w:rsidRPr="004B65FD">
        <w:rPr>
          <w:b/>
        </w:rPr>
        <w:t>Block Sliding</w:t>
      </w:r>
    </w:p>
    <w:p w14:paraId="05736319" w14:textId="0DB8540B" w:rsidR="0077223B" w:rsidRDefault="0077223B" w:rsidP="0077223B">
      <w:pPr>
        <w:pStyle w:val="Para0"/>
      </w:pPr>
      <w:r>
        <w:t xml:space="preserve">For this report </w:t>
      </w:r>
      <w:r w:rsidR="00752281">
        <w:t xml:space="preserve">Stress </w:t>
      </w:r>
      <w:r>
        <w:t xml:space="preserve">Relief and </w:t>
      </w:r>
      <w:r w:rsidR="00752281">
        <w:t xml:space="preserve">Block </w:t>
      </w:r>
      <w:r>
        <w:t>Sliding are considered together as they both result in primarily horizontal ground movement and the effects on receptors are difficult to clearly separate.</w:t>
      </w:r>
      <w:r w:rsidR="006E33BB">
        <w:t xml:space="preserve"> </w:t>
      </w:r>
      <w:r>
        <w:t xml:space="preserve"> For other studies, such as mine operations, separation of these processes may be important.</w:t>
      </w:r>
    </w:p>
    <w:p w14:paraId="36AD692F" w14:textId="77777777" w:rsidR="0077223B" w:rsidRDefault="0077223B" w:rsidP="0077223B">
      <w:pPr>
        <w:pStyle w:val="Para0"/>
      </w:pPr>
      <w:r>
        <w:t xml:space="preserve">Stress relief from mining is well understood in the Latrobe Valley, based on a long history of monitoring and understanding of ground movements: </w:t>
      </w:r>
    </w:p>
    <w:p w14:paraId="35A90545" w14:textId="77777777" w:rsidR="0077223B" w:rsidRDefault="0077223B" w:rsidP="0077223B">
      <w:pPr>
        <w:pStyle w:val="Para0bullet"/>
      </w:pPr>
      <w:r>
        <w:t>Prior to mining, the in-situ ground conditions experienced a regional compressive horizontal stress field. There is also a vertical stress component due to the overburden and coal;</w:t>
      </w:r>
    </w:p>
    <w:p w14:paraId="303BEFB3" w14:textId="0924EC2C" w:rsidR="0077223B" w:rsidRDefault="0077223B" w:rsidP="0077223B">
      <w:pPr>
        <w:pStyle w:val="Para0bullet"/>
      </w:pPr>
      <w:r>
        <w:t xml:space="preserve">With the commencement of mining and formation of the mine void the in-situ stress condition is changed, (“redistributed”) as the coal formation moves slowly into the mine void. </w:t>
      </w:r>
      <w:r w:rsidR="006E33BB">
        <w:t xml:space="preserve"> </w:t>
      </w:r>
      <w:r>
        <w:t xml:space="preserve">These are mainly horizontal ground movements; and </w:t>
      </w:r>
    </w:p>
    <w:p w14:paraId="06677262" w14:textId="77777777" w:rsidR="0077223B" w:rsidRDefault="0077223B" w:rsidP="0077223B">
      <w:pPr>
        <w:pStyle w:val="Para0bullet"/>
      </w:pPr>
      <w:r>
        <w:t>The rate of stress relief movement reduces with time after reaching the maximum depth of the mine void and will typically only further develop if mining is continued at greater depth (apart from long term creep movements, which although typically small may be locally significant).</w:t>
      </w:r>
    </w:p>
    <w:p w14:paraId="499BD099" w14:textId="76208888" w:rsidR="0077223B" w:rsidRDefault="0077223B" w:rsidP="0077223B">
      <w:pPr>
        <w:pStyle w:val="Para0"/>
      </w:pPr>
      <w:r>
        <w:t xml:space="preserve">Experience in the Latrobe Valley has shown that the most significant ground movement impacts (and events) are a result of a combination of local stresses, coal jointing and water ingress to the joints. </w:t>
      </w:r>
      <w:r w:rsidR="006E33BB">
        <w:t xml:space="preserve"> </w:t>
      </w:r>
      <w:r>
        <w:t>Block sliding can occur when mining induced stress relief causes joints in the coal and/or overburden to open sufficiently for water to drain through these sediments into coal joints, resulting in increased hydrostatic lateral pressure in the joint and horizontal movement within or below the coal seam.</w:t>
      </w:r>
    </w:p>
    <w:p w14:paraId="799E63DB" w14:textId="4F2431BB" w:rsidR="0077223B" w:rsidRDefault="0077223B" w:rsidP="0077223B">
      <w:pPr>
        <w:pStyle w:val="Para0"/>
      </w:pPr>
      <w:r>
        <w:t>Stress relief and block sliding ground movement can extend for 100s of metres away from a mine, however the effects diminish significantly beyond approximately 1 km</w:t>
      </w:r>
      <w:r w:rsidR="008A257A">
        <w:t xml:space="preserve"> (GHD, 2019)</w:t>
      </w:r>
      <w:r>
        <w:t>.</w:t>
      </w:r>
    </w:p>
    <w:p w14:paraId="4C69C670" w14:textId="77777777" w:rsidR="0077223B" w:rsidRPr="00E800DC" w:rsidRDefault="0077223B" w:rsidP="0077223B">
      <w:pPr>
        <w:pStyle w:val="Para0"/>
        <w:rPr>
          <w:b/>
        </w:rPr>
      </w:pPr>
      <w:r w:rsidRPr="00E800DC">
        <w:rPr>
          <w:b/>
        </w:rPr>
        <w:t>Reservoir Induced Seismicity</w:t>
      </w:r>
    </w:p>
    <w:p w14:paraId="10EE9686" w14:textId="6941B365" w:rsidR="0077223B" w:rsidRDefault="0077223B" w:rsidP="0077223B">
      <w:pPr>
        <w:pStyle w:val="Para0"/>
      </w:pPr>
      <w:r w:rsidRPr="00FD01D8">
        <w:t xml:space="preserve">As the LVRRS is concerned with the formation of new </w:t>
      </w:r>
      <w:r w:rsidR="00874BD2">
        <w:t xml:space="preserve">water bodies </w:t>
      </w:r>
      <w:r w:rsidRPr="00FD01D8">
        <w:t>within the mine voids</w:t>
      </w:r>
      <w:r w:rsidR="00DD27E5">
        <w:t xml:space="preserve">, </w:t>
      </w:r>
      <w:r w:rsidR="005446D1" w:rsidRPr="00FD01D8">
        <w:t xml:space="preserve">ground movement induced </w:t>
      </w:r>
      <w:r w:rsidR="006B7B19" w:rsidRPr="00FD01D8">
        <w:t xml:space="preserve">by Reservoir Induced Seismicity (RIS) is also </w:t>
      </w:r>
      <w:r w:rsidR="00373DB8">
        <w:t>included</w:t>
      </w:r>
      <w:r w:rsidR="006B7B19" w:rsidRPr="00FD01D8">
        <w:t>.</w:t>
      </w:r>
      <w:r w:rsidR="00FD01D8" w:rsidRPr="00FD01D8">
        <w:t xml:space="preserve"> </w:t>
      </w:r>
      <w:r w:rsidR="006E33BB">
        <w:t xml:space="preserve"> </w:t>
      </w:r>
      <w:r>
        <w:t xml:space="preserve">The Gippsland area is one of the most seismically active regions in Australia. </w:t>
      </w:r>
      <w:r w:rsidR="006E33BB">
        <w:t xml:space="preserve"> </w:t>
      </w:r>
      <w:r>
        <w:t xml:space="preserve">Many geological faults underlie the Latrobe Valley and have been active over geological time. </w:t>
      </w:r>
    </w:p>
    <w:p w14:paraId="2C11525F" w14:textId="4662587F" w:rsidR="0077223B" w:rsidRDefault="0077223B" w:rsidP="0077223B">
      <w:pPr>
        <w:pStyle w:val="Para0"/>
      </w:pPr>
      <w:r>
        <w:t>Two mechanisms that could induce seismicity within the region because of forming pit lakes include</w:t>
      </w:r>
      <w:r w:rsidR="00752281">
        <w:t>:</w:t>
      </w:r>
    </w:p>
    <w:p w14:paraId="2F91C920" w14:textId="77777777" w:rsidR="0077223B" w:rsidRDefault="0077223B" w:rsidP="0077223B">
      <w:pPr>
        <w:pStyle w:val="Para0bullet"/>
      </w:pPr>
      <w:r>
        <w:t>An increased weight of the water from lake filling may change the stress field around the mine and produce seismic activity (on an inter-mine or regional scale).</w:t>
      </w:r>
    </w:p>
    <w:p w14:paraId="06DD9676" w14:textId="77777777" w:rsidR="0077223B" w:rsidRDefault="0077223B" w:rsidP="0077223B">
      <w:pPr>
        <w:pStyle w:val="Para0bullet"/>
      </w:pPr>
      <w:r>
        <w:t>Increased groundwater pressure due to the cessation of aquifer depressurisation combined with the presence of new (pit) lakes may alter stress on an existing fault, hence increasing the potential for movement along that fault.</w:t>
      </w:r>
    </w:p>
    <w:p w14:paraId="7DE1EB6E" w14:textId="014ED531" w:rsidR="0077223B" w:rsidRDefault="0077223B" w:rsidP="0077223B">
      <w:pPr>
        <w:pStyle w:val="Para0"/>
      </w:pPr>
      <w:r>
        <w:t xml:space="preserve">The potential influence of </w:t>
      </w:r>
      <w:r w:rsidR="00997E19">
        <w:t>RIS</w:t>
      </w:r>
      <w:r>
        <w:t xml:space="preserve"> emanating from future pit lakes in the Latrobe Valley requires further study to assess the nature of the risk. </w:t>
      </w:r>
    </w:p>
    <w:p w14:paraId="0E7CE581" w14:textId="747B38F8" w:rsidR="00091862" w:rsidRDefault="00091862" w:rsidP="00C5675D">
      <w:pPr>
        <w:pStyle w:val="Para0bold"/>
      </w:pPr>
    </w:p>
    <w:p w14:paraId="364584FF" w14:textId="77777777" w:rsidR="0078104A" w:rsidRDefault="0078104A" w:rsidP="00C5675D">
      <w:pPr>
        <w:pStyle w:val="Para0bold"/>
      </w:pPr>
    </w:p>
    <w:p w14:paraId="5F11CE80" w14:textId="4C91BFEE" w:rsidR="0077223B" w:rsidRPr="00061CB5" w:rsidRDefault="0077223B" w:rsidP="00C5675D">
      <w:pPr>
        <w:pStyle w:val="Para0bold"/>
      </w:pPr>
      <w:r w:rsidRPr="00061CB5">
        <w:t xml:space="preserve">Receptors and </w:t>
      </w:r>
      <w:r>
        <w:t>proposed thresholds</w:t>
      </w:r>
      <w:r w:rsidR="00EF70B5">
        <w:t xml:space="preserve"> to measure rehabilitation </w:t>
      </w:r>
      <w:r w:rsidR="004E61AD">
        <w:t>impacts</w:t>
      </w:r>
    </w:p>
    <w:p w14:paraId="492BE1EF" w14:textId="7BEDE7BF" w:rsidR="0077223B" w:rsidRDefault="0077223B" w:rsidP="0077223B">
      <w:pPr>
        <w:pStyle w:val="Para0"/>
      </w:pPr>
      <w:r>
        <w:t xml:space="preserve">In the initial phase of this study, </w:t>
      </w:r>
      <w:r w:rsidR="004B01EB">
        <w:t xml:space="preserve">recognised </w:t>
      </w:r>
      <w:r>
        <w:t>regional receptors were defined that would be the subject of future assessment (Jacobs</w:t>
      </w:r>
      <w:r w:rsidR="00752281">
        <w:t>,</w:t>
      </w:r>
      <w:r>
        <w:t xml:space="preserve"> 20</w:t>
      </w:r>
      <w:r w:rsidR="005D08AA">
        <w:t>20</w:t>
      </w:r>
      <w:r w:rsidR="00D3650F">
        <w:t>a</w:t>
      </w:r>
      <w:r>
        <w:t xml:space="preserve">). </w:t>
      </w:r>
      <w:r w:rsidR="006E33BB">
        <w:t xml:space="preserve"> </w:t>
      </w:r>
      <w:r>
        <w:t xml:space="preserve">The process of selecting </w:t>
      </w:r>
      <w:r w:rsidR="00752281">
        <w:t xml:space="preserve">geotechnical-related </w:t>
      </w:r>
      <w:r>
        <w:t>receptors included identifying potential ground movement effects at a receptor location and preliminary assessment of the materiality of effects should movement occur.</w:t>
      </w:r>
    </w:p>
    <w:p w14:paraId="33877B12" w14:textId="7BE00609" w:rsidR="0077223B" w:rsidRDefault="0077223B" w:rsidP="0077223B">
      <w:pPr>
        <w:pStyle w:val="Para0"/>
      </w:pPr>
      <w:r>
        <w:t xml:space="preserve">The next stage in this study was </w:t>
      </w:r>
      <w:r w:rsidR="003C38C9">
        <w:t>the identification and selection</w:t>
      </w:r>
      <w:r>
        <w:t xml:space="preserve"> of metrics by which to assess impacts and thresholds which set an expected ground movement tolerance limit for each receptor group.</w:t>
      </w:r>
    </w:p>
    <w:p w14:paraId="6F8934EF" w14:textId="57529AF4" w:rsidR="0077223B" w:rsidRDefault="0077223B" w:rsidP="0077223B">
      <w:pPr>
        <w:pStyle w:val="Para0"/>
      </w:pPr>
      <w:r w:rsidRPr="00F675ED">
        <w:t>A metric is defined as the numerical value that enables a quantitative assessment or measure for the damage criteria of each receptor against potential ground movement</w:t>
      </w:r>
      <w:r w:rsidR="00894B8A">
        <w:t xml:space="preserve"> to be made</w:t>
      </w:r>
      <w:r w:rsidRPr="00F675ED">
        <w:t xml:space="preserve">. </w:t>
      </w:r>
      <w:r w:rsidR="006E33BB">
        <w:t xml:space="preserve"> </w:t>
      </w:r>
      <w:r w:rsidRPr="00F675ED">
        <w:t xml:space="preserve">The threshold is the magnitude </w:t>
      </w:r>
      <w:r w:rsidR="009A2BE3">
        <w:t xml:space="preserve">of the metric value </w:t>
      </w:r>
      <w:r w:rsidRPr="00F675ED">
        <w:t>that</w:t>
      </w:r>
      <w:r w:rsidR="009A2BE3">
        <w:t>,</w:t>
      </w:r>
      <w:r w:rsidRPr="00F675ED">
        <w:t xml:space="preserve"> </w:t>
      </w:r>
      <w:r w:rsidR="009A2BE3">
        <w:t xml:space="preserve">if </w:t>
      </w:r>
      <w:r w:rsidRPr="00F675ED">
        <w:t>exceeded</w:t>
      </w:r>
      <w:r w:rsidR="009A2BE3">
        <w:t>,</w:t>
      </w:r>
      <w:r w:rsidRPr="00F675ED">
        <w:t xml:space="preserve"> </w:t>
      </w:r>
      <w:r w:rsidR="009A2BE3">
        <w:t xml:space="preserve">will </w:t>
      </w:r>
      <w:r w:rsidRPr="00F675ED">
        <w:t>result in an unacceptable change or damage to the receptor.</w:t>
      </w:r>
      <w:r w:rsidR="00054E34">
        <w:t xml:space="preserve"> </w:t>
      </w:r>
    </w:p>
    <w:p w14:paraId="7DC09507" w14:textId="7D7447A2" w:rsidR="0077223B" w:rsidRDefault="0077223B" w:rsidP="0077223B">
      <w:pPr>
        <w:pStyle w:val="Para0"/>
      </w:pPr>
      <w:r>
        <w:t xml:space="preserve">Thresholds are often represented by </w:t>
      </w:r>
      <w:r w:rsidR="00351DBC">
        <w:t xml:space="preserve">the metric of </w:t>
      </w:r>
      <w:r>
        <w:t xml:space="preserve">strain which </w:t>
      </w:r>
      <w:r w:rsidR="00351DBC">
        <w:t>is</w:t>
      </w:r>
      <w:r>
        <w:t xml:space="preserve"> a measure of relative ground movement.</w:t>
      </w:r>
    </w:p>
    <w:p w14:paraId="7FDD19BD" w14:textId="52C9A4D4" w:rsidR="0077223B" w:rsidRDefault="0077223B" w:rsidP="00B96CB4">
      <w:pPr>
        <w:pStyle w:val="Para0"/>
      </w:pPr>
      <w:r>
        <w:t xml:space="preserve">Metric and threshold data for respective receptor types have been proposed by this study. </w:t>
      </w:r>
      <w:r w:rsidR="006E33BB">
        <w:t xml:space="preserve"> </w:t>
      </w:r>
      <w:r>
        <w:t>Wherever possible, both metrics and thresholds have been sourced from published and accepted literature including:</w:t>
      </w:r>
      <w:r w:rsidR="00B96CB4">
        <w:t xml:space="preserve"> s</w:t>
      </w:r>
      <w:r>
        <w:t>tandards;</w:t>
      </w:r>
      <w:r w:rsidR="00B96CB4">
        <w:t xml:space="preserve"> gu</w:t>
      </w:r>
      <w:r>
        <w:t>idelines; and</w:t>
      </w:r>
      <w:r w:rsidR="00B96CB4">
        <w:t xml:space="preserve"> t</w:t>
      </w:r>
      <w:r>
        <w:t xml:space="preserve">echnical </w:t>
      </w:r>
      <w:r w:rsidR="00B96CB4">
        <w:t>p</w:t>
      </w:r>
      <w:r>
        <w:t>ublications.</w:t>
      </w:r>
    </w:p>
    <w:p w14:paraId="07215F54" w14:textId="0A01A586" w:rsidR="00C90151" w:rsidRDefault="0077223B" w:rsidP="0077223B">
      <w:pPr>
        <w:pStyle w:val="Para0"/>
      </w:pPr>
      <w:r>
        <w:t xml:space="preserve">Publications from sources such as Standards Australia and stakeholders such as VicRoads have been used to </w:t>
      </w:r>
      <w:r w:rsidR="003800B9">
        <w:t xml:space="preserve">adopt relevant metrics and </w:t>
      </w:r>
      <w:r w:rsidR="00762F04">
        <w:t xml:space="preserve">derive </w:t>
      </w:r>
      <w:r w:rsidR="003800B9">
        <w:t xml:space="preserve">threshold </w:t>
      </w:r>
      <w:r>
        <w:t xml:space="preserve">values.  These references are listed in full in Appendix A. </w:t>
      </w:r>
      <w:r w:rsidR="006E33BB">
        <w:t xml:space="preserve"> </w:t>
      </w:r>
      <w:r>
        <w:t xml:space="preserve">These provide a framework for the design, management and monitoring of relevant receptor metrics (with defined thresholds). </w:t>
      </w:r>
      <w:r w:rsidR="006E33BB">
        <w:t xml:space="preserve"> </w:t>
      </w:r>
      <w:r>
        <w:t xml:space="preserve">Furthermore, all reference material </w:t>
      </w:r>
      <w:r w:rsidR="009E5707">
        <w:t xml:space="preserve">used for a receptor </w:t>
      </w:r>
      <w:r>
        <w:t xml:space="preserve">has been cited within the text of each geotechnical receptor section and </w:t>
      </w:r>
      <w:r w:rsidR="009E5707">
        <w:t xml:space="preserve">are also </w:t>
      </w:r>
      <w:r>
        <w:t>publicly accessible.</w:t>
      </w:r>
    </w:p>
    <w:p w14:paraId="6A724CEB" w14:textId="5BD52FC4" w:rsidR="00C90151" w:rsidRDefault="0077223B" w:rsidP="0077223B">
      <w:pPr>
        <w:pStyle w:val="Para0"/>
      </w:pPr>
      <w:r>
        <w:t xml:space="preserve">All receptors except for intangible Aboriginal </w:t>
      </w:r>
      <w:r w:rsidR="00E866DE">
        <w:t>and non-</w:t>
      </w:r>
      <w:r w:rsidR="006E7044">
        <w:t>A</w:t>
      </w:r>
      <w:r w:rsidR="00E866DE">
        <w:t xml:space="preserve">boriginal </w:t>
      </w:r>
      <w:r>
        <w:t xml:space="preserve">cultural heritage and some water </w:t>
      </w:r>
      <w:r w:rsidR="00816BE3">
        <w:t xml:space="preserve">and land use type </w:t>
      </w:r>
      <w:r>
        <w:t>related receptors have been allocated a metric.</w:t>
      </w:r>
      <w:r w:rsidR="00816BE3">
        <w:t xml:space="preserve"> Where a recognised receptor does not have a clear metric, further assessment by </w:t>
      </w:r>
      <w:r w:rsidR="00A4776B">
        <w:t xml:space="preserve">the </w:t>
      </w:r>
      <w:r w:rsidR="00816BE3">
        <w:t>receptor custodians may be required if quantitative effects are to be evaluated. This is beyond the scope of this study.</w:t>
      </w:r>
    </w:p>
    <w:p w14:paraId="603167A3" w14:textId="4835B962" w:rsidR="0077223B" w:rsidRDefault="0077223B" w:rsidP="0077223B">
      <w:pPr>
        <w:pStyle w:val="Para0"/>
      </w:pPr>
      <w:r>
        <w:t xml:space="preserve">For listed species and some water related metrics (such as water quality), the threshold associated with the physical </w:t>
      </w:r>
      <w:r w:rsidR="00205AAA">
        <w:t xml:space="preserve">stability </w:t>
      </w:r>
      <w:r w:rsidR="006018AD">
        <w:t xml:space="preserve">of </w:t>
      </w:r>
      <w:r w:rsidR="00E43C9F">
        <w:t xml:space="preserve">a </w:t>
      </w:r>
      <w:r>
        <w:t xml:space="preserve">river and wetland is considered to represent these receptors. </w:t>
      </w:r>
      <w:r w:rsidR="006E33BB">
        <w:t xml:space="preserve"> </w:t>
      </w:r>
      <w:r>
        <w:t>It is not possible based on the information available to describe a ground movement effect directly on individual species.</w:t>
      </w:r>
      <w:r w:rsidR="006E33BB">
        <w:t xml:space="preserve"> </w:t>
      </w:r>
      <w:r>
        <w:t xml:space="preserve"> Neither is there a clear pathway between ground movement and water quality or flow, outside of the physical channel conditions. Where limited threshold limits have been indicated for receptors such as reservoirs, dams and the Morwell Main Drain, the ground strain provided </w:t>
      </w:r>
      <w:r w:rsidR="006B11E3">
        <w:t xml:space="preserve">is recommended </w:t>
      </w:r>
      <w:r>
        <w:t xml:space="preserve">as a first estimate. </w:t>
      </w:r>
      <w:r w:rsidR="006E33BB">
        <w:t xml:space="preserve"> </w:t>
      </w:r>
      <w:r w:rsidR="00272F7E">
        <w:t>Further, i</w:t>
      </w:r>
      <w:r>
        <w:t>t is recommended that site-specific analyses and/or numerical modelling be conducted if future calculations of ground strains exceed the threshold</w:t>
      </w:r>
      <w:r w:rsidR="00BA1D63">
        <w:t>s</w:t>
      </w:r>
      <w:r>
        <w:t xml:space="preserve"> </w:t>
      </w:r>
      <w:r w:rsidR="00962F67">
        <w:t xml:space="preserve">provided </w:t>
      </w:r>
      <w:r>
        <w:t>in th</w:t>
      </w:r>
      <w:r w:rsidR="00BA1D63">
        <w:t xml:space="preserve">is </w:t>
      </w:r>
      <w:r>
        <w:t>report.</w:t>
      </w:r>
    </w:p>
    <w:p w14:paraId="6261BB58" w14:textId="56D7EE3D" w:rsidR="0077223B" w:rsidRDefault="0077223B" w:rsidP="0077223B">
      <w:pPr>
        <w:pStyle w:val="Para0"/>
      </w:pPr>
      <w:r>
        <w:t xml:space="preserve">Table E1 presents the metrics and thresholds </w:t>
      </w:r>
      <w:r w:rsidR="003800B9">
        <w:t xml:space="preserve">assigned </w:t>
      </w:r>
      <w:r>
        <w:t xml:space="preserve">for each receptor group. </w:t>
      </w:r>
      <w:r w:rsidR="008418CB">
        <w:t xml:space="preserve"> </w:t>
      </w:r>
      <w:r>
        <w:t xml:space="preserve">The commentary provided in the table indicates where specific uncertainties or knowledge gaps relate to that </w:t>
      </w:r>
      <w:r w:rsidR="003800B9">
        <w:t xml:space="preserve">metric and/or </w:t>
      </w:r>
      <w:r>
        <w:t>threshold.</w:t>
      </w:r>
    </w:p>
    <w:p w14:paraId="3D8AFA4F" w14:textId="0B6CF47C" w:rsidR="0077223B" w:rsidRDefault="0077223B" w:rsidP="0077223B">
      <w:pPr>
        <w:pStyle w:val="Para0"/>
      </w:pPr>
      <w:r>
        <w:t xml:space="preserve">There is uncertainty associated with many of the proposed thresholds. </w:t>
      </w:r>
      <w:r w:rsidR="008418CB">
        <w:t xml:space="preserve"> </w:t>
      </w:r>
      <w:r w:rsidR="005C4695">
        <w:t xml:space="preserve">Also, it may be determined that </w:t>
      </w:r>
      <w:r w:rsidR="00FE3406">
        <w:t xml:space="preserve">a more appropriate metric comes to light during future studies. </w:t>
      </w:r>
      <w:r w:rsidR="008418CB">
        <w:t xml:space="preserve"> </w:t>
      </w:r>
      <w:r w:rsidR="00D0046A">
        <w:t>It is expected that r</w:t>
      </w:r>
      <w:r w:rsidR="00522493">
        <w:t xml:space="preserve">eceptor </w:t>
      </w:r>
      <w:r w:rsidR="00A235AB">
        <w:t xml:space="preserve">custodians </w:t>
      </w:r>
      <w:r>
        <w:t xml:space="preserve">will consider the utility and relevance of these thresholds </w:t>
      </w:r>
      <w:r w:rsidR="005C4695">
        <w:t>and even of the metrics, in the light of ongoing work in this area</w:t>
      </w:r>
      <w:r w:rsidR="0028109C">
        <w:t xml:space="preserve"> </w:t>
      </w:r>
      <w:r>
        <w:t xml:space="preserve">as more information on the receptors and potential effects is available. </w:t>
      </w:r>
      <w:r w:rsidR="008418CB">
        <w:t xml:space="preserve"> </w:t>
      </w:r>
      <w:r>
        <w:t>The values in table E1 represent a starting point and may be modified by further work.</w:t>
      </w:r>
    </w:p>
    <w:p w14:paraId="4109CC67" w14:textId="1D4FB4BF" w:rsidR="00AF5882" w:rsidRPr="00A43212" w:rsidRDefault="00AF5882" w:rsidP="00AF5882">
      <w:pPr>
        <w:pStyle w:val="Para0"/>
      </w:pPr>
      <w:r w:rsidRPr="00A43212">
        <w:t xml:space="preserve">Geotechnical impacts on a receptor may not only be direct but may also be indirect. </w:t>
      </w:r>
      <w:r w:rsidR="008418CB" w:rsidRPr="00A43212">
        <w:t xml:space="preserve"> </w:t>
      </w:r>
      <w:r w:rsidRPr="00A43212">
        <w:t xml:space="preserve">This means that the relationship between </w:t>
      </w:r>
      <w:r w:rsidR="004C2578" w:rsidRPr="00A43212">
        <w:t xml:space="preserve">other physical effects </w:t>
      </w:r>
      <w:r w:rsidRPr="00A43212">
        <w:t xml:space="preserve">that are generated by geotechnical processes and the geotechnical related impacts that are generated by </w:t>
      </w:r>
      <w:r w:rsidR="004C2578" w:rsidRPr="00A43212">
        <w:t xml:space="preserve">other (for example) </w:t>
      </w:r>
      <w:r w:rsidRPr="00A43212">
        <w:t xml:space="preserve">water processes </w:t>
      </w:r>
      <w:r w:rsidR="004C2578" w:rsidRPr="00A43212">
        <w:t xml:space="preserve">is not fully resolved in this report. This </w:t>
      </w:r>
      <w:r w:rsidR="001E3B95" w:rsidRPr="00A43212">
        <w:t xml:space="preserve">is an </w:t>
      </w:r>
      <w:r w:rsidR="004242BD">
        <w:t xml:space="preserve">initial study </w:t>
      </w:r>
      <w:r w:rsidR="001E3B95" w:rsidRPr="00A43212">
        <w:t xml:space="preserve">in the evolution of assessment of possible effects and it is expected that further and future analysis will be needed to tie together </w:t>
      </w:r>
      <w:r w:rsidR="0068447A" w:rsidRPr="00A43212">
        <w:t>any co-evolving effects.</w:t>
      </w:r>
    </w:p>
    <w:p w14:paraId="17B17F05" w14:textId="1C777312" w:rsidR="00AF5882" w:rsidRDefault="00852D11" w:rsidP="00AF5882">
      <w:pPr>
        <w:pStyle w:val="Para0"/>
        <w:sectPr w:rsidR="00AF5882" w:rsidSect="00C6638A">
          <w:headerReference w:type="default" r:id="rId26"/>
          <w:footerReference w:type="default" r:id="rId27"/>
          <w:footerReference w:type="first" r:id="rId28"/>
          <w:pgSz w:w="11901" w:h="16840" w:code="9"/>
          <w:pgMar w:top="567" w:right="851" w:bottom="851" w:left="1134" w:header="567" w:footer="370" w:gutter="0"/>
          <w:pgNumType w:fmt="lowerRoman" w:start="1"/>
          <w:cols w:space="0"/>
          <w:formProt w:val="0"/>
          <w:docGrid w:linePitch="360"/>
        </w:sectPr>
      </w:pPr>
      <w:r w:rsidRPr="005E0C84">
        <w:t>T</w:t>
      </w:r>
      <w:r w:rsidR="00AF5882" w:rsidRPr="005E0C84">
        <w:t xml:space="preserve">here are </w:t>
      </w:r>
      <w:r w:rsidRPr="005E0C84">
        <w:t xml:space="preserve">possibly </w:t>
      </w:r>
      <w:r w:rsidR="005E7EA8" w:rsidRPr="005E0C84">
        <w:t xml:space="preserve">a </w:t>
      </w:r>
      <w:r w:rsidR="00AF5882" w:rsidRPr="005E0C84">
        <w:t xml:space="preserve">number of geotechnical effects </w:t>
      </w:r>
      <w:r w:rsidRPr="005E0C84">
        <w:t xml:space="preserve">overlooked at this stage resulting from </w:t>
      </w:r>
      <w:r w:rsidR="00AF5882" w:rsidRPr="005E0C84">
        <w:t>restricting commentary to only those elements of geotechnical impact that are ground movement related.</w:t>
      </w:r>
      <w:r w:rsidR="008418CB" w:rsidRPr="005E0C84">
        <w:t xml:space="preserve"> </w:t>
      </w:r>
      <w:r w:rsidRPr="005E0C84">
        <w:t xml:space="preserve"> It is expected that </w:t>
      </w:r>
      <w:r w:rsidR="005253E9">
        <w:t xml:space="preserve">relevant </w:t>
      </w:r>
      <w:r w:rsidRPr="005E0C84">
        <w:t xml:space="preserve">future studies </w:t>
      </w:r>
      <w:r w:rsidR="00D310BA">
        <w:t xml:space="preserve">if required </w:t>
      </w:r>
      <w:r w:rsidRPr="005E0C84">
        <w:t>will deal with these complexities and that this report provides a first step only</w:t>
      </w:r>
      <w:r>
        <w:t>.</w:t>
      </w:r>
    </w:p>
    <w:p w14:paraId="559C7C5D" w14:textId="48D1FB04" w:rsidR="0077223B" w:rsidRDefault="0077223B" w:rsidP="0077223B">
      <w:pPr>
        <w:pStyle w:val="Caption"/>
      </w:pPr>
      <w:r w:rsidRPr="009038E7">
        <w:t>Table</w:t>
      </w:r>
      <w:r>
        <w:t xml:space="preserve"> E</w:t>
      </w:r>
      <w:r>
        <w:fldChar w:fldCharType="begin"/>
      </w:r>
      <w:r>
        <w:instrText xml:space="preserve"> SEQ Table \* ARABIC </w:instrText>
      </w:r>
      <w:r>
        <w:fldChar w:fldCharType="separate"/>
      </w:r>
      <w:r w:rsidR="00A83148">
        <w:rPr>
          <w:noProof/>
        </w:rPr>
        <w:t>1</w:t>
      </w:r>
      <w:r>
        <w:fldChar w:fldCharType="end"/>
      </w:r>
      <w:r w:rsidRPr="009038E7">
        <w:t xml:space="preserve">: </w:t>
      </w:r>
      <w:r w:rsidRPr="00A3198C">
        <w:fldChar w:fldCharType="begin">
          <w:ffData>
            <w:name w:val=""/>
            <w:enabled/>
            <w:calcOnExit w:val="0"/>
            <w:textInput>
              <w:default w:val="Ground movement metrics and thresholds determined by this study for agreed receptor groups for the LVRRS"/>
            </w:textInput>
          </w:ffData>
        </w:fldChar>
      </w:r>
      <w:r w:rsidRPr="00A3198C">
        <w:instrText xml:space="preserve"> FORMTEXT </w:instrText>
      </w:r>
      <w:r w:rsidRPr="00A3198C">
        <w:fldChar w:fldCharType="separate"/>
      </w:r>
      <w:r w:rsidR="006A02BD" w:rsidRPr="00A3198C">
        <w:rPr>
          <w:noProof/>
        </w:rPr>
        <w:t>Ground movement metrics and thresholds determined by this study for agreed receptor groups for the LVRRS</w:t>
      </w:r>
      <w:r w:rsidRPr="00A3198C">
        <w:fldChar w:fldCharType="end"/>
      </w:r>
    </w:p>
    <w:tbl>
      <w:tblPr>
        <w:tblStyle w:val="TableGrid"/>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183"/>
        <w:gridCol w:w="2261"/>
        <w:gridCol w:w="2261"/>
        <w:gridCol w:w="2323"/>
        <w:gridCol w:w="2202"/>
        <w:gridCol w:w="2261"/>
      </w:tblGrid>
      <w:tr w:rsidR="0077223B" w14:paraId="4D6077B7" w14:textId="77777777" w:rsidTr="0077223B">
        <w:trPr>
          <w:tblHeader/>
        </w:trPr>
        <w:tc>
          <w:tcPr>
            <w:tcW w:w="809" w:type="pct"/>
            <w:tcBorders>
              <w:right w:val="single" w:sz="4" w:space="0" w:color="FFFFFF" w:themeColor="background1"/>
            </w:tcBorders>
            <w:shd w:val="clear" w:color="auto" w:fill="00338D"/>
          </w:tcPr>
          <w:p w14:paraId="6F5BDEC3" w14:textId="77777777" w:rsidR="0077223B" w:rsidRDefault="0077223B" w:rsidP="0077223B">
            <w:pPr>
              <w:pStyle w:val="Tablesmallheading"/>
            </w:pPr>
            <w:r>
              <w:t>Receptor Category</w:t>
            </w:r>
          </w:p>
        </w:tc>
        <w:tc>
          <w:tcPr>
            <w:tcW w:w="838" w:type="pct"/>
            <w:tcBorders>
              <w:left w:val="single" w:sz="4" w:space="0" w:color="FFFFFF" w:themeColor="background1"/>
              <w:right w:val="single" w:sz="4" w:space="0" w:color="FFFFFF" w:themeColor="background1"/>
            </w:tcBorders>
            <w:shd w:val="clear" w:color="auto" w:fill="00338D"/>
          </w:tcPr>
          <w:p w14:paraId="327DDD05" w14:textId="77777777" w:rsidR="0077223B" w:rsidRDefault="0077223B" w:rsidP="0077223B">
            <w:pPr>
              <w:pStyle w:val="Tablesmallheading"/>
            </w:pPr>
            <w:r>
              <w:t>Receptor Sub-Category</w:t>
            </w:r>
          </w:p>
        </w:tc>
        <w:tc>
          <w:tcPr>
            <w:tcW w:w="838" w:type="pct"/>
            <w:tcBorders>
              <w:left w:val="single" w:sz="4" w:space="0" w:color="FFFFFF" w:themeColor="background1"/>
              <w:right w:val="single" w:sz="4" w:space="0" w:color="FFFFFF" w:themeColor="background1"/>
            </w:tcBorders>
            <w:shd w:val="clear" w:color="auto" w:fill="00338D"/>
          </w:tcPr>
          <w:p w14:paraId="2194DE29" w14:textId="77777777" w:rsidR="0077223B" w:rsidRDefault="0077223B" w:rsidP="0077223B">
            <w:pPr>
              <w:pStyle w:val="Tablesmallheading"/>
            </w:pPr>
            <w:r>
              <w:t>Metric</w:t>
            </w:r>
          </w:p>
        </w:tc>
        <w:tc>
          <w:tcPr>
            <w:tcW w:w="861" w:type="pct"/>
            <w:tcBorders>
              <w:left w:val="single" w:sz="4" w:space="0" w:color="FFFFFF" w:themeColor="background1"/>
              <w:right w:val="single" w:sz="4" w:space="0" w:color="FFFFFF" w:themeColor="background1"/>
            </w:tcBorders>
            <w:shd w:val="clear" w:color="auto" w:fill="00338D"/>
          </w:tcPr>
          <w:p w14:paraId="671BA076" w14:textId="77777777" w:rsidR="0077223B" w:rsidRDefault="0077223B" w:rsidP="0077223B">
            <w:pPr>
              <w:pStyle w:val="Tablesmallheading"/>
            </w:pPr>
            <w:r>
              <w:t>Threshold (may be indicative or firm, see comments)</w:t>
            </w:r>
          </w:p>
        </w:tc>
        <w:tc>
          <w:tcPr>
            <w:tcW w:w="816" w:type="pct"/>
            <w:tcBorders>
              <w:left w:val="single" w:sz="4" w:space="0" w:color="FFFFFF" w:themeColor="background1"/>
              <w:right w:val="single" w:sz="4" w:space="0" w:color="FFFFFF" w:themeColor="background1"/>
            </w:tcBorders>
            <w:shd w:val="clear" w:color="auto" w:fill="00338D"/>
          </w:tcPr>
          <w:p w14:paraId="29E7B958" w14:textId="77777777" w:rsidR="0077223B" w:rsidRDefault="0077223B" w:rsidP="0077223B">
            <w:pPr>
              <w:pStyle w:val="Tablesmallheading"/>
            </w:pPr>
            <w:r>
              <w:t>Comment</w:t>
            </w:r>
          </w:p>
        </w:tc>
        <w:tc>
          <w:tcPr>
            <w:tcW w:w="838" w:type="pct"/>
            <w:tcBorders>
              <w:left w:val="single" w:sz="4" w:space="0" w:color="FFFFFF" w:themeColor="background1"/>
            </w:tcBorders>
            <w:shd w:val="clear" w:color="auto" w:fill="00338D"/>
          </w:tcPr>
          <w:p w14:paraId="39BE1CB7" w14:textId="77777777" w:rsidR="0077223B" w:rsidRDefault="0077223B" w:rsidP="0077223B">
            <w:pPr>
              <w:pStyle w:val="Tablesmallheading"/>
            </w:pPr>
            <w:r>
              <w:t>Reference</w:t>
            </w:r>
          </w:p>
        </w:tc>
      </w:tr>
      <w:tr w:rsidR="0077223B" w14:paraId="7ECA7B6F" w14:textId="77777777" w:rsidTr="0077223B">
        <w:tc>
          <w:tcPr>
            <w:tcW w:w="809" w:type="pct"/>
            <w:vMerge w:val="restart"/>
          </w:tcPr>
          <w:p w14:paraId="08DD7C27" w14:textId="643A307B" w:rsidR="0077223B" w:rsidRPr="007A4113" w:rsidRDefault="0077223B" w:rsidP="0077223B">
            <w:pPr>
              <w:pStyle w:val="Tablesmalltext"/>
            </w:pPr>
            <w:r w:rsidRPr="007A4113">
              <w:t xml:space="preserve">Aboriginal and </w:t>
            </w:r>
            <w:r w:rsidR="00E83654">
              <w:t>Non-aboriginal</w:t>
            </w:r>
            <w:r w:rsidRPr="007A4113">
              <w:t xml:space="preserve"> cultural heritage</w:t>
            </w:r>
          </w:p>
        </w:tc>
        <w:tc>
          <w:tcPr>
            <w:tcW w:w="838" w:type="pct"/>
          </w:tcPr>
          <w:p w14:paraId="33F0A163" w14:textId="77777777" w:rsidR="0077223B" w:rsidRDefault="0077223B" w:rsidP="0077223B">
            <w:pPr>
              <w:pStyle w:val="Tablesmalltext"/>
            </w:pPr>
            <w:r w:rsidRPr="007A4113">
              <w:t>Aboriginal cultural heritage</w:t>
            </w:r>
          </w:p>
          <w:p w14:paraId="316C15CD" w14:textId="77777777" w:rsidR="0077223B" w:rsidRPr="007A4113" w:rsidRDefault="0077223B" w:rsidP="0077223B">
            <w:pPr>
              <w:pStyle w:val="Tablesmalltext"/>
            </w:pPr>
            <w:r>
              <w:t>(Includes tangible heritage such as artefacts, sites and landscape features)</w:t>
            </w:r>
          </w:p>
        </w:tc>
        <w:tc>
          <w:tcPr>
            <w:tcW w:w="838" w:type="pct"/>
          </w:tcPr>
          <w:p w14:paraId="1A8D3437" w14:textId="77777777" w:rsidR="0077223B" w:rsidRPr="007A4113" w:rsidRDefault="0077223B" w:rsidP="0077223B">
            <w:pPr>
              <w:pStyle w:val="Tablesmalltext"/>
            </w:pPr>
            <w:r w:rsidRPr="007A4113">
              <w:t xml:space="preserve">Horizontal and vertical strain </w:t>
            </w:r>
          </w:p>
        </w:tc>
        <w:tc>
          <w:tcPr>
            <w:tcW w:w="861" w:type="pct"/>
          </w:tcPr>
          <w:p w14:paraId="3618D42F" w14:textId="29F3E4BB" w:rsidR="0077223B" w:rsidRPr="007A4113" w:rsidRDefault="0077223B" w:rsidP="0077223B">
            <w:pPr>
              <w:pStyle w:val="Tablesmalltext"/>
            </w:pPr>
            <w:r w:rsidRPr="007A4113">
              <w:t>Horizontal strain value of</w:t>
            </w:r>
            <w:r w:rsidR="00C5307A">
              <w:br/>
            </w:r>
            <w:r w:rsidRPr="007A4113">
              <w:t>1.0 x 10</w:t>
            </w:r>
            <w:r w:rsidRPr="007A4113">
              <w:rPr>
                <w:vertAlign w:val="superscript"/>
              </w:rPr>
              <w:t>-3</w:t>
            </w:r>
          </w:p>
        </w:tc>
        <w:tc>
          <w:tcPr>
            <w:tcW w:w="816" w:type="pct"/>
          </w:tcPr>
          <w:p w14:paraId="7190DD5F" w14:textId="77777777" w:rsidR="0077223B" w:rsidRPr="007A4113" w:rsidRDefault="0077223B" w:rsidP="0077223B">
            <w:pPr>
              <w:pStyle w:val="Tablesmalltext"/>
            </w:pPr>
            <w:r w:rsidRPr="007A4113">
              <w:t>Sites are undisclosed however understood to likely be near water ways. Metric for embankments, canals and miscellaneous structures used as guideline.</w:t>
            </w:r>
          </w:p>
        </w:tc>
        <w:tc>
          <w:tcPr>
            <w:tcW w:w="838" w:type="pct"/>
          </w:tcPr>
          <w:p w14:paraId="5D897E98" w14:textId="77777777" w:rsidR="0077223B" w:rsidRPr="007A4113" w:rsidRDefault="0077223B" w:rsidP="0077223B">
            <w:pPr>
              <w:pStyle w:val="Tablesmalltext"/>
            </w:pPr>
            <w:r w:rsidRPr="007A4113">
              <w:t>Singh, M (1986) Mining Engineering Handbook. Chapter 3 Mine subsidence, Society for Mining, Metallurgy and Exploration</w:t>
            </w:r>
          </w:p>
        </w:tc>
      </w:tr>
      <w:tr w:rsidR="0077223B" w14:paraId="318B8A04" w14:textId="77777777" w:rsidTr="0077223B">
        <w:tc>
          <w:tcPr>
            <w:tcW w:w="809" w:type="pct"/>
            <w:vMerge/>
          </w:tcPr>
          <w:p w14:paraId="38EE58F2" w14:textId="77777777" w:rsidR="0077223B" w:rsidRPr="007A4113" w:rsidRDefault="0077223B" w:rsidP="0077223B">
            <w:pPr>
              <w:pStyle w:val="Tablesmalltext"/>
            </w:pPr>
          </w:p>
        </w:tc>
        <w:tc>
          <w:tcPr>
            <w:tcW w:w="838" w:type="pct"/>
          </w:tcPr>
          <w:p w14:paraId="2AD70D10" w14:textId="4129CC8D" w:rsidR="0077223B" w:rsidRDefault="00E83654" w:rsidP="0077223B">
            <w:pPr>
              <w:pStyle w:val="Tablesmalltext"/>
            </w:pPr>
            <w:r>
              <w:t>Non-aboriginal</w:t>
            </w:r>
            <w:r w:rsidR="0077223B" w:rsidRPr="007A4113">
              <w:t xml:space="preserve"> cultural heritage</w:t>
            </w:r>
          </w:p>
          <w:p w14:paraId="171CEDCA" w14:textId="77777777" w:rsidR="0077223B" w:rsidRDefault="0077223B" w:rsidP="0077223B">
            <w:pPr>
              <w:pStyle w:val="Tablesmalltext"/>
            </w:pPr>
          </w:p>
          <w:p w14:paraId="4BDB2317" w14:textId="2F9F4096" w:rsidR="0077223B" w:rsidRPr="007A4113" w:rsidRDefault="0077223B" w:rsidP="0077223B">
            <w:pPr>
              <w:pStyle w:val="Tablesmalltext"/>
            </w:pPr>
            <w:r>
              <w:t xml:space="preserve">(including </w:t>
            </w:r>
            <w:r w:rsidR="00D9483C">
              <w:t>historical</w:t>
            </w:r>
            <w:r>
              <w:t xml:space="preserve"> open cuts and buildings/structures)</w:t>
            </w:r>
          </w:p>
        </w:tc>
        <w:tc>
          <w:tcPr>
            <w:tcW w:w="838" w:type="pct"/>
          </w:tcPr>
          <w:p w14:paraId="30DE18DA" w14:textId="77777777" w:rsidR="0077223B" w:rsidRPr="007A4113" w:rsidRDefault="0077223B" w:rsidP="0077223B">
            <w:pPr>
              <w:pStyle w:val="Tablesmalltext"/>
            </w:pPr>
            <w:r w:rsidRPr="007A4113">
              <w:t>Resisting and driving force of open cut slopes and earthquake loading</w:t>
            </w:r>
          </w:p>
          <w:p w14:paraId="536C2176" w14:textId="7C875EB0" w:rsidR="0077223B" w:rsidRPr="007A4113" w:rsidRDefault="0077223B" w:rsidP="0077223B">
            <w:pPr>
              <w:pStyle w:val="Tablesmalltext"/>
            </w:pPr>
            <w:r w:rsidRPr="007A4113">
              <w:t xml:space="preserve">Horizonal and vertical strain </w:t>
            </w:r>
          </w:p>
        </w:tc>
        <w:tc>
          <w:tcPr>
            <w:tcW w:w="861" w:type="pct"/>
          </w:tcPr>
          <w:p w14:paraId="764C8388" w14:textId="42B951F1" w:rsidR="0077223B" w:rsidRPr="007A4113" w:rsidRDefault="0077223B" w:rsidP="0077223B">
            <w:pPr>
              <w:pStyle w:val="Tablesmalltext"/>
            </w:pPr>
            <w:r w:rsidRPr="007A4113">
              <w:t xml:space="preserve">Open Cuts see Section </w:t>
            </w:r>
            <w:r w:rsidR="00891A08">
              <w:t>5.3</w:t>
            </w:r>
            <w:r w:rsidRPr="007A4113">
              <w:t xml:space="preserve">, </w:t>
            </w:r>
            <w:r>
              <w:t>F</w:t>
            </w:r>
            <w:r w:rsidRPr="007A4113">
              <w:t xml:space="preserve">actor of </w:t>
            </w:r>
            <w:r>
              <w:t>S</w:t>
            </w:r>
            <w:r w:rsidRPr="007A4113">
              <w:t xml:space="preserve">afety </w:t>
            </w:r>
            <w:r>
              <w:t xml:space="preserve">(FOS) </w:t>
            </w:r>
            <w:r w:rsidRPr="007A4113">
              <w:t xml:space="preserve">and </w:t>
            </w:r>
            <w:r>
              <w:t>P</w:t>
            </w:r>
            <w:r w:rsidRPr="007A4113">
              <w:t xml:space="preserve">robability of </w:t>
            </w:r>
            <w:r>
              <w:t>F</w:t>
            </w:r>
            <w:r w:rsidRPr="007A4113">
              <w:t>ailure</w:t>
            </w:r>
            <w:r>
              <w:t xml:space="preserve"> (POF)</w:t>
            </w:r>
            <w:r w:rsidRPr="007A4113">
              <w:t>.</w:t>
            </w:r>
          </w:p>
          <w:p w14:paraId="705EE62C" w14:textId="640967DE" w:rsidR="0077223B" w:rsidRPr="007A4113" w:rsidRDefault="0077223B" w:rsidP="0077223B">
            <w:pPr>
              <w:pStyle w:val="Tablesmalltext"/>
            </w:pPr>
            <w:r w:rsidRPr="007A4113">
              <w:t xml:space="preserve">Dependant on Heritage structure type. See damage criteria for buildings and structure Tables </w:t>
            </w:r>
            <w:r w:rsidR="00E11DBE">
              <w:t>5</w:t>
            </w:r>
            <w:r w:rsidRPr="007A4113">
              <w:t xml:space="preserve">.7 and </w:t>
            </w:r>
            <w:r w:rsidR="00E11DBE">
              <w:t>5</w:t>
            </w:r>
            <w:r w:rsidRPr="007A4113">
              <w:t>.8.</w:t>
            </w:r>
            <w:r>
              <w:t xml:space="preserve"> Actual threshold varies by the construction of the receptor and is not a single value for the receptor category</w:t>
            </w:r>
          </w:p>
        </w:tc>
        <w:tc>
          <w:tcPr>
            <w:tcW w:w="816" w:type="pct"/>
          </w:tcPr>
          <w:p w14:paraId="03B12A3D" w14:textId="0EACBF19" w:rsidR="0077223B" w:rsidRPr="007A4113" w:rsidRDefault="0077223B" w:rsidP="0077223B">
            <w:pPr>
              <w:pStyle w:val="Tablesmalltext"/>
            </w:pPr>
            <w:r w:rsidRPr="007A4113">
              <w:t>Infrastructure thresholds are a guideline due to unknown construction and age of heritage buildings and structures, i</w:t>
            </w:r>
            <w:r w:rsidR="00056F7A">
              <w:t>.</w:t>
            </w:r>
            <w:r w:rsidRPr="007A4113">
              <w:t>e</w:t>
            </w:r>
            <w:r w:rsidR="00056F7A">
              <w:t>.</w:t>
            </w:r>
            <w:r w:rsidRPr="007A4113">
              <w:t xml:space="preserve"> these may not conform to current Australian building standards.</w:t>
            </w:r>
          </w:p>
        </w:tc>
        <w:tc>
          <w:tcPr>
            <w:tcW w:w="838" w:type="pct"/>
          </w:tcPr>
          <w:p w14:paraId="3EAE0A33" w14:textId="77777777" w:rsidR="0077223B" w:rsidRPr="007A4113" w:rsidRDefault="0077223B" w:rsidP="0077223B">
            <w:pPr>
              <w:pStyle w:val="Tablesmalltext"/>
            </w:pPr>
            <w:r w:rsidRPr="007A4113">
              <w:t>Read, J., and Stacey, P. (2009) Guidelines for Open Pit Slope Design. CSIRO 2009</w:t>
            </w:r>
          </w:p>
          <w:p w14:paraId="35CA2E87" w14:textId="77777777" w:rsidR="0077223B" w:rsidRPr="007A4113" w:rsidRDefault="0077223B" w:rsidP="0077223B">
            <w:pPr>
              <w:pStyle w:val="Tablesmalltext"/>
            </w:pPr>
            <w:r w:rsidRPr="007A4113">
              <w:t>Earth Resources (2015) Guidance Material for the Assessment of Geotechnical Risks in Open Pit Mines and Quarries</w:t>
            </w:r>
          </w:p>
          <w:p w14:paraId="2867CF61" w14:textId="77777777" w:rsidR="0077223B" w:rsidRPr="007A4113" w:rsidRDefault="0077223B" w:rsidP="0077223B">
            <w:pPr>
              <w:pStyle w:val="Tablesmalltext"/>
            </w:pPr>
            <w:r w:rsidRPr="007A4113">
              <w:t>Singh, M (1986) Mining Engineering Handbook. Chapter 3 Mine subsidence, Society for Mining, Metallurgy and Exploration</w:t>
            </w:r>
          </w:p>
        </w:tc>
      </w:tr>
      <w:tr w:rsidR="0077223B" w14:paraId="23FC81A1" w14:textId="77777777" w:rsidTr="0077223B">
        <w:tc>
          <w:tcPr>
            <w:tcW w:w="809" w:type="pct"/>
          </w:tcPr>
          <w:p w14:paraId="513A83C2" w14:textId="77777777" w:rsidR="0077223B" w:rsidRPr="007A4113" w:rsidRDefault="0077223B" w:rsidP="0077223B">
            <w:pPr>
              <w:pStyle w:val="Tablesmalltext"/>
            </w:pPr>
            <w:r w:rsidRPr="007A4113">
              <w:t>Environment</w:t>
            </w:r>
          </w:p>
        </w:tc>
        <w:tc>
          <w:tcPr>
            <w:tcW w:w="838" w:type="pct"/>
          </w:tcPr>
          <w:p w14:paraId="4CDD8E2E" w14:textId="77777777" w:rsidR="0077223B" w:rsidRPr="007A4113" w:rsidRDefault="0077223B" w:rsidP="0077223B">
            <w:pPr>
              <w:pStyle w:val="Tablesmalltext"/>
            </w:pPr>
            <w:r w:rsidRPr="007A4113">
              <w:t>Rivers, waterways and natural lakes</w:t>
            </w:r>
          </w:p>
        </w:tc>
        <w:tc>
          <w:tcPr>
            <w:tcW w:w="838" w:type="pct"/>
          </w:tcPr>
          <w:p w14:paraId="6AA45958" w14:textId="77777777" w:rsidR="0077223B" w:rsidRPr="007A4113" w:rsidRDefault="0077223B" w:rsidP="0077223B">
            <w:pPr>
              <w:pStyle w:val="Tablesmalltext"/>
            </w:pPr>
            <w:r w:rsidRPr="007A4113">
              <w:t>Horizontal and vertical strain</w:t>
            </w:r>
          </w:p>
        </w:tc>
        <w:tc>
          <w:tcPr>
            <w:tcW w:w="861" w:type="pct"/>
          </w:tcPr>
          <w:p w14:paraId="3E046E9E" w14:textId="063D0C16" w:rsidR="0077223B" w:rsidRPr="007A4113" w:rsidRDefault="0077223B" w:rsidP="0077223B">
            <w:pPr>
              <w:pStyle w:val="Tablesmalltext"/>
            </w:pPr>
            <w:r w:rsidRPr="007A4113">
              <w:t>Horizontal strain value of</w:t>
            </w:r>
            <w:r w:rsidR="00C5307A">
              <w:br/>
            </w:r>
            <w:r w:rsidRPr="007A4113">
              <w:t>1.0 x 10</w:t>
            </w:r>
            <w:r w:rsidRPr="007A4113">
              <w:rPr>
                <w:vertAlign w:val="superscript"/>
              </w:rPr>
              <w:t>-3</w:t>
            </w:r>
          </w:p>
        </w:tc>
        <w:tc>
          <w:tcPr>
            <w:tcW w:w="816" w:type="pct"/>
          </w:tcPr>
          <w:p w14:paraId="4B148195" w14:textId="77777777" w:rsidR="0077223B" w:rsidRPr="007A4113" w:rsidRDefault="0077223B" w:rsidP="0077223B">
            <w:pPr>
              <w:pStyle w:val="Tablesmalltext"/>
            </w:pPr>
            <w:r w:rsidRPr="007A4113">
              <w:t>Limited data available for this receptor. Metric for embankments, canals and miscellaneous structures used as guideline.</w:t>
            </w:r>
          </w:p>
          <w:p w14:paraId="6CBC1754" w14:textId="77777777" w:rsidR="0077223B" w:rsidRPr="007A4113" w:rsidRDefault="0077223B" w:rsidP="0077223B">
            <w:pPr>
              <w:pStyle w:val="Tablesmalltext"/>
            </w:pPr>
            <w:r w:rsidRPr="007A4113">
              <w:t>Unknown geotechnical related magnitudes for different flow components (low flows, freshes, high flows, overbank flows), sediment transport, changes in gradient and the timing, frequency and duration of various components unknown.</w:t>
            </w:r>
          </w:p>
        </w:tc>
        <w:tc>
          <w:tcPr>
            <w:tcW w:w="838" w:type="pct"/>
          </w:tcPr>
          <w:p w14:paraId="06D7E86E" w14:textId="77777777" w:rsidR="0077223B" w:rsidRPr="007A4113" w:rsidRDefault="0077223B" w:rsidP="0077223B">
            <w:pPr>
              <w:pStyle w:val="Tablesmalltext"/>
            </w:pPr>
            <w:r w:rsidRPr="007A4113">
              <w:t>Singh, M (1986) Mining Engineering Handbook. Chapter 3 Mine subsidence, Society for Mining, Metallurgy and Exploration</w:t>
            </w:r>
          </w:p>
        </w:tc>
      </w:tr>
      <w:tr w:rsidR="0077223B" w14:paraId="1BE2765F" w14:textId="77777777" w:rsidTr="0077223B">
        <w:tc>
          <w:tcPr>
            <w:tcW w:w="809" w:type="pct"/>
          </w:tcPr>
          <w:p w14:paraId="2905C3C6" w14:textId="77777777" w:rsidR="0077223B" w:rsidRPr="007A4113" w:rsidRDefault="0077223B" w:rsidP="0077223B">
            <w:pPr>
              <w:pStyle w:val="Tablesmalltext"/>
            </w:pPr>
          </w:p>
        </w:tc>
        <w:tc>
          <w:tcPr>
            <w:tcW w:w="838" w:type="pct"/>
          </w:tcPr>
          <w:p w14:paraId="5D3444F1" w14:textId="77777777" w:rsidR="0077223B" w:rsidRPr="007A4113" w:rsidRDefault="0077223B" w:rsidP="0077223B">
            <w:pPr>
              <w:pStyle w:val="Tablesmalltext"/>
            </w:pPr>
            <w:r w:rsidRPr="007A4113">
              <w:t>Wetlands</w:t>
            </w:r>
          </w:p>
        </w:tc>
        <w:tc>
          <w:tcPr>
            <w:tcW w:w="838" w:type="pct"/>
          </w:tcPr>
          <w:p w14:paraId="3945AC5D" w14:textId="77777777" w:rsidR="0077223B" w:rsidRPr="007C2A07" w:rsidRDefault="0077223B" w:rsidP="0077223B">
            <w:pPr>
              <w:pStyle w:val="Tablesmalltext"/>
            </w:pPr>
            <w:r w:rsidRPr="007C2A07">
              <w:t>Horizontal and vertical strain</w:t>
            </w:r>
          </w:p>
        </w:tc>
        <w:tc>
          <w:tcPr>
            <w:tcW w:w="861" w:type="pct"/>
          </w:tcPr>
          <w:p w14:paraId="40F24B52" w14:textId="7EE6A2E1" w:rsidR="0077223B" w:rsidRPr="007A4113" w:rsidRDefault="0077223B" w:rsidP="0077223B">
            <w:pPr>
              <w:pStyle w:val="Tablesmalltext"/>
            </w:pPr>
            <w:r w:rsidRPr="007A4113">
              <w:t>Horizontal strain value of</w:t>
            </w:r>
            <w:r w:rsidR="00C5307A">
              <w:br/>
            </w:r>
            <w:r w:rsidRPr="007A4113">
              <w:t>1.0 x 10</w:t>
            </w:r>
            <w:r w:rsidRPr="007A4113">
              <w:rPr>
                <w:vertAlign w:val="superscript"/>
              </w:rPr>
              <w:t>-3</w:t>
            </w:r>
          </w:p>
        </w:tc>
        <w:tc>
          <w:tcPr>
            <w:tcW w:w="816" w:type="pct"/>
          </w:tcPr>
          <w:p w14:paraId="2A4052F8" w14:textId="77777777" w:rsidR="0077223B" w:rsidRPr="007A4113" w:rsidRDefault="0077223B" w:rsidP="0077223B">
            <w:pPr>
              <w:pStyle w:val="Tablesmalltext"/>
            </w:pPr>
            <w:r w:rsidRPr="007A4113">
              <w:t>Limited data available for this receptor. Metric for embankments, canals and miscellaneous structures used as guideline.</w:t>
            </w:r>
          </w:p>
          <w:p w14:paraId="5A060886" w14:textId="77777777" w:rsidR="0077223B" w:rsidRDefault="0077223B" w:rsidP="0077223B">
            <w:pPr>
              <w:pStyle w:val="Tablesmalltext"/>
            </w:pPr>
            <w:r w:rsidRPr="007A4113">
              <w:t>Unknown geotechnical related magnitudes for different flow components (low flows, freshes, high flows, overbank flows), sediment transport, changes in gradient and the timing, frequency and duration of various components unknown.</w:t>
            </w:r>
          </w:p>
          <w:p w14:paraId="00BBC732" w14:textId="113FDCCB" w:rsidR="0054704B" w:rsidRPr="007A4113" w:rsidRDefault="0054704B" w:rsidP="0077223B">
            <w:pPr>
              <w:pStyle w:val="Tablesmalltext"/>
            </w:pPr>
          </w:p>
        </w:tc>
        <w:tc>
          <w:tcPr>
            <w:tcW w:w="838" w:type="pct"/>
          </w:tcPr>
          <w:p w14:paraId="3ED56723" w14:textId="77777777" w:rsidR="0077223B" w:rsidRPr="007A4113" w:rsidRDefault="0077223B" w:rsidP="0077223B">
            <w:pPr>
              <w:pStyle w:val="Tablesmalltext"/>
            </w:pPr>
            <w:r w:rsidRPr="007A4113">
              <w:t>Singh, M (1986) Mining Engineering Handbook. Chapter 3 Mine subsidence, Society for Mining, Metallurgy and Exploration</w:t>
            </w:r>
          </w:p>
        </w:tc>
      </w:tr>
      <w:tr w:rsidR="0077223B" w14:paraId="6F6BE51A" w14:textId="77777777" w:rsidTr="0077223B">
        <w:tc>
          <w:tcPr>
            <w:tcW w:w="809" w:type="pct"/>
            <w:vMerge w:val="restart"/>
          </w:tcPr>
          <w:p w14:paraId="59E3D27B" w14:textId="77777777" w:rsidR="0077223B" w:rsidRPr="007A4113" w:rsidRDefault="0077223B" w:rsidP="0077223B">
            <w:pPr>
              <w:pStyle w:val="Tablesmalltext"/>
            </w:pPr>
            <w:r w:rsidRPr="007A4113">
              <w:t>Infrastructure</w:t>
            </w:r>
          </w:p>
        </w:tc>
        <w:tc>
          <w:tcPr>
            <w:tcW w:w="838" w:type="pct"/>
          </w:tcPr>
          <w:p w14:paraId="140EACD3" w14:textId="77777777" w:rsidR="0077223B" w:rsidRPr="007A4113" w:rsidRDefault="0077223B" w:rsidP="0077223B">
            <w:pPr>
              <w:pStyle w:val="Tablesmalltext"/>
            </w:pPr>
            <w:r w:rsidRPr="007A4113">
              <w:t>Extractive Industry</w:t>
            </w:r>
          </w:p>
        </w:tc>
        <w:tc>
          <w:tcPr>
            <w:tcW w:w="838" w:type="pct"/>
          </w:tcPr>
          <w:p w14:paraId="1208E2F6" w14:textId="77777777" w:rsidR="0077223B" w:rsidRPr="007A4113" w:rsidRDefault="0077223B" w:rsidP="0077223B">
            <w:pPr>
              <w:pStyle w:val="Tablesmalltext"/>
            </w:pPr>
            <w:r w:rsidRPr="007A4113">
              <w:t>Resisting and driving force of open cut slopes and earthquake loading</w:t>
            </w:r>
            <w:r>
              <w:t xml:space="preserve"> including mine batter stability generally</w:t>
            </w:r>
          </w:p>
          <w:p w14:paraId="79F7B5B4" w14:textId="77777777" w:rsidR="0077223B" w:rsidRPr="007A4113" w:rsidRDefault="0077223B" w:rsidP="0077223B">
            <w:pPr>
              <w:pStyle w:val="Tablesmalltext"/>
            </w:pPr>
          </w:p>
        </w:tc>
        <w:tc>
          <w:tcPr>
            <w:tcW w:w="861" w:type="pct"/>
          </w:tcPr>
          <w:p w14:paraId="2F02BF64" w14:textId="00147DBA" w:rsidR="0077223B" w:rsidRPr="007A4113" w:rsidRDefault="0077223B" w:rsidP="0077223B">
            <w:pPr>
              <w:pStyle w:val="Tablesmalltext"/>
            </w:pPr>
            <w:r w:rsidRPr="007A4113">
              <w:t xml:space="preserve">Open Cuts see Section </w:t>
            </w:r>
            <w:r w:rsidR="00E11DBE">
              <w:t>5</w:t>
            </w:r>
            <w:r w:rsidRPr="007A4113">
              <w:t xml:space="preserve">.3, </w:t>
            </w:r>
            <w:r>
              <w:t>F</w:t>
            </w:r>
            <w:r w:rsidRPr="007A4113">
              <w:t xml:space="preserve">actor of </w:t>
            </w:r>
            <w:r>
              <w:t>S</w:t>
            </w:r>
            <w:r w:rsidRPr="007A4113">
              <w:t xml:space="preserve">afety </w:t>
            </w:r>
            <w:r>
              <w:t xml:space="preserve">(FOS) </w:t>
            </w:r>
            <w:r w:rsidRPr="007A4113">
              <w:t xml:space="preserve">and </w:t>
            </w:r>
            <w:r>
              <w:t>P</w:t>
            </w:r>
            <w:r w:rsidRPr="007A4113">
              <w:t xml:space="preserve">robability of </w:t>
            </w:r>
            <w:r>
              <w:t>F</w:t>
            </w:r>
            <w:r w:rsidRPr="007A4113">
              <w:t>ailure</w:t>
            </w:r>
            <w:r>
              <w:t xml:space="preserve"> (POF)</w:t>
            </w:r>
            <w:r w:rsidRPr="007A4113">
              <w:t>.</w:t>
            </w:r>
          </w:p>
          <w:p w14:paraId="177522B1" w14:textId="77777777" w:rsidR="0077223B" w:rsidRPr="007A4113" w:rsidRDefault="0077223B" w:rsidP="0077223B">
            <w:pPr>
              <w:pStyle w:val="Tablesmalltext"/>
            </w:pPr>
          </w:p>
        </w:tc>
        <w:tc>
          <w:tcPr>
            <w:tcW w:w="816" w:type="pct"/>
          </w:tcPr>
          <w:p w14:paraId="03C09F18" w14:textId="77777777" w:rsidR="0077223B" w:rsidRPr="007A4113" w:rsidRDefault="0077223B" w:rsidP="0077223B">
            <w:pPr>
              <w:pStyle w:val="Tablesmalltext"/>
            </w:pPr>
            <w:r w:rsidRPr="007A4113">
              <w:t>Overseen by mine operators and regulated by Earth Resources Regulations</w:t>
            </w:r>
          </w:p>
        </w:tc>
        <w:tc>
          <w:tcPr>
            <w:tcW w:w="838" w:type="pct"/>
          </w:tcPr>
          <w:p w14:paraId="0FA41771" w14:textId="77777777" w:rsidR="0077223B" w:rsidRPr="007A4113" w:rsidRDefault="0077223B" w:rsidP="0077223B">
            <w:pPr>
              <w:pStyle w:val="Tablesmalltext"/>
            </w:pPr>
            <w:r w:rsidRPr="007A4113">
              <w:t>Read, J., and Stacey, P. (2009) Guidelines for Open Pit Slope Design. CSIRO 2009</w:t>
            </w:r>
          </w:p>
          <w:p w14:paraId="2523F49D" w14:textId="77777777" w:rsidR="0077223B" w:rsidRPr="007A4113" w:rsidRDefault="0077223B" w:rsidP="0077223B">
            <w:pPr>
              <w:pStyle w:val="Tablesmalltext"/>
            </w:pPr>
            <w:r w:rsidRPr="007A4113">
              <w:t>Earth Resources (2015) Guidance Material for the Assessment of Geotechnical Risks in Open Pit Mines and Quarries</w:t>
            </w:r>
          </w:p>
        </w:tc>
      </w:tr>
      <w:tr w:rsidR="0077223B" w14:paraId="2670E64A" w14:textId="77777777" w:rsidTr="0077223B">
        <w:tc>
          <w:tcPr>
            <w:tcW w:w="809" w:type="pct"/>
            <w:vMerge/>
          </w:tcPr>
          <w:p w14:paraId="19410DE2" w14:textId="77777777" w:rsidR="0077223B" w:rsidRPr="007A4113" w:rsidRDefault="0077223B" w:rsidP="0077223B">
            <w:pPr>
              <w:pStyle w:val="Tablesmalltext"/>
            </w:pPr>
          </w:p>
        </w:tc>
        <w:tc>
          <w:tcPr>
            <w:tcW w:w="838" w:type="pct"/>
          </w:tcPr>
          <w:p w14:paraId="6FBE5F41" w14:textId="77777777" w:rsidR="0077223B" w:rsidRPr="007A4113" w:rsidRDefault="0077223B" w:rsidP="0077223B">
            <w:pPr>
              <w:pStyle w:val="Tablesmalltext"/>
            </w:pPr>
            <w:r w:rsidRPr="007A4113">
              <w:t>Electricity Transmission Network</w:t>
            </w:r>
          </w:p>
        </w:tc>
        <w:tc>
          <w:tcPr>
            <w:tcW w:w="838" w:type="pct"/>
          </w:tcPr>
          <w:p w14:paraId="75593DBE" w14:textId="77777777" w:rsidR="0077223B" w:rsidRPr="007A4113" w:rsidRDefault="0077223B" w:rsidP="0077223B">
            <w:pPr>
              <w:pStyle w:val="Tablesmalltext"/>
            </w:pPr>
            <w:r w:rsidRPr="007A4113">
              <w:t>Horizontal and vertical strain and earthquake loading</w:t>
            </w:r>
          </w:p>
        </w:tc>
        <w:tc>
          <w:tcPr>
            <w:tcW w:w="861" w:type="pct"/>
          </w:tcPr>
          <w:p w14:paraId="25708846" w14:textId="18569CDE" w:rsidR="0077223B" w:rsidRPr="007A4113" w:rsidRDefault="0077223B" w:rsidP="0077223B">
            <w:pPr>
              <w:pStyle w:val="Tablesmalltext"/>
            </w:pPr>
            <w:r w:rsidRPr="007A4113">
              <w:t>Horizontal strain value of</w:t>
            </w:r>
            <w:r w:rsidR="00C5307A">
              <w:br/>
            </w:r>
            <w:r w:rsidRPr="007A4113">
              <w:t>1.0 x 10</w:t>
            </w:r>
            <w:r w:rsidRPr="007A4113">
              <w:rPr>
                <w:vertAlign w:val="superscript"/>
              </w:rPr>
              <w:t>-3</w:t>
            </w:r>
          </w:p>
        </w:tc>
        <w:tc>
          <w:tcPr>
            <w:tcW w:w="816" w:type="pct"/>
          </w:tcPr>
          <w:p w14:paraId="6928A318" w14:textId="77777777" w:rsidR="0077223B" w:rsidRDefault="0077223B" w:rsidP="0077223B">
            <w:pPr>
              <w:pStyle w:val="Tablesmalltext"/>
            </w:pPr>
            <w:r w:rsidRPr="007A4113">
              <w:t>Damage criteria for Lattice Towers</w:t>
            </w:r>
            <w:r>
              <w:t>.</w:t>
            </w:r>
          </w:p>
          <w:p w14:paraId="5705BC5D" w14:textId="77777777" w:rsidR="0077223B" w:rsidRPr="007A4113" w:rsidRDefault="0077223B" w:rsidP="0077223B">
            <w:pPr>
              <w:pStyle w:val="Tablesmalltext"/>
            </w:pPr>
            <w:r>
              <w:t>For many individual structures the threshold has been exceeded by historical movement. This indicates the threshold for future movement and needs further assessment by the LVRRS to determine practicality</w:t>
            </w:r>
          </w:p>
        </w:tc>
        <w:tc>
          <w:tcPr>
            <w:tcW w:w="838" w:type="pct"/>
          </w:tcPr>
          <w:p w14:paraId="1218242A" w14:textId="77777777" w:rsidR="0077223B" w:rsidRPr="007A4113" w:rsidRDefault="0077223B" w:rsidP="0077223B">
            <w:pPr>
              <w:pStyle w:val="Tablesmalltext"/>
            </w:pPr>
            <w:r w:rsidRPr="007A4113">
              <w:t>Sriram Kalaga, Prasad Yenumula (2016) Design of Electrical Transmission Lines: Structures and Foundations.</w:t>
            </w:r>
          </w:p>
          <w:p w14:paraId="433013B5" w14:textId="77777777" w:rsidR="0077223B" w:rsidRPr="007A4113" w:rsidRDefault="0077223B" w:rsidP="0077223B">
            <w:pPr>
              <w:pStyle w:val="Tablesmalltext"/>
            </w:pPr>
            <w:r w:rsidRPr="007A4113">
              <w:t>Singh, M (1986) Mining Engineering Handbook. Chapter 3 Mine subsidence, Society for Mining, Metallurgy and Exploration</w:t>
            </w:r>
          </w:p>
        </w:tc>
      </w:tr>
      <w:tr w:rsidR="0077223B" w14:paraId="316F41EC" w14:textId="77777777" w:rsidTr="0077223B">
        <w:tc>
          <w:tcPr>
            <w:tcW w:w="809" w:type="pct"/>
            <w:vMerge/>
          </w:tcPr>
          <w:p w14:paraId="543F6F10" w14:textId="77777777" w:rsidR="0077223B" w:rsidRPr="007A4113" w:rsidRDefault="0077223B" w:rsidP="0077223B">
            <w:pPr>
              <w:pStyle w:val="Tablesmalltext"/>
            </w:pPr>
          </w:p>
        </w:tc>
        <w:tc>
          <w:tcPr>
            <w:tcW w:w="838" w:type="pct"/>
          </w:tcPr>
          <w:p w14:paraId="20948BE9" w14:textId="77777777" w:rsidR="0077223B" w:rsidRPr="007A4113" w:rsidRDefault="0077223B" w:rsidP="0077223B">
            <w:pPr>
              <w:pStyle w:val="Tablesmalltext"/>
            </w:pPr>
            <w:r w:rsidRPr="007A4113">
              <w:t>Gas Fired Power Generation</w:t>
            </w:r>
          </w:p>
        </w:tc>
        <w:tc>
          <w:tcPr>
            <w:tcW w:w="838" w:type="pct"/>
          </w:tcPr>
          <w:p w14:paraId="7DC82DFA" w14:textId="77777777" w:rsidR="0077223B" w:rsidRPr="007A4113" w:rsidRDefault="0077223B" w:rsidP="0077223B">
            <w:pPr>
              <w:pStyle w:val="Tablesmalltext"/>
            </w:pPr>
            <w:r w:rsidRPr="007A4113">
              <w:t>Horizontal and vertical strain and earthquake loading</w:t>
            </w:r>
          </w:p>
        </w:tc>
        <w:tc>
          <w:tcPr>
            <w:tcW w:w="861" w:type="pct"/>
          </w:tcPr>
          <w:p w14:paraId="0398C2D7" w14:textId="1C8382C7" w:rsidR="0077223B" w:rsidRPr="007A4113" w:rsidRDefault="0077223B" w:rsidP="0077223B">
            <w:pPr>
              <w:pStyle w:val="Tablesmalltext"/>
            </w:pPr>
            <w:r w:rsidRPr="007A4113">
              <w:t xml:space="preserve">See damage criteria for buildings and structure Tables </w:t>
            </w:r>
            <w:r w:rsidR="00E11DBE">
              <w:t>5</w:t>
            </w:r>
            <w:r w:rsidRPr="007A4113">
              <w:t xml:space="preserve">.7 and </w:t>
            </w:r>
            <w:r w:rsidR="00E11DBE">
              <w:t>5</w:t>
            </w:r>
            <w:r w:rsidRPr="007A4113">
              <w:t>.8.</w:t>
            </w:r>
            <w:r w:rsidR="007F3DA8">
              <w:t xml:space="preserve"> Recommend </w:t>
            </w:r>
            <w:r w:rsidR="006E3CA6">
              <w:t>“</w:t>
            </w:r>
            <w:r w:rsidR="007F3DA8">
              <w:t>architectural</w:t>
            </w:r>
            <w:r w:rsidR="006E3CA6">
              <w:t>”</w:t>
            </w:r>
            <w:r w:rsidR="007F3DA8">
              <w:t xml:space="preserve"> as investigation threshold</w:t>
            </w:r>
            <w:r w:rsidR="006E3CA6">
              <w:t>.</w:t>
            </w:r>
          </w:p>
        </w:tc>
        <w:tc>
          <w:tcPr>
            <w:tcW w:w="816" w:type="pct"/>
          </w:tcPr>
          <w:p w14:paraId="16775EB1" w14:textId="77777777" w:rsidR="0077223B" w:rsidRPr="007A4113" w:rsidRDefault="0077223B" w:rsidP="0077223B">
            <w:pPr>
              <w:pStyle w:val="Tablesmalltext"/>
            </w:pPr>
            <w:r w:rsidRPr="007A4113">
              <w:t>Damage criteria for Buildings/Structures</w:t>
            </w:r>
          </w:p>
        </w:tc>
        <w:tc>
          <w:tcPr>
            <w:tcW w:w="838" w:type="pct"/>
          </w:tcPr>
          <w:p w14:paraId="7C7862B2" w14:textId="77777777" w:rsidR="0077223B" w:rsidRPr="007A4113" w:rsidRDefault="0077223B" w:rsidP="0077223B">
            <w:pPr>
              <w:pStyle w:val="Tablesmalltext"/>
            </w:pPr>
            <w:r w:rsidRPr="007A4113">
              <w:t>Singh, M (1986) Mining Engineering Handbook. Chapter 3 Mine subsidence, Society for Mining, Metallurgy and Exploration</w:t>
            </w:r>
          </w:p>
        </w:tc>
      </w:tr>
      <w:tr w:rsidR="0077223B" w14:paraId="5CF9AAD8" w14:textId="77777777" w:rsidTr="0077223B">
        <w:tc>
          <w:tcPr>
            <w:tcW w:w="809" w:type="pct"/>
            <w:vMerge/>
          </w:tcPr>
          <w:p w14:paraId="1440CCEF" w14:textId="77777777" w:rsidR="0077223B" w:rsidRPr="007A4113" w:rsidRDefault="0077223B" w:rsidP="0077223B">
            <w:pPr>
              <w:pStyle w:val="Tablesmalltext"/>
            </w:pPr>
          </w:p>
        </w:tc>
        <w:tc>
          <w:tcPr>
            <w:tcW w:w="838" w:type="pct"/>
          </w:tcPr>
          <w:p w14:paraId="1502AA45" w14:textId="77777777" w:rsidR="0077223B" w:rsidRPr="007A4113" w:rsidRDefault="0077223B" w:rsidP="0077223B">
            <w:pPr>
              <w:pStyle w:val="Tablesmalltext"/>
            </w:pPr>
            <w:r w:rsidRPr="007A4113">
              <w:t>Road - Freeway/State maintained</w:t>
            </w:r>
          </w:p>
        </w:tc>
        <w:tc>
          <w:tcPr>
            <w:tcW w:w="838" w:type="pct"/>
          </w:tcPr>
          <w:p w14:paraId="224ACA72" w14:textId="77777777" w:rsidR="0077223B" w:rsidRPr="007A4113" w:rsidRDefault="0077223B" w:rsidP="0077223B">
            <w:pPr>
              <w:pStyle w:val="Tablesmalltext"/>
            </w:pPr>
            <w:r w:rsidRPr="007A4113">
              <w:t>Horizontal and vertical strain and earthquake loading</w:t>
            </w:r>
          </w:p>
        </w:tc>
        <w:tc>
          <w:tcPr>
            <w:tcW w:w="861" w:type="pct"/>
          </w:tcPr>
          <w:p w14:paraId="2A4545CA" w14:textId="77777777" w:rsidR="0077223B" w:rsidRPr="007A4113" w:rsidRDefault="0077223B" w:rsidP="0077223B">
            <w:pPr>
              <w:pStyle w:val="Tablesmalltext"/>
            </w:pPr>
            <w:r w:rsidRPr="007A4113">
              <w:t>Horizontal strain (architectural) = 1.0 x 10</w:t>
            </w:r>
            <w:r w:rsidRPr="007A4113">
              <w:rPr>
                <w:vertAlign w:val="superscript"/>
              </w:rPr>
              <w:t>-3</w:t>
            </w:r>
            <w:r w:rsidRPr="007A4113">
              <w:br/>
            </w:r>
            <w:r>
              <w:t>Tilt</w:t>
            </w:r>
            <w:r w:rsidRPr="007A4113">
              <w:t xml:space="preserve"> (architectural) = 5.0 x 10</w:t>
            </w:r>
            <w:r w:rsidRPr="007A4113">
              <w:rPr>
                <w:vertAlign w:val="superscript"/>
              </w:rPr>
              <w:t>-3</w:t>
            </w:r>
            <w:r w:rsidRPr="007A4113">
              <w:br/>
            </w:r>
            <w:r>
              <w:t>Tilt</w:t>
            </w:r>
            <w:r w:rsidRPr="007A4113">
              <w:t xml:space="preserve"> (functional) = 5.0 x 10</w:t>
            </w:r>
            <w:r w:rsidRPr="007A4113">
              <w:rPr>
                <w:vertAlign w:val="superscript"/>
              </w:rPr>
              <w:t>-3</w:t>
            </w:r>
            <w:r w:rsidRPr="007A4113">
              <w:br/>
            </w:r>
            <w:r>
              <w:t>Tilt</w:t>
            </w:r>
            <w:r w:rsidRPr="007A4113">
              <w:t xml:space="preserve"> (structural) = 10 x 10</w:t>
            </w:r>
            <w:r w:rsidRPr="007A4113">
              <w:rPr>
                <w:vertAlign w:val="superscript"/>
              </w:rPr>
              <w:t>-3</w:t>
            </w:r>
          </w:p>
        </w:tc>
        <w:tc>
          <w:tcPr>
            <w:tcW w:w="816" w:type="pct"/>
          </w:tcPr>
          <w:p w14:paraId="3E933013" w14:textId="1942DE1E" w:rsidR="0077223B" w:rsidRPr="007A4113" w:rsidRDefault="0077223B" w:rsidP="0077223B">
            <w:pPr>
              <w:pStyle w:val="Tablesmalltext"/>
            </w:pPr>
            <w:r w:rsidRPr="007A4113">
              <w:t xml:space="preserve">Damage criteria for Freeway/State Roads classified by VicRoads Road Management Plan (2014) (Table </w:t>
            </w:r>
            <w:r w:rsidR="00D91541">
              <w:t>5</w:t>
            </w:r>
            <w:r w:rsidRPr="007A4113">
              <w:t>.11)</w:t>
            </w:r>
          </w:p>
        </w:tc>
        <w:tc>
          <w:tcPr>
            <w:tcW w:w="838" w:type="pct"/>
          </w:tcPr>
          <w:p w14:paraId="2FA80CA4" w14:textId="77777777" w:rsidR="0077223B" w:rsidRPr="007A4113" w:rsidRDefault="0077223B" w:rsidP="0077223B">
            <w:pPr>
              <w:pStyle w:val="Tablesmalltext"/>
            </w:pPr>
            <w:r w:rsidRPr="007A4113">
              <w:t>Singh, M (1986) Mining Engineering Handbook. Chapter 3 Mine subsidence, Society for Mining, Metallurgy and Exploration</w:t>
            </w:r>
          </w:p>
        </w:tc>
      </w:tr>
      <w:tr w:rsidR="0077223B" w14:paraId="4DBAF713" w14:textId="77777777" w:rsidTr="0077223B">
        <w:tc>
          <w:tcPr>
            <w:tcW w:w="809" w:type="pct"/>
            <w:vMerge/>
          </w:tcPr>
          <w:p w14:paraId="711C144E" w14:textId="77777777" w:rsidR="0077223B" w:rsidRPr="007A4113" w:rsidRDefault="0077223B" w:rsidP="0077223B">
            <w:pPr>
              <w:pStyle w:val="Tablesmalltext"/>
            </w:pPr>
          </w:p>
        </w:tc>
        <w:tc>
          <w:tcPr>
            <w:tcW w:w="838" w:type="pct"/>
          </w:tcPr>
          <w:p w14:paraId="5D43ED7E" w14:textId="77777777" w:rsidR="0077223B" w:rsidRPr="007A4113" w:rsidRDefault="0077223B" w:rsidP="0077223B">
            <w:pPr>
              <w:pStyle w:val="Tablesmalltext"/>
            </w:pPr>
            <w:r w:rsidRPr="007A4113">
              <w:t>Road – Local Council maintained</w:t>
            </w:r>
          </w:p>
        </w:tc>
        <w:tc>
          <w:tcPr>
            <w:tcW w:w="838" w:type="pct"/>
          </w:tcPr>
          <w:p w14:paraId="11FAF00A" w14:textId="77777777" w:rsidR="0077223B" w:rsidRPr="007A4113" w:rsidRDefault="0077223B" w:rsidP="0077223B">
            <w:pPr>
              <w:pStyle w:val="Tablesmalltext"/>
            </w:pPr>
            <w:r w:rsidRPr="007A4113">
              <w:t>Horizontal and vertical strain and earthquake loading</w:t>
            </w:r>
          </w:p>
        </w:tc>
        <w:tc>
          <w:tcPr>
            <w:tcW w:w="861" w:type="pct"/>
          </w:tcPr>
          <w:p w14:paraId="62D76D5F" w14:textId="77777777" w:rsidR="0077223B" w:rsidRPr="007A4113" w:rsidRDefault="0077223B" w:rsidP="0077223B">
            <w:pPr>
              <w:pStyle w:val="Tablesmalltext"/>
            </w:pPr>
            <w:r w:rsidRPr="007A4113">
              <w:t>Horizontal strain (architectural) = 1.0 x 10</w:t>
            </w:r>
            <w:r w:rsidRPr="007A4113">
              <w:rPr>
                <w:vertAlign w:val="superscript"/>
              </w:rPr>
              <w:t>-3</w:t>
            </w:r>
            <w:r w:rsidRPr="007A4113">
              <w:br/>
            </w:r>
            <w:r>
              <w:t>Tilt</w:t>
            </w:r>
            <w:r w:rsidRPr="007A4113">
              <w:t xml:space="preserve"> (architectural) = 5.0 x 10</w:t>
            </w:r>
            <w:r w:rsidRPr="007A4113">
              <w:rPr>
                <w:vertAlign w:val="superscript"/>
              </w:rPr>
              <w:t>-3</w:t>
            </w:r>
            <w:r w:rsidRPr="007A4113">
              <w:br/>
            </w:r>
            <w:r>
              <w:t>Tilt</w:t>
            </w:r>
            <w:r w:rsidRPr="007A4113">
              <w:t xml:space="preserve"> (functional) = 5.0 x 10</w:t>
            </w:r>
            <w:r w:rsidRPr="007A4113">
              <w:rPr>
                <w:vertAlign w:val="superscript"/>
              </w:rPr>
              <w:t>-3</w:t>
            </w:r>
            <w:r w:rsidRPr="007A4113">
              <w:br/>
            </w:r>
            <w:r>
              <w:t>Tilt</w:t>
            </w:r>
            <w:r w:rsidRPr="007A4113">
              <w:t xml:space="preserve"> (structural) = 10 x 10</w:t>
            </w:r>
            <w:r w:rsidRPr="007A4113">
              <w:rPr>
                <w:vertAlign w:val="superscript"/>
              </w:rPr>
              <w:t>-3</w:t>
            </w:r>
          </w:p>
        </w:tc>
        <w:tc>
          <w:tcPr>
            <w:tcW w:w="816" w:type="pct"/>
          </w:tcPr>
          <w:p w14:paraId="7D8BC91F" w14:textId="49FFC026" w:rsidR="0077223B" w:rsidRPr="007A4113" w:rsidRDefault="0077223B" w:rsidP="0077223B">
            <w:pPr>
              <w:pStyle w:val="Tablesmalltext"/>
            </w:pPr>
            <w:r w:rsidRPr="007A4113">
              <w:t xml:space="preserve">Damage criteria for local roads and intervention levels classified by Latrobe City Council (Table </w:t>
            </w:r>
            <w:r w:rsidR="00D91541">
              <w:t>5</w:t>
            </w:r>
            <w:r w:rsidRPr="007A4113">
              <w:t>.15)</w:t>
            </w:r>
          </w:p>
        </w:tc>
        <w:tc>
          <w:tcPr>
            <w:tcW w:w="838" w:type="pct"/>
          </w:tcPr>
          <w:p w14:paraId="76AFB4E0" w14:textId="77777777" w:rsidR="0077223B" w:rsidRPr="007A4113" w:rsidRDefault="0077223B" w:rsidP="0077223B">
            <w:pPr>
              <w:pStyle w:val="Tablesmalltext"/>
            </w:pPr>
            <w:r w:rsidRPr="007A4113">
              <w:t>Singh, M (1986) Mining Engineering Handbook. Chapter 3 Mine subsidence, Society for Mining, Metallurgy and Exploration</w:t>
            </w:r>
          </w:p>
        </w:tc>
      </w:tr>
      <w:tr w:rsidR="0077223B" w14:paraId="0E99B763" w14:textId="77777777" w:rsidTr="0077223B">
        <w:tc>
          <w:tcPr>
            <w:tcW w:w="809" w:type="pct"/>
            <w:vMerge/>
          </w:tcPr>
          <w:p w14:paraId="18A57DEE" w14:textId="77777777" w:rsidR="0077223B" w:rsidRPr="007A4113" w:rsidRDefault="0077223B" w:rsidP="0077223B">
            <w:pPr>
              <w:pStyle w:val="Tablesmalltext"/>
            </w:pPr>
          </w:p>
        </w:tc>
        <w:tc>
          <w:tcPr>
            <w:tcW w:w="838" w:type="pct"/>
          </w:tcPr>
          <w:p w14:paraId="1FDCC7C3" w14:textId="77777777" w:rsidR="0077223B" w:rsidRPr="007A4113" w:rsidRDefault="0077223B" w:rsidP="0077223B">
            <w:pPr>
              <w:pStyle w:val="Tablesmalltext"/>
            </w:pPr>
            <w:r w:rsidRPr="007A4113">
              <w:t>Pipelines</w:t>
            </w:r>
          </w:p>
        </w:tc>
        <w:tc>
          <w:tcPr>
            <w:tcW w:w="838" w:type="pct"/>
          </w:tcPr>
          <w:p w14:paraId="73E8556F" w14:textId="77777777" w:rsidR="0077223B" w:rsidRPr="007A4113" w:rsidRDefault="0077223B" w:rsidP="0077223B">
            <w:pPr>
              <w:pStyle w:val="Tablesmalltext"/>
            </w:pPr>
            <w:r w:rsidRPr="007A4113">
              <w:t>Strain along pipe lengths or excessive distortion a the joint or both and earthquake loading</w:t>
            </w:r>
          </w:p>
        </w:tc>
        <w:tc>
          <w:tcPr>
            <w:tcW w:w="861" w:type="pct"/>
          </w:tcPr>
          <w:p w14:paraId="33227C1C" w14:textId="77777777" w:rsidR="0077223B" w:rsidRPr="007A4113" w:rsidRDefault="0077223B" w:rsidP="0077223B">
            <w:pPr>
              <w:pStyle w:val="Tablesmalltext"/>
            </w:pPr>
            <w:r w:rsidRPr="007A4113">
              <w:t>For pipe in ground, cast iron pipe with lead-caulked joints</w:t>
            </w:r>
          </w:p>
          <w:p w14:paraId="4D001085" w14:textId="77777777" w:rsidR="0077223B" w:rsidRPr="007A4113" w:rsidRDefault="0077223B" w:rsidP="0077223B">
            <w:pPr>
              <w:pStyle w:val="Tablesmalltext"/>
              <w:rPr>
                <w:vertAlign w:val="superscript"/>
              </w:rPr>
            </w:pPr>
            <w:r w:rsidRPr="007A4113">
              <w:t>Angular distortion = 4.0 x 10</w:t>
            </w:r>
            <w:r w:rsidRPr="007A4113">
              <w:rPr>
                <w:vertAlign w:val="superscript"/>
              </w:rPr>
              <w:t>-3</w:t>
            </w:r>
            <w:r w:rsidRPr="007A4113">
              <w:rPr>
                <w:vertAlign w:val="superscript"/>
              </w:rPr>
              <w:br/>
            </w:r>
            <w:r w:rsidRPr="007A4113">
              <w:t>Horizontal strain = 1.0 x 10</w:t>
            </w:r>
            <w:r w:rsidRPr="007A4113">
              <w:rPr>
                <w:vertAlign w:val="superscript"/>
              </w:rPr>
              <w:t>-3</w:t>
            </w:r>
          </w:p>
        </w:tc>
        <w:tc>
          <w:tcPr>
            <w:tcW w:w="816" w:type="pct"/>
          </w:tcPr>
          <w:p w14:paraId="168689B2" w14:textId="77777777" w:rsidR="0077223B" w:rsidRPr="007A4113" w:rsidRDefault="0077223B" w:rsidP="0077223B">
            <w:pPr>
              <w:pStyle w:val="Tablesmalltext"/>
            </w:pPr>
            <w:r w:rsidRPr="007A4113">
              <w:t>Damage criteria for Pipelines described for two basic damage levels (1) interruption of use (2) failure or loss of use</w:t>
            </w:r>
          </w:p>
        </w:tc>
        <w:tc>
          <w:tcPr>
            <w:tcW w:w="838" w:type="pct"/>
          </w:tcPr>
          <w:p w14:paraId="425D412A" w14:textId="77777777" w:rsidR="0077223B" w:rsidRPr="007A4113" w:rsidRDefault="0077223B" w:rsidP="0077223B">
            <w:pPr>
              <w:pStyle w:val="Tablesmalltext"/>
            </w:pPr>
            <w:r w:rsidRPr="007A4113">
              <w:t>Singh, M (1986) Mining Engineering Handbook. Chapter 3 Mine subsidence, Society for Mining, Metallurgy and Exploration</w:t>
            </w:r>
          </w:p>
        </w:tc>
      </w:tr>
      <w:tr w:rsidR="0077223B" w14:paraId="3E4F910F" w14:textId="77777777" w:rsidTr="0077223B">
        <w:tc>
          <w:tcPr>
            <w:tcW w:w="809" w:type="pct"/>
            <w:vMerge/>
          </w:tcPr>
          <w:p w14:paraId="3A1CFD40" w14:textId="77777777" w:rsidR="0077223B" w:rsidRPr="007A4113" w:rsidRDefault="0077223B" w:rsidP="0077223B">
            <w:pPr>
              <w:pStyle w:val="Tablesmalltext"/>
            </w:pPr>
          </w:p>
        </w:tc>
        <w:tc>
          <w:tcPr>
            <w:tcW w:w="838" w:type="pct"/>
          </w:tcPr>
          <w:p w14:paraId="052C4124" w14:textId="77777777" w:rsidR="0077223B" w:rsidRPr="007A4113" w:rsidRDefault="0077223B" w:rsidP="0077223B">
            <w:pPr>
              <w:pStyle w:val="Tablesmalltext"/>
            </w:pPr>
            <w:r w:rsidRPr="007A4113">
              <w:t>Rail</w:t>
            </w:r>
          </w:p>
        </w:tc>
        <w:tc>
          <w:tcPr>
            <w:tcW w:w="838" w:type="pct"/>
          </w:tcPr>
          <w:p w14:paraId="0DCBC119" w14:textId="77777777" w:rsidR="0077223B" w:rsidRPr="007A4113" w:rsidRDefault="0077223B" w:rsidP="0077223B">
            <w:pPr>
              <w:pStyle w:val="Tablesmalltext"/>
            </w:pPr>
            <w:r w:rsidRPr="007A4113">
              <w:t>Horizontal and vertical strain and earthquake loading</w:t>
            </w:r>
          </w:p>
        </w:tc>
        <w:tc>
          <w:tcPr>
            <w:tcW w:w="861" w:type="pct"/>
          </w:tcPr>
          <w:p w14:paraId="5CBB8657" w14:textId="77777777" w:rsidR="0077223B" w:rsidRPr="007A4113" w:rsidRDefault="0077223B" w:rsidP="0077223B">
            <w:pPr>
              <w:pStyle w:val="Tablesmalltext"/>
              <w:rPr>
                <w:vertAlign w:val="superscript"/>
              </w:rPr>
            </w:pPr>
            <w:r w:rsidRPr="007A4113">
              <w:t>Horizontal strain = 2.0 x 10</w:t>
            </w:r>
            <w:r w:rsidRPr="007A4113">
              <w:rPr>
                <w:vertAlign w:val="superscript"/>
              </w:rPr>
              <w:t>-3</w:t>
            </w:r>
          </w:p>
          <w:p w14:paraId="211DA288" w14:textId="77777777" w:rsidR="0077223B" w:rsidRPr="007A4113" w:rsidRDefault="0077223B" w:rsidP="0077223B">
            <w:pPr>
              <w:pStyle w:val="Tablesmalltext"/>
            </w:pPr>
            <w:r w:rsidRPr="007A4113">
              <w:t>Undulations/slope strain = 10.0 x 10</w:t>
            </w:r>
            <w:r w:rsidRPr="007A4113">
              <w:rPr>
                <w:vertAlign w:val="superscript"/>
              </w:rPr>
              <w:t>-3</w:t>
            </w:r>
            <w:r w:rsidRPr="007A4113">
              <w:t xml:space="preserve"> (maximum permissible track gradient specified by design)</w:t>
            </w:r>
          </w:p>
        </w:tc>
        <w:tc>
          <w:tcPr>
            <w:tcW w:w="816" w:type="pct"/>
          </w:tcPr>
          <w:p w14:paraId="08F0F69A" w14:textId="77777777" w:rsidR="0077223B" w:rsidRPr="007A4113" w:rsidRDefault="0077223B" w:rsidP="0077223B">
            <w:pPr>
              <w:pStyle w:val="Tablesmalltext"/>
            </w:pPr>
            <w:r w:rsidRPr="007A4113">
              <w:t>Damage criteria for Railroads may be classified in terms of interruption of use or failure</w:t>
            </w:r>
          </w:p>
        </w:tc>
        <w:tc>
          <w:tcPr>
            <w:tcW w:w="838" w:type="pct"/>
          </w:tcPr>
          <w:p w14:paraId="1F313875" w14:textId="77777777" w:rsidR="0077223B" w:rsidRPr="007A4113" w:rsidRDefault="0077223B" w:rsidP="0077223B">
            <w:pPr>
              <w:pStyle w:val="Tablesmalltext"/>
            </w:pPr>
            <w:r w:rsidRPr="007A4113">
              <w:t>Singh, M (1986) Mining Engineering Handbook. Chapter 3 Mine subsidence, Society for Mining, Metallurgy and Exploration</w:t>
            </w:r>
          </w:p>
        </w:tc>
      </w:tr>
      <w:tr w:rsidR="0077223B" w14:paraId="307C0441" w14:textId="77777777" w:rsidTr="0077223B">
        <w:tc>
          <w:tcPr>
            <w:tcW w:w="809" w:type="pct"/>
            <w:vMerge/>
          </w:tcPr>
          <w:p w14:paraId="0D7CBAE7" w14:textId="77777777" w:rsidR="0077223B" w:rsidRPr="007A4113" w:rsidRDefault="0077223B" w:rsidP="0077223B">
            <w:pPr>
              <w:pStyle w:val="Tablesmalltext"/>
            </w:pPr>
          </w:p>
        </w:tc>
        <w:tc>
          <w:tcPr>
            <w:tcW w:w="838" w:type="pct"/>
          </w:tcPr>
          <w:p w14:paraId="051AEA37" w14:textId="77777777" w:rsidR="0077223B" w:rsidRPr="007A4113" w:rsidRDefault="0077223B" w:rsidP="0077223B">
            <w:pPr>
              <w:pStyle w:val="Tablesmalltext"/>
            </w:pPr>
            <w:r w:rsidRPr="007A4113">
              <w:t>Telecommunications</w:t>
            </w:r>
          </w:p>
        </w:tc>
        <w:tc>
          <w:tcPr>
            <w:tcW w:w="838" w:type="pct"/>
          </w:tcPr>
          <w:p w14:paraId="7497FF97" w14:textId="77777777" w:rsidR="0077223B" w:rsidRPr="007A4113" w:rsidRDefault="0077223B" w:rsidP="0077223B">
            <w:pPr>
              <w:pStyle w:val="Tablesmalltext"/>
            </w:pPr>
            <w:r w:rsidRPr="007A4113">
              <w:t>Horizontal and vertical strain and earthquake loading</w:t>
            </w:r>
          </w:p>
        </w:tc>
        <w:tc>
          <w:tcPr>
            <w:tcW w:w="861" w:type="pct"/>
          </w:tcPr>
          <w:p w14:paraId="06354C3B" w14:textId="77777777" w:rsidR="0077223B" w:rsidRPr="007A4113" w:rsidRDefault="0077223B" w:rsidP="0077223B">
            <w:pPr>
              <w:pStyle w:val="Tablesmalltext"/>
            </w:pPr>
            <w:r w:rsidRPr="007A4113">
              <w:t>Telecommunication Towers -</w:t>
            </w:r>
            <w:r w:rsidRPr="00D91541">
              <w:t>Settlement and rebound of up to 1-2mm/year.</w:t>
            </w:r>
          </w:p>
          <w:p w14:paraId="45BA1706" w14:textId="0F70486A" w:rsidR="0077223B" w:rsidRPr="007A4113" w:rsidRDefault="0077223B" w:rsidP="0077223B">
            <w:pPr>
              <w:pStyle w:val="Tablesmalltext"/>
              <w:rPr>
                <w:vertAlign w:val="superscript"/>
              </w:rPr>
            </w:pPr>
            <w:r w:rsidRPr="007A4113">
              <w:t>Horizontal strain value of</w:t>
            </w:r>
            <w:r w:rsidR="00C5307A">
              <w:br/>
            </w:r>
            <w:r w:rsidRPr="007A4113">
              <w:t>1.0 x 10</w:t>
            </w:r>
            <w:r w:rsidRPr="007A4113">
              <w:rPr>
                <w:vertAlign w:val="superscript"/>
              </w:rPr>
              <w:t>-3</w:t>
            </w:r>
          </w:p>
          <w:p w14:paraId="0F1225BD" w14:textId="77777777" w:rsidR="0077223B" w:rsidRPr="007A4113" w:rsidRDefault="0077223B" w:rsidP="0077223B">
            <w:pPr>
              <w:pStyle w:val="Tablesmalltext"/>
            </w:pPr>
            <w:r w:rsidRPr="007A4113">
              <w:t>In ground, cast iron pipe with lead-caulked joints</w:t>
            </w:r>
          </w:p>
          <w:p w14:paraId="463E6DFF" w14:textId="77777777" w:rsidR="0077223B" w:rsidRPr="007A4113" w:rsidRDefault="0077223B" w:rsidP="0077223B">
            <w:pPr>
              <w:pStyle w:val="Tablesmalltext"/>
            </w:pPr>
            <w:r w:rsidRPr="007A4113">
              <w:t>Angular distortion = 4.0 x 10</w:t>
            </w:r>
            <w:r w:rsidRPr="007A4113">
              <w:rPr>
                <w:vertAlign w:val="superscript"/>
              </w:rPr>
              <w:t>-3</w:t>
            </w:r>
            <w:r w:rsidRPr="007A4113">
              <w:rPr>
                <w:vertAlign w:val="superscript"/>
              </w:rPr>
              <w:br/>
            </w:r>
            <w:r w:rsidRPr="007A4113">
              <w:t>Horizontal strain = 1.0 x 10</w:t>
            </w:r>
            <w:r w:rsidRPr="007A4113">
              <w:rPr>
                <w:vertAlign w:val="superscript"/>
              </w:rPr>
              <w:t>-3</w:t>
            </w:r>
          </w:p>
        </w:tc>
        <w:tc>
          <w:tcPr>
            <w:tcW w:w="816" w:type="pct"/>
          </w:tcPr>
          <w:p w14:paraId="640E9B2A" w14:textId="77777777" w:rsidR="0077223B" w:rsidRDefault="0077223B" w:rsidP="0077223B">
            <w:pPr>
              <w:pStyle w:val="Tablesmalltext"/>
            </w:pPr>
            <w:r w:rsidRPr="007A4113">
              <w:t>Damage criteria for Telecommunications described for two basic damage levels (1) interruption of use (2) failure or loss of use</w:t>
            </w:r>
            <w:r>
              <w:t xml:space="preserve">. </w:t>
            </w:r>
          </w:p>
          <w:p w14:paraId="1F6377B2" w14:textId="77777777" w:rsidR="0077223B" w:rsidRPr="007A4113" w:rsidRDefault="0077223B" w:rsidP="0077223B">
            <w:pPr>
              <w:pStyle w:val="Tablesmalltext"/>
            </w:pPr>
            <w:r>
              <w:t>For many individual structures the threshold has been exceeded by historical movement. This indicates the threshold for future movement and needs further assessment by the LVRRS to determine practicality</w:t>
            </w:r>
          </w:p>
        </w:tc>
        <w:tc>
          <w:tcPr>
            <w:tcW w:w="838" w:type="pct"/>
          </w:tcPr>
          <w:p w14:paraId="45F3AE8C" w14:textId="77777777" w:rsidR="0077223B" w:rsidRPr="007A4113" w:rsidRDefault="0077223B" w:rsidP="0077223B">
            <w:pPr>
              <w:pStyle w:val="Tablesmalltext"/>
            </w:pPr>
            <w:r w:rsidRPr="007A4113">
              <w:t>Singh, M (1986) Mining Engineering Handbook. Chapter 3 Mine subsidence, Society for Mining, Metallurgy and Exploration</w:t>
            </w:r>
          </w:p>
        </w:tc>
      </w:tr>
      <w:tr w:rsidR="0077223B" w14:paraId="4B1A5463" w14:textId="77777777" w:rsidTr="0077223B">
        <w:tc>
          <w:tcPr>
            <w:tcW w:w="809" w:type="pct"/>
            <w:vMerge/>
          </w:tcPr>
          <w:p w14:paraId="20BC11D3" w14:textId="77777777" w:rsidR="0077223B" w:rsidRPr="007A4113" w:rsidRDefault="0077223B" w:rsidP="0077223B">
            <w:pPr>
              <w:pStyle w:val="Tablesmalltext"/>
            </w:pPr>
          </w:p>
        </w:tc>
        <w:tc>
          <w:tcPr>
            <w:tcW w:w="838" w:type="pct"/>
          </w:tcPr>
          <w:p w14:paraId="6A0487D1" w14:textId="77777777" w:rsidR="0077223B" w:rsidRPr="007A4113" w:rsidRDefault="0077223B" w:rsidP="0077223B">
            <w:pPr>
              <w:pStyle w:val="Tablesmalltext"/>
            </w:pPr>
            <w:r w:rsidRPr="007A4113">
              <w:t>Bridges</w:t>
            </w:r>
          </w:p>
        </w:tc>
        <w:tc>
          <w:tcPr>
            <w:tcW w:w="838" w:type="pct"/>
          </w:tcPr>
          <w:p w14:paraId="4ADB57A8" w14:textId="77777777" w:rsidR="0077223B" w:rsidRPr="007A4113" w:rsidRDefault="0077223B" w:rsidP="0077223B">
            <w:pPr>
              <w:pStyle w:val="Tablesmalltext"/>
            </w:pPr>
            <w:r w:rsidRPr="007A4113">
              <w:t>Horizontal and vertical strain and earthquake loading</w:t>
            </w:r>
          </w:p>
        </w:tc>
        <w:tc>
          <w:tcPr>
            <w:tcW w:w="861" w:type="pct"/>
          </w:tcPr>
          <w:p w14:paraId="5BBEB619" w14:textId="131D55CC" w:rsidR="0077223B" w:rsidRPr="007A4113" w:rsidRDefault="0077223B" w:rsidP="0077223B">
            <w:pPr>
              <w:pStyle w:val="Tablesmalltext"/>
            </w:pPr>
            <w:r w:rsidRPr="007A4113">
              <w:t>Angular distortion (architectural) strain =</w:t>
            </w:r>
            <w:r w:rsidR="00C5307A">
              <w:br/>
            </w:r>
            <w:r w:rsidRPr="007A4113">
              <w:t>1.0 x 10</w:t>
            </w:r>
            <w:r w:rsidRPr="007A4113">
              <w:rPr>
                <w:vertAlign w:val="superscript"/>
              </w:rPr>
              <w:t>-3</w:t>
            </w:r>
            <w:r w:rsidRPr="007A4113">
              <w:br/>
              <w:t>Differential settlement (architectural) = 25 mm</w:t>
            </w:r>
            <w:r w:rsidRPr="007A4113">
              <w:br/>
              <w:t>Angular distortion (functional) strain = 3.0 x 10</w:t>
            </w:r>
            <w:r w:rsidRPr="007A4113">
              <w:rPr>
                <w:vertAlign w:val="superscript"/>
              </w:rPr>
              <w:t>-3</w:t>
            </w:r>
            <w:r w:rsidRPr="007A4113">
              <w:br/>
              <w:t>Differential settlement (functional) = 50 mm</w:t>
            </w:r>
            <w:r w:rsidRPr="007A4113">
              <w:br/>
              <w:t>Horizontal movement (Architectural) = 25 mm</w:t>
            </w:r>
          </w:p>
        </w:tc>
        <w:tc>
          <w:tcPr>
            <w:tcW w:w="816" w:type="pct"/>
          </w:tcPr>
          <w:p w14:paraId="3E5CD6C4" w14:textId="77777777" w:rsidR="0077223B" w:rsidRPr="007A4113" w:rsidRDefault="0077223B" w:rsidP="0077223B">
            <w:pPr>
              <w:pStyle w:val="Tablesmalltext"/>
            </w:pPr>
            <w:r w:rsidRPr="007A4113">
              <w:t>Damage criteria for Highway Bridges</w:t>
            </w:r>
          </w:p>
        </w:tc>
        <w:tc>
          <w:tcPr>
            <w:tcW w:w="838" w:type="pct"/>
          </w:tcPr>
          <w:p w14:paraId="0AA7F672" w14:textId="77777777" w:rsidR="0077223B" w:rsidRPr="007A4113" w:rsidRDefault="0077223B" w:rsidP="0077223B">
            <w:pPr>
              <w:pStyle w:val="Tablesmalltext"/>
            </w:pPr>
            <w:r w:rsidRPr="007A4113">
              <w:t>Bridge Design Guidelines</w:t>
            </w:r>
            <w:r w:rsidRPr="007A4113">
              <w:rPr>
                <w:rStyle w:val="FootnoteReference"/>
              </w:rPr>
              <w:footnoteReference w:id="4"/>
            </w:r>
            <w:r>
              <w:t xml:space="preserve"> for earthquake loading</w:t>
            </w:r>
          </w:p>
          <w:p w14:paraId="68A633B3" w14:textId="77777777" w:rsidR="0077223B" w:rsidRPr="007A4113" w:rsidRDefault="0077223B" w:rsidP="0077223B">
            <w:pPr>
              <w:pStyle w:val="Tablesmalltext"/>
            </w:pPr>
            <w:r w:rsidRPr="007A4113">
              <w:t>Singh, M (1986) Mining Engineering Handbook. Chapter 3 Mine subsidence, Society for Mining, Metallurgy and Exploration</w:t>
            </w:r>
            <w:r>
              <w:t xml:space="preserve"> for other ground movements</w:t>
            </w:r>
          </w:p>
        </w:tc>
      </w:tr>
      <w:tr w:rsidR="0077223B" w14:paraId="7CF7272B" w14:textId="77777777" w:rsidTr="0077223B">
        <w:tc>
          <w:tcPr>
            <w:tcW w:w="809" w:type="pct"/>
          </w:tcPr>
          <w:p w14:paraId="4C242531" w14:textId="77777777" w:rsidR="0077223B" w:rsidRPr="007A4113" w:rsidRDefault="0077223B" w:rsidP="0077223B">
            <w:pPr>
              <w:pStyle w:val="Tablesmalltext"/>
            </w:pPr>
            <w:r w:rsidRPr="007A4113">
              <w:t>Land</w:t>
            </w:r>
          </w:p>
        </w:tc>
        <w:tc>
          <w:tcPr>
            <w:tcW w:w="838" w:type="pct"/>
          </w:tcPr>
          <w:p w14:paraId="21B3B0BA" w14:textId="77777777" w:rsidR="0077223B" w:rsidRPr="007A4113" w:rsidRDefault="0077223B" w:rsidP="0077223B">
            <w:pPr>
              <w:pStyle w:val="Tablesmalltext"/>
            </w:pPr>
            <w:r w:rsidRPr="007A4113">
              <w:t>Townships/Settlements</w:t>
            </w:r>
          </w:p>
        </w:tc>
        <w:tc>
          <w:tcPr>
            <w:tcW w:w="838" w:type="pct"/>
          </w:tcPr>
          <w:p w14:paraId="058FA6F1" w14:textId="77777777" w:rsidR="0077223B" w:rsidRPr="007A4113" w:rsidRDefault="0077223B" w:rsidP="0077223B">
            <w:pPr>
              <w:pStyle w:val="Tablesmalltext"/>
            </w:pPr>
            <w:r w:rsidRPr="007A4113">
              <w:t>Horizontal and vertical strain and earthquake loading</w:t>
            </w:r>
          </w:p>
        </w:tc>
        <w:tc>
          <w:tcPr>
            <w:tcW w:w="861" w:type="pct"/>
          </w:tcPr>
          <w:p w14:paraId="73041715" w14:textId="6827472D" w:rsidR="0077223B" w:rsidRPr="007A4113" w:rsidRDefault="0077223B" w:rsidP="0077223B">
            <w:pPr>
              <w:pStyle w:val="Tablesmalltext"/>
            </w:pPr>
            <w:r w:rsidRPr="007A4113">
              <w:t xml:space="preserve">Dependant on structure type. See damage criteria for buildings and structure Tables </w:t>
            </w:r>
            <w:r w:rsidR="00D91541">
              <w:t>5</w:t>
            </w:r>
            <w:r w:rsidRPr="007A4113">
              <w:t xml:space="preserve">.7 and </w:t>
            </w:r>
            <w:r w:rsidR="00D91541">
              <w:t>5</w:t>
            </w:r>
            <w:r w:rsidRPr="007A4113">
              <w:t>.8.</w:t>
            </w:r>
            <w:r w:rsidR="0081194D">
              <w:t xml:space="preserve"> Recommended earthquake severity </w:t>
            </w:r>
            <w:r w:rsidR="00702F59">
              <w:t>level VI</w:t>
            </w:r>
          </w:p>
        </w:tc>
        <w:tc>
          <w:tcPr>
            <w:tcW w:w="816" w:type="pct"/>
          </w:tcPr>
          <w:p w14:paraId="7EF66EEB" w14:textId="77777777" w:rsidR="0077223B" w:rsidRPr="007A4113" w:rsidRDefault="0077223B" w:rsidP="0077223B">
            <w:pPr>
              <w:pStyle w:val="Tablesmalltext"/>
            </w:pPr>
            <w:r w:rsidRPr="007A4113">
              <w:t>Infrastructure thresholds are a guideline due to unknown construction and age of heritage buildings and structures, i.e. these may not conform to current Australian building standards.</w:t>
            </w:r>
          </w:p>
        </w:tc>
        <w:tc>
          <w:tcPr>
            <w:tcW w:w="838" w:type="pct"/>
          </w:tcPr>
          <w:p w14:paraId="4F0A3BF6" w14:textId="77777777" w:rsidR="0077223B" w:rsidRPr="007A4113" w:rsidRDefault="0077223B" w:rsidP="0077223B">
            <w:pPr>
              <w:pStyle w:val="Tablesmalltext"/>
            </w:pPr>
            <w:r w:rsidRPr="007A4113">
              <w:t>Earth Resources (2015) Guidance Material for the Assessment of Geotechnical Risks in Open Pit Mines and Quarries</w:t>
            </w:r>
          </w:p>
          <w:p w14:paraId="56AB1951" w14:textId="77777777" w:rsidR="0077223B" w:rsidRPr="007A4113" w:rsidRDefault="0077223B" w:rsidP="0077223B">
            <w:pPr>
              <w:pStyle w:val="Tablesmalltext"/>
            </w:pPr>
            <w:r w:rsidRPr="007A4113">
              <w:t>Singh, M (1986) Mining Engineering Handbook. Chapter 3 Mine subsidence, Society for Mining, Metallurgy and Exploration</w:t>
            </w:r>
          </w:p>
        </w:tc>
      </w:tr>
      <w:tr w:rsidR="0077223B" w14:paraId="1C870F21" w14:textId="77777777" w:rsidTr="0077223B">
        <w:tc>
          <w:tcPr>
            <w:tcW w:w="809" w:type="pct"/>
          </w:tcPr>
          <w:p w14:paraId="30A6884B" w14:textId="77777777" w:rsidR="0077223B" w:rsidRPr="007A4113" w:rsidRDefault="0077223B" w:rsidP="0077223B">
            <w:pPr>
              <w:pStyle w:val="Tablesmalltext"/>
            </w:pPr>
            <w:r w:rsidRPr="007A4113">
              <w:t>Water</w:t>
            </w:r>
          </w:p>
        </w:tc>
        <w:tc>
          <w:tcPr>
            <w:tcW w:w="838" w:type="pct"/>
          </w:tcPr>
          <w:p w14:paraId="7FC77FD5" w14:textId="77777777" w:rsidR="0077223B" w:rsidRPr="007A4113" w:rsidRDefault="0077223B" w:rsidP="0077223B">
            <w:pPr>
              <w:pStyle w:val="Tablesmalltext"/>
            </w:pPr>
            <w:r w:rsidRPr="007A4113">
              <w:t xml:space="preserve">Dams, artificial lakes, and reservoirs </w:t>
            </w:r>
            <w:r>
              <w:t>where ground movement may affect the associated impoundment structures or other infrastructure</w:t>
            </w:r>
          </w:p>
        </w:tc>
        <w:tc>
          <w:tcPr>
            <w:tcW w:w="838" w:type="pct"/>
          </w:tcPr>
          <w:p w14:paraId="237FFF5F" w14:textId="77777777" w:rsidR="0077223B" w:rsidRPr="007A4113" w:rsidRDefault="0077223B" w:rsidP="0077223B">
            <w:pPr>
              <w:pStyle w:val="Tablesmalltext"/>
            </w:pPr>
            <w:r w:rsidRPr="007A4113">
              <w:t>Horizontal and vertical strain and earthquake loading</w:t>
            </w:r>
            <w:r>
              <w:t>, strain resulting from subsidence/rebound</w:t>
            </w:r>
          </w:p>
        </w:tc>
        <w:tc>
          <w:tcPr>
            <w:tcW w:w="861" w:type="pct"/>
          </w:tcPr>
          <w:p w14:paraId="0074B60F" w14:textId="77777777" w:rsidR="0077223B" w:rsidRPr="007A4113" w:rsidRDefault="0077223B" w:rsidP="0077223B">
            <w:pPr>
              <w:pStyle w:val="Tablesmalltext"/>
            </w:pPr>
            <w:r w:rsidRPr="007A4113">
              <w:t>Horizontal strain 1.0 x 10</w:t>
            </w:r>
            <w:r w:rsidRPr="007A4113">
              <w:rPr>
                <w:vertAlign w:val="superscript"/>
              </w:rPr>
              <w:t>-3</w:t>
            </w:r>
          </w:p>
        </w:tc>
        <w:tc>
          <w:tcPr>
            <w:tcW w:w="816" w:type="pct"/>
          </w:tcPr>
          <w:p w14:paraId="1879090F" w14:textId="77777777" w:rsidR="0077223B" w:rsidRPr="007A4113" w:rsidRDefault="0077223B" w:rsidP="0077223B">
            <w:pPr>
              <w:pStyle w:val="Tablesmalltext"/>
            </w:pPr>
            <w:r w:rsidRPr="007A4113">
              <w:t>Limited data available for these surface structures</w:t>
            </w:r>
          </w:p>
        </w:tc>
        <w:tc>
          <w:tcPr>
            <w:tcW w:w="838" w:type="pct"/>
          </w:tcPr>
          <w:p w14:paraId="765D5359" w14:textId="77777777" w:rsidR="0077223B" w:rsidRPr="007A4113" w:rsidRDefault="0077223B" w:rsidP="0077223B">
            <w:pPr>
              <w:pStyle w:val="Tablesmalltext"/>
            </w:pPr>
            <w:r w:rsidRPr="007A4113">
              <w:t>Nishida, T and Goto, K (1969) Damage to Irrigation Pond Due to Mining Subsidence. Proceedings International Symposium on Land Subsidence, ATHS Pub 89, Japan pp.496-501</w:t>
            </w:r>
          </w:p>
          <w:p w14:paraId="75536CEF" w14:textId="77777777" w:rsidR="0077223B" w:rsidRPr="007A4113" w:rsidRDefault="0077223B" w:rsidP="0077223B">
            <w:pPr>
              <w:pStyle w:val="Tablesmalltext"/>
            </w:pPr>
            <w:r w:rsidRPr="007A4113">
              <w:t>Lackington, D.W and Robinson, B. (1973) Articulated Service Reservoirs in Mining Subsidence Areas. Journal of the Institution of Water Engineers, Vol 27 pp. 197-215</w:t>
            </w:r>
          </w:p>
        </w:tc>
      </w:tr>
      <w:tr w:rsidR="0077223B" w14:paraId="315511FC" w14:textId="77777777" w:rsidTr="0077223B">
        <w:tc>
          <w:tcPr>
            <w:tcW w:w="809" w:type="pct"/>
          </w:tcPr>
          <w:p w14:paraId="045C13AC" w14:textId="77777777" w:rsidR="0077223B" w:rsidRPr="007A4113" w:rsidRDefault="0077223B" w:rsidP="0077223B">
            <w:pPr>
              <w:pStyle w:val="Tablesmalltext"/>
            </w:pPr>
          </w:p>
        </w:tc>
        <w:tc>
          <w:tcPr>
            <w:tcW w:w="838" w:type="pct"/>
          </w:tcPr>
          <w:p w14:paraId="5B6B672E" w14:textId="2AA8871B" w:rsidR="0077223B" w:rsidRPr="007A4113" w:rsidRDefault="0077223B" w:rsidP="0077223B">
            <w:pPr>
              <w:pStyle w:val="Tablesmalltext"/>
            </w:pPr>
            <w:r w:rsidRPr="007A4113">
              <w:t xml:space="preserve">Drains </w:t>
            </w:r>
          </w:p>
        </w:tc>
        <w:tc>
          <w:tcPr>
            <w:tcW w:w="838" w:type="pct"/>
          </w:tcPr>
          <w:p w14:paraId="4262244E" w14:textId="77777777" w:rsidR="0077223B" w:rsidRPr="007A4113" w:rsidRDefault="0077223B" w:rsidP="0077223B">
            <w:pPr>
              <w:pStyle w:val="Tablesmalltext"/>
            </w:pPr>
            <w:r w:rsidRPr="007A4113">
              <w:t>Horizontal and vertical strain and earthquake loading</w:t>
            </w:r>
          </w:p>
        </w:tc>
        <w:tc>
          <w:tcPr>
            <w:tcW w:w="861" w:type="pct"/>
          </w:tcPr>
          <w:p w14:paraId="4A17A0F2" w14:textId="77777777" w:rsidR="0077223B" w:rsidRPr="007A4113" w:rsidRDefault="0077223B" w:rsidP="0077223B">
            <w:pPr>
              <w:pStyle w:val="Tablesmalltext"/>
            </w:pPr>
            <w:r w:rsidRPr="007A4113">
              <w:t>Horizontal strain 1.0 x 10</w:t>
            </w:r>
            <w:r w:rsidRPr="007A4113">
              <w:rPr>
                <w:vertAlign w:val="superscript"/>
              </w:rPr>
              <w:t>-3</w:t>
            </w:r>
          </w:p>
        </w:tc>
        <w:tc>
          <w:tcPr>
            <w:tcW w:w="816" w:type="pct"/>
          </w:tcPr>
          <w:p w14:paraId="0786513D" w14:textId="77777777" w:rsidR="0077223B" w:rsidRPr="007A4113" w:rsidRDefault="0077223B" w:rsidP="0077223B">
            <w:pPr>
              <w:pStyle w:val="Tablesmalltext"/>
            </w:pPr>
            <w:r w:rsidRPr="007A4113">
              <w:t>Limited data available for surface open drain structures</w:t>
            </w:r>
          </w:p>
        </w:tc>
        <w:tc>
          <w:tcPr>
            <w:tcW w:w="838" w:type="pct"/>
          </w:tcPr>
          <w:p w14:paraId="46E74529" w14:textId="77777777" w:rsidR="0077223B" w:rsidRPr="007A4113" w:rsidRDefault="0077223B" w:rsidP="0077223B">
            <w:pPr>
              <w:pStyle w:val="Tablesmalltext"/>
            </w:pPr>
            <w:r w:rsidRPr="007A4113">
              <w:t>Singh, M (1986) Mining Engineering Handbook. Chapter 3 Mine subsidence, Society for Mining, Metallurgy and Exploration</w:t>
            </w:r>
          </w:p>
        </w:tc>
      </w:tr>
    </w:tbl>
    <w:p w14:paraId="6C6C1728" w14:textId="6BF8717D" w:rsidR="00C84908" w:rsidRDefault="00C84908" w:rsidP="000B3094">
      <w:pPr>
        <w:pStyle w:val="Caption"/>
        <w:spacing w:before="0"/>
      </w:pPr>
    </w:p>
    <w:p w14:paraId="0A54D325" w14:textId="77777777" w:rsidR="000B3094" w:rsidRDefault="000B3094" w:rsidP="00D91F4B">
      <w:pPr>
        <w:sectPr w:rsidR="000B3094" w:rsidSect="000B3094">
          <w:headerReference w:type="even" r:id="rId29"/>
          <w:headerReference w:type="default" r:id="rId30"/>
          <w:headerReference w:type="first" r:id="rId31"/>
          <w:footerReference w:type="first" r:id="rId32"/>
          <w:pgSz w:w="16838" w:h="11906" w:orient="landscape" w:code="9"/>
          <w:pgMar w:top="1418" w:right="1985" w:bottom="1134" w:left="1418" w:header="709" w:footer="709" w:gutter="0"/>
          <w:pgNumType w:fmt="lowerRoman"/>
          <w:cols w:space="720"/>
        </w:sectPr>
      </w:pPr>
    </w:p>
    <w:p w14:paraId="039953B1" w14:textId="58016C14" w:rsidR="003D4BEF" w:rsidRPr="00E92FFF" w:rsidRDefault="003D4BEF" w:rsidP="003D4BEF">
      <w:pPr>
        <w:pStyle w:val="SectionSubheading1"/>
      </w:pPr>
      <w:bookmarkStart w:id="5" w:name="_Toc507053830"/>
      <w:bookmarkStart w:id="6" w:name="_Toc57907073"/>
      <w:r w:rsidRPr="00E92FFF">
        <w:t xml:space="preserve">Important note about </w:t>
      </w:r>
      <w:r w:rsidR="00B13A1C">
        <w:t>this</w:t>
      </w:r>
      <w:r w:rsidRPr="00E92FFF">
        <w:t xml:space="preserve"> report</w:t>
      </w:r>
      <w:bookmarkEnd w:id="5"/>
      <w:bookmarkEnd w:id="6"/>
    </w:p>
    <w:p w14:paraId="2C2C56F6" w14:textId="49089AC3" w:rsidR="003D4BEF" w:rsidRPr="00E92FFF" w:rsidRDefault="003D4BEF" w:rsidP="003D4BEF">
      <w:pPr>
        <w:pStyle w:val="Para0"/>
      </w:pPr>
      <w:r w:rsidRPr="00E92FFF">
        <w:t xml:space="preserve">The sole purpose of this report and the associated services performed by </w:t>
      </w:r>
      <w:r w:rsidR="00852827" w:rsidRPr="00E85BC3">
        <w:t>Jacobs/Mining One</w:t>
      </w:r>
      <w:r w:rsidRPr="00E92FFF">
        <w:t xml:space="preserve"> is to </w:t>
      </w:r>
      <w:r>
        <w:t>d</w:t>
      </w:r>
      <w:r w:rsidRPr="00E92FFF">
        <w:t xml:space="preserve">evelop and describe </w:t>
      </w:r>
      <w:r w:rsidR="002E4235">
        <w:t>the metrics and thresholds for geotechnical (ground movement) impacts of potential pit lake rehabilitation scenarios,</w:t>
      </w:r>
      <w:r w:rsidRPr="00E92FFF">
        <w:t xml:space="preserve"> in accordance with the scope of services set out in the contract between </w:t>
      </w:r>
      <w:r w:rsidR="00852827">
        <w:t>Jacobs/Mining One</w:t>
      </w:r>
      <w:r w:rsidRPr="00E92FFF">
        <w:t xml:space="preserve"> and the Victorian Government </w:t>
      </w:r>
      <w:r>
        <w:t>D</w:t>
      </w:r>
      <w:r w:rsidRPr="00E92FFF">
        <w:t xml:space="preserve">epartment of </w:t>
      </w:r>
      <w:r w:rsidR="001C7BCB">
        <w:t>Jobs Precincts and Regions</w:t>
      </w:r>
      <w:r w:rsidRPr="00E92FFF">
        <w:t xml:space="preserve"> (D</w:t>
      </w:r>
      <w:r w:rsidR="001C7BCB">
        <w:t>JPR</w:t>
      </w:r>
      <w:r w:rsidRPr="00E92FFF">
        <w:t>) (‘the Client’).</w:t>
      </w:r>
      <w:r w:rsidR="002A5D6E">
        <w:t xml:space="preserve"> </w:t>
      </w:r>
      <w:r w:rsidRPr="00E92FFF">
        <w:t xml:space="preserve"> That scope of services, as described in this report, was developed with the Client.</w:t>
      </w:r>
    </w:p>
    <w:p w14:paraId="3C10F4E8" w14:textId="17B93B7B" w:rsidR="003D4BEF" w:rsidRDefault="003D4BEF" w:rsidP="003D4BEF">
      <w:pPr>
        <w:pStyle w:val="Para0"/>
      </w:pPr>
      <w:r w:rsidRPr="00E92FFF">
        <w:t xml:space="preserve">In preparing this report, </w:t>
      </w:r>
      <w:r w:rsidR="00852827">
        <w:t>Jacobs/Mining One</w:t>
      </w:r>
      <w:r w:rsidRPr="00E92FFF">
        <w:t xml:space="preserve"> has relied upon, and presumed accurate, any information (or confirmation of the absence thereof) provided by the Client and/or from other sources.</w:t>
      </w:r>
      <w:r w:rsidR="002A5D6E">
        <w:t xml:space="preserve"> </w:t>
      </w:r>
      <w:r w:rsidRPr="00E92FFF">
        <w:t xml:space="preserve"> Except as otherwise stated in the report, </w:t>
      </w:r>
      <w:r w:rsidR="00852827">
        <w:t>Jacobs/Mining One</w:t>
      </w:r>
      <w:r w:rsidRPr="00E92FFF">
        <w:t xml:space="preserve"> has not attempted to verify the accuracy or completeness of any such information.</w:t>
      </w:r>
      <w:r w:rsidR="002A5D6E">
        <w:t xml:space="preserve"> </w:t>
      </w:r>
      <w:r w:rsidRPr="00E92FFF">
        <w:t xml:space="preserve"> If the information is subsequently determined to be false, inaccurate or incomplete then it is possible that our observations and conclusions as expressed in this report may change.</w:t>
      </w:r>
    </w:p>
    <w:p w14:paraId="7A02EDEC" w14:textId="444F55E5" w:rsidR="00852827" w:rsidRPr="00E92FFF" w:rsidRDefault="00852827" w:rsidP="003D4BEF">
      <w:pPr>
        <w:pStyle w:val="Para0"/>
      </w:pPr>
      <w:r w:rsidRPr="00E85BC3">
        <w:t>In preparing this report, reliance has been placed upon the published studies and reference documents worldwide which can</w:t>
      </w:r>
      <w:r>
        <w:t xml:space="preserve"> be developed for this Project.</w:t>
      </w:r>
      <w:r w:rsidRPr="00E85BC3">
        <w:t xml:space="preserve"> </w:t>
      </w:r>
      <w:r w:rsidR="002A5D6E">
        <w:t xml:space="preserve"> </w:t>
      </w:r>
      <w:r>
        <w:t>Jacobs/Mining One</w:t>
      </w:r>
      <w:r w:rsidRPr="00E85BC3">
        <w:t xml:space="preserve"> has not attempted to verify the accuracy or completeness of any such studies.</w:t>
      </w:r>
    </w:p>
    <w:p w14:paraId="71904471" w14:textId="0686BCE8" w:rsidR="003D4BEF" w:rsidRPr="00E92FFF" w:rsidRDefault="00852827" w:rsidP="003D4BEF">
      <w:pPr>
        <w:pStyle w:val="Para0"/>
      </w:pPr>
      <w:r>
        <w:t>Jacobs/Mining One</w:t>
      </w:r>
      <w:r w:rsidR="003D4BEF" w:rsidRPr="00E92FFF">
        <w:t xml:space="preserve"> derived the data in this report from information sourced from the Client (if any) and/or available in the public domain at the time or times outlined in this report. </w:t>
      </w:r>
      <w:r w:rsidR="002A5D6E">
        <w:t xml:space="preserve"> </w:t>
      </w:r>
      <w:r w:rsidR="003D4BEF" w:rsidRPr="00E92FFF">
        <w:t xml:space="preserve">The passage of time, manifestation of latent conditions or impacts of future events may require further examination of the project and subsequent data analysis, and re-evaluation of the data, findings, observations and conclusions expressed in this report. </w:t>
      </w:r>
      <w:r w:rsidR="002A5D6E">
        <w:t xml:space="preserve"> </w:t>
      </w:r>
      <w:r>
        <w:t>Jacobs/Mining One</w:t>
      </w:r>
      <w:r w:rsidR="003D4BEF" w:rsidRPr="00E92FFF">
        <w:t xml:space="preserve"> has prepared this report in accordance with the usual care and thoroughness of the consulting profession, for the sole purpose described above and by reference to applicable standards, guidelines, procedures and practices at the date of issue of this report. For the reasons outlined above, however, no other warranty or guarantee, whether expressed or implied, is made as to the data, observations and findings expressed in this report, to the extent permitted by law.</w:t>
      </w:r>
    </w:p>
    <w:p w14:paraId="469E8CED" w14:textId="130B9CBD" w:rsidR="003D4BEF" w:rsidRPr="00E92FFF" w:rsidRDefault="003D4BEF" w:rsidP="003D4BEF">
      <w:pPr>
        <w:pStyle w:val="Para0"/>
      </w:pPr>
      <w:r w:rsidRPr="00E92FFF">
        <w:t xml:space="preserve">This report should be read in full and no excerpts are to be taken as representative of the findings. </w:t>
      </w:r>
      <w:r w:rsidR="002A5D6E">
        <w:t xml:space="preserve"> </w:t>
      </w:r>
      <w:r w:rsidRPr="00E92FFF">
        <w:t xml:space="preserve">No responsibility is accepted by </w:t>
      </w:r>
      <w:r w:rsidR="00852827">
        <w:t>Jacobs/Mining One</w:t>
      </w:r>
      <w:r w:rsidRPr="00E92FFF">
        <w:t xml:space="preserve"> for use of any part of this report in any other context.</w:t>
      </w:r>
    </w:p>
    <w:p w14:paraId="4B912CE6" w14:textId="15FEFBED" w:rsidR="003D4BEF" w:rsidRPr="00E92FFF" w:rsidRDefault="003D4BEF" w:rsidP="003D4BEF">
      <w:pPr>
        <w:pStyle w:val="Para0"/>
      </w:pPr>
      <w:r w:rsidRPr="00E92FFF">
        <w:t xml:space="preserve">This report has been prepared on behalf of, and for the exclusive use of, the Client, and is subject to, and issued in accordance with, the provisions of the contract between </w:t>
      </w:r>
      <w:r w:rsidR="00852827">
        <w:t>Jacobs/Mining One</w:t>
      </w:r>
      <w:r w:rsidRPr="00E92FFF">
        <w:t xml:space="preserve"> and the Client. </w:t>
      </w:r>
      <w:r w:rsidR="00852827">
        <w:t>Jacobs/Mining One</w:t>
      </w:r>
      <w:r w:rsidRPr="00E92FFF">
        <w:t xml:space="preserve"> accepts no liability or responsibility whatsoever for, or in respect of, any use of, or reliance upon, this report by any third party.</w:t>
      </w:r>
    </w:p>
    <w:p w14:paraId="579F5199" w14:textId="77777777" w:rsidR="0023226C" w:rsidRDefault="0023226C" w:rsidP="0023226C">
      <w:pPr>
        <w:pStyle w:val="Body"/>
        <w:sectPr w:rsidR="0023226C" w:rsidSect="0023226C">
          <w:pgSz w:w="11906" w:h="16838" w:code="9"/>
          <w:pgMar w:top="1985" w:right="1134" w:bottom="1418" w:left="1418" w:header="709" w:footer="709" w:gutter="0"/>
          <w:pgNumType w:fmt="lowerRoman"/>
          <w:cols w:space="720"/>
        </w:sectPr>
      </w:pPr>
    </w:p>
    <w:p w14:paraId="47390EE1" w14:textId="24B4437C" w:rsidR="0023226C" w:rsidRDefault="001B54F4" w:rsidP="00850D4D">
      <w:pPr>
        <w:pStyle w:val="Heading1"/>
      </w:pPr>
      <w:bookmarkStart w:id="7" w:name="_Toc57907074"/>
      <w:r>
        <w:t>Introduction</w:t>
      </w:r>
      <w:bookmarkEnd w:id="7"/>
    </w:p>
    <w:p w14:paraId="3735FD09" w14:textId="25C8DE0E" w:rsidR="00FE50C5" w:rsidRDefault="00FE50C5" w:rsidP="00FE50C5">
      <w:pPr>
        <w:rPr>
          <w:lang w:val="en-AU"/>
        </w:rPr>
      </w:pPr>
      <w:bookmarkStart w:id="8" w:name="_Ref493481743"/>
      <w:r w:rsidRPr="001722A2">
        <w:rPr>
          <w:lang w:val="en-AU"/>
        </w:rPr>
        <w:t>The Latrobe Valley Regional Rehabilitation Strategy (LVRRS) is part of the Victorian Government’s response to the Hazelwood Mine Fire Inquiry (HMFI)</w:t>
      </w:r>
      <w:r w:rsidR="003D7DF4">
        <w:rPr>
          <w:rStyle w:val="FootnoteReference"/>
          <w:lang w:val="en-AU"/>
        </w:rPr>
        <w:footnoteReference w:id="5"/>
      </w:r>
      <w:r w:rsidRPr="001722A2">
        <w:rPr>
          <w:lang w:val="en-AU"/>
        </w:rPr>
        <w:t xml:space="preserve">, which found that there were significant uncertainties and gaps in knowledge surrounding the closure and rehabilitation of the Latrobe Valley’s three brown coal mines. </w:t>
      </w:r>
      <w:r w:rsidR="002A5D6E">
        <w:rPr>
          <w:lang w:val="en-AU"/>
        </w:rPr>
        <w:t xml:space="preserve"> </w:t>
      </w:r>
      <w:r w:rsidRPr="001722A2">
        <w:rPr>
          <w:lang w:val="en-AU"/>
        </w:rPr>
        <w:t>The LVRRS will address some of these knowledge gaps through a series of technical studies</w:t>
      </w:r>
      <w:r>
        <w:rPr>
          <w:lang w:val="en-AU"/>
        </w:rPr>
        <w:t xml:space="preserve"> leading to </w:t>
      </w:r>
      <w:r w:rsidRPr="001722A2">
        <w:rPr>
          <w:lang w:val="en-AU"/>
        </w:rPr>
        <w:t xml:space="preserve">a final </w:t>
      </w:r>
      <w:r w:rsidR="003D7DF4">
        <w:rPr>
          <w:lang w:val="en-AU"/>
        </w:rPr>
        <w:t xml:space="preserve">Strategy </w:t>
      </w:r>
      <w:r w:rsidRPr="001722A2">
        <w:rPr>
          <w:lang w:val="en-AU"/>
        </w:rPr>
        <w:t>to be completed by June 2020.</w:t>
      </w:r>
    </w:p>
    <w:p w14:paraId="2D3912E5" w14:textId="593984DE" w:rsidR="00FE50C5" w:rsidRDefault="00FE50C5" w:rsidP="00FE50C5">
      <w:pPr>
        <w:rPr>
          <w:lang w:val="en-AU"/>
        </w:rPr>
      </w:pPr>
      <w:r>
        <w:rPr>
          <w:lang w:val="en-AU"/>
        </w:rPr>
        <w:t xml:space="preserve">The </w:t>
      </w:r>
      <w:r w:rsidRPr="00FC0392">
        <w:rPr>
          <w:lang w:val="en-AU"/>
        </w:rPr>
        <w:t xml:space="preserve">Department of Jobs, </w:t>
      </w:r>
      <w:r w:rsidR="00D14ABB">
        <w:rPr>
          <w:lang w:val="en-AU"/>
        </w:rPr>
        <w:t xml:space="preserve">Precincts </w:t>
      </w:r>
      <w:r w:rsidR="00AC395F">
        <w:rPr>
          <w:lang w:val="en-AU"/>
        </w:rPr>
        <w:t xml:space="preserve">and Regions </w:t>
      </w:r>
      <w:r w:rsidRPr="00FC0392">
        <w:rPr>
          <w:lang w:val="en-AU"/>
        </w:rPr>
        <w:t>(DJ</w:t>
      </w:r>
      <w:r w:rsidR="00AC395F">
        <w:rPr>
          <w:lang w:val="en-AU"/>
        </w:rPr>
        <w:t>P</w:t>
      </w:r>
      <w:r w:rsidRPr="00FC0392">
        <w:rPr>
          <w:lang w:val="en-AU"/>
        </w:rPr>
        <w:t xml:space="preserve">R) </w:t>
      </w:r>
      <w:r>
        <w:rPr>
          <w:lang w:val="en-AU"/>
        </w:rPr>
        <w:t xml:space="preserve">and the Department of Environment, Land, Water and Planning (DELWP) </w:t>
      </w:r>
      <w:r w:rsidRPr="00FC0392">
        <w:rPr>
          <w:lang w:val="en-AU"/>
        </w:rPr>
        <w:t>are jointly responsible for preparing and delivering the LVRRS</w:t>
      </w:r>
      <w:r>
        <w:rPr>
          <w:lang w:val="en-AU"/>
        </w:rPr>
        <w:t xml:space="preserve">. Development of the strategy will </w:t>
      </w:r>
      <w:r w:rsidRPr="00FC0392">
        <w:rPr>
          <w:lang w:val="en-AU"/>
        </w:rPr>
        <w:t>involve technical studies covering hydrology, hydrogeology, geo</w:t>
      </w:r>
      <w:r>
        <w:rPr>
          <w:lang w:val="en-AU"/>
        </w:rPr>
        <w:t>mechanics</w:t>
      </w:r>
      <w:r w:rsidRPr="00FC0392">
        <w:rPr>
          <w:lang w:val="en-AU"/>
        </w:rPr>
        <w:t>, water quality</w:t>
      </w:r>
      <w:r>
        <w:rPr>
          <w:lang w:val="en-AU"/>
        </w:rPr>
        <w:t>,</w:t>
      </w:r>
      <w:r w:rsidRPr="00FC0392">
        <w:rPr>
          <w:lang w:val="en-AU"/>
        </w:rPr>
        <w:t xml:space="preserve"> geochemistry, </w:t>
      </w:r>
      <w:r>
        <w:rPr>
          <w:lang w:val="en-AU"/>
        </w:rPr>
        <w:t xml:space="preserve">and </w:t>
      </w:r>
      <w:r w:rsidRPr="00FC0392">
        <w:rPr>
          <w:lang w:val="en-AU"/>
        </w:rPr>
        <w:t xml:space="preserve">statutory/regulatory </w:t>
      </w:r>
      <w:r>
        <w:rPr>
          <w:lang w:val="en-AU"/>
        </w:rPr>
        <w:t xml:space="preserve">issues, </w:t>
      </w:r>
      <w:r w:rsidRPr="00FC0392">
        <w:rPr>
          <w:lang w:val="en-AU"/>
        </w:rPr>
        <w:t xml:space="preserve">and environmental, socioeconomic and cultural </w:t>
      </w:r>
      <w:r>
        <w:rPr>
          <w:lang w:val="en-AU"/>
        </w:rPr>
        <w:t>issues</w:t>
      </w:r>
      <w:r w:rsidRPr="00FC0392">
        <w:rPr>
          <w:lang w:val="en-AU"/>
        </w:rPr>
        <w:t>.</w:t>
      </w:r>
    </w:p>
    <w:p w14:paraId="01969FC1" w14:textId="77777777" w:rsidR="00FE50C5" w:rsidRDefault="00FE50C5" w:rsidP="00FE50C5">
      <w:pPr>
        <w:pStyle w:val="Heading2"/>
        <w:rPr>
          <w:lang w:val="en-AU"/>
        </w:rPr>
      </w:pPr>
      <w:bookmarkStart w:id="9" w:name="_Toc57907075"/>
      <w:r>
        <w:rPr>
          <w:lang w:val="en-AU"/>
        </w:rPr>
        <w:t>Background</w:t>
      </w:r>
      <w:bookmarkEnd w:id="9"/>
    </w:p>
    <w:p w14:paraId="0A7B6A4F" w14:textId="4ED1A152" w:rsidR="00FE50C5" w:rsidRDefault="00FE50C5" w:rsidP="00FE50C5">
      <w:pPr>
        <w:rPr>
          <w:lang w:val="en-AU"/>
        </w:rPr>
      </w:pPr>
      <w:r w:rsidRPr="00FC0392">
        <w:rPr>
          <w:lang w:val="en-AU"/>
        </w:rPr>
        <w:t xml:space="preserve">The Latrobe Valley, 150 km east of Melbourne, Victoria, hosts one of the world’s largest brown coal deposits and is the site of three coal mines </w:t>
      </w:r>
      <w:r>
        <w:rPr>
          <w:lang w:val="en-AU"/>
        </w:rPr>
        <w:t xml:space="preserve">– </w:t>
      </w:r>
      <w:r w:rsidRPr="00FC0392">
        <w:rPr>
          <w:lang w:val="en-AU"/>
        </w:rPr>
        <w:t>known as Yallourn, Hazelwood and Loy Yang</w:t>
      </w:r>
      <w:r>
        <w:rPr>
          <w:lang w:val="en-AU"/>
        </w:rPr>
        <w:t xml:space="preserve"> – </w:t>
      </w:r>
      <w:r w:rsidRPr="00FC0392">
        <w:rPr>
          <w:lang w:val="en-AU"/>
        </w:rPr>
        <w:t xml:space="preserve">with associated power stations. </w:t>
      </w:r>
      <w:r w:rsidR="002A5D6E">
        <w:rPr>
          <w:lang w:val="en-AU"/>
        </w:rPr>
        <w:t xml:space="preserve"> </w:t>
      </w:r>
      <w:r w:rsidRPr="00FC0392">
        <w:rPr>
          <w:lang w:val="en-AU"/>
        </w:rPr>
        <w:t>The three mine voids are very large, each</w:t>
      </w:r>
      <w:r>
        <w:rPr>
          <w:lang w:val="en-AU"/>
        </w:rPr>
        <w:t xml:space="preserve"> up to 12</w:t>
      </w:r>
      <w:r w:rsidRPr="00FC0392">
        <w:rPr>
          <w:lang w:val="en-AU"/>
        </w:rPr>
        <w:t xml:space="preserve"> km</w:t>
      </w:r>
      <w:r w:rsidRPr="00493CD3">
        <w:rPr>
          <w:vertAlign w:val="superscript"/>
          <w:lang w:val="en-AU"/>
        </w:rPr>
        <w:t>2</w:t>
      </w:r>
      <w:r w:rsidRPr="00FC0392">
        <w:rPr>
          <w:lang w:val="en-AU"/>
        </w:rPr>
        <w:t xml:space="preserve"> in area and up to </w:t>
      </w:r>
      <w:r w:rsidR="008803B6">
        <w:rPr>
          <w:lang w:val="en-AU"/>
        </w:rPr>
        <w:t xml:space="preserve">approximately </w:t>
      </w:r>
      <w:r w:rsidRPr="00FC0392">
        <w:rPr>
          <w:lang w:val="en-AU"/>
        </w:rPr>
        <w:t xml:space="preserve">200 m deep and are located in close proximity to each other (within </w:t>
      </w:r>
      <w:r>
        <w:rPr>
          <w:lang w:val="en-AU"/>
        </w:rPr>
        <w:t>a ~</w:t>
      </w:r>
      <w:r w:rsidRPr="00FC0392">
        <w:rPr>
          <w:lang w:val="en-AU"/>
        </w:rPr>
        <w:t>2</w:t>
      </w:r>
      <w:r>
        <w:rPr>
          <w:lang w:val="en-AU"/>
        </w:rPr>
        <w:t>0</w:t>
      </w:r>
      <w:r w:rsidRPr="00FC0392">
        <w:rPr>
          <w:lang w:val="en-AU"/>
        </w:rPr>
        <w:t xml:space="preserve"> km</w:t>
      </w:r>
      <w:r>
        <w:rPr>
          <w:lang w:val="en-AU"/>
        </w:rPr>
        <w:t xml:space="preserve"> zone</w:t>
      </w:r>
      <w:r w:rsidRPr="00FC0392">
        <w:rPr>
          <w:lang w:val="en-AU"/>
        </w:rPr>
        <w:t xml:space="preserve">) and to local towns. </w:t>
      </w:r>
      <w:r w:rsidR="002A5D6E">
        <w:rPr>
          <w:lang w:val="en-AU"/>
        </w:rPr>
        <w:t xml:space="preserve"> </w:t>
      </w:r>
      <w:r w:rsidRPr="00FC0392">
        <w:rPr>
          <w:lang w:val="en-AU"/>
        </w:rPr>
        <w:t xml:space="preserve">The mines have been in operation for 40-90 years, and </w:t>
      </w:r>
      <w:r>
        <w:rPr>
          <w:lang w:val="en-AU"/>
        </w:rPr>
        <w:t xml:space="preserve">at closure are expected to </w:t>
      </w:r>
      <w:r w:rsidRPr="00FC0392">
        <w:rPr>
          <w:lang w:val="en-AU"/>
        </w:rPr>
        <w:t xml:space="preserve">have a combined void volume of </w:t>
      </w:r>
      <w:r>
        <w:rPr>
          <w:lang w:val="en-AU"/>
        </w:rPr>
        <w:t xml:space="preserve">more than </w:t>
      </w:r>
      <w:r w:rsidRPr="00FC0392">
        <w:rPr>
          <w:lang w:val="en-AU"/>
        </w:rPr>
        <w:t>3,000 GL</w:t>
      </w:r>
      <w:r>
        <w:rPr>
          <w:lang w:val="en-AU"/>
        </w:rPr>
        <w:t xml:space="preserve"> (Mm</w:t>
      </w:r>
      <w:r w:rsidRPr="00A34C3F">
        <w:rPr>
          <w:vertAlign w:val="superscript"/>
          <w:lang w:val="en-AU"/>
        </w:rPr>
        <w:t>3</w:t>
      </w:r>
      <w:r>
        <w:rPr>
          <w:lang w:val="en-AU"/>
        </w:rPr>
        <w:t>)</w:t>
      </w:r>
      <w:r w:rsidRPr="00FC0392">
        <w:rPr>
          <w:lang w:val="en-AU"/>
        </w:rPr>
        <w:t>.</w:t>
      </w:r>
    </w:p>
    <w:p w14:paraId="3BAA1F35" w14:textId="001245D0" w:rsidR="00FE50C5" w:rsidRPr="00FC0392" w:rsidRDefault="00FE50C5" w:rsidP="00FE50C5">
      <w:pPr>
        <w:rPr>
          <w:lang w:val="en-AU"/>
        </w:rPr>
      </w:pPr>
      <w:r>
        <w:rPr>
          <w:lang w:val="en-AU"/>
        </w:rPr>
        <w:t>The Hazelwood mine and power station ceased operations in March 2017.</w:t>
      </w:r>
      <w:r w:rsidR="007D0909">
        <w:rPr>
          <w:lang w:val="en-AU"/>
        </w:rPr>
        <w:t xml:space="preserve"> </w:t>
      </w:r>
      <w:r>
        <w:rPr>
          <w:lang w:val="en-AU"/>
        </w:rPr>
        <w:t xml:space="preserve"> Yallourn has plans to continue operating until 2032, and Loy Yang until 2048.</w:t>
      </w:r>
    </w:p>
    <w:p w14:paraId="087C16AD" w14:textId="7E85B24F" w:rsidR="00FE50C5" w:rsidRPr="00FC0392" w:rsidRDefault="00FE50C5" w:rsidP="00FE50C5">
      <w:pPr>
        <w:rPr>
          <w:lang w:val="en-AU"/>
        </w:rPr>
      </w:pPr>
      <w:r w:rsidRPr="00FC0392">
        <w:rPr>
          <w:lang w:val="en-AU"/>
        </w:rPr>
        <w:t>A major fire at the Hazelwood Coal Mine in 2014 triggered by local bushfires resulted in significant impacts to the local community.</w:t>
      </w:r>
      <w:r w:rsidR="007D0909">
        <w:rPr>
          <w:lang w:val="en-AU"/>
        </w:rPr>
        <w:t xml:space="preserve"> </w:t>
      </w:r>
      <w:r w:rsidRPr="00FC0392">
        <w:rPr>
          <w:lang w:val="en-AU"/>
        </w:rPr>
        <w:t xml:space="preserve"> In response, the Victorian Government established an inquiry into the Hazelwood </w:t>
      </w:r>
      <w:r>
        <w:rPr>
          <w:lang w:val="en-AU"/>
        </w:rPr>
        <w:t xml:space="preserve">mine </w:t>
      </w:r>
      <w:r w:rsidRPr="00FC0392">
        <w:rPr>
          <w:lang w:val="en-AU"/>
        </w:rPr>
        <w:t xml:space="preserve">fire. </w:t>
      </w:r>
      <w:r w:rsidR="007D0909">
        <w:rPr>
          <w:lang w:val="en-AU"/>
        </w:rPr>
        <w:t xml:space="preserve"> </w:t>
      </w:r>
      <w:r>
        <w:rPr>
          <w:lang w:val="en-AU"/>
        </w:rPr>
        <w:t>Among other issues, t</w:t>
      </w:r>
      <w:r w:rsidRPr="00FC0392">
        <w:rPr>
          <w:lang w:val="en-AU"/>
        </w:rPr>
        <w:t>he inquiry considered the options for rehabilitation of all three mines in a regional context and identified that there are significant knowledge gaps around the feasibility of the mine operators</w:t>
      </w:r>
      <w:r w:rsidR="00635D87">
        <w:rPr>
          <w:lang w:val="en-AU"/>
        </w:rPr>
        <w:t>’</w:t>
      </w:r>
      <w:r w:rsidRPr="00FC0392">
        <w:rPr>
          <w:lang w:val="en-AU"/>
        </w:rPr>
        <w:t xml:space="preserve"> proposed rehabilitation plans and the cumulative effects of those plans.</w:t>
      </w:r>
      <w:r>
        <w:rPr>
          <w:lang w:val="en-AU"/>
        </w:rPr>
        <w:t xml:space="preserve"> The LVRRS</w:t>
      </w:r>
      <w:r w:rsidRPr="00FC0392">
        <w:rPr>
          <w:lang w:val="en-AU"/>
        </w:rPr>
        <w:t xml:space="preserve"> aims to address </w:t>
      </w:r>
      <w:r>
        <w:rPr>
          <w:lang w:val="en-AU"/>
        </w:rPr>
        <w:t xml:space="preserve">these </w:t>
      </w:r>
      <w:r w:rsidRPr="00FC0392">
        <w:rPr>
          <w:lang w:val="en-AU"/>
        </w:rPr>
        <w:t>knowledge gaps.</w:t>
      </w:r>
    </w:p>
    <w:p w14:paraId="1ACB7675" w14:textId="0E3AAD7E" w:rsidR="005437C9" w:rsidRDefault="005437C9" w:rsidP="005437C9">
      <w:pPr>
        <w:pStyle w:val="Para0"/>
        <w:rPr>
          <w:lang w:val="en-AU"/>
        </w:rPr>
      </w:pPr>
      <w:r>
        <w:rPr>
          <w:lang w:val="en-AU"/>
        </w:rPr>
        <w:t xml:space="preserve">To fill the regional knowledge gap the Victorian Government committed to investigating the feasibility of water-based rehabilitation options identified by the HMFI for the Latrobe Valley mines, and to prepare the LVRRS to guide regional and influence site scale rehabilitation planning, taking into account the interactions between the mine voids. </w:t>
      </w:r>
      <w:r w:rsidR="00280BB8">
        <w:rPr>
          <w:lang w:val="en-AU"/>
        </w:rPr>
        <w:t xml:space="preserve"> </w:t>
      </w:r>
      <w:r>
        <w:rPr>
          <w:lang w:val="en-AU"/>
        </w:rPr>
        <w:t xml:space="preserve">Specifically the LVRRS committed to undertake regional studies to investigate geotechnical and water considerations: </w:t>
      </w:r>
    </w:p>
    <w:p w14:paraId="0A8C37F4" w14:textId="77777777" w:rsidR="005437C9" w:rsidRDefault="005437C9" w:rsidP="005437C9">
      <w:pPr>
        <w:pStyle w:val="Para0"/>
        <w:numPr>
          <w:ilvl w:val="0"/>
          <w:numId w:val="41"/>
        </w:numPr>
        <w:rPr>
          <w:lang w:val="en-AU"/>
        </w:rPr>
      </w:pPr>
      <w:r>
        <w:rPr>
          <w:lang w:val="en-AU"/>
        </w:rPr>
        <w:t>Latrobe Valley Regional Geotechnical Study - to investigate the regional stability and fire risks associated with the coal mine voids, and whether those risks can be mitigated if water was used to fill or partly fill the voids.</w:t>
      </w:r>
    </w:p>
    <w:p w14:paraId="5DB51E47" w14:textId="404B5020" w:rsidR="005437C9" w:rsidRDefault="005437C9" w:rsidP="004312A4">
      <w:pPr>
        <w:pStyle w:val="Para0"/>
        <w:numPr>
          <w:ilvl w:val="0"/>
          <w:numId w:val="41"/>
        </w:numPr>
        <w:rPr>
          <w:lang w:val="en-AU"/>
        </w:rPr>
      </w:pPr>
      <w:r w:rsidRPr="007F496D">
        <w:rPr>
          <w:lang w:val="en-AU"/>
        </w:rPr>
        <w:t>Latr</w:t>
      </w:r>
      <w:r w:rsidRPr="00D63C41">
        <w:rPr>
          <w:lang w:val="en-AU"/>
        </w:rPr>
        <w:t>obe Valley Regiona</w:t>
      </w:r>
      <w:r w:rsidRPr="00DF393B">
        <w:rPr>
          <w:lang w:val="en-AU"/>
        </w:rPr>
        <w:t>l Wa</w:t>
      </w:r>
      <w:r w:rsidRPr="00B1521B">
        <w:rPr>
          <w:lang w:val="en-AU"/>
        </w:rPr>
        <w:t>ter Study - to investigate whether, and to what extent, the proposed filling or partial filling of the mine voids with water taken from the Latrobe River system and Latrobe Valley aquifers would result in adverse ecological, social, cultural and economic impacts to the region.</w:t>
      </w:r>
    </w:p>
    <w:p w14:paraId="1B7EA18C" w14:textId="79C0ECC9" w:rsidR="00FE50C5" w:rsidRDefault="00FE50C5" w:rsidP="00FE50C5">
      <w:pPr>
        <w:rPr>
          <w:lang w:val="en-AU"/>
        </w:rPr>
      </w:pPr>
    </w:p>
    <w:p w14:paraId="326751F4" w14:textId="77777777" w:rsidR="008D6835" w:rsidRDefault="008D6835" w:rsidP="00FE50C5">
      <w:pPr>
        <w:rPr>
          <w:lang w:val="en-AU"/>
        </w:rPr>
      </w:pPr>
    </w:p>
    <w:p w14:paraId="64084243" w14:textId="4C81885D" w:rsidR="00FE50C5" w:rsidRDefault="00D6283F" w:rsidP="00FE50C5">
      <w:pPr>
        <w:pStyle w:val="Heading2"/>
        <w:rPr>
          <w:lang w:val="en-AU"/>
        </w:rPr>
      </w:pPr>
      <w:bookmarkStart w:id="10" w:name="_Toc57907076"/>
      <w:r>
        <w:rPr>
          <w:lang w:val="en-AU"/>
        </w:rPr>
        <w:t xml:space="preserve">LVRRS Development Context for </w:t>
      </w:r>
      <w:r w:rsidR="0085556F">
        <w:rPr>
          <w:lang w:val="en-AU"/>
        </w:rPr>
        <w:t xml:space="preserve">the </w:t>
      </w:r>
      <w:r>
        <w:rPr>
          <w:lang w:val="en-AU"/>
        </w:rPr>
        <w:t>Study</w:t>
      </w:r>
      <w:bookmarkEnd w:id="10"/>
    </w:p>
    <w:p w14:paraId="5FB5EBE3" w14:textId="77777777" w:rsidR="008D6835" w:rsidRPr="00F40F10" w:rsidRDefault="008D6835" w:rsidP="008D6835">
      <w:pPr>
        <w:pStyle w:val="Para0"/>
        <w:rPr>
          <w:rFonts w:eastAsia="Times New Roman"/>
          <w:lang w:val="en-AU"/>
        </w:rPr>
      </w:pPr>
      <w:r>
        <w:rPr>
          <w:rFonts w:eastAsia="Times New Roman"/>
          <w:lang w:val="en-AU"/>
        </w:rPr>
        <w:t xml:space="preserve">An important task </w:t>
      </w:r>
      <w:r w:rsidRPr="00F40F10">
        <w:rPr>
          <w:rFonts w:eastAsia="Times New Roman"/>
          <w:lang w:val="en-AU"/>
        </w:rPr>
        <w:t xml:space="preserve">of the LVRRS </w:t>
      </w:r>
      <w:r>
        <w:rPr>
          <w:rFonts w:eastAsia="Times New Roman"/>
          <w:lang w:val="en-AU"/>
        </w:rPr>
        <w:t xml:space="preserve">is to assess </w:t>
      </w:r>
      <w:r w:rsidRPr="00F40F10">
        <w:rPr>
          <w:rFonts w:eastAsia="Times New Roman"/>
          <w:lang w:val="en-AU"/>
        </w:rPr>
        <w:t xml:space="preserve">the biophysical feasibility of </w:t>
      </w:r>
      <w:r>
        <w:rPr>
          <w:rFonts w:eastAsia="Times New Roman"/>
          <w:lang w:val="en-AU"/>
        </w:rPr>
        <w:t xml:space="preserve">water-based mine void rehabilitated </w:t>
      </w:r>
      <w:r w:rsidRPr="00F40F10">
        <w:rPr>
          <w:rFonts w:eastAsia="Times New Roman"/>
          <w:lang w:val="en-AU"/>
        </w:rPr>
        <w:t xml:space="preserve">landforms as regional rehabilitation ‘scenarios’ based on the findings of technical studies and an assessment of cumulative </w:t>
      </w:r>
      <w:r>
        <w:rPr>
          <w:rFonts w:eastAsia="Times New Roman"/>
          <w:lang w:val="en-AU"/>
        </w:rPr>
        <w:t>effects</w:t>
      </w:r>
      <w:r w:rsidRPr="00F40F10">
        <w:rPr>
          <w:rFonts w:eastAsia="Times New Roman"/>
          <w:lang w:val="en-AU"/>
        </w:rPr>
        <w:t xml:space="preserve">. </w:t>
      </w:r>
    </w:p>
    <w:p w14:paraId="61273E80" w14:textId="33742671" w:rsidR="008D6835" w:rsidRPr="00F40F10" w:rsidRDefault="008D6835" w:rsidP="008D6835">
      <w:pPr>
        <w:pStyle w:val="Para0"/>
        <w:rPr>
          <w:rFonts w:eastAsia="Times New Roman"/>
          <w:lang w:val="en-AU"/>
        </w:rPr>
      </w:pPr>
      <w:r w:rsidRPr="00F40F10">
        <w:rPr>
          <w:rFonts w:eastAsia="Times New Roman"/>
          <w:lang w:val="en-AU"/>
        </w:rPr>
        <w:t xml:space="preserve">The LVRRS considers the mines individually and collectively (cumulatively) in the context of potential </w:t>
      </w:r>
      <w:r>
        <w:rPr>
          <w:rFonts w:eastAsia="Times New Roman"/>
          <w:lang w:val="en-AU"/>
        </w:rPr>
        <w:t xml:space="preserve">impacts </w:t>
      </w:r>
      <w:r w:rsidRPr="00F40F10">
        <w:rPr>
          <w:rFonts w:eastAsia="Times New Roman"/>
          <w:lang w:val="en-AU"/>
        </w:rPr>
        <w:t xml:space="preserve">on the environment, aboriginal and </w:t>
      </w:r>
      <w:r w:rsidR="00872B87">
        <w:rPr>
          <w:rFonts w:eastAsia="Times New Roman"/>
          <w:lang w:val="en-AU"/>
        </w:rPr>
        <w:t>non</w:t>
      </w:r>
      <w:r w:rsidR="004B7F42">
        <w:rPr>
          <w:rFonts w:eastAsia="Times New Roman"/>
          <w:lang w:val="en-AU"/>
        </w:rPr>
        <w:t xml:space="preserve">-aboriginal </w:t>
      </w:r>
      <w:r w:rsidRPr="00F40F10">
        <w:rPr>
          <w:rFonts w:eastAsia="Times New Roman"/>
          <w:lang w:val="en-AU"/>
        </w:rPr>
        <w:t>cultural heritage values, infrastructure and land uses in the Latrobe Valley, with a focus on water and land</w:t>
      </w:r>
      <w:r>
        <w:rPr>
          <w:rFonts w:eastAsia="Times New Roman"/>
          <w:lang w:val="en-AU"/>
        </w:rPr>
        <w:t>-</w:t>
      </w:r>
      <w:r w:rsidRPr="00F40F10">
        <w:rPr>
          <w:rFonts w:eastAsia="Times New Roman"/>
          <w:lang w:val="en-AU"/>
        </w:rPr>
        <w:t>stability issues, noting that the primary objective of rehabilitation is to achieve a safe</w:t>
      </w:r>
      <w:r>
        <w:rPr>
          <w:rFonts w:eastAsia="Times New Roman"/>
          <w:lang w:val="en-AU"/>
        </w:rPr>
        <w:t xml:space="preserve">, </w:t>
      </w:r>
      <w:r w:rsidRPr="00F40F10">
        <w:rPr>
          <w:rFonts w:eastAsia="Times New Roman"/>
          <w:lang w:val="en-AU"/>
        </w:rPr>
        <w:t>stable</w:t>
      </w:r>
      <w:r>
        <w:rPr>
          <w:rFonts w:eastAsia="Times New Roman"/>
          <w:lang w:val="en-AU"/>
        </w:rPr>
        <w:t xml:space="preserve"> and sustainable</w:t>
      </w:r>
      <w:r w:rsidRPr="00F40F10">
        <w:rPr>
          <w:rFonts w:eastAsia="Times New Roman"/>
          <w:lang w:val="en-AU"/>
        </w:rPr>
        <w:t xml:space="preserve"> landform for the closed mine voids.</w:t>
      </w:r>
    </w:p>
    <w:p w14:paraId="3995A8F0" w14:textId="77777777" w:rsidR="008D6835" w:rsidRPr="00D30F33" w:rsidRDefault="008D6835" w:rsidP="008D6835">
      <w:pPr>
        <w:pStyle w:val="Para0"/>
        <w:rPr>
          <w:lang w:val="en-AU"/>
        </w:rPr>
      </w:pPr>
      <w:r w:rsidRPr="00D30F33">
        <w:rPr>
          <w:lang w:val="en-AU"/>
        </w:rPr>
        <w:t xml:space="preserve">The biophysical feasibility assessment incorporates an assessment of cumulative impacts, defined as the collective effects of activities and pressures on </w:t>
      </w:r>
      <w:r>
        <w:rPr>
          <w:lang w:val="en-AU"/>
        </w:rPr>
        <w:t xml:space="preserve">regional receptors, being </w:t>
      </w:r>
      <w:r w:rsidRPr="00D30F33">
        <w:rPr>
          <w:lang w:val="en-AU"/>
        </w:rPr>
        <w:t>the environment (e.g. rivers, lakes, flora, fauna), major infrastructure (e.g. roads, residential property) and other land uses (e.g. agricultural), both direct and indirect, including present and reasonably foreseeable future pressures.</w:t>
      </w:r>
    </w:p>
    <w:p w14:paraId="3D7EE35E" w14:textId="7ED97AA7" w:rsidR="008D6835" w:rsidRPr="00C4531E" w:rsidRDefault="008D6835" w:rsidP="008D6835">
      <w:pPr>
        <w:spacing w:after="120"/>
        <w:rPr>
          <w:rFonts w:eastAsia="MS Mincho" w:cs="Times New Roman"/>
          <w:lang w:val="en-AU"/>
        </w:rPr>
      </w:pPr>
      <w:r>
        <w:rPr>
          <w:rFonts w:eastAsia="MS Mincho" w:cs="Times New Roman"/>
          <w:lang w:val="en-AU"/>
        </w:rPr>
        <w:t>T</w:t>
      </w:r>
      <w:r w:rsidRPr="00C4531E">
        <w:rPr>
          <w:rFonts w:eastAsia="MS Mincho" w:cs="Times New Roman"/>
          <w:lang w:val="en-AU"/>
        </w:rPr>
        <w:t xml:space="preserve">o </w:t>
      </w:r>
      <w:r>
        <w:rPr>
          <w:rFonts w:eastAsia="MS Mincho" w:cs="Times New Roman"/>
          <w:lang w:val="en-AU"/>
        </w:rPr>
        <w:t xml:space="preserve">support </w:t>
      </w:r>
      <w:r w:rsidRPr="00C4531E">
        <w:rPr>
          <w:rFonts w:eastAsia="MS Mincho" w:cs="Times New Roman"/>
          <w:lang w:val="en-AU"/>
        </w:rPr>
        <w:t>assess</w:t>
      </w:r>
      <w:r>
        <w:rPr>
          <w:rFonts w:eastAsia="MS Mincho" w:cs="Times New Roman"/>
          <w:lang w:val="en-AU"/>
        </w:rPr>
        <w:t>ing</w:t>
      </w:r>
      <w:r w:rsidRPr="00C4531E">
        <w:rPr>
          <w:rFonts w:eastAsia="MS Mincho" w:cs="Times New Roman"/>
          <w:lang w:val="en-AU"/>
        </w:rPr>
        <w:t xml:space="preserve"> the degree of </w:t>
      </w:r>
      <w:r>
        <w:rPr>
          <w:rFonts w:eastAsia="MS Mincho" w:cs="Times New Roman"/>
          <w:lang w:val="en-AU"/>
        </w:rPr>
        <w:t>geotechnical</w:t>
      </w:r>
      <w:r w:rsidRPr="00C4531E">
        <w:rPr>
          <w:rFonts w:eastAsia="MS Mincho" w:cs="Times New Roman"/>
          <w:lang w:val="en-AU"/>
        </w:rPr>
        <w:t xml:space="preserve">-related </w:t>
      </w:r>
      <w:r>
        <w:rPr>
          <w:rFonts w:eastAsia="MS Mincho" w:cs="Times New Roman"/>
          <w:lang w:val="en-AU"/>
        </w:rPr>
        <w:t>effect</w:t>
      </w:r>
      <w:r w:rsidRPr="00C4531E">
        <w:rPr>
          <w:rFonts w:eastAsia="MS Mincho" w:cs="Times New Roman"/>
          <w:lang w:val="en-AU"/>
        </w:rPr>
        <w:t xml:space="preserve">s on </w:t>
      </w:r>
      <w:r>
        <w:rPr>
          <w:rFonts w:eastAsia="MS Mincho" w:cs="Times New Roman"/>
          <w:lang w:val="en-AU"/>
        </w:rPr>
        <w:t xml:space="preserve">recognised </w:t>
      </w:r>
      <w:r w:rsidRPr="00C4531E">
        <w:rPr>
          <w:rFonts w:eastAsia="MS Mincho" w:cs="Times New Roman"/>
          <w:lang w:val="en-AU"/>
        </w:rPr>
        <w:t xml:space="preserve">regional receptors, </w:t>
      </w:r>
      <w:r>
        <w:rPr>
          <w:rFonts w:eastAsia="MS Mincho" w:cs="Times New Roman"/>
          <w:lang w:val="en-AU"/>
        </w:rPr>
        <w:t>this report</w:t>
      </w:r>
      <w:r w:rsidRPr="00C4531E">
        <w:rPr>
          <w:rFonts w:eastAsia="MS Mincho" w:cs="Times New Roman"/>
          <w:lang w:val="en-AU"/>
        </w:rPr>
        <w:t xml:space="preserve"> define</w:t>
      </w:r>
      <w:r>
        <w:rPr>
          <w:rFonts w:eastAsia="MS Mincho" w:cs="Times New Roman"/>
          <w:lang w:val="en-AU"/>
        </w:rPr>
        <w:t>s</w:t>
      </w:r>
      <w:r w:rsidRPr="00C4531E">
        <w:rPr>
          <w:rFonts w:eastAsia="MS Mincho" w:cs="Times New Roman"/>
          <w:lang w:val="en-AU"/>
        </w:rPr>
        <w:t>:</w:t>
      </w:r>
    </w:p>
    <w:p w14:paraId="47E5615E" w14:textId="011271E3" w:rsidR="008D6835" w:rsidRPr="004312A4" w:rsidRDefault="008D6835" w:rsidP="008D6835">
      <w:pPr>
        <w:pStyle w:val="ListParagraph"/>
        <w:numPr>
          <w:ilvl w:val="0"/>
          <w:numId w:val="42"/>
        </w:numPr>
        <w:spacing w:before="0" w:line="240" w:lineRule="atLeast"/>
        <w:contextualSpacing/>
        <w:jc w:val="left"/>
        <w:rPr>
          <w:rFonts w:eastAsia="MS Mincho"/>
          <w:sz w:val="20"/>
          <w:lang w:val="en-AU"/>
        </w:rPr>
      </w:pPr>
      <w:r w:rsidRPr="004312A4">
        <w:rPr>
          <w:sz w:val="20"/>
        </w:rPr>
        <w:t xml:space="preserve">the metrics (that is, the measures) that could be used to assess the degree of effect of rehabilitation on </w:t>
      </w:r>
      <w:r w:rsidR="004825F6">
        <w:rPr>
          <w:sz w:val="20"/>
        </w:rPr>
        <w:t>geotechnical</w:t>
      </w:r>
      <w:r w:rsidRPr="004312A4">
        <w:rPr>
          <w:sz w:val="20"/>
        </w:rPr>
        <w:t xml:space="preserve">-related receptors, with consideration of a range of values for each receptor; </w:t>
      </w:r>
    </w:p>
    <w:p w14:paraId="45D53348" w14:textId="2234A268" w:rsidR="008D6835" w:rsidRPr="004312A4" w:rsidRDefault="008D6835" w:rsidP="008D6835">
      <w:pPr>
        <w:pStyle w:val="ListParagraph"/>
        <w:numPr>
          <w:ilvl w:val="0"/>
          <w:numId w:val="42"/>
        </w:numPr>
        <w:spacing w:before="0" w:line="240" w:lineRule="atLeast"/>
        <w:contextualSpacing/>
        <w:jc w:val="left"/>
        <w:rPr>
          <w:rFonts w:eastAsia="MS Mincho"/>
          <w:sz w:val="20"/>
          <w:lang w:val="en-AU"/>
        </w:rPr>
      </w:pPr>
      <w:r w:rsidRPr="004312A4">
        <w:rPr>
          <w:sz w:val="20"/>
        </w:rPr>
        <w:t xml:space="preserve">the available information on the status of the </w:t>
      </w:r>
      <w:r w:rsidR="00E03C50">
        <w:rPr>
          <w:sz w:val="20"/>
        </w:rPr>
        <w:t>geotechnical</w:t>
      </w:r>
      <w:r w:rsidRPr="004312A4">
        <w:rPr>
          <w:sz w:val="20"/>
        </w:rPr>
        <w:t>-related receptors so that likely effects and the degree to which a receptor status changes can be assessed with respect to the defined metrics; and</w:t>
      </w:r>
    </w:p>
    <w:p w14:paraId="1F1D2CB9" w14:textId="29B236CD" w:rsidR="008D6835" w:rsidRPr="004312A4" w:rsidRDefault="008D6835" w:rsidP="008D6835">
      <w:pPr>
        <w:pStyle w:val="ListParagraph"/>
        <w:numPr>
          <w:ilvl w:val="0"/>
          <w:numId w:val="42"/>
        </w:numPr>
        <w:spacing w:before="0" w:after="220" w:line="240" w:lineRule="atLeast"/>
        <w:contextualSpacing/>
        <w:jc w:val="left"/>
        <w:rPr>
          <w:rFonts w:eastAsia="MS Mincho"/>
          <w:sz w:val="20"/>
          <w:lang w:val="en-AU"/>
        </w:rPr>
      </w:pPr>
      <w:r w:rsidRPr="004312A4">
        <w:rPr>
          <w:rFonts w:eastAsia="MS Mincho"/>
          <w:sz w:val="20"/>
          <w:lang w:val="en-AU"/>
        </w:rPr>
        <w:t xml:space="preserve">assessment guidance that can be used to assess the degree of effect of rehabilitation on </w:t>
      </w:r>
      <w:r w:rsidR="00E03C50">
        <w:rPr>
          <w:rFonts w:eastAsia="MS Mincho"/>
          <w:sz w:val="20"/>
          <w:lang w:val="en-AU"/>
        </w:rPr>
        <w:t>geotec</w:t>
      </w:r>
      <w:r w:rsidR="00863E84">
        <w:rPr>
          <w:rFonts w:eastAsia="MS Mincho"/>
          <w:sz w:val="20"/>
          <w:lang w:val="en-AU"/>
        </w:rPr>
        <w:t>hnical</w:t>
      </w:r>
      <w:r w:rsidRPr="004312A4">
        <w:rPr>
          <w:rFonts w:eastAsia="MS Mincho"/>
          <w:sz w:val="20"/>
          <w:lang w:val="en-AU"/>
        </w:rPr>
        <w:t>-related receptors identified for qua</w:t>
      </w:r>
      <w:r w:rsidR="00E65301">
        <w:rPr>
          <w:rFonts w:eastAsia="MS Mincho"/>
          <w:sz w:val="20"/>
          <w:lang w:val="en-AU"/>
        </w:rPr>
        <w:t>nti</w:t>
      </w:r>
      <w:r w:rsidRPr="004312A4">
        <w:rPr>
          <w:rFonts w:eastAsia="MS Mincho"/>
          <w:sz w:val="20"/>
          <w:lang w:val="en-AU"/>
        </w:rPr>
        <w:t>tative effects assessment.</w:t>
      </w:r>
    </w:p>
    <w:p w14:paraId="3D496756" w14:textId="77777777" w:rsidR="008D6835" w:rsidRDefault="008D6835" w:rsidP="008D6835">
      <w:pPr>
        <w:pStyle w:val="Para0"/>
        <w:rPr>
          <w:rFonts w:eastAsia="Times New Roman"/>
          <w:lang w:val="en-AU"/>
        </w:rPr>
      </w:pPr>
      <w:r w:rsidRPr="00D641B8">
        <w:rPr>
          <w:rFonts w:eastAsia="MS Mincho" w:cs="Times New Roman"/>
          <w:lang w:val="en-AU"/>
        </w:rPr>
        <w:t xml:space="preserve">The materiality assessment of the link of regional rehabilitation scenarios to recognised regional receptors was undertaken based on </w:t>
      </w:r>
      <w:r>
        <w:rPr>
          <w:rFonts w:eastAsia="MS Mincho" w:cs="Times New Roman"/>
          <w:lang w:val="en-AU"/>
        </w:rPr>
        <w:t>e</w:t>
      </w:r>
      <w:r w:rsidRPr="00D641B8">
        <w:rPr>
          <w:rFonts w:eastAsia="MS Mincho" w:cs="Times New Roman"/>
          <w:lang w:val="en-AU"/>
        </w:rPr>
        <w:t xml:space="preserve">nd </w:t>
      </w:r>
      <w:r>
        <w:rPr>
          <w:rFonts w:eastAsia="MS Mincho" w:cs="Times New Roman"/>
          <w:lang w:val="en-AU"/>
        </w:rPr>
        <w:t>s</w:t>
      </w:r>
      <w:r w:rsidRPr="00D641B8">
        <w:rPr>
          <w:rFonts w:eastAsia="MS Mincho" w:cs="Times New Roman"/>
          <w:lang w:val="en-AU"/>
        </w:rPr>
        <w:t xml:space="preserve">tate </w:t>
      </w:r>
      <w:r>
        <w:rPr>
          <w:rFonts w:eastAsia="MS Mincho" w:cs="Times New Roman"/>
          <w:lang w:val="en-AU"/>
        </w:rPr>
        <w:t>r</w:t>
      </w:r>
      <w:r w:rsidRPr="00D641B8">
        <w:rPr>
          <w:rFonts w:eastAsia="MS Mincho" w:cs="Times New Roman"/>
          <w:lang w:val="en-AU"/>
        </w:rPr>
        <w:t xml:space="preserve">egional </w:t>
      </w:r>
      <w:r>
        <w:rPr>
          <w:rFonts w:eastAsia="MS Mincho" w:cs="Times New Roman"/>
          <w:lang w:val="en-AU"/>
        </w:rPr>
        <w:t>r</w:t>
      </w:r>
      <w:r w:rsidRPr="00D641B8">
        <w:rPr>
          <w:rFonts w:eastAsia="MS Mincho" w:cs="Times New Roman"/>
          <w:lang w:val="en-AU"/>
        </w:rPr>
        <w:t xml:space="preserve">ehabilitation </w:t>
      </w:r>
      <w:r>
        <w:rPr>
          <w:rFonts w:eastAsia="MS Mincho" w:cs="Times New Roman"/>
          <w:lang w:val="en-AU"/>
        </w:rPr>
        <w:t>s</w:t>
      </w:r>
      <w:r w:rsidRPr="00D641B8">
        <w:rPr>
          <w:rFonts w:eastAsia="MS Mincho" w:cs="Times New Roman"/>
          <w:lang w:val="en-AU"/>
        </w:rPr>
        <w:t>cenarios</w:t>
      </w:r>
      <w:r>
        <w:rPr>
          <w:rFonts w:eastAsia="MS Mincho" w:cs="Times New Roman"/>
          <w:lang w:val="en-AU"/>
        </w:rPr>
        <w:t xml:space="preserve">, </w:t>
      </w:r>
      <w:r w:rsidRPr="0073299E">
        <w:rPr>
          <w:rFonts w:eastAsia="MS Mincho" w:cs="Times New Roman"/>
          <w:lang w:val="en-AU"/>
        </w:rPr>
        <w:t xml:space="preserve">particularly related to water and/or geotechnical related </w:t>
      </w:r>
      <w:r>
        <w:rPr>
          <w:rFonts w:eastAsia="MS Mincho" w:cs="Times New Roman"/>
          <w:lang w:val="en-AU"/>
        </w:rPr>
        <w:t>effect</w:t>
      </w:r>
      <w:r w:rsidRPr="0073299E">
        <w:rPr>
          <w:rFonts w:eastAsia="MS Mincho" w:cs="Times New Roman"/>
          <w:lang w:val="en-AU"/>
        </w:rPr>
        <w:t>s</w:t>
      </w:r>
      <w:r w:rsidRPr="00D641B8">
        <w:rPr>
          <w:rFonts w:eastAsia="MS Mincho" w:cs="Times New Roman"/>
          <w:lang w:val="en-AU"/>
        </w:rPr>
        <w:t xml:space="preserve">. This included the filling process, the landform that is in place once the </w:t>
      </w:r>
      <w:r>
        <w:rPr>
          <w:rFonts w:eastAsia="MS Mincho" w:cs="Times New Roman"/>
          <w:lang w:val="en-AU"/>
        </w:rPr>
        <w:t xml:space="preserve">mine void water body </w:t>
      </w:r>
      <w:r w:rsidRPr="00D641B8">
        <w:rPr>
          <w:rFonts w:eastAsia="MS Mincho" w:cs="Times New Roman"/>
          <w:lang w:val="en-AU"/>
        </w:rPr>
        <w:t xml:space="preserve">level has reached an equilibrium state, the water quality the </w:t>
      </w:r>
      <w:r>
        <w:rPr>
          <w:rFonts w:eastAsia="MS Mincho" w:cs="Times New Roman"/>
          <w:lang w:val="en-AU"/>
        </w:rPr>
        <w:t xml:space="preserve">water body </w:t>
      </w:r>
      <w:r w:rsidRPr="00D641B8">
        <w:rPr>
          <w:rFonts w:eastAsia="MS Mincho" w:cs="Times New Roman"/>
          <w:lang w:val="en-AU"/>
        </w:rPr>
        <w:t xml:space="preserve">is approaching, connectivity of a </w:t>
      </w:r>
      <w:r>
        <w:rPr>
          <w:rFonts w:eastAsia="MS Mincho" w:cs="Times New Roman"/>
          <w:lang w:val="en-AU"/>
        </w:rPr>
        <w:t xml:space="preserve">void water body </w:t>
      </w:r>
      <w:r w:rsidRPr="00D641B8">
        <w:rPr>
          <w:rFonts w:eastAsia="MS Mincho" w:cs="Times New Roman"/>
          <w:lang w:val="en-AU"/>
        </w:rPr>
        <w:t xml:space="preserve">with the other two or adjacent/receiving waterways, </w:t>
      </w:r>
      <w:r>
        <w:rPr>
          <w:rFonts w:eastAsia="MS Mincho" w:cs="Times New Roman"/>
          <w:lang w:val="en-AU"/>
        </w:rPr>
        <w:t xml:space="preserve">as </w:t>
      </w:r>
      <w:r w:rsidRPr="00D641B8">
        <w:rPr>
          <w:rFonts w:eastAsia="MS Mincho" w:cs="Times New Roman"/>
          <w:lang w:val="en-AU"/>
        </w:rPr>
        <w:t>its long-term status</w:t>
      </w:r>
      <w:r>
        <w:rPr>
          <w:rFonts w:eastAsia="MS Mincho" w:cs="Times New Roman"/>
          <w:lang w:val="en-AU"/>
        </w:rPr>
        <w:t>.</w:t>
      </w:r>
    </w:p>
    <w:p w14:paraId="2997ADF1" w14:textId="4C98CD19" w:rsidR="008D6835" w:rsidRDefault="008D6835" w:rsidP="004312A4">
      <w:pPr>
        <w:pStyle w:val="Para0"/>
        <w:rPr>
          <w:lang w:val="en-AU"/>
        </w:rPr>
      </w:pPr>
      <w:r w:rsidRPr="00F40F10">
        <w:rPr>
          <w:rFonts w:eastAsia="Times New Roman"/>
          <w:lang w:val="en-AU"/>
        </w:rPr>
        <w:t>The results of the biophysical assessment</w:t>
      </w:r>
      <w:r>
        <w:rPr>
          <w:rFonts w:eastAsia="Times New Roman"/>
          <w:lang w:val="en-AU"/>
        </w:rPr>
        <w:t>s</w:t>
      </w:r>
      <w:r w:rsidRPr="00F40F10">
        <w:rPr>
          <w:rFonts w:eastAsia="Times New Roman"/>
          <w:lang w:val="en-AU"/>
        </w:rPr>
        <w:t xml:space="preserve"> </w:t>
      </w:r>
      <w:r>
        <w:rPr>
          <w:rFonts w:eastAsia="Times New Roman"/>
          <w:lang w:val="en-AU"/>
        </w:rPr>
        <w:t xml:space="preserve">can </w:t>
      </w:r>
      <w:r w:rsidRPr="00F40F10">
        <w:rPr>
          <w:rFonts w:eastAsia="Times New Roman"/>
          <w:lang w:val="en-AU"/>
        </w:rPr>
        <w:t xml:space="preserve">then </w:t>
      </w:r>
      <w:r>
        <w:rPr>
          <w:rFonts w:eastAsia="Times New Roman"/>
          <w:lang w:val="en-AU"/>
        </w:rPr>
        <w:t xml:space="preserve">be used to </w:t>
      </w:r>
      <w:r w:rsidRPr="00F40F10">
        <w:rPr>
          <w:rFonts w:eastAsia="Times New Roman"/>
          <w:lang w:val="en-AU"/>
        </w:rPr>
        <w:t xml:space="preserve">inform an assessment of the potential social and economic </w:t>
      </w:r>
      <w:r>
        <w:rPr>
          <w:rFonts w:eastAsia="Times New Roman"/>
          <w:lang w:val="en-AU"/>
        </w:rPr>
        <w:t>effect</w:t>
      </w:r>
      <w:r w:rsidRPr="00F40F10">
        <w:rPr>
          <w:rFonts w:eastAsia="Times New Roman"/>
          <w:lang w:val="en-AU"/>
        </w:rPr>
        <w:t>s and opportunities of land uses resulting from or supported by the rehabilitation scenarios.</w:t>
      </w:r>
    </w:p>
    <w:p w14:paraId="1699744C" w14:textId="77777777" w:rsidR="0023226C" w:rsidRDefault="0023226C" w:rsidP="0023226C">
      <w:pPr>
        <w:pStyle w:val="Heading2"/>
      </w:pPr>
      <w:bookmarkStart w:id="11" w:name="_Toc52454018"/>
      <w:bookmarkStart w:id="12" w:name="_Toc52454019"/>
      <w:bookmarkStart w:id="13" w:name="_Toc52454020"/>
      <w:bookmarkStart w:id="14" w:name="_Toc52454021"/>
      <w:bookmarkStart w:id="15" w:name="_Toc52454022"/>
      <w:bookmarkStart w:id="16" w:name="_Toc52454023"/>
      <w:bookmarkStart w:id="17" w:name="_Toc52454024"/>
      <w:bookmarkStart w:id="18" w:name="_Toc52454025"/>
      <w:bookmarkStart w:id="19" w:name="_Toc495504729"/>
      <w:bookmarkStart w:id="20" w:name="_Toc501356629"/>
      <w:bookmarkStart w:id="21" w:name="_Ref522740495"/>
      <w:bookmarkStart w:id="22" w:name="_Toc57907077"/>
      <w:bookmarkEnd w:id="8"/>
      <w:bookmarkEnd w:id="11"/>
      <w:bookmarkEnd w:id="12"/>
      <w:bookmarkEnd w:id="13"/>
      <w:bookmarkEnd w:id="14"/>
      <w:bookmarkEnd w:id="15"/>
      <w:bookmarkEnd w:id="16"/>
      <w:bookmarkEnd w:id="17"/>
      <w:bookmarkEnd w:id="18"/>
      <w:r w:rsidRPr="0023226C">
        <w:t>Objective</w:t>
      </w:r>
      <w:bookmarkEnd w:id="19"/>
      <w:bookmarkEnd w:id="20"/>
      <w:bookmarkEnd w:id="21"/>
      <w:bookmarkEnd w:id="22"/>
    </w:p>
    <w:p w14:paraId="180F559D" w14:textId="743DAD14" w:rsidR="0023226C" w:rsidRPr="00BC5572" w:rsidRDefault="003D4BEF" w:rsidP="00CA0BA5">
      <w:r w:rsidRPr="00BC5572">
        <w:t xml:space="preserve">The objective </w:t>
      </w:r>
      <w:r w:rsidR="00C77334">
        <w:t>of th</w:t>
      </w:r>
      <w:r w:rsidR="0087505E">
        <w:t xml:space="preserve">is </w:t>
      </w:r>
      <w:r w:rsidR="00C77334">
        <w:t xml:space="preserve">study </w:t>
      </w:r>
      <w:r w:rsidRPr="00BC5572">
        <w:t xml:space="preserve">is to </w:t>
      </w:r>
      <w:r w:rsidR="00CA0BA5" w:rsidRPr="002D1E39">
        <w:rPr>
          <w:rFonts w:eastAsia="MS Mincho"/>
        </w:rPr>
        <w:t xml:space="preserve">identify </w:t>
      </w:r>
      <w:r w:rsidR="00CA0BA5" w:rsidRPr="002D1E39">
        <w:t xml:space="preserve">metrics </w:t>
      </w:r>
      <w:r w:rsidR="00CA0BA5">
        <w:t xml:space="preserve">and thresholds to </w:t>
      </w:r>
      <w:r w:rsidR="005B53EF">
        <w:t xml:space="preserve">use as an initial basis for </w:t>
      </w:r>
      <w:r w:rsidR="00CA0BA5">
        <w:t>assess</w:t>
      </w:r>
      <w:r w:rsidR="005B53EF">
        <w:t xml:space="preserve">ment of </w:t>
      </w:r>
      <w:r w:rsidR="00CA0BA5" w:rsidRPr="002D1E39">
        <w:t xml:space="preserve">the </w:t>
      </w:r>
      <w:r w:rsidR="00CA0BA5">
        <w:t>potential</w:t>
      </w:r>
      <w:r w:rsidR="00CA0BA5" w:rsidRPr="002D1E39">
        <w:t xml:space="preserve"> </w:t>
      </w:r>
      <w:r w:rsidR="00CA0BA5">
        <w:t>impacts</w:t>
      </w:r>
      <w:r w:rsidR="00CA0BA5">
        <w:rPr>
          <w:rStyle w:val="FootnoteReference"/>
        </w:rPr>
        <w:footnoteReference w:id="6"/>
      </w:r>
      <w:r w:rsidR="00CA0BA5">
        <w:t xml:space="preserve"> of ground movement from pit lake rehabilitation on </w:t>
      </w:r>
      <w:r w:rsidR="00A53DF4">
        <w:t xml:space="preserve">recognised </w:t>
      </w:r>
      <w:r w:rsidR="00CA0BA5">
        <w:t>regional receptors</w:t>
      </w:r>
      <w:r>
        <w:t>.</w:t>
      </w:r>
    </w:p>
    <w:p w14:paraId="60879AFE" w14:textId="61B5B67C" w:rsidR="009A1A4A" w:rsidRPr="00584B86" w:rsidRDefault="009A1A4A" w:rsidP="00037DF4">
      <w:pPr>
        <w:pStyle w:val="Heading2"/>
      </w:pPr>
      <w:bookmarkStart w:id="23" w:name="_Toc57907078"/>
      <w:r w:rsidRPr="00584B86">
        <w:t>Scope</w:t>
      </w:r>
      <w:bookmarkEnd w:id="23"/>
    </w:p>
    <w:p w14:paraId="36DBDB97" w14:textId="0E5AC1A9" w:rsidR="009A1A4A" w:rsidRDefault="009A1A4A" w:rsidP="009A1A4A">
      <w:pPr>
        <w:rPr>
          <w:rFonts w:eastAsia="MS Mincho"/>
          <w:lang w:val="en-AU"/>
        </w:rPr>
      </w:pPr>
      <w:r w:rsidRPr="00BC5572">
        <w:rPr>
          <w:rFonts w:eastAsia="MS Mincho"/>
          <w:lang w:val="en-AU"/>
        </w:rPr>
        <w:t>The following receptors are within the scope</w:t>
      </w:r>
      <w:r w:rsidR="001D0356">
        <w:rPr>
          <w:rFonts w:eastAsia="MS Mincho"/>
          <w:lang w:val="en-AU"/>
        </w:rPr>
        <w:t xml:space="preserve"> of this study and have been considered </w:t>
      </w:r>
      <w:r w:rsidR="00C00F5F">
        <w:rPr>
          <w:rFonts w:eastAsia="MS Mincho"/>
          <w:lang w:val="en-AU"/>
        </w:rPr>
        <w:t>from the perspective of geotechnical-related effects</w:t>
      </w:r>
      <w:r w:rsidR="00191DC3">
        <w:rPr>
          <w:rFonts w:eastAsia="MS Mincho"/>
          <w:lang w:val="en-AU"/>
        </w:rPr>
        <w:t xml:space="preserve">, that is </w:t>
      </w:r>
      <w:r w:rsidR="00C00F5F">
        <w:rPr>
          <w:rFonts w:eastAsia="MS Mincho"/>
          <w:lang w:val="en-AU"/>
        </w:rPr>
        <w:t>ones caused by ground movement</w:t>
      </w:r>
      <w:r w:rsidR="00191DC3">
        <w:rPr>
          <w:rFonts w:eastAsia="MS Mincho"/>
          <w:lang w:val="en-AU"/>
        </w:rPr>
        <w:t xml:space="preserve"> related to rehabilitation</w:t>
      </w:r>
      <w:r>
        <w:rPr>
          <w:rFonts w:eastAsia="MS Mincho"/>
          <w:lang w:val="en-AU"/>
        </w:rPr>
        <w:t>:</w:t>
      </w:r>
      <w:r w:rsidRPr="00BC5572">
        <w:rPr>
          <w:rFonts w:eastAsia="MS Mincho"/>
          <w:lang w:val="en-AU"/>
        </w:rPr>
        <w:t xml:space="preserve"> </w:t>
      </w:r>
    </w:p>
    <w:p w14:paraId="2B83EF06" w14:textId="05D0BA10" w:rsidR="009A1A4A" w:rsidRPr="00585E9A" w:rsidRDefault="009A1A4A" w:rsidP="009A1A4A">
      <w:pPr>
        <w:pStyle w:val="Para0bullet"/>
      </w:pPr>
      <w:r>
        <w:t xml:space="preserve">Aboriginal and </w:t>
      </w:r>
      <w:r w:rsidR="00CF7373">
        <w:t xml:space="preserve">non-aboriginal Cultural </w:t>
      </w:r>
      <w:r w:rsidRPr="00585E9A">
        <w:t>Heritage</w:t>
      </w:r>
    </w:p>
    <w:p w14:paraId="7F75715F" w14:textId="77777777" w:rsidR="009A1A4A" w:rsidRPr="00585E9A" w:rsidRDefault="009A1A4A" w:rsidP="009A1A4A">
      <w:pPr>
        <w:pStyle w:val="Para0bullet"/>
      </w:pPr>
      <w:r w:rsidRPr="00585E9A">
        <w:t>Infrastructure</w:t>
      </w:r>
    </w:p>
    <w:p w14:paraId="578B528E" w14:textId="77777777" w:rsidR="009A1A4A" w:rsidRPr="00585E9A" w:rsidRDefault="009A1A4A" w:rsidP="009A1A4A">
      <w:pPr>
        <w:pStyle w:val="Para0bullet"/>
      </w:pPr>
      <w:r w:rsidRPr="00585E9A">
        <w:t>Land</w:t>
      </w:r>
    </w:p>
    <w:p w14:paraId="4C2EA756" w14:textId="77777777" w:rsidR="005B53EF" w:rsidRDefault="009A1A4A" w:rsidP="009A1A4A">
      <w:pPr>
        <w:pStyle w:val="Para0bullet"/>
      </w:pPr>
      <w:r>
        <w:t>Water resources related</w:t>
      </w:r>
      <w:r w:rsidRPr="00585E9A">
        <w:t xml:space="preserve"> infrastructure</w:t>
      </w:r>
    </w:p>
    <w:p w14:paraId="16EAF3F8" w14:textId="184F20A7" w:rsidR="009A1A4A" w:rsidRDefault="005B53EF" w:rsidP="009A1A4A">
      <w:pPr>
        <w:pStyle w:val="Para0bullet"/>
      </w:pPr>
      <w:r>
        <w:t xml:space="preserve">Environmental </w:t>
      </w:r>
      <w:r w:rsidR="00594FCD">
        <w:t>features</w:t>
      </w:r>
      <w:r w:rsidR="009A1A4A">
        <w:t>.</w:t>
      </w:r>
    </w:p>
    <w:p w14:paraId="26C505FE" w14:textId="1640CE22" w:rsidR="009A1A4A" w:rsidRDefault="009A1A4A" w:rsidP="009A1A4A">
      <w:pPr>
        <w:spacing w:after="120"/>
      </w:pPr>
      <w:r>
        <w:t>Within this report, e</w:t>
      </w:r>
      <w:r w:rsidRPr="00954911">
        <w:t xml:space="preserve">xisting </w:t>
      </w:r>
      <w:r>
        <w:t xml:space="preserve">Latrobe Valley </w:t>
      </w:r>
      <w:r w:rsidRPr="00954911">
        <w:t xml:space="preserve">coal reserves </w:t>
      </w:r>
      <w:r>
        <w:t>have</w:t>
      </w:r>
      <w:r w:rsidRPr="00954911">
        <w:t xml:space="preserve"> be</w:t>
      </w:r>
      <w:r>
        <w:t>en</w:t>
      </w:r>
      <w:r w:rsidRPr="00954911">
        <w:t xml:space="preserve"> treated as a receptor in </w:t>
      </w:r>
      <w:r>
        <w:t xml:space="preserve">relation to potential restrictions on future coal access </w:t>
      </w:r>
      <w:r w:rsidR="00C4132D">
        <w:t>because of</w:t>
      </w:r>
      <w:r>
        <w:t xml:space="preserve"> mine rehabilitation.</w:t>
      </w:r>
    </w:p>
    <w:p w14:paraId="2A9745C1" w14:textId="2F19C622" w:rsidR="009A1A4A" w:rsidRDefault="009A1A4A" w:rsidP="009A1A4A">
      <w:pPr>
        <w:spacing w:after="120"/>
        <w:rPr>
          <w:rFonts w:eastAsia="MS Mincho" w:cs="Times New Roman"/>
          <w:lang w:val="en-AU"/>
        </w:rPr>
      </w:pPr>
      <w:r w:rsidRPr="00BC5572">
        <w:rPr>
          <w:rFonts w:eastAsia="MS Mincho" w:cs="Times New Roman"/>
          <w:lang w:val="en-AU"/>
        </w:rPr>
        <w:t xml:space="preserve">Foreseeable future receptors </w:t>
      </w:r>
      <w:r>
        <w:rPr>
          <w:rFonts w:eastAsia="MS Mincho" w:cs="Times New Roman"/>
          <w:lang w:val="en-AU"/>
        </w:rPr>
        <w:t>have</w:t>
      </w:r>
      <w:r w:rsidRPr="00BC5572">
        <w:rPr>
          <w:rFonts w:eastAsia="MS Mincho" w:cs="Times New Roman"/>
          <w:lang w:val="en-AU"/>
        </w:rPr>
        <w:t xml:space="preserve"> be</w:t>
      </w:r>
      <w:r>
        <w:rPr>
          <w:rFonts w:eastAsia="MS Mincho" w:cs="Times New Roman"/>
          <w:lang w:val="en-AU"/>
        </w:rPr>
        <w:t>en</w:t>
      </w:r>
      <w:r w:rsidRPr="00BC5572">
        <w:rPr>
          <w:rFonts w:eastAsia="MS Mincho" w:cs="Times New Roman"/>
          <w:lang w:val="en-AU"/>
        </w:rPr>
        <w:t xml:space="preserve"> identified</w:t>
      </w:r>
      <w:r>
        <w:rPr>
          <w:rFonts w:eastAsia="MS Mincho" w:cs="Times New Roman"/>
          <w:lang w:val="en-AU"/>
        </w:rPr>
        <w:t xml:space="preserve"> through a combination of stakeholder workshops </w:t>
      </w:r>
      <w:r w:rsidR="008838B1">
        <w:rPr>
          <w:rFonts w:eastAsia="MS Mincho" w:cs="Times New Roman"/>
          <w:lang w:val="en-AU"/>
        </w:rPr>
        <w:t xml:space="preserve">conducted </w:t>
      </w:r>
      <w:r w:rsidR="004C7B37">
        <w:rPr>
          <w:rFonts w:eastAsia="MS Mincho" w:cs="Times New Roman"/>
          <w:lang w:val="en-AU"/>
        </w:rPr>
        <w:t xml:space="preserve">for </w:t>
      </w:r>
      <w:r w:rsidR="008838B1">
        <w:rPr>
          <w:rFonts w:eastAsia="MS Mincho" w:cs="Times New Roman"/>
          <w:lang w:val="en-AU"/>
        </w:rPr>
        <w:t xml:space="preserve">this study </w:t>
      </w:r>
      <w:r>
        <w:rPr>
          <w:rFonts w:eastAsia="MS Mincho" w:cs="Times New Roman"/>
          <w:lang w:val="en-AU"/>
        </w:rPr>
        <w:t>and a review of literature</w:t>
      </w:r>
      <w:r w:rsidRPr="00BC5572">
        <w:rPr>
          <w:rFonts w:eastAsia="MS Mincho" w:cs="Times New Roman"/>
          <w:lang w:val="en-AU"/>
        </w:rPr>
        <w:t xml:space="preserve">. </w:t>
      </w:r>
      <w:r w:rsidR="00916CCC">
        <w:rPr>
          <w:rFonts w:eastAsia="MS Mincho" w:cs="Times New Roman"/>
          <w:lang w:val="en-AU"/>
        </w:rPr>
        <w:t xml:space="preserve"> </w:t>
      </w:r>
      <w:r w:rsidRPr="00BC5572">
        <w:rPr>
          <w:rFonts w:eastAsia="MS Mincho" w:cs="Times New Roman"/>
          <w:lang w:val="en-AU"/>
        </w:rPr>
        <w:t xml:space="preserve">These </w:t>
      </w:r>
      <w:r w:rsidR="00143B3F">
        <w:rPr>
          <w:rFonts w:eastAsia="MS Mincho" w:cs="Times New Roman"/>
          <w:lang w:val="en-AU"/>
        </w:rPr>
        <w:t xml:space="preserve">(foreseeable) </w:t>
      </w:r>
      <w:r>
        <w:rPr>
          <w:rFonts w:eastAsia="MS Mincho" w:cs="Times New Roman"/>
          <w:lang w:val="en-AU"/>
        </w:rPr>
        <w:t xml:space="preserve">future receptors </w:t>
      </w:r>
      <w:r w:rsidRPr="00BC5572">
        <w:rPr>
          <w:rFonts w:eastAsia="MS Mincho" w:cs="Times New Roman"/>
          <w:lang w:val="en-AU"/>
        </w:rPr>
        <w:t xml:space="preserve">are </w:t>
      </w:r>
      <w:r w:rsidR="00143B3F">
        <w:rPr>
          <w:rFonts w:eastAsia="MS Mincho" w:cs="Times New Roman"/>
          <w:lang w:val="en-AU"/>
        </w:rPr>
        <w:t xml:space="preserve">most commonly </w:t>
      </w:r>
      <w:r w:rsidRPr="00BC5572">
        <w:rPr>
          <w:rFonts w:eastAsia="MS Mincho" w:cs="Times New Roman"/>
          <w:lang w:val="en-AU"/>
        </w:rPr>
        <w:t xml:space="preserve">potential land use </w:t>
      </w:r>
      <w:r w:rsidR="00904EC7">
        <w:rPr>
          <w:rFonts w:eastAsia="MS Mincho" w:cs="Times New Roman"/>
          <w:lang w:val="en-AU"/>
        </w:rPr>
        <w:t xml:space="preserve">changes </w:t>
      </w:r>
      <w:r w:rsidRPr="00BC5572">
        <w:rPr>
          <w:rFonts w:eastAsia="MS Mincho" w:cs="Times New Roman"/>
          <w:lang w:val="en-AU"/>
        </w:rPr>
        <w:t>which may occur in the short to medium term</w:t>
      </w:r>
      <w:r w:rsidR="00904EC7">
        <w:rPr>
          <w:rFonts w:eastAsia="MS Mincho" w:cs="Times New Roman"/>
          <w:lang w:val="en-AU"/>
        </w:rPr>
        <w:t xml:space="preserve">. </w:t>
      </w:r>
      <w:r w:rsidR="00916CCC">
        <w:rPr>
          <w:rFonts w:eastAsia="MS Mincho" w:cs="Times New Roman"/>
          <w:lang w:val="en-AU"/>
        </w:rPr>
        <w:t xml:space="preserve"> </w:t>
      </w:r>
      <w:r w:rsidR="00904EC7">
        <w:rPr>
          <w:rFonts w:eastAsia="MS Mincho" w:cs="Times New Roman"/>
          <w:lang w:val="en-AU"/>
        </w:rPr>
        <w:t>These land use changes are foreseeable as they are</w:t>
      </w:r>
      <w:r w:rsidRPr="00BC5572">
        <w:rPr>
          <w:rFonts w:eastAsia="MS Mincho" w:cs="Times New Roman"/>
          <w:lang w:val="en-AU"/>
        </w:rPr>
        <w:t xml:space="preserve"> based on regional growth plans and strategies (e.g. expansion of urban growth in Morwell and Traralgon</w:t>
      </w:r>
      <w:r w:rsidR="00904EC7">
        <w:rPr>
          <w:rFonts w:eastAsia="MS Mincho" w:cs="Times New Roman"/>
          <w:lang w:val="en-AU"/>
        </w:rPr>
        <w:t xml:space="preserve"> or </w:t>
      </w:r>
      <w:r w:rsidRPr="00BC5572">
        <w:rPr>
          <w:rFonts w:eastAsia="MS Mincho" w:cs="Times New Roman"/>
          <w:lang w:val="en-AU"/>
        </w:rPr>
        <w:t>proposed sites for major new infrastructure</w:t>
      </w:r>
      <w:r w:rsidR="00904EC7">
        <w:rPr>
          <w:rFonts w:eastAsia="MS Mincho" w:cs="Times New Roman"/>
          <w:lang w:val="en-AU"/>
        </w:rPr>
        <w:t>,</w:t>
      </w:r>
      <w:r w:rsidRPr="00BC5572">
        <w:rPr>
          <w:rFonts w:eastAsia="MS Mincho" w:cs="Times New Roman"/>
          <w:lang w:val="en-AU"/>
        </w:rPr>
        <w:t xml:space="preserve"> such as </w:t>
      </w:r>
      <w:r w:rsidR="00F12175">
        <w:rPr>
          <w:rFonts w:eastAsia="MS Mincho" w:cs="Times New Roman"/>
          <w:lang w:val="en-AU"/>
        </w:rPr>
        <w:t xml:space="preserve">the </w:t>
      </w:r>
      <w:r w:rsidRPr="00BC5572">
        <w:rPr>
          <w:rFonts w:eastAsia="MS Mincho" w:cs="Times New Roman"/>
          <w:lang w:val="en-AU"/>
        </w:rPr>
        <w:t>Traralgon bypass).</w:t>
      </w:r>
    </w:p>
    <w:p w14:paraId="42EE075E" w14:textId="3C4F3BD0" w:rsidR="009A1A4A" w:rsidRDefault="009A1A4A" w:rsidP="009A1A4A">
      <w:r>
        <w:t xml:space="preserve">This geotechnical report is focused on </w:t>
      </w:r>
      <w:r w:rsidRPr="00C70108">
        <w:t xml:space="preserve">physical receptors. </w:t>
      </w:r>
      <w:r w:rsidR="00916CCC">
        <w:t xml:space="preserve"> </w:t>
      </w:r>
      <w:r w:rsidR="007C4DA8">
        <w:t>S</w:t>
      </w:r>
      <w:r w:rsidR="007C4DA8" w:rsidRPr="00FE2770">
        <w:t>ocial and economic receptors</w:t>
      </w:r>
      <w:r w:rsidR="007C4DA8">
        <w:t>,</w:t>
      </w:r>
      <w:r w:rsidR="007C4DA8" w:rsidRPr="00FE2770">
        <w:t xml:space="preserve"> </w:t>
      </w:r>
      <w:r w:rsidR="007C4DA8">
        <w:t>valued by stakeholders and communities in the Latrobe Valley, potentially affected by mine rehabilitation will require consideration as part of the mine operators’ development and government approval of Declared Mine Rehabilitation Plans.</w:t>
      </w:r>
    </w:p>
    <w:p w14:paraId="6BCD9699" w14:textId="50D9C344" w:rsidR="00DA2478" w:rsidRDefault="009A1A4A" w:rsidP="009A1A4A">
      <w:r w:rsidRPr="00BC5572">
        <w:t xml:space="preserve">This </w:t>
      </w:r>
      <w:r w:rsidRPr="003112A0">
        <w:t xml:space="preserve">task </w:t>
      </w:r>
      <w:r w:rsidR="00BC5FDC">
        <w:t xml:space="preserve">has </w:t>
      </w:r>
      <w:r w:rsidRPr="003112A0">
        <w:t>compil</w:t>
      </w:r>
      <w:r w:rsidR="00BC5FDC">
        <w:t>ed</w:t>
      </w:r>
      <w:r w:rsidRPr="003112A0">
        <w:t xml:space="preserve"> information on </w:t>
      </w:r>
      <w:r>
        <w:t xml:space="preserve">the metrics and thresholds of receptors </w:t>
      </w:r>
      <w:r w:rsidR="002C75B8">
        <w:t xml:space="preserve">to support and </w:t>
      </w:r>
      <w:r>
        <w:t xml:space="preserve">maintain their primary and inter-dependent values </w:t>
      </w:r>
      <w:r w:rsidRPr="003112A0">
        <w:t xml:space="preserve">and </w:t>
      </w:r>
      <w:r w:rsidR="00BC5FDC">
        <w:t xml:space="preserve">has not </w:t>
      </w:r>
      <w:r w:rsidRPr="003112A0">
        <w:t>undertake</w:t>
      </w:r>
      <w:r w:rsidR="00BC5FDC">
        <w:t>n</w:t>
      </w:r>
      <w:r w:rsidRPr="003112A0">
        <w:t xml:space="preserve"> original research</w:t>
      </w:r>
      <w:r w:rsidR="00BC5FDC">
        <w:t xml:space="preserve"> on </w:t>
      </w:r>
      <w:r w:rsidR="00D9376B">
        <w:t>the tolerance of receptors to possible effects</w:t>
      </w:r>
      <w:r w:rsidRPr="003112A0">
        <w:t>.</w:t>
      </w:r>
      <w:r w:rsidR="00916CCC">
        <w:t xml:space="preserve"> </w:t>
      </w:r>
      <w:r w:rsidR="00A62688">
        <w:t xml:space="preserve"> Future work may be required if significant effects are expected for receptors and the specifics of </w:t>
      </w:r>
      <w:r w:rsidR="00DA2478">
        <w:t>their situation needs to be considered.</w:t>
      </w:r>
    </w:p>
    <w:p w14:paraId="409D8B79" w14:textId="5762CD26" w:rsidR="00FC375E" w:rsidRDefault="009A1A4A" w:rsidP="009A1A4A">
      <w:r>
        <w:t xml:space="preserve">Time dependency </w:t>
      </w:r>
      <w:r w:rsidR="00DA2478">
        <w:t xml:space="preserve">of thresholds </w:t>
      </w:r>
      <w:r>
        <w:t xml:space="preserve">is not quantified in </w:t>
      </w:r>
      <w:r w:rsidR="00D1662C">
        <w:t>this study</w:t>
      </w:r>
      <w:r>
        <w:t>.</w:t>
      </w:r>
      <w:r w:rsidR="00916CCC">
        <w:t xml:space="preserve"> </w:t>
      </w:r>
      <w:r>
        <w:t xml:space="preserve"> </w:t>
      </w:r>
      <w:r w:rsidR="00D1662C">
        <w:t>For example, if a strain value or movement threshold is approach</w:t>
      </w:r>
      <w:r w:rsidR="00504930">
        <w:t>ed</w:t>
      </w:r>
      <w:r w:rsidR="00D1662C">
        <w:t xml:space="preserve"> over a long period of time, the capacity of a receptor to respond </w:t>
      </w:r>
      <w:r w:rsidR="009C663F">
        <w:t xml:space="preserve">may differ compared with a rapid approach to a threshold. </w:t>
      </w:r>
      <w:r w:rsidR="00916CCC">
        <w:t xml:space="preserve"> </w:t>
      </w:r>
      <w:r w:rsidR="009C663F">
        <w:t xml:space="preserve">These differences have </w:t>
      </w:r>
      <w:r w:rsidR="00D1662C">
        <w:t xml:space="preserve">not been considered in this work. </w:t>
      </w:r>
      <w:r w:rsidR="00916CCC">
        <w:t xml:space="preserve"> </w:t>
      </w:r>
      <w:r w:rsidR="009C663F">
        <w:t xml:space="preserve">Again, future study under the auspices of the LVRRS </w:t>
      </w:r>
      <w:r w:rsidR="001F3C34">
        <w:t xml:space="preserve">may be required to address critical receptors, if they are identified. </w:t>
      </w:r>
      <w:r w:rsidR="00916CCC">
        <w:t xml:space="preserve"> </w:t>
      </w:r>
      <w:r w:rsidR="00D1662C">
        <w:t xml:space="preserve">Similarly, </w:t>
      </w:r>
      <w:r w:rsidR="001F3C34">
        <w:t xml:space="preserve">details of </w:t>
      </w:r>
      <w:r w:rsidR="00D1662C">
        <w:t xml:space="preserve">the age and condition of </w:t>
      </w:r>
      <w:r w:rsidR="001F3C34">
        <w:t xml:space="preserve">most </w:t>
      </w:r>
      <w:r w:rsidR="00D1662C">
        <w:t>receptors is generally not known at this</w:t>
      </w:r>
      <w:r w:rsidR="00A04402">
        <w:t xml:space="preserve"> stage of the assessment.</w:t>
      </w:r>
      <w:r>
        <w:t xml:space="preserve"> </w:t>
      </w:r>
      <w:r w:rsidR="00916CCC">
        <w:t xml:space="preserve"> </w:t>
      </w:r>
      <w:r>
        <w:t>Future analysis can provide guidelines for time</w:t>
      </w:r>
      <w:r w:rsidR="00A04402">
        <w:t>-</w:t>
      </w:r>
      <w:r>
        <w:t>based changes</w:t>
      </w:r>
      <w:r w:rsidR="00A04402">
        <w:t>, especially once the likely rehabilitation approach is better known</w:t>
      </w:r>
      <w:r w:rsidR="00753C15">
        <w:t xml:space="preserve"> and the risks of effects are better understood</w:t>
      </w:r>
      <w:r>
        <w:t>.</w:t>
      </w:r>
    </w:p>
    <w:p w14:paraId="353B2489" w14:textId="45BC369A" w:rsidR="009A1A4A" w:rsidRDefault="009A1A4A" w:rsidP="00897342">
      <w:pPr>
        <w:pStyle w:val="Heading2"/>
      </w:pPr>
      <w:bookmarkStart w:id="24" w:name="_Toc57907079"/>
      <w:bookmarkStart w:id="25" w:name="_Hlk13055311"/>
      <w:r>
        <w:t>Approach</w:t>
      </w:r>
      <w:bookmarkEnd w:id="24"/>
    </w:p>
    <w:bookmarkEnd w:id="25"/>
    <w:p w14:paraId="1F541EE3" w14:textId="78639FC8" w:rsidR="0023226C" w:rsidRDefault="00037DF4" w:rsidP="0023226C">
      <w:pPr>
        <w:rPr>
          <w:szCs w:val="20"/>
        </w:rPr>
      </w:pPr>
      <w:r>
        <w:t>The study has involved the following steps</w:t>
      </w:r>
      <w:r w:rsidR="0023226C" w:rsidRPr="00855998">
        <w:rPr>
          <w:szCs w:val="20"/>
        </w:rPr>
        <w:t xml:space="preserve">: </w:t>
      </w:r>
    </w:p>
    <w:p w14:paraId="57323F25" w14:textId="165D4467" w:rsidR="009B4CA0" w:rsidRDefault="009B4CA0" w:rsidP="009B4CA0">
      <w:pPr>
        <w:pStyle w:val="Para0"/>
      </w:pPr>
      <w:r w:rsidRPr="00E77400">
        <w:rPr>
          <w:b/>
        </w:rPr>
        <w:t>Step 1</w:t>
      </w:r>
      <w:r>
        <w:t xml:space="preserve"> - Collate recognised regional receptors identified from the LVRRS Identification of Recognised Regional Receptor study (Jacobs, 2019). </w:t>
      </w:r>
      <w:r w:rsidR="00FC375E">
        <w:t xml:space="preserve"> </w:t>
      </w:r>
      <w:r>
        <w:t>An inventory of recognised receptors within the study area was developed.</w:t>
      </w:r>
    </w:p>
    <w:p w14:paraId="3DAD5D69" w14:textId="77777777" w:rsidR="009B4CA0" w:rsidRDefault="009B4CA0" w:rsidP="009B4CA0">
      <w:pPr>
        <w:pStyle w:val="Para0"/>
      </w:pPr>
      <w:r w:rsidRPr="00E77400">
        <w:rPr>
          <w:b/>
        </w:rPr>
        <w:t>Step 2</w:t>
      </w:r>
      <w:r>
        <w:t xml:space="preserve"> - Consult with geotechnical related receptor custodians and identify proposed recognised and materially impacted receptors, to identify likely geotechnical-related dependent receptors.</w:t>
      </w:r>
    </w:p>
    <w:p w14:paraId="3EE55F5C" w14:textId="77777777" w:rsidR="009B4CA0" w:rsidRDefault="009B4CA0" w:rsidP="009B4CA0">
      <w:pPr>
        <w:pStyle w:val="Para0"/>
      </w:pPr>
      <w:r w:rsidRPr="00E77400">
        <w:rPr>
          <w:b/>
        </w:rPr>
        <w:t>Step 3</w:t>
      </w:r>
      <w:r>
        <w:t xml:space="preserve"> - Conduct a literature review of geotechnical related receptor metrics including an overview of existing and accepted metrics used for the likely geotechnical-related dependent receptors.</w:t>
      </w:r>
    </w:p>
    <w:p w14:paraId="00881A94" w14:textId="77777777" w:rsidR="009B4CA0" w:rsidRDefault="009B4CA0" w:rsidP="009B4CA0">
      <w:pPr>
        <w:pStyle w:val="Para0"/>
      </w:pPr>
      <w:r w:rsidRPr="00E77400">
        <w:rPr>
          <w:b/>
        </w:rPr>
        <w:t>Step 4</w:t>
      </w:r>
      <w:r>
        <w:t xml:space="preserve"> - Select metrics and thresholds to identify and describe the potential impact of geotechnical concern and identification of the best metrics to measure current condition and trends for each receptor.</w:t>
      </w:r>
    </w:p>
    <w:p w14:paraId="0083900D" w14:textId="77777777" w:rsidR="0023226C" w:rsidRPr="00F57232" w:rsidRDefault="0023226C" w:rsidP="0023226C">
      <w:pPr>
        <w:pStyle w:val="Heading2"/>
      </w:pPr>
      <w:bookmarkStart w:id="26" w:name="_Toc427927649"/>
      <w:bookmarkStart w:id="27" w:name="_Toc436045730"/>
      <w:bookmarkStart w:id="28" w:name="_Toc444099070"/>
      <w:bookmarkStart w:id="29" w:name="_Toc501356633"/>
      <w:bookmarkStart w:id="30" w:name="_Toc57907080"/>
      <w:bookmarkStart w:id="31" w:name="_Hlk13055326"/>
      <w:r w:rsidRPr="00F57232">
        <w:t>Report Structure</w:t>
      </w:r>
      <w:bookmarkEnd w:id="26"/>
      <w:bookmarkEnd w:id="27"/>
      <w:bookmarkEnd w:id="28"/>
      <w:bookmarkEnd w:id="29"/>
      <w:bookmarkEnd w:id="30"/>
    </w:p>
    <w:bookmarkEnd w:id="31"/>
    <w:p w14:paraId="3435FBBE" w14:textId="4DCFDD7D" w:rsidR="00FA1CDA" w:rsidRDefault="00DC4B90" w:rsidP="00FA1CDA">
      <w:pPr>
        <w:pStyle w:val="Para0"/>
        <w:spacing w:before="0"/>
      </w:pPr>
      <w:r>
        <w:t>Th</w:t>
      </w:r>
      <w:r w:rsidR="0049468E">
        <w:t xml:space="preserve">e body of this </w:t>
      </w:r>
      <w:r w:rsidR="00FA1CDA">
        <w:t xml:space="preserve">report </w:t>
      </w:r>
      <w:r>
        <w:t xml:space="preserve">is </w:t>
      </w:r>
      <w:r w:rsidR="00FA1CDA">
        <w:t>structure</w:t>
      </w:r>
      <w:r>
        <w:t>d</w:t>
      </w:r>
      <w:r w:rsidR="00FA1CDA">
        <w:t xml:space="preserve"> </w:t>
      </w:r>
      <w:r>
        <w:t>as follows</w:t>
      </w:r>
      <w:r w:rsidR="00FA1CDA">
        <w:t>:</w:t>
      </w:r>
    </w:p>
    <w:p w14:paraId="15140F4A" w14:textId="0AE9A4C9" w:rsidR="0023226C" w:rsidRPr="003F2095" w:rsidRDefault="0023226C" w:rsidP="00855998">
      <w:pPr>
        <w:pStyle w:val="Para0bullet"/>
      </w:pPr>
      <w:r w:rsidRPr="00FD5808">
        <w:t xml:space="preserve">Section 1 </w:t>
      </w:r>
      <w:r w:rsidR="00F974DE">
        <w:t>-</w:t>
      </w:r>
      <w:r w:rsidR="00FC375E">
        <w:t xml:space="preserve"> </w:t>
      </w:r>
      <w:r w:rsidRPr="00FD5808">
        <w:t>Introduction</w:t>
      </w:r>
      <w:r w:rsidR="00F974DE">
        <w:t xml:space="preserve">: </w:t>
      </w:r>
      <w:r w:rsidRPr="00FD5808">
        <w:t>describes the background, objective, scope</w:t>
      </w:r>
      <w:r w:rsidR="00DC4B90">
        <w:t>, and approach</w:t>
      </w:r>
      <w:r w:rsidR="007D2CCC">
        <w:t xml:space="preserve"> for this report</w:t>
      </w:r>
      <w:r w:rsidR="006720F4">
        <w:t>.</w:t>
      </w:r>
    </w:p>
    <w:p w14:paraId="3D9B453A" w14:textId="5BD71B43" w:rsidR="0023226C" w:rsidRPr="003D5E14" w:rsidRDefault="0023226C" w:rsidP="00855998">
      <w:pPr>
        <w:pStyle w:val="Para0bullet"/>
      </w:pPr>
      <w:r w:rsidRPr="003F2095">
        <w:t xml:space="preserve">Section 2 </w:t>
      </w:r>
      <w:r w:rsidR="00F974DE">
        <w:t>-</w:t>
      </w:r>
      <w:r w:rsidR="00FC375E">
        <w:t xml:space="preserve"> </w:t>
      </w:r>
      <w:r w:rsidRPr="003F2095">
        <w:t>Approach to identifying metrics</w:t>
      </w:r>
      <w:r w:rsidR="005B37CC">
        <w:t xml:space="preserve"> and </w:t>
      </w:r>
      <w:r w:rsidRPr="003F2095">
        <w:t>thresholds</w:t>
      </w:r>
      <w:r w:rsidR="00F974DE">
        <w:t>:</w:t>
      </w:r>
      <w:r w:rsidRPr="003F2095">
        <w:t xml:space="preserve"> </w:t>
      </w:r>
      <w:r w:rsidR="00DC4B90">
        <w:t xml:space="preserve">provides </w:t>
      </w:r>
      <w:r w:rsidR="005B37CC">
        <w:t xml:space="preserve">an overview of the </w:t>
      </w:r>
      <w:r w:rsidR="00E33FD4">
        <w:t>approach used for this study</w:t>
      </w:r>
      <w:r w:rsidR="006720F4">
        <w:t>.</w:t>
      </w:r>
    </w:p>
    <w:p w14:paraId="08BB9685" w14:textId="43433252" w:rsidR="0023226C" w:rsidRPr="009B3A49" w:rsidRDefault="0023226C" w:rsidP="00855998">
      <w:pPr>
        <w:pStyle w:val="Para0bullet"/>
      </w:pPr>
      <w:r w:rsidRPr="003D5E14">
        <w:t xml:space="preserve">Section 3 </w:t>
      </w:r>
      <w:r w:rsidR="00F974DE">
        <w:t xml:space="preserve">- </w:t>
      </w:r>
      <w:r w:rsidRPr="004743CA">
        <w:t>Overview of ground movement</w:t>
      </w:r>
      <w:r w:rsidR="00F974DE">
        <w:t xml:space="preserve">: </w:t>
      </w:r>
      <w:r w:rsidRPr="003D5E14">
        <w:t xml:space="preserve">describes the modes of ground </w:t>
      </w:r>
      <w:r w:rsidR="00E33FD4">
        <w:t>movement in the Latrobe Valley</w:t>
      </w:r>
      <w:r w:rsidR="00987863">
        <w:t xml:space="preserve"> which may give rise to the effect that the metrics and thresholds </w:t>
      </w:r>
      <w:r w:rsidR="006720F4">
        <w:t>apply to.</w:t>
      </w:r>
    </w:p>
    <w:p w14:paraId="1F8A14A1" w14:textId="4DE2453A" w:rsidR="0023226C" w:rsidRDefault="0023226C" w:rsidP="00855998">
      <w:pPr>
        <w:pStyle w:val="Para0bullet"/>
      </w:pPr>
      <w:r>
        <w:t xml:space="preserve">Section 4 </w:t>
      </w:r>
      <w:r w:rsidR="00F974DE">
        <w:t xml:space="preserve">- </w:t>
      </w:r>
      <w:r w:rsidR="00AB7205">
        <w:t>Introduction to re</w:t>
      </w:r>
      <w:r w:rsidR="00A516AC">
        <w:t>c</w:t>
      </w:r>
      <w:r w:rsidR="00AB7205">
        <w:t>ognised regional receptors</w:t>
      </w:r>
      <w:r w:rsidR="00F974DE">
        <w:t>:</w:t>
      </w:r>
      <w:r w:rsidR="00AB7205">
        <w:t xml:space="preserve"> Provides an overview of what the rec</w:t>
      </w:r>
      <w:r w:rsidR="00A516AC">
        <w:t>e</w:t>
      </w:r>
      <w:r w:rsidR="00AB7205">
        <w:t xml:space="preserve">ptors are </w:t>
      </w:r>
      <w:r w:rsidR="00A516AC">
        <w:t>and why they have been adopted.</w:t>
      </w:r>
    </w:p>
    <w:p w14:paraId="0F4633B1" w14:textId="6BCBAF4B" w:rsidR="0023226C" w:rsidRDefault="0023226C" w:rsidP="00855998">
      <w:pPr>
        <w:pStyle w:val="Para0bullet"/>
      </w:pPr>
      <w:r>
        <w:t xml:space="preserve">Section 5 </w:t>
      </w:r>
      <w:r w:rsidR="00F974DE">
        <w:t xml:space="preserve">- </w:t>
      </w:r>
      <w:r w:rsidR="00A516AC">
        <w:t>Quantitative Metrics and Thresholds</w:t>
      </w:r>
      <w:r w:rsidR="00F974DE">
        <w:t>:</w:t>
      </w:r>
      <w:r w:rsidR="00A516AC">
        <w:t xml:space="preserve"> This sets out the recommended metrics and thresholds, along with the basis of determination</w:t>
      </w:r>
      <w:r w:rsidR="00244C04">
        <w:t>.</w:t>
      </w:r>
    </w:p>
    <w:p w14:paraId="1339C08E" w14:textId="3CE3961F" w:rsidR="0023226C" w:rsidRPr="009B3A49" w:rsidRDefault="0023226C" w:rsidP="00BE6341">
      <w:pPr>
        <w:pStyle w:val="Para0bullet"/>
      </w:pPr>
      <w:r>
        <w:t>Section 6</w:t>
      </w:r>
      <w:r w:rsidRPr="009B3A49">
        <w:t xml:space="preserve"> </w:t>
      </w:r>
      <w:r w:rsidR="00CA1C3A">
        <w:t>Conclusion</w:t>
      </w:r>
      <w:r w:rsidR="00F974DE">
        <w:t xml:space="preserve">: </w:t>
      </w:r>
      <w:r w:rsidR="00CA1C3A">
        <w:t>provides a summary of the metrics and thresholds in one table</w:t>
      </w:r>
      <w:r w:rsidR="00244C04">
        <w:t>.</w:t>
      </w:r>
    </w:p>
    <w:p w14:paraId="030986E2" w14:textId="654873C8" w:rsidR="0023226C" w:rsidRDefault="0023226C" w:rsidP="0023226C">
      <w:r>
        <w:t xml:space="preserve">Literature reviewed for this study </w:t>
      </w:r>
      <w:r w:rsidR="006E7328">
        <w:t xml:space="preserve">are listed </w:t>
      </w:r>
      <w:r>
        <w:t xml:space="preserve">in </w:t>
      </w:r>
      <w:r>
        <w:fldChar w:fldCharType="begin"/>
      </w:r>
      <w:r>
        <w:instrText xml:space="preserve"> REF _Ref499126037 \n \h </w:instrText>
      </w:r>
      <w:r>
        <w:fldChar w:fldCharType="separate"/>
      </w:r>
      <w:r w:rsidR="00A83148">
        <w:t>Appendix A</w:t>
      </w:r>
      <w:r>
        <w:fldChar w:fldCharType="end"/>
      </w:r>
      <w:r>
        <w:t>.</w:t>
      </w:r>
    </w:p>
    <w:p w14:paraId="165D7B7A" w14:textId="77777777" w:rsidR="00192BA4" w:rsidRPr="009B3A49" w:rsidRDefault="00192BA4" w:rsidP="0023226C"/>
    <w:p w14:paraId="439C3EA7" w14:textId="52128B87" w:rsidR="0023226C" w:rsidRDefault="00E33FD4" w:rsidP="0023226C">
      <w:pPr>
        <w:pStyle w:val="Heading1"/>
      </w:pPr>
      <w:bookmarkStart w:id="32" w:name="_Ref493482847"/>
      <w:bookmarkStart w:id="33" w:name="_Toc495504736"/>
      <w:bookmarkStart w:id="34" w:name="_Toc501356636"/>
      <w:bookmarkStart w:id="35" w:name="_Toc57907081"/>
      <w:r>
        <w:t xml:space="preserve">Approach to </w:t>
      </w:r>
      <w:r w:rsidR="00394EFE">
        <w:t>i</w:t>
      </w:r>
      <w:r>
        <w:t xml:space="preserve">dentifying </w:t>
      </w:r>
      <w:r w:rsidR="00394EFE">
        <w:t>m</w:t>
      </w:r>
      <w:r>
        <w:t>etrics</w:t>
      </w:r>
      <w:r w:rsidR="00394EFE">
        <w:t xml:space="preserve"> and t</w:t>
      </w:r>
      <w:r>
        <w:t>hresholds</w:t>
      </w:r>
      <w:bookmarkEnd w:id="32"/>
      <w:bookmarkEnd w:id="33"/>
      <w:bookmarkEnd w:id="34"/>
      <w:bookmarkEnd w:id="35"/>
    </w:p>
    <w:p w14:paraId="2461ECBB" w14:textId="53D5EF2C" w:rsidR="005B54A0" w:rsidRDefault="00C745F6" w:rsidP="005B54A0">
      <w:pPr>
        <w:pStyle w:val="Para0"/>
      </w:pPr>
      <w:r>
        <w:t xml:space="preserve">This project has developed an initial </w:t>
      </w:r>
      <w:r w:rsidR="00F974DE">
        <w:t xml:space="preserve">list </w:t>
      </w:r>
      <w:r w:rsidR="00BD440B">
        <w:t>of</w:t>
      </w:r>
      <w:r w:rsidR="00394EFE">
        <w:t xml:space="preserve"> suggest</w:t>
      </w:r>
      <w:r w:rsidR="00F974DE">
        <w:t xml:space="preserve">ed </w:t>
      </w:r>
      <w:r w:rsidR="00BD440B">
        <w:t xml:space="preserve">metrics and thresholds that could be used to </w:t>
      </w:r>
      <w:r w:rsidR="00DF42EA">
        <w:t xml:space="preserve">determine the extent or acceptability of effects from ground movement, which may result from rehabilitation of the </w:t>
      </w:r>
      <w:r w:rsidR="00744345">
        <w:t>three Latrobe Valley coal mines.</w:t>
      </w:r>
      <w:r w:rsidR="006E7328">
        <w:t xml:space="preserve"> </w:t>
      </w:r>
      <w:r w:rsidR="00744345">
        <w:t xml:space="preserve"> </w:t>
      </w:r>
      <w:r w:rsidR="00C63E0E">
        <w:t>This work was completed at a time when the actual effects of rehabilitation are not known.</w:t>
      </w:r>
      <w:r w:rsidR="006E7328">
        <w:t xml:space="preserve"> </w:t>
      </w:r>
      <w:r w:rsidR="00C63E0E">
        <w:t xml:space="preserve"> </w:t>
      </w:r>
      <w:r w:rsidR="007E1A5B">
        <w:t>Accordingly,</w:t>
      </w:r>
      <w:r w:rsidR="00C63E0E">
        <w:t xml:space="preserve"> identification of the measures, that is the metrics</w:t>
      </w:r>
      <w:r w:rsidR="00D56611">
        <w:t>, that could be used are to some extent theoretical.</w:t>
      </w:r>
      <w:r w:rsidR="00394EFE">
        <w:t xml:space="preserve"> </w:t>
      </w:r>
      <w:r w:rsidR="007B06CD">
        <w:t xml:space="preserve"> </w:t>
      </w:r>
      <w:r w:rsidR="007E1A5B">
        <w:t xml:space="preserve">Furthermore, the recommendations in this report should be considered as </w:t>
      </w:r>
      <w:r w:rsidR="00172638">
        <w:t xml:space="preserve">a </w:t>
      </w:r>
      <w:r w:rsidR="007E1A5B">
        <w:t xml:space="preserve">first </w:t>
      </w:r>
      <w:r w:rsidR="00BF61A1">
        <w:t>assignment</w:t>
      </w:r>
      <w:r w:rsidR="00766BDE">
        <w:t xml:space="preserve"> of the metrics and thresholds, as with the advantage of a clearer understanding of the likely impacts, more </w:t>
      </w:r>
      <w:r w:rsidR="00E06A57">
        <w:t>appropriate</w:t>
      </w:r>
      <w:r w:rsidR="00766BDE">
        <w:t xml:space="preserve"> measures may become apparent.</w:t>
      </w:r>
    </w:p>
    <w:p w14:paraId="55946EB2" w14:textId="06903A92" w:rsidR="005B54A0" w:rsidRDefault="005B54A0" w:rsidP="005B54A0">
      <w:pPr>
        <w:pStyle w:val="Para0"/>
      </w:pPr>
      <w:r>
        <w:t xml:space="preserve">A metric is defined as the numerical value that enables a quantitative assessment or measure for the damage criteria of each receptor against potential ground movement to be made. </w:t>
      </w:r>
      <w:r w:rsidR="007B06CD">
        <w:t xml:space="preserve"> </w:t>
      </w:r>
      <w:r>
        <w:t xml:space="preserve">The threshold is the magnitude of the metric value that if exceeded would result in an unacceptable change or damage to the receptor. </w:t>
      </w:r>
      <w:r w:rsidR="007B06CD">
        <w:t xml:space="preserve"> </w:t>
      </w:r>
      <w:r>
        <w:t>Metrics are often represented as a strain value which is a measure of relative ground movement.</w:t>
      </w:r>
    </w:p>
    <w:p w14:paraId="0BAD6959" w14:textId="650EBBB7" w:rsidR="00996DB0" w:rsidRDefault="00766BDE" w:rsidP="002E7253">
      <w:r>
        <w:t>Whilst recognising that this report provides an initial estimate</w:t>
      </w:r>
      <w:r w:rsidR="00996DB0">
        <w:t xml:space="preserve"> the following approach has been used.</w:t>
      </w:r>
    </w:p>
    <w:p w14:paraId="34644485" w14:textId="68120A35" w:rsidR="00AF0DB7" w:rsidRPr="007B5A58" w:rsidRDefault="00BD28C8" w:rsidP="002E7253">
      <w:pPr>
        <w:rPr>
          <w:b/>
          <w:u w:val="single"/>
        </w:rPr>
      </w:pPr>
      <w:r>
        <w:rPr>
          <w:b/>
          <w:u w:val="single"/>
        </w:rPr>
        <w:t>R</w:t>
      </w:r>
      <w:r w:rsidR="00E06A57" w:rsidRPr="007B5A58">
        <w:rPr>
          <w:b/>
          <w:u w:val="single"/>
        </w:rPr>
        <w:t>ecognis</w:t>
      </w:r>
      <w:r>
        <w:rPr>
          <w:b/>
          <w:u w:val="single"/>
        </w:rPr>
        <w:t xml:space="preserve">ing regional </w:t>
      </w:r>
      <w:r w:rsidR="00E06A57" w:rsidRPr="007B5A58">
        <w:rPr>
          <w:b/>
          <w:u w:val="single"/>
        </w:rPr>
        <w:t>receptors</w:t>
      </w:r>
      <w:r w:rsidR="004E4720">
        <w:rPr>
          <w:b/>
          <w:u w:val="single"/>
        </w:rPr>
        <w:t xml:space="preserve"> potential</w:t>
      </w:r>
      <w:r w:rsidR="00F60666">
        <w:rPr>
          <w:b/>
          <w:u w:val="single"/>
        </w:rPr>
        <w:t>ly</w:t>
      </w:r>
      <w:r w:rsidR="004E4720">
        <w:rPr>
          <w:b/>
          <w:u w:val="single"/>
        </w:rPr>
        <w:t xml:space="preserve"> affected</w:t>
      </w:r>
    </w:p>
    <w:p w14:paraId="6E8EE049" w14:textId="788F2970" w:rsidR="00571BAE" w:rsidRDefault="002F0386" w:rsidP="002E7253">
      <w:r>
        <w:t>A</w:t>
      </w:r>
      <w:r w:rsidRPr="002F0386">
        <w:t>n important early research and investigation study to inform scoping and developing the regional studies for the LVRRS</w:t>
      </w:r>
      <w:r w:rsidR="002C6159">
        <w:t xml:space="preserve"> was </w:t>
      </w:r>
      <w:r w:rsidR="00CD5713">
        <w:t xml:space="preserve">the </w:t>
      </w:r>
      <w:r w:rsidR="00AF0DB7" w:rsidRPr="007B5A58">
        <w:t>identifi</w:t>
      </w:r>
      <w:r w:rsidR="00CD5713">
        <w:t xml:space="preserve">cation of </w:t>
      </w:r>
      <w:r w:rsidR="00AF0DB7" w:rsidRPr="007B5A58">
        <w:t xml:space="preserve">recognised regional receptors that may be affected by </w:t>
      </w:r>
      <w:r w:rsidR="005F6F10">
        <w:t xml:space="preserve">mine rehabilitation </w:t>
      </w:r>
      <w:r w:rsidR="00AF0DB7" w:rsidRPr="007B5A58">
        <w:t xml:space="preserve">ground movement. </w:t>
      </w:r>
      <w:r w:rsidR="007B06CD" w:rsidRPr="007B5A58">
        <w:t xml:space="preserve"> </w:t>
      </w:r>
      <w:r w:rsidR="00AF0DB7" w:rsidRPr="007B5A58">
        <w:t xml:space="preserve">It is these receptors that </w:t>
      </w:r>
      <w:r w:rsidR="00DB4EEB" w:rsidRPr="007B5A58">
        <w:t xml:space="preserve">will </w:t>
      </w:r>
      <w:r w:rsidR="00AF2089" w:rsidRPr="007B5A58">
        <w:t xml:space="preserve">likely </w:t>
      </w:r>
      <w:r w:rsidR="00DB4EEB" w:rsidRPr="007B5A58">
        <w:t xml:space="preserve">need appropriate ground movement metrics and thresholds. </w:t>
      </w:r>
      <w:r w:rsidR="007B06CD" w:rsidRPr="007B5A58">
        <w:t xml:space="preserve"> </w:t>
      </w:r>
      <w:r w:rsidR="00DB4EEB" w:rsidRPr="007B5A58">
        <w:t xml:space="preserve">This process </w:t>
      </w:r>
      <w:r w:rsidR="00073541" w:rsidRPr="007B5A58">
        <w:t xml:space="preserve">of identification </w:t>
      </w:r>
      <w:r w:rsidR="00DB4EEB" w:rsidRPr="007B5A58">
        <w:t xml:space="preserve">was </w:t>
      </w:r>
      <w:r w:rsidR="00617E9D" w:rsidRPr="007B5A58">
        <w:t>undertaken by the receptor definition stage and the basis of choosing the sub-set of receptors</w:t>
      </w:r>
      <w:r w:rsidR="00B6393E" w:rsidRPr="007B5A58">
        <w:t xml:space="preserve"> </w:t>
      </w:r>
      <w:r w:rsidR="00617E9D" w:rsidRPr="007B5A58">
        <w:t>is</w:t>
      </w:r>
      <w:r w:rsidR="00571BAE" w:rsidRPr="007B5A58">
        <w:t xml:space="preserve"> described in the relevant report (Jacobs, 20</w:t>
      </w:r>
      <w:r w:rsidR="007B06CD" w:rsidRPr="007B5A58">
        <w:t>20a</w:t>
      </w:r>
      <w:r w:rsidR="00571BAE" w:rsidRPr="007B5A58">
        <w:t>)</w:t>
      </w:r>
      <w:r w:rsidR="00073541" w:rsidRPr="007B5A58">
        <w:t>.</w:t>
      </w:r>
    </w:p>
    <w:p w14:paraId="1EEB441B" w14:textId="24232235" w:rsidR="00EB1C8E" w:rsidRPr="00E81E11" w:rsidRDefault="00EB1C8E" w:rsidP="002E7253">
      <w:pPr>
        <w:rPr>
          <w:b/>
          <w:u w:val="single"/>
        </w:rPr>
      </w:pPr>
      <w:r w:rsidRPr="00E81E11">
        <w:rPr>
          <w:b/>
          <w:u w:val="single"/>
        </w:rPr>
        <w:t>Review literature for standards or guidelines</w:t>
      </w:r>
      <w:r w:rsidR="00EC4003" w:rsidRPr="00E81E11">
        <w:rPr>
          <w:b/>
          <w:u w:val="single"/>
        </w:rPr>
        <w:t xml:space="preserve"> relevant to groups</w:t>
      </w:r>
    </w:p>
    <w:p w14:paraId="4A881272" w14:textId="083354DA" w:rsidR="009E6915" w:rsidRDefault="00EB1C8E" w:rsidP="002E7253">
      <w:r>
        <w:t xml:space="preserve">Having defined the </w:t>
      </w:r>
      <w:r w:rsidR="00F73476">
        <w:t xml:space="preserve">categories </w:t>
      </w:r>
      <w:r>
        <w:t xml:space="preserve">of receptors that are </w:t>
      </w:r>
      <w:r w:rsidR="00B6393E">
        <w:t xml:space="preserve">to be </w:t>
      </w:r>
      <w:r>
        <w:t xml:space="preserve">assessed, a literature review was undertaken </w:t>
      </w:r>
      <w:r w:rsidR="00B6393E">
        <w:t xml:space="preserve">covering </w:t>
      </w:r>
      <w:r w:rsidR="00310682">
        <w:t>engine</w:t>
      </w:r>
      <w:r w:rsidR="009E6915">
        <w:t>e</w:t>
      </w:r>
      <w:r w:rsidR="00310682">
        <w:t xml:space="preserve">ring and geotechnical </w:t>
      </w:r>
      <w:r w:rsidR="00B6393E">
        <w:t xml:space="preserve">sectors </w:t>
      </w:r>
      <w:r w:rsidR="00310682">
        <w:t xml:space="preserve">to identify what </w:t>
      </w:r>
      <w:r w:rsidR="00697959">
        <w:t xml:space="preserve">published </w:t>
      </w:r>
      <w:r w:rsidR="00310682">
        <w:t xml:space="preserve">standards or guidelines </w:t>
      </w:r>
      <w:r w:rsidR="00374034">
        <w:t xml:space="preserve">from which relevant </w:t>
      </w:r>
      <w:r w:rsidR="00310682">
        <w:t xml:space="preserve">metrics or </w:t>
      </w:r>
      <w:r w:rsidR="00447C12">
        <w:t>thresholds</w:t>
      </w:r>
      <w:r w:rsidR="00B6393E">
        <w:t xml:space="preserve"> c</w:t>
      </w:r>
      <w:r w:rsidR="00B014C6">
        <w:t xml:space="preserve">ould </w:t>
      </w:r>
      <w:r w:rsidR="00B6393E">
        <w:t>be adopted</w:t>
      </w:r>
      <w:r w:rsidR="00447C12">
        <w:t xml:space="preserve">. </w:t>
      </w:r>
      <w:r w:rsidR="007B06CD">
        <w:t xml:space="preserve"> </w:t>
      </w:r>
      <w:r w:rsidR="00447C12">
        <w:t xml:space="preserve">In many cases there are no directly relevant published standards or guidelines. </w:t>
      </w:r>
      <w:r w:rsidR="007B06CD">
        <w:t xml:space="preserve"> </w:t>
      </w:r>
      <w:r w:rsidR="00447C12">
        <w:t>This study has identified where a</w:t>
      </w:r>
      <w:r w:rsidR="0037669F">
        <w:t xml:space="preserve"> </w:t>
      </w:r>
      <w:r w:rsidR="00C5460B">
        <w:t>substitu</w:t>
      </w:r>
      <w:r w:rsidR="0037669F">
        <w:t>t</w:t>
      </w:r>
      <w:r w:rsidR="00C5460B">
        <w:t>e standard or guide could be relevant and has derived a metric and/or threshold from these related guides</w:t>
      </w:r>
      <w:r w:rsidR="00230DC4">
        <w:t xml:space="preserve"> where deem</w:t>
      </w:r>
      <w:r w:rsidR="00A844C8">
        <w:t>ed</w:t>
      </w:r>
      <w:r w:rsidR="00230DC4">
        <w:t xml:space="preserve"> valid to do so</w:t>
      </w:r>
      <w:r w:rsidR="00C5460B">
        <w:t>.</w:t>
      </w:r>
    </w:p>
    <w:p w14:paraId="30ED9380" w14:textId="05D0D7C5" w:rsidR="00E81E11" w:rsidRPr="00E81E11" w:rsidRDefault="0037669F" w:rsidP="002E7253">
      <w:pPr>
        <w:rPr>
          <w:b/>
          <w:u w:val="single"/>
        </w:rPr>
      </w:pPr>
      <w:r w:rsidRPr="00E81E11">
        <w:rPr>
          <w:b/>
          <w:u w:val="single"/>
        </w:rPr>
        <w:t xml:space="preserve">Collate </w:t>
      </w:r>
      <w:r w:rsidR="00E81E11" w:rsidRPr="00E81E11">
        <w:rPr>
          <w:b/>
          <w:u w:val="single"/>
        </w:rPr>
        <w:t>literature</w:t>
      </w:r>
      <w:r w:rsidRPr="00E81E11">
        <w:rPr>
          <w:b/>
          <w:u w:val="single"/>
        </w:rPr>
        <w:t xml:space="preserve"> references and assign to </w:t>
      </w:r>
      <w:r w:rsidR="00E81E11" w:rsidRPr="00E81E11">
        <w:rPr>
          <w:b/>
          <w:u w:val="single"/>
        </w:rPr>
        <w:t>recognised regional receptors</w:t>
      </w:r>
    </w:p>
    <w:p w14:paraId="0289EC23" w14:textId="0B60CFCC" w:rsidR="00C745F6" w:rsidRDefault="00DA2895" w:rsidP="002E7253">
      <w:r>
        <w:t>For some rec</w:t>
      </w:r>
      <w:r w:rsidR="001E4640">
        <w:t>e</w:t>
      </w:r>
      <w:r>
        <w:t xml:space="preserve">ptor </w:t>
      </w:r>
      <w:r w:rsidR="009D066F">
        <w:t xml:space="preserve">categories </w:t>
      </w:r>
      <w:r>
        <w:t xml:space="preserve">there is directly applicable published information on ground movement tolerance. </w:t>
      </w:r>
      <w:r w:rsidR="00D948B2">
        <w:t xml:space="preserve"> </w:t>
      </w:r>
      <w:r>
        <w:t>In this case these values have been reported.</w:t>
      </w:r>
      <w:r w:rsidR="00D948B2">
        <w:t xml:space="preserve"> </w:t>
      </w:r>
      <w:r>
        <w:t xml:space="preserve"> In some cases</w:t>
      </w:r>
      <w:r w:rsidR="001E4640">
        <w:t>,</w:t>
      </w:r>
      <w:r>
        <w:t xml:space="preserve"> </w:t>
      </w:r>
      <w:r w:rsidR="00E81E11">
        <w:t xml:space="preserve">it is not always clear what the most appropriate match is. </w:t>
      </w:r>
      <w:r w:rsidR="00D948B2">
        <w:t xml:space="preserve"> </w:t>
      </w:r>
      <w:r w:rsidR="00E81E11">
        <w:t xml:space="preserve">In such cases, the study team have used professional judgement to define the best match. </w:t>
      </w:r>
      <w:r w:rsidR="00D948B2">
        <w:t xml:space="preserve"> </w:t>
      </w:r>
      <w:r w:rsidR="00E81E11">
        <w:t xml:space="preserve">This is part </w:t>
      </w:r>
      <w:r w:rsidR="003D6D27">
        <w:t xml:space="preserve">of </w:t>
      </w:r>
      <w:r w:rsidR="00E81E11">
        <w:t xml:space="preserve">the reason why the results of this study should be considered as a guide, as there may not be consensus on the best application of a standard to guide between different stakeholders. </w:t>
      </w:r>
      <w:r w:rsidR="00D948B2">
        <w:t xml:space="preserve"> </w:t>
      </w:r>
      <w:r w:rsidR="00E81E11">
        <w:t>Nevertheless, a starting recommendation is made by this study and later stage</w:t>
      </w:r>
      <w:r w:rsidR="007B3F04">
        <w:t>s</w:t>
      </w:r>
      <w:r w:rsidR="00E81E11">
        <w:t xml:space="preserve"> of the LVRRS may refine or modify these</w:t>
      </w:r>
      <w:r w:rsidR="00012080">
        <w:t xml:space="preserve"> accordingly</w:t>
      </w:r>
      <w:r w:rsidR="00E81E11">
        <w:t>.</w:t>
      </w:r>
    </w:p>
    <w:p w14:paraId="7D9DDEC3" w14:textId="6DDC2FE2" w:rsidR="00FF0FA0" w:rsidRDefault="00FF0FA0" w:rsidP="00FF0FA0">
      <w:pPr>
        <w:pStyle w:val="Para0"/>
      </w:pPr>
      <w:r>
        <w:t>Publications from sources such as Standards Australia and stakeholders such as VicRoads have been used to derive receptor specific threshold values (</w:t>
      </w:r>
      <w:r w:rsidR="00790B23">
        <w:t xml:space="preserve">reports are </w:t>
      </w:r>
      <w:r>
        <w:t xml:space="preserve">listed in Appendix A). </w:t>
      </w:r>
      <w:r w:rsidR="00D948B2">
        <w:t xml:space="preserve"> </w:t>
      </w:r>
      <w:r>
        <w:t>These provide a framework for the design, management and monitoring of relevant receptor metrics (with defined thresholds).</w:t>
      </w:r>
    </w:p>
    <w:p w14:paraId="2C77E676" w14:textId="1931401D" w:rsidR="00FF0FA0" w:rsidRDefault="00FF0FA0" w:rsidP="00FF0FA0">
      <w:pPr>
        <w:pStyle w:val="Para0"/>
      </w:pPr>
      <w:r>
        <w:t>All receptors except for intangible Aboriginal cultural and heritage and some water related receptors have been allocated a metric and associated threshold.</w:t>
      </w:r>
    </w:p>
    <w:p w14:paraId="0ED10E05" w14:textId="5D5B0FF3" w:rsidR="00FF0FA0" w:rsidRDefault="00FF0FA0" w:rsidP="00FF0FA0">
      <w:pPr>
        <w:pStyle w:val="Para0"/>
      </w:pPr>
      <w:r>
        <w:t>For listed environmental receptor species and some water receptor related metrics (such as water quality), thresholds associated with a physical river or wetland structure (as a surrogate) were adopted to represent these receptors.</w:t>
      </w:r>
      <w:r w:rsidR="00D948B2">
        <w:t xml:space="preserve"> </w:t>
      </w:r>
      <w:r>
        <w:t xml:space="preserve"> It is not possible based on the information available to describe a ground movement effect directly on the identified receptor species.</w:t>
      </w:r>
      <w:r w:rsidR="00D948B2">
        <w:t xml:space="preserve"> </w:t>
      </w:r>
      <w:r>
        <w:t xml:space="preserve"> Neither is there a clear pathway of affect between ground movement and water quality or flow, outside of a change to the physical waterway channel conditions.</w:t>
      </w:r>
    </w:p>
    <w:p w14:paraId="05137E6E" w14:textId="75C31353" w:rsidR="00FF0FA0" w:rsidRDefault="00FF0FA0" w:rsidP="00FF0FA0">
      <w:pPr>
        <w:pStyle w:val="Para0"/>
      </w:pPr>
      <w:r>
        <w:t>Defined thresholds and rationale for damage severity levels for physical structures (that is, architectural, structural and functional) is provided.</w:t>
      </w:r>
      <w:r w:rsidR="00CD75D6">
        <w:t xml:space="preserve"> </w:t>
      </w:r>
      <w:r>
        <w:t xml:space="preserve"> In conducting future impact assessment these values may need to be reviewed and derived from ground movement monitoring and can be used in geotechnical numerical modelling software that simulates the stress and strain distribution when analysing ground movement impact.</w:t>
      </w:r>
    </w:p>
    <w:p w14:paraId="7E5B8FA1" w14:textId="624F49CB" w:rsidR="00A623D5" w:rsidRPr="00ED14E4" w:rsidRDefault="00A623D5" w:rsidP="002E7253">
      <w:pPr>
        <w:rPr>
          <w:b/>
          <w:u w:val="single"/>
        </w:rPr>
      </w:pPr>
      <w:r w:rsidRPr="00ED14E4">
        <w:rPr>
          <w:b/>
          <w:u w:val="single"/>
        </w:rPr>
        <w:t>Tabulate and present results</w:t>
      </w:r>
    </w:p>
    <w:p w14:paraId="68AB72E1" w14:textId="3F6B3DD5" w:rsidR="00665B6D" w:rsidRDefault="00A623D5" w:rsidP="00057B8F">
      <w:r>
        <w:t xml:space="preserve">The final stage was to tabulate the </w:t>
      </w:r>
      <w:r w:rsidR="00ED14E4">
        <w:t>adopted values to form the basis of the recommendation from this study.</w:t>
      </w:r>
      <w:bookmarkStart w:id="36" w:name="_Ref498430745"/>
      <w:bookmarkStart w:id="37" w:name="_Toc501356759"/>
    </w:p>
    <w:p w14:paraId="102FE12F" w14:textId="7F264F2D" w:rsidR="00EB5954" w:rsidRPr="00CC2D9D" w:rsidRDefault="00EB5954" w:rsidP="00057B8F">
      <w:pPr>
        <w:rPr>
          <w:b/>
          <w:bCs/>
          <w:u w:val="single"/>
        </w:rPr>
      </w:pPr>
      <w:r w:rsidRPr="00CC2D9D">
        <w:rPr>
          <w:b/>
          <w:bCs/>
          <w:u w:val="single"/>
        </w:rPr>
        <w:t xml:space="preserve">Possible future </w:t>
      </w:r>
      <w:r w:rsidR="00F32E4C" w:rsidRPr="00CC2D9D">
        <w:rPr>
          <w:b/>
          <w:bCs/>
          <w:u w:val="single"/>
        </w:rPr>
        <w:t>considerations</w:t>
      </w:r>
    </w:p>
    <w:p w14:paraId="5A80DFDB" w14:textId="2117E7A9" w:rsidR="005B54A0" w:rsidRDefault="00C04BE5" w:rsidP="00057B8F">
      <w:r w:rsidRPr="00CC2D9D">
        <w:t>Impacts created by the rehabilitation of two or more mine voids need to consider the time-bound nature and any resulting implications for rehabilitation projects.</w:t>
      </w:r>
      <w:r w:rsidR="00CD75D6" w:rsidRPr="00CC2D9D">
        <w:t xml:space="preserve"> </w:t>
      </w:r>
      <w:r w:rsidRPr="00CC2D9D">
        <w:t xml:space="preserve"> As the mines all have different closure dates and potential future fill timelines, there is the possibility that equalisation timeframes may not, or have limited, over-lap.</w:t>
      </w:r>
      <w:r w:rsidR="00CD75D6" w:rsidRPr="00CC2D9D">
        <w:t xml:space="preserve"> </w:t>
      </w:r>
      <w:r w:rsidRPr="00CC2D9D">
        <w:t xml:space="preserve"> Future modelling phases </w:t>
      </w:r>
      <w:r w:rsidR="0011252D" w:rsidRPr="00CC2D9D">
        <w:t xml:space="preserve">should </w:t>
      </w:r>
      <w:r w:rsidRPr="00CC2D9D">
        <w:t>consider this detail.</w:t>
      </w:r>
    </w:p>
    <w:p w14:paraId="66383AF0" w14:textId="49D34834" w:rsidR="00A5315E" w:rsidRPr="00C82B89" w:rsidRDefault="00A5315E" w:rsidP="00A5315E">
      <w:r w:rsidRPr="00C82B89">
        <w:t xml:space="preserve">Geotechnical stability (and erosion potential) around waterways and wetlands can have a major impact on environmental receptors. In the most extreme case this could include a river avulsing (forging a pathway) leading to significant changes in water quality and flow regimes. While change from geotechnical influences will likely be incremental and slow, if such a risk is not actively managed it may be possible that this influence could lead to instabilities or failure. </w:t>
      </w:r>
      <w:r w:rsidR="002316F7" w:rsidRPr="00C82B89">
        <w:t>T</w:t>
      </w:r>
      <w:r w:rsidRPr="00C82B89">
        <w:t xml:space="preserve">hese changes are linked the physical waterway / channel morphology but should not be understated as a risk. </w:t>
      </w:r>
    </w:p>
    <w:p w14:paraId="2D1EF8C4" w14:textId="4AD45209" w:rsidR="00A5315E" w:rsidRPr="00A5315E" w:rsidRDefault="00A5315E" w:rsidP="00A5315E">
      <w:r w:rsidRPr="00C82B89">
        <w:t>As the local landform and groundwater system responds to changes from rehabilitation, it is possible that interactions between surface water and groundwater will change (losing vs gaining systems). While these changes would not be the result of a direct impact of landform change, they are nevertheless interlinked</w:t>
      </w:r>
      <w:r w:rsidR="0041577A" w:rsidRPr="00C82B89">
        <w:t xml:space="preserve"> and </w:t>
      </w:r>
      <w:r w:rsidR="00450AC9" w:rsidRPr="00C82B89">
        <w:t>c</w:t>
      </w:r>
      <w:r w:rsidRPr="00C82B89">
        <w:t>ould affect flow and water quality in receiving waterways.</w:t>
      </w:r>
    </w:p>
    <w:p w14:paraId="5E867D37" w14:textId="3F21D90B" w:rsidR="0023226C" w:rsidRDefault="00E770BA" w:rsidP="0023226C">
      <w:pPr>
        <w:pStyle w:val="Heading1"/>
        <w:rPr>
          <w:lang w:val="en-US"/>
        </w:rPr>
      </w:pPr>
      <w:bookmarkStart w:id="38" w:name="_Ref499750501"/>
      <w:bookmarkStart w:id="39" w:name="_Toc501356640"/>
      <w:bookmarkStart w:id="40" w:name="_Toc57907082"/>
      <w:bookmarkStart w:id="41" w:name="_Ref493482888"/>
      <w:bookmarkStart w:id="42" w:name="_Ref493821118"/>
      <w:bookmarkStart w:id="43" w:name="_Toc495504743"/>
      <w:bookmarkEnd w:id="36"/>
      <w:bookmarkEnd w:id="37"/>
      <w:r>
        <w:t>Overview of Ground Movement</w:t>
      </w:r>
      <w:bookmarkEnd w:id="38"/>
      <w:bookmarkEnd w:id="39"/>
      <w:bookmarkEnd w:id="40"/>
    </w:p>
    <w:p w14:paraId="687E94F9" w14:textId="77777777" w:rsidR="0023226C" w:rsidRPr="004743CA" w:rsidRDefault="0023226C" w:rsidP="0023226C">
      <w:pPr>
        <w:pStyle w:val="Heading2"/>
      </w:pPr>
      <w:bookmarkStart w:id="44" w:name="_Toc501356641"/>
      <w:bookmarkStart w:id="45" w:name="_Toc57907083"/>
      <w:r w:rsidRPr="004743CA">
        <w:t>Ground Movement Types</w:t>
      </w:r>
      <w:bookmarkEnd w:id="44"/>
      <w:bookmarkEnd w:id="45"/>
    </w:p>
    <w:p w14:paraId="6CBB8A55" w14:textId="50A9DA26" w:rsidR="005E10A2" w:rsidRPr="005E10A2" w:rsidRDefault="005E10A2" w:rsidP="005E10A2">
      <w:pPr>
        <w:rPr>
          <w:lang w:val="en-AU"/>
        </w:rPr>
      </w:pPr>
      <w:r w:rsidRPr="005E10A2">
        <w:rPr>
          <w:lang w:val="en-AU"/>
        </w:rPr>
        <w:t>The mining induced ground</w:t>
      </w:r>
      <w:r>
        <w:rPr>
          <w:lang w:val="en-AU"/>
        </w:rPr>
        <w:t xml:space="preserve"> </w:t>
      </w:r>
      <w:r w:rsidRPr="005E10A2">
        <w:rPr>
          <w:lang w:val="en-AU"/>
        </w:rPr>
        <w:t>movements of significance to</w:t>
      </w:r>
      <w:r w:rsidR="00DC7D53">
        <w:rPr>
          <w:lang w:val="en-AU"/>
        </w:rPr>
        <w:t xml:space="preserve"> </w:t>
      </w:r>
      <w:r w:rsidRPr="005E10A2">
        <w:rPr>
          <w:lang w:val="en-AU"/>
        </w:rPr>
        <w:t xml:space="preserve">rehabilitation are identified </w:t>
      </w:r>
      <w:r w:rsidR="00FA3EEF" w:rsidRPr="00C118F7">
        <w:rPr>
          <w:lang w:val="en-AU"/>
        </w:rPr>
        <w:t>(DJPR, 2019)</w:t>
      </w:r>
      <w:r w:rsidR="00FA3EEF">
        <w:rPr>
          <w:lang w:val="en-AU"/>
        </w:rPr>
        <w:t xml:space="preserve"> </w:t>
      </w:r>
      <w:r w:rsidRPr="005E10A2">
        <w:rPr>
          <w:lang w:val="en-AU"/>
        </w:rPr>
        <w:t>to be:</w:t>
      </w:r>
    </w:p>
    <w:p w14:paraId="71B6D317" w14:textId="2278FBC0" w:rsidR="005E10A2" w:rsidRPr="00CE6E79" w:rsidRDefault="005E10A2" w:rsidP="003D1EC5">
      <w:pPr>
        <w:pStyle w:val="Para0bullet"/>
        <w:rPr>
          <w:lang w:val="en-AU"/>
        </w:rPr>
      </w:pPr>
      <w:r w:rsidRPr="00CE6E79">
        <w:rPr>
          <w:lang w:val="en-AU"/>
        </w:rPr>
        <w:t>Block sliding</w:t>
      </w:r>
    </w:p>
    <w:p w14:paraId="0DCD0F12" w14:textId="5AEA4A5F" w:rsidR="005E10A2" w:rsidRPr="00CE6E79" w:rsidRDefault="005E10A2" w:rsidP="003D1EC5">
      <w:pPr>
        <w:pStyle w:val="Para0bullet"/>
        <w:rPr>
          <w:lang w:val="en-AU"/>
        </w:rPr>
      </w:pPr>
      <w:r w:rsidRPr="00CE6E79">
        <w:rPr>
          <w:lang w:val="en-AU"/>
        </w:rPr>
        <w:t>Sinkhole formation</w:t>
      </w:r>
    </w:p>
    <w:p w14:paraId="0EC7E6CE" w14:textId="726DECB2" w:rsidR="005E10A2" w:rsidRPr="00CE6E79" w:rsidRDefault="005E10A2" w:rsidP="003D1EC5">
      <w:pPr>
        <w:pStyle w:val="Para0bullet"/>
        <w:rPr>
          <w:lang w:val="en-AU"/>
        </w:rPr>
      </w:pPr>
      <w:r w:rsidRPr="00CE6E79">
        <w:rPr>
          <w:lang w:val="en-AU"/>
        </w:rPr>
        <w:t>Floor heave</w:t>
      </w:r>
    </w:p>
    <w:p w14:paraId="25EE2855" w14:textId="7004985D" w:rsidR="005E10A2" w:rsidRPr="00CE6E79" w:rsidRDefault="005E10A2" w:rsidP="003D1EC5">
      <w:pPr>
        <w:pStyle w:val="Para0bullet"/>
        <w:rPr>
          <w:lang w:val="en-AU"/>
        </w:rPr>
      </w:pPr>
      <w:r w:rsidRPr="00CE6E79">
        <w:rPr>
          <w:lang w:val="en-AU"/>
        </w:rPr>
        <w:t>Subsidence</w:t>
      </w:r>
    </w:p>
    <w:p w14:paraId="7A4F3007" w14:textId="5C542101" w:rsidR="005E10A2" w:rsidRDefault="005E10A2" w:rsidP="005E10A2">
      <w:pPr>
        <w:rPr>
          <w:lang w:val="en-AU"/>
        </w:rPr>
      </w:pPr>
      <w:r w:rsidRPr="005E10A2">
        <w:rPr>
          <w:lang w:val="en-AU"/>
        </w:rPr>
        <w:t>Each of these movement types</w:t>
      </w:r>
      <w:r w:rsidR="00DC7D53">
        <w:rPr>
          <w:lang w:val="en-AU"/>
        </w:rPr>
        <w:t xml:space="preserve"> </w:t>
      </w:r>
      <w:r w:rsidRPr="005E10A2">
        <w:rPr>
          <w:lang w:val="en-AU"/>
        </w:rPr>
        <w:t>can occur separately or together</w:t>
      </w:r>
      <w:r w:rsidR="00DC7D53">
        <w:rPr>
          <w:lang w:val="en-AU"/>
        </w:rPr>
        <w:t xml:space="preserve"> </w:t>
      </w:r>
      <w:r w:rsidRPr="005E10A2">
        <w:rPr>
          <w:lang w:val="en-AU"/>
        </w:rPr>
        <w:t>depending on the conditions</w:t>
      </w:r>
      <w:r w:rsidR="00976D84">
        <w:rPr>
          <w:lang w:val="en-AU"/>
        </w:rPr>
        <w:t xml:space="preserve"> </w:t>
      </w:r>
      <w:r w:rsidRPr="005E10A2">
        <w:rPr>
          <w:lang w:val="en-AU"/>
        </w:rPr>
        <w:t xml:space="preserve">prevailing in the mine. </w:t>
      </w:r>
      <w:r w:rsidR="00CC2D9D">
        <w:rPr>
          <w:lang w:val="en-AU"/>
        </w:rPr>
        <w:t xml:space="preserve"> </w:t>
      </w:r>
      <w:r w:rsidRPr="005E10A2">
        <w:rPr>
          <w:lang w:val="en-AU"/>
        </w:rPr>
        <w:t>While</w:t>
      </w:r>
      <w:r w:rsidR="00976D84">
        <w:rPr>
          <w:lang w:val="en-AU"/>
        </w:rPr>
        <w:t xml:space="preserve"> </w:t>
      </w:r>
      <w:r w:rsidRPr="005E10A2">
        <w:rPr>
          <w:lang w:val="en-AU"/>
        </w:rPr>
        <w:t>block sliding typically results</w:t>
      </w:r>
      <w:r w:rsidR="00976D84">
        <w:rPr>
          <w:lang w:val="en-AU"/>
        </w:rPr>
        <w:t xml:space="preserve"> </w:t>
      </w:r>
      <w:r w:rsidRPr="005E10A2">
        <w:rPr>
          <w:lang w:val="en-AU"/>
        </w:rPr>
        <w:t>in rapid movements after onset,</w:t>
      </w:r>
      <w:r w:rsidR="00976D84">
        <w:rPr>
          <w:lang w:val="en-AU"/>
        </w:rPr>
        <w:t xml:space="preserve"> </w:t>
      </w:r>
      <w:r w:rsidRPr="005E10A2">
        <w:rPr>
          <w:lang w:val="en-AU"/>
        </w:rPr>
        <w:t>sinkhole formation, floor heave</w:t>
      </w:r>
      <w:r w:rsidR="00976D84">
        <w:rPr>
          <w:lang w:val="en-AU"/>
        </w:rPr>
        <w:t xml:space="preserve"> </w:t>
      </w:r>
      <w:r w:rsidRPr="005E10A2">
        <w:rPr>
          <w:lang w:val="en-AU"/>
        </w:rPr>
        <w:t>and subsidence are all longer</w:t>
      </w:r>
      <w:r w:rsidR="00976D84">
        <w:rPr>
          <w:lang w:val="en-AU"/>
        </w:rPr>
        <w:t xml:space="preserve"> </w:t>
      </w:r>
      <w:r w:rsidRPr="005E10A2">
        <w:rPr>
          <w:lang w:val="en-AU"/>
        </w:rPr>
        <w:t>time processes that occur over</w:t>
      </w:r>
      <w:r w:rsidR="00976D84">
        <w:rPr>
          <w:lang w:val="en-AU"/>
        </w:rPr>
        <w:t xml:space="preserve"> </w:t>
      </w:r>
      <w:r w:rsidRPr="005E10A2">
        <w:rPr>
          <w:lang w:val="en-AU"/>
        </w:rPr>
        <w:t>weeks to decades.</w:t>
      </w:r>
    </w:p>
    <w:p w14:paraId="3BA15DEB" w14:textId="1C253E0A" w:rsidR="00B61122" w:rsidRDefault="003A7D24" w:rsidP="005E10A2">
      <w:pPr>
        <w:rPr>
          <w:lang w:val="en-AU"/>
        </w:rPr>
      </w:pPr>
      <w:r>
        <w:rPr>
          <w:lang w:val="en-AU"/>
        </w:rPr>
        <w:t xml:space="preserve">In addition to the above list of key effects there is a </w:t>
      </w:r>
      <w:r w:rsidR="000D7EC9">
        <w:rPr>
          <w:lang w:val="en-AU"/>
        </w:rPr>
        <w:t xml:space="preserve">possible effect from Reservoir Induced Seismicity, which is </w:t>
      </w:r>
      <w:r w:rsidR="00A4623B">
        <w:rPr>
          <w:lang w:val="en-AU"/>
        </w:rPr>
        <w:t xml:space="preserve">not considered to be </w:t>
      </w:r>
      <w:r w:rsidR="000D7EC9">
        <w:rPr>
          <w:lang w:val="en-AU"/>
        </w:rPr>
        <w:t xml:space="preserve">a </w:t>
      </w:r>
      <w:r w:rsidR="00A4623B">
        <w:rPr>
          <w:lang w:val="en-AU"/>
        </w:rPr>
        <w:t xml:space="preserve">likely </w:t>
      </w:r>
      <w:r w:rsidR="000D7EC9">
        <w:rPr>
          <w:lang w:val="en-AU"/>
        </w:rPr>
        <w:t>effect.</w:t>
      </w:r>
      <w:r w:rsidR="003D1EC5">
        <w:rPr>
          <w:lang w:val="en-AU"/>
        </w:rPr>
        <w:t xml:space="preserve"> </w:t>
      </w:r>
      <w:r w:rsidR="00CC2D9D">
        <w:rPr>
          <w:lang w:val="en-AU"/>
        </w:rPr>
        <w:t xml:space="preserve"> </w:t>
      </w:r>
      <w:r w:rsidR="00A755F6">
        <w:rPr>
          <w:lang w:val="en-AU"/>
        </w:rPr>
        <w:t xml:space="preserve">The ground movement mechanisms relevant for rehabilitation have been described in </w:t>
      </w:r>
      <w:r w:rsidR="003B46C4">
        <w:rPr>
          <w:lang w:val="en-AU"/>
        </w:rPr>
        <w:t>Jacobs (2020</w:t>
      </w:r>
      <w:r w:rsidR="00CC2D9D">
        <w:rPr>
          <w:lang w:val="en-AU"/>
        </w:rPr>
        <w:t>b</w:t>
      </w:r>
      <w:r w:rsidR="003B46C4">
        <w:rPr>
          <w:lang w:val="en-AU"/>
        </w:rPr>
        <w:t xml:space="preserve">) and </w:t>
      </w:r>
      <w:r w:rsidR="004E4EF0">
        <w:rPr>
          <w:lang w:val="en-AU"/>
        </w:rPr>
        <w:t>DJPR (2019). This report does not consider the movements in any detail, but rather considers the implications of movement for receptors</w:t>
      </w:r>
      <w:r w:rsidR="00FC590A">
        <w:rPr>
          <w:lang w:val="en-AU"/>
        </w:rPr>
        <w:t>.</w:t>
      </w:r>
    </w:p>
    <w:p w14:paraId="362C064D" w14:textId="4D477563" w:rsidR="003D1EC5" w:rsidRDefault="003D1EC5" w:rsidP="003D1EC5">
      <w:pPr>
        <w:pStyle w:val="Para0"/>
      </w:pPr>
      <w:r>
        <w:t xml:space="preserve">Through an assessment of the available literature regarding historic ground movements (GHD, 2019) and consultation with stakeholders through the course of this study, the main ground movement mechanisms, or types, that have potential to affect regional receptors have been identified. </w:t>
      </w:r>
      <w:r w:rsidR="005825BE">
        <w:t xml:space="preserve"> </w:t>
      </w:r>
      <w:r w:rsidR="00275177">
        <w:t xml:space="preserve">The </w:t>
      </w:r>
      <w:r w:rsidR="009D234D">
        <w:t>L</w:t>
      </w:r>
      <w:r w:rsidR="00275177">
        <w:t xml:space="preserve">VRRS Regional </w:t>
      </w:r>
      <w:r w:rsidR="009D234D">
        <w:t xml:space="preserve">Geotechnical Study </w:t>
      </w:r>
      <w:r>
        <w:t>will further define the mechanisms involved.  Exclusion of any ground movement mechanism from this assessment is not an indication that it is not relevant, rather that at this stage of the study the clearly established rehabilitation impact processes have been the focus.</w:t>
      </w:r>
    </w:p>
    <w:p w14:paraId="51FA8DB1" w14:textId="77777777" w:rsidR="003D1EC5" w:rsidRDefault="003D1EC5" w:rsidP="003D1EC5">
      <w:pPr>
        <w:pStyle w:val="Para0"/>
      </w:pPr>
      <w:r>
        <w:t>The primary ground movement mechanisms adopted for this study are:</w:t>
      </w:r>
    </w:p>
    <w:p w14:paraId="141A915A" w14:textId="77777777" w:rsidR="003D1EC5" w:rsidRDefault="003D1EC5" w:rsidP="003D1EC5">
      <w:pPr>
        <w:pStyle w:val="Para0bullet"/>
      </w:pPr>
      <w:r>
        <w:t>Subsidence and Rebound - primarily vertical ground movement recorded across the Latrobe Valley</w:t>
      </w:r>
    </w:p>
    <w:p w14:paraId="5A46D933" w14:textId="77777777" w:rsidR="003D1EC5" w:rsidRDefault="003D1EC5" w:rsidP="003D1EC5">
      <w:pPr>
        <w:pStyle w:val="Para0bullet"/>
      </w:pPr>
      <w:r>
        <w:t>Stress Relief and Block Sliding</w:t>
      </w:r>
      <w:r w:rsidRPr="00C467D1">
        <w:t xml:space="preserve"> </w:t>
      </w:r>
      <w:r>
        <w:t>- primarily horizontal ground movement as it may affect regional receptors, recorded in the vicinity of the mines</w:t>
      </w:r>
    </w:p>
    <w:p w14:paraId="6B075982" w14:textId="0089E096" w:rsidR="003D1EC5" w:rsidRDefault="003D1EC5" w:rsidP="003D1EC5">
      <w:pPr>
        <w:pStyle w:val="Para0bullet"/>
      </w:pPr>
      <w:r>
        <w:t>Reservoir Induced Seismicity – potential combination of vertical and horizontal ground movement, not yet recorded in the region as a result of mine rehabilitation</w:t>
      </w:r>
    </w:p>
    <w:p w14:paraId="1401C438" w14:textId="1A1F5B8E" w:rsidR="003D1EC5" w:rsidRDefault="003D1EC5" w:rsidP="003D1EC5">
      <w:pPr>
        <w:pStyle w:val="Para0"/>
      </w:pPr>
      <w:r>
        <w:t xml:space="preserve">These mechanisms all have aspects that make them relevant for the regional receptors and the rehabilitation period that are the focus of this study. </w:t>
      </w:r>
      <w:r w:rsidR="00AC24FD">
        <w:t xml:space="preserve"> </w:t>
      </w:r>
      <w:r>
        <w:t xml:space="preserve">Within the mine areas and during operations, other mechanisms may also be relevant. </w:t>
      </w:r>
      <w:r w:rsidR="00AC24FD">
        <w:t xml:space="preserve"> </w:t>
      </w:r>
      <w:r>
        <w:t xml:space="preserve">In very simplistic terms, subsidence and rebound extend out to the regional areas with mainly vertical movement. </w:t>
      </w:r>
      <w:r w:rsidR="00AC24FD">
        <w:t xml:space="preserve"> </w:t>
      </w:r>
      <w:r>
        <w:t xml:space="preserve">Stress relief and block sliding are at an inter-mine scale and involve mainly horizontal movement as it affects regional receptors. </w:t>
      </w:r>
      <w:r w:rsidR="00AC24FD">
        <w:t xml:space="preserve"> </w:t>
      </w:r>
      <w:r>
        <w:t>There are vertical components to this mechanism within the mine voids.</w:t>
      </w:r>
      <w:r w:rsidR="00AC24FD">
        <w:t xml:space="preserve"> </w:t>
      </w:r>
      <w:r w:rsidRPr="00E800DC">
        <w:t xml:space="preserve"> </w:t>
      </w:r>
      <w:r>
        <w:t>A regional receptor may extend across inter-mine and regional scales with examples including railway lines, gas pipelines and freeways.</w:t>
      </w:r>
      <w:r w:rsidR="00AC24FD">
        <w:t xml:space="preserve"> </w:t>
      </w:r>
      <w:r>
        <w:t xml:space="preserve"> Hence these receptors may be affected by more than one ground movement mechanism.</w:t>
      </w:r>
    </w:p>
    <w:p w14:paraId="22D152B7" w14:textId="5253C90F" w:rsidR="003D1EC5" w:rsidRDefault="003D1EC5" w:rsidP="003D1EC5">
      <w:pPr>
        <w:pStyle w:val="Para0"/>
      </w:pPr>
      <w:r>
        <w:t>These mechanisms are explained briefly below.</w:t>
      </w:r>
      <w:r w:rsidR="000D3C8B">
        <w:t xml:space="preserve"> </w:t>
      </w:r>
      <w:r w:rsidR="00AC24FD">
        <w:t xml:space="preserve"> </w:t>
      </w:r>
      <w:r w:rsidR="000D3C8B">
        <w:t>Fur</w:t>
      </w:r>
      <w:r w:rsidR="000804F4">
        <w:t>t</w:t>
      </w:r>
      <w:r w:rsidR="000D3C8B">
        <w:t xml:space="preserve">her and detailed technical descriptions of these and how they relate to the Latrobe Valley are provided in </w:t>
      </w:r>
      <w:r w:rsidR="000804F4">
        <w:t>DJPR (2019) and Jacobs (2020</w:t>
      </w:r>
      <w:r w:rsidR="00AC24FD">
        <w:t>b</w:t>
      </w:r>
      <w:r w:rsidR="000804F4">
        <w:t>)</w:t>
      </w:r>
      <w:r w:rsidR="00AC24FD">
        <w:t>.</w:t>
      </w:r>
    </w:p>
    <w:p w14:paraId="535EFD10" w14:textId="77777777" w:rsidR="003D1EC5" w:rsidRPr="00467AE6" w:rsidRDefault="003D1EC5" w:rsidP="002957F9">
      <w:pPr>
        <w:pStyle w:val="Heading3"/>
      </w:pPr>
      <w:r w:rsidRPr="00467AE6">
        <w:t>Subsidence</w:t>
      </w:r>
      <w:r>
        <w:t xml:space="preserve"> and Rebound</w:t>
      </w:r>
    </w:p>
    <w:p w14:paraId="7E1F2CB2" w14:textId="0039C7EA" w:rsidR="003D1EC5" w:rsidRDefault="003D1EC5" w:rsidP="003D1EC5">
      <w:pPr>
        <w:pStyle w:val="Para0"/>
      </w:pPr>
      <w:r>
        <w:t xml:space="preserve">Under natural conditions sediments below the watertable contain water in the pore spaces between sediment particles, in part supporting the weight of overlying material. </w:t>
      </w:r>
      <w:r w:rsidRPr="00467AE6">
        <w:t xml:space="preserve"> Depressurisation</w:t>
      </w:r>
      <w:r>
        <w:t xml:space="preserve"> of the geological materials (such as by the action of groundwater pumping)</w:t>
      </w:r>
      <w:r w:rsidRPr="00467AE6">
        <w:t xml:space="preserve"> causes groundwater to flow</w:t>
      </w:r>
      <w:r>
        <w:t xml:space="preserve"> out of the pores</w:t>
      </w:r>
      <w:r w:rsidRPr="00467AE6">
        <w:t xml:space="preserve">. The structure of the </w:t>
      </w:r>
      <w:r>
        <w:t xml:space="preserve">drained </w:t>
      </w:r>
      <w:r w:rsidRPr="00467AE6">
        <w:t xml:space="preserve">material is compressed by the increase in effective </w:t>
      </w:r>
      <w:r>
        <w:t xml:space="preserve">vertical </w:t>
      </w:r>
      <w:r w:rsidRPr="00467AE6">
        <w:t>stress, causing subsidence over a period of time</w:t>
      </w:r>
      <w:r>
        <w:t>,</w:t>
      </w:r>
      <w:r w:rsidRPr="00467AE6">
        <w:t xml:space="preserve"> depending on the </w:t>
      </w:r>
      <w:r>
        <w:t xml:space="preserve">extent of depressurisation, </w:t>
      </w:r>
      <w:r w:rsidRPr="00467AE6">
        <w:t xml:space="preserve">mass permeabilities and material thickness characteristics at any location. </w:t>
      </w:r>
      <w:r w:rsidR="00AC24FD">
        <w:t xml:space="preserve"> </w:t>
      </w:r>
      <w:r w:rsidRPr="00467AE6">
        <w:t>Subsidence occurs over the inter-mine and regional scale</w:t>
      </w:r>
      <w:r>
        <w:t>s</w:t>
      </w:r>
      <w:r w:rsidRPr="00467AE6">
        <w:t xml:space="preserve"> and can </w:t>
      </w:r>
      <w:r>
        <w:t xml:space="preserve">affect </w:t>
      </w:r>
      <w:r w:rsidRPr="00467AE6">
        <w:t>up to 20</w:t>
      </w:r>
      <w:r w:rsidR="00AC24FD">
        <w:t xml:space="preserve"> </w:t>
      </w:r>
      <w:r w:rsidRPr="00467AE6">
        <w:t>km x 45</w:t>
      </w:r>
      <w:r w:rsidR="00AC24FD">
        <w:t xml:space="preserve"> </w:t>
      </w:r>
      <w:r w:rsidRPr="00467AE6">
        <w:t>km</w:t>
      </w:r>
      <w:r>
        <w:t xml:space="preserve"> of the Latrobe Valley </w:t>
      </w:r>
      <w:r w:rsidR="0091132A">
        <w:t xml:space="preserve">centred around the mines </w:t>
      </w:r>
      <w:r>
        <w:t>(PSM</w:t>
      </w:r>
      <w:r w:rsidR="00492DC4">
        <w:t>,</w:t>
      </w:r>
      <w:r>
        <w:t xml:space="preserve"> 201</w:t>
      </w:r>
      <w:r w:rsidR="00201758">
        <w:t>3</w:t>
      </w:r>
      <w:r>
        <w:t>)</w:t>
      </w:r>
      <w:r w:rsidRPr="00467AE6">
        <w:t>.</w:t>
      </w:r>
      <w:r>
        <w:t xml:space="preserve"> The most common expression of subsidence is the lowering in elevation of the ground surface over time.</w:t>
      </w:r>
    </w:p>
    <w:p w14:paraId="0D02995C" w14:textId="47DF6420" w:rsidR="003D1EC5" w:rsidRDefault="003D1EC5" w:rsidP="003D1EC5">
      <w:pPr>
        <w:pStyle w:val="Para0"/>
      </w:pPr>
      <w:r w:rsidRPr="00DD402A">
        <w:t>Rebound is the reverse geotechnical process to subsidence.</w:t>
      </w:r>
      <w:r w:rsidR="00AC24FD">
        <w:t xml:space="preserve"> </w:t>
      </w:r>
      <w:r w:rsidRPr="00DD402A">
        <w:t xml:space="preserve"> When depressurisation </w:t>
      </w:r>
      <w:r>
        <w:t>(groundwater extraction) ceases,</w:t>
      </w:r>
      <w:r w:rsidRPr="00DD402A">
        <w:t xml:space="preserve"> </w:t>
      </w:r>
      <w:r>
        <w:t xml:space="preserve">groundwater pressures will recover (rebound) with a consequent increase in </w:t>
      </w:r>
      <w:r w:rsidRPr="00DD402A">
        <w:t>pore pressures to a new</w:t>
      </w:r>
      <w:r>
        <w:t>,</w:t>
      </w:r>
      <w:r w:rsidRPr="00DD402A">
        <w:t xml:space="preserve"> and </w:t>
      </w:r>
      <w:r>
        <w:t xml:space="preserve">likely </w:t>
      </w:r>
      <w:r w:rsidRPr="00DD402A">
        <w:t>different</w:t>
      </w:r>
      <w:r>
        <w:t>,</w:t>
      </w:r>
      <w:r w:rsidRPr="00DD402A">
        <w:t xml:space="preserve"> equilibrium condition. </w:t>
      </w:r>
      <w:r w:rsidR="00AC24FD">
        <w:t xml:space="preserve"> </w:t>
      </w:r>
      <w:r w:rsidRPr="00DD402A">
        <w:t xml:space="preserve">The reduction of effective stress </w:t>
      </w:r>
      <w:r>
        <w:t xml:space="preserve">that results </w:t>
      </w:r>
      <w:r w:rsidRPr="00DD402A">
        <w:t>will cause material to rebound recovering some of the volume lost to positive pore pressure changes.</w:t>
      </w:r>
      <w:r>
        <w:t xml:space="preserve"> </w:t>
      </w:r>
      <w:r w:rsidR="00AC24FD">
        <w:t xml:space="preserve"> </w:t>
      </w:r>
      <w:r>
        <w:t>Experience elsewhere (as described generally in the literature on rebound</w:t>
      </w:r>
      <w:r w:rsidR="00DE17A6">
        <w:t xml:space="preserve"> e.g. </w:t>
      </w:r>
      <w:r w:rsidR="00823DFA">
        <w:t>(</w:t>
      </w:r>
      <w:r w:rsidR="00DE17A6">
        <w:t>GHD, 2019)</w:t>
      </w:r>
      <w:r>
        <w:t>) suggests that rebound does not fully recover the amount of subsidence that has occurred, although to what degree this will be the case in the Latrobe Valley is yet to be finally assessed.</w:t>
      </w:r>
      <w:r w:rsidR="00AC24FD">
        <w:t xml:space="preserve"> </w:t>
      </w:r>
      <w:r>
        <w:t xml:space="preserve"> Future studies in the LVRRS will explore this matter.</w:t>
      </w:r>
    </w:p>
    <w:p w14:paraId="14CA91B9" w14:textId="34998D62" w:rsidR="00405B95" w:rsidRDefault="00405B95" w:rsidP="00405B95">
      <w:pPr>
        <w:rPr>
          <w:rFonts w:cs="Arial"/>
          <w:lang w:val="en-AU"/>
        </w:rPr>
      </w:pPr>
      <w:r>
        <w:rPr>
          <w:rFonts w:cs="Arial"/>
          <w:lang w:val="en-AU"/>
        </w:rPr>
        <w:t xml:space="preserve">Over forty years of ground movement records and information exists on the Latrobe Valley area. </w:t>
      </w:r>
      <w:r w:rsidR="00CE3F52">
        <w:rPr>
          <w:rFonts w:cs="Arial"/>
          <w:lang w:val="en-AU"/>
        </w:rPr>
        <w:t xml:space="preserve"> </w:t>
      </w:r>
      <w:r>
        <w:rPr>
          <w:rFonts w:cs="Arial"/>
          <w:lang w:val="en-AU"/>
        </w:rPr>
        <w:t xml:space="preserve">It is well known that groundwater extraction from the Morwell and Traralgon Formation aquifers (termed ‘aquifer depressurisation’) for mine stability have caused compression of </w:t>
      </w:r>
      <w:r w:rsidR="004E6328" w:rsidRPr="004E6328">
        <w:rPr>
          <w:rFonts w:cs="Arial"/>
          <w:lang w:val="en-AU"/>
        </w:rPr>
        <w:t>coal, inter-seam and clay layers</w:t>
      </w:r>
      <w:r>
        <w:rPr>
          <w:rFonts w:cs="Arial"/>
          <w:lang w:val="en-AU"/>
        </w:rPr>
        <w:t>, leading to regional subsidence (i.e. lowering of the ground level).</w:t>
      </w:r>
      <w:r w:rsidR="00CE3F52">
        <w:rPr>
          <w:rFonts w:cs="Arial"/>
          <w:lang w:val="en-AU"/>
        </w:rPr>
        <w:t xml:space="preserve"> </w:t>
      </w:r>
      <w:r w:rsidRPr="007F7625">
        <w:rPr>
          <w:rFonts w:cs="Arial"/>
          <w:lang w:val="en-AU"/>
        </w:rPr>
        <w:t xml:space="preserve"> </w:t>
      </w:r>
      <w:r>
        <w:rPr>
          <w:rFonts w:cs="Arial"/>
          <w:lang w:val="en-AU"/>
        </w:rPr>
        <w:t xml:space="preserve">If aquifer pressures are allowed to recover, and therefore the stress is removed from the aquifers, coal and interseam deposits </w:t>
      </w:r>
      <w:r w:rsidRPr="0053788D">
        <w:rPr>
          <w:rFonts w:cs="Arial"/>
          <w:lang w:val="en-AU"/>
        </w:rPr>
        <w:t xml:space="preserve">the </w:t>
      </w:r>
      <w:r>
        <w:rPr>
          <w:rFonts w:cs="Arial"/>
          <w:lang w:val="en-AU"/>
        </w:rPr>
        <w:t>ground</w:t>
      </w:r>
      <w:r w:rsidRPr="0053788D">
        <w:rPr>
          <w:rFonts w:cs="Arial"/>
          <w:lang w:val="en-AU"/>
        </w:rPr>
        <w:t xml:space="preserve"> will rebound, </w:t>
      </w:r>
      <w:r>
        <w:rPr>
          <w:rFonts w:cs="Arial"/>
          <w:lang w:val="en-AU"/>
        </w:rPr>
        <w:t>allowing</w:t>
      </w:r>
      <w:r w:rsidRPr="0053788D">
        <w:rPr>
          <w:rFonts w:cs="Arial"/>
          <w:lang w:val="en-AU"/>
        </w:rPr>
        <w:t xml:space="preserve"> some of the volume it had lost in the consolidation process</w:t>
      </w:r>
      <w:r>
        <w:rPr>
          <w:rFonts w:cs="Arial"/>
          <w:lang w:val="en-AU"/>
        </w:rPr>
        <w:t xml:space="preserve"> to recover. </w:t>
      </w:r>
    </w:p>
    <w:p w14:paraId="4666428F" w14:textId="36A32EC7" w:rsidR="006D1B8C" w:rsidRDefault="006D1B8C" w:rsidP="00405B95">
      <w:pPr>
        <w:rPr>
          <w:rFonts w:cs="Arial"/>
          <w:lang w:val="en-AU"/>
        </w:rPr>
      </w:pPr>
      <w:r>
        <w:rPr>
          <w:rFonts w:cs="Arial"/>
          <w:lang w:val="en-AU"/>
        </w:rPr>
        <w:t>Literature reviewed for this study identified case studies of rebound that give some indication of the possible rates and extent of rebound following wide-spread subsidence.</w:t>
      </w:r>
      <w:r w:rsidR="00CE3F52">
        <w:rPr>
          <w:rFonts w:cs="Arial"/>
          <w:lang w:val="en-AU"/>
        </w:rPr>
        <w:t xml:space="preserve"> </w:t>
      </w:r>
      <w:r>
        <w:rPr>
          <w:rFonts w:cs="Arial"/>
          <w:lang w:val="en-AU"/>
        </w:rPr>
        <w:t xml:space="preserve"> These case studies are summarised below. </w:t>
      </w:r>
      <w:r w:rsidR="00CE3F52">
        <w:rPr>
          <w:rFonts w:cs="Arial"/>
          <w:lang w:val="en-AU"/>
        </w:rPr>
        <w:t xml:space="preserve"> </w:t>
      </w:r>
      <w:r w:rsidR="0048052D">
        <w:rPr>
          <w:rFonts w:cs="Arial"/>
          <w:lang w:val="en-AU"/>
        </w:rPr>
        <w:t>As already stated, each aquifer basin is different</w:t>
      </w:r>
      <w:r w:rsidR="005910D7">
        <w:rPr>
          <w:rFonts w:cs="Arial"/>
          <w:lang w:val="en-AU"/>
        </w:rPr>
        <w:t>,</w:t>
      </w:r>
      <w:r w:rsidR="0048052D">
        <w:rPr>
          <w:rFonts w:cs="Arial"/>
          <w:lang w:val="en-AU"/>
        </w:rPr>
        <w:t xml:space="preserve"> and these rates may not necessarily apply to the Latrobe Valley. </w:t>
      </w:r>
      <w:r w:rsidR="00CE3F52">
        <w:rPr>
          <w:rFonts w:cs="Arial"/>
          <w:lang w:val="en-AU"/>
        </w:rPr>
        <w:t xml:space="preserve"> </w:t>
      </w:r>
      <w:r w:rsidR="0048052D">
        <w:rPr>
          <w:rFonts w:cs="Arial"/>
          <w:lang w:val="en-AU"/>
        </w:rPr>
        <w:t xml:space="preserve">Future work will define </w:t>
      </w:r>
      <w:r w:rsidR="00B50F79">
        <w:rPr>
          <w:rFonts w:cs="Arial"/>
          <w:lang w:val="en-AU"/>
        </w:rPr>
        <w:t>better the magnitude and rate of re</w:t>
      </w:r>
      <w:r w:rsidR="005910D7">
        <w:rPr>
          <w:rFonts w:cs="Arial"/>
          <w:lang w:val="en-AU"/>
        </w:rPr>
        <w:t>b</w:t>
      </w:r>
      <w:r w:rsidR="00B50F79">
        <w:rPr>
          <w:rFonts w:cs="Arial"/>
          <w:lang w:val="en-AU"/>
        </w:rPr>
        <w:t>ound that is likely for the region.</w:t>
      </w:r>
    </w:p>
    <w:p w14:paraId="0A76C5AD" w14:textId="582FF9B1" w:rsidR="00B50F79" w:rsidRDefault="00B50F79" w:rsidP="00B50F79">
      <w:pPr>
        <w:rPr>
          <w:shd w:val="clear" w:color="auto" w:fill="FFFFFF"/>
        </w:rPr>
      </w:pPr>
      <w:r>
        <w:rPr>
          <w:shd w:val="clear" w:color="auto" w:fill="FFFFFF"/>
        </w:rPr>
        <w:t>S</w:t>
      </w:r>
      <w:r w:rsidR="004A1842">
        <w:rPr>
          <w:shd w:val="clear" w:color="auto" w:fill="FFFFFF"/>
        </w:rPr>
        <w:t xml:space="preserve">elected large scale </w:t>
      </w:r>
      <w:r>
        <w:rPr>
          <w:shd w:val="clear" w:color="auto" w:fill="FFFFFF"/>
        </w:rPr>
        <w:t xml:space="preserve">case studies </w:t>
      </w:r>
      <w:r w:rsidR="004A1842">
        <w:rPr>
          <w:shd w:val="clear" w:color="auto" w:fill="FFFFFF"/>
        </w:rPr>
        <w:t xml:space="preserve">of rebound </w:t>
      </w:r>
      <w:r>
        <w:rPr>
          <w:shd w:val="clear" w:color="auto" w:fill="FFFFFF"/>
        </w:rPr>
        <w:t>in Asia</w:t>
      </w:r>
      <w:r w:rsidR="004A1842">
        <w:rPr>
          <w:shd w:val="clear" w:color="auto" w:fill="FFFFFF"/>
        </w:rPr>
        <w:t>, following</w:t>
      </w:r>
      <w:r>
        <w:rPr>
          <w:shd w:val="clear" w:color="auto" w:fill="FFFFFF"/>
        </w:rPr>
        <w:t xml:space="preserve"> long periods of subsidence </w:t>
      </w:r>
      <w:r w:rsidR="004A1842">
        <w:rPr>
          <w:shd w:val="clear" w:color="auto" w:fill="FFFFFF"/>
        </w:rPr>
        <w:t>are</w:t>
      </w:r>
      <w:r>
        <w:rPr>
          <w:shd w:val="clear" w:color="auto" w:fill="FFFFFF"/>
        </w:rPr>
        <w:t>:</w:t>
      </w:r>
    </w:p>
    <w:p w14:paraId="421D0021" w14:textId="2D688AAA" w:rsidR="00B50F79" w:rsidRDefault="00B50F79" w:rsidP="00D2712A">
      <w:pPr>
        <w:pStyle w:val="Para0bullet"/>
      </w:pPr>
      <w:r w:rsidRPr="005910D7">
        <w:rPr>
          <w:b/>
          <w:shd w:val="clear" w:color="auto" w:fill="FFFFFF"/>
        </w:rPr>
        <w:t>Taiwan</w:t>
      </w:r>
      <w:r w:rsidRPr="005910D7">
        <w:rPr>
          <w:shd w:val="clear" w:color="auto" w:fill="FFFFFF"/>
        </w:rPr>
        <w:t xml:space="preserve">- Metropolitan Taipei Basin in Northern Taiwan </w:t>
      </w:r>
      <w:r w:rsidR="00766A3A">
        <w:rPr>
          <w:shd w:val="clear" w:color="auto" w:fill="FFFFFF"/>
        </w:rPr>
        <w:t xml:space="preserve">(Chen </w:t>
      </w:r>
      <w:r w:rsidR="00766A3A" w:rsidRPr="00766A3A">
        <w:rPr>
          <w:i/>
          <w:shd w:val="clear" w:color="auto" w:fill="FFFFFF"/>
        </w:rPr>
        <w:t>et al</w:t>
      </w:r>
      <w:r w:rsidR="00A84AD3">
        <w:rPr>
          <w:i/>
          <w:shd w:val="clear" w:color="auto" w:fill="FFFFFF"/>
        </w:rPr>
        <w:t>.</w:t>
      </w:r>
      <w:r w:rsidR="00766A3A">
        <w:rPr>
          <w:shd w:val="clear" w:color="auto" w:fill="FFFFFF"/>
        </w:rPr>
        <w:t xml:space="preserve"> 2007) </w:t>
      </w:r>
      <w:r w:rsidRPr="005910D7">
        <w:rPr>
          <w:shd w:val="clear" w:color="auto" w:fill="FFFFFF"/>
        </w:rPr>
        <w:t>experienced a thirty-year land elevation change following the termination of groundwater pumping, with approximately 10% rebound of the former amount of subsidence</w:t>
      </w:r>
      <w:r w:rsidR="005910D7">
        <w:rPr>
          <w:shd w:val="clear" w:color="auto" w:fill="FFFFFF"/>
        </w:rPr>
        <w:t xml:space="preserve">. </w:t>
      </w:r>
      <w:r>
        <w:t>Ground water pumping commenced in 1895, with the installation of 150 wells. The piezometric level decreased more than 40</w:t>
      </w:r>
      <w:r w:rsidR="00F44C78">
        <w:t xml:space="preserve"> </w:t>
      </w:r>
      <w:r>
        <w:t>m and reached its lowest point in 1975.  After the placement of government restriction in the 1970s, the fast decline of the groundwater table has stopped; the piezometric head began to rise and recovered 30-40 m in 30 years. During 1975 to 1980 a maximum settlement of 75mm/yr was observed compared to a rebound of 20mm/yr observed over 1996-2000</w:t>
      </w:r>
      <w:r w:rsidR="00D2712A">
        <w:t xml:space="preserve">. </w:t>
      </w:r>
      <w:r>
        <w:t>The Taipei Basin has four stratigraphic units bottom to top consisting of (1) Banchiao formation fluvial sands, mud and conglomerates, (2) Wuku formation of fluvial sand, conglomerates, (3) Jingmei formation comprising lateritic alluvial f-fan conglomerates and (4) Sungshan formation composed of estuary interbedded sand-mud deposits.  Land elevation change from survey data during post-pumping in 1975</w:t>
      </w:r>
      <w:r w:rsidRPr="00D2712A">
        <w:rPr>
          <w:rFonts w:ascii="AdvTT6120e2aa+20" w:hAnsi="AdvTT6120e2aa+20" w:cs="AdvTT6120e2aa+20"/>
        </w:rPr>
        <w:t>–</w:t>
      </w:r>
      <w:r>
        <w:t>2003 is documented in detail. The post-pumping behaviour is characterized by an interval of waning subsidence followed by slight uplift</w:t>
      </w:r>
    </w:p>
    <w:p w14:paraId="64F507EC" w14:textId="218604A7" w:rsidR="00B50F79" w:rsidRDefault="00B50F79" w:rsidP="00BD37EA">
      <w:pPr>
        <w:pStyle w:val="Para0bullet"/>
      </w:pPr>
      <w:r w:rsidRPr="004A1842">
        <w:rPr>
          <w:b/>
          <w:lang w:val="en"/>
        </w:rPr>
        <w:t>China</w:t>
      </w:r>
      <w:r w:rsidRPr="004A1842">
        <w:rPr>
          <w:lang w:val="en"/>
        </w:rPr>
        <w:t xml:space="preserve">- Land subsidence and uplift due to long-term groundwater extraction and artificial recharge in Shanghai </w:t>
      </w:r>
      <w:r w:rsidR="001F7EA0">
        <w:rPr>
          <w:lang w:val="en"/>
        </w:rPr>
        <w:t xml:space="preserve">(Zhang </w:t>
      </w:r>
      <w:r w:rsidR="001F7EA0" w:rsidRPr="0038105B">
        <w:rPr>
          <w:i/>
          <w:lang w:val="en"/>
        </w:rPr>
        <w:t>et al</w:t>
      </w:r>
      <w:r w:rsidR="00C10B35">
        <w:rPr>
          <w:i/>
          <w:lang w:val="en"/>
        </w:rPr>
        <w:t>.</w:t>
      </w:r>
      <w:r w:rsidR="0038105B">
        <w:rPr>
          <w:lang w:val="en"/>
        </w:rPr>
        <w:t xml:space="preserve">, 2015). </w:t>
      </w:r>
      <w:r>
        <w:t xml:space="preserve">Groundwater extraction in Shanghai </w:t>
      </w:r>
      <w:r w:rsidR="00B224D1">
        <w:t>dates to</w:t>
      </w:r>
      <w:r>
        <w:t xml:space="preserve"> 1860. The amount of </w:t>
      </w:r>
      <w:r w:rsidR="00BD1476">
        <w:t xml:space="preserve">groundwater extraction </w:t>
      </w:r>
      <w:r>
        <w:t>was quite small before 1949, however increased rapidly</w:t>
      </w:r>
      <w:r w:rsidR="00BD1476">
        <w:t xml:space="preserve"> after then </w:t>
      </w:r>
      <w:r>
        <w:t xml:space="preserve">especially in the late 1950s. The yearly </w:t>
      </w:r>
      <w:r w:rsidR="00B224D1">
        <w:t>groundwater extraction</w:t>
      </w:r>
      <w:r>
        <w:t xml:space="preserve"> reached its peak of 2.03 × 10</w:t>
      </w:r>
      <w:r w:rsidRPr="004A1842">
        <w:rPr>
          <w:vertAlign w:val="superscript"/>
        </w:rPr>
        <w:t>8</w:t>
      </w:r>
      <w:r>
        <w:t xml:space="preserve"> m</w:t>
      </w:r>
      <w:r w:rsidRPr="004A1842">
        <w:rPr>
          <w:vertAlign w:val="superscript"/>
        </w:rPr>
        <w:t>3</w:t>
      </w:r>
      <w:r>
        <w:t xml:space="preserve"> in 1963. If only the urban area of Shanghai is considered, however, the yearly </w:t>
      </w:r>
      <w:r w:rsidR="00B224D1">
        <w:t>groundwater extraction</w:t>
      </w:r>
      <w:r>
        <w:t xml:space="preserve"> reached its peak of 1.39 × 10</w:t>
      </w:r>
      <w:r w:rsidRPr="004A1842">
        <w:rPr>
          <w:vertAlign w:val="superscript"/>
        </w:rPr>
        <w:t>8</w:t>
      </w:r>
      <w:r>
        <w:t xml:space="preserve"> m</w:t>
      </w:r>
      <w:r w:rsidRPr="004A1842">
        <w:rPr>
          <w:vertAlign w:val="superscript"/>
        </w:rPr>
        <w:t>3</w:t>
      </w:r>
      <w:r>
        <w:t xml:space="preserve"> in 1958. Intensive groundwater extraction has caused severe land subsidence; during the period of 1957–1961, the average </w:t>
      </w:r>
      <w:r w:rsidR="00314E8C">
        <w:t xml:space="preserve">subsidence was 99.4 mm/year </w:t>
      </w:r>
      <w:r>
        <w:t xml:space="preserve">and </w:t>
      </w:r>
      <w:r w:rsidR="00314E8C">
        <w:t xml:space="preserve">the </w:t>
      </w:r>
      <w:r>
        <w:t xml:space="preserve">maximum rate </w:t>
      </w:r>
      <w:r w:rsidR="00314E8C">
        <w:t>was</w:t>
      </w:r>
      <w:r>
        <w:t xml:space="preserve"> 170 mm/year. In order to alleviate land subsidence, the amount of groundwater extraction was strictly limited and </w:t>
      </w:r>
      <w:r w:rsidR="001D649D">
        <w:t xml:space="preserve">so </w:t>
      </w:r>
      <w:r>
        <w:t>declined sharply to 0.59 × 10</w:t>
      </w:r>
      <w:r w:rsidRPr="001D649D">
        <w:rPr>
          <w:vertAlign w:val="superscript"/>
        </w:rPr>
        <w:t>8</w:t>
      </w:r>
      <w:r>
        <w:t xml:space="preserve"> m</w:t>
      </w:r>
      <w:r w:rsidRPr="001D649D">
        <w:rPr>
          <w:vertAlign w:val="superscript"/>
        </w:rPr>
        <w:t>3</w:t>
      </w:r>
      <w:r>
        <w:t xml:space="preserve"> in 1968</w:t>
      </w:r>
      <w:r w:rsidR="004A1842">
        <w:t xml:space="preserve">. </w:t>
      </w:r>
      <w:r w:rsidRPr="004A1842">
        <w:rPr>
          <w:rFonts w:eastAsia="MS Mincho"/>
          <w:lang w:val="en-AU"/>
        </w:rPr>
        <w:t>The area reported is composed of Quaternary deposits of six aquifers consisting mainly of medium to dense sands and gravels. Between the aquifers are aquitards of clay. Artificial recharge and limitation of pump</w:t>
      </w:r>
      <w:r w:rsidR="00822CBC">
        <w:rPr>
          <w:rFonts w:eastAsia="MS Mincho"/>
          <w:lang w:val="en-AU"/>
        </w:rPr>
        <w:t>ing</w:t>
      </w:r>
      <w:r w:rsidRPr="004A1842">
        <w:rPr>
          <w:rFonts w:eastAsia="MS Mincho"/>
          <w:lang w:val="en-AU"/>
        </w:rPr>
        <w:t xml:space="preserve"> are </w:t>
      </w:r>
      <w:r w:rsidR="00822CBC">
        <w:rPr>
          <w:rFonts w:eastAsia="MS Mincho"/>
          <w:lang w:val="en-AU"/>
        </w:rPr>
        <w:t xml:space="preserve">used as </w:t>
      </w:r>
      <w:r w:rsidRPr="004A1842">
        <w:rPr>
          <w:rFonts w:eastAsia="MS Mincho"/>
          <w:lang w:val="en-AU"/>
        </w:rPr>
        <w:t>measures for</w:t>
      </w:r>
      <w:r>
        <w:t xml:space="preserve"> controlling land subsidence. As a result of these measures, land subsidence in most parts of Shanghai has been arrested and land uplift has even occurred at some localities.</w:t>
      </w:r>
    </w:p>
    <w:p w14:paraId="7E1D6EB3" w14:textId="77777777" w:rsidR="00B50F79" w:rsidRDefault="00B50F79" w:rsidP="00405B95">
      <w:pPr>
        <w:rPr>
          <w:rFonts w:cs="Arial"/>
          <w:lang w:val="en-AU"/>
        </w:rPr>
      </w:pPr>
    </w:p>
    <w:p w14:paraId="202F60FC" w14:textId="77777777" w:rsidR="0077521E" w:rsidRDefault="0077521E" w:rsidP="0077521E">
      <w:pPr>
        <w:rPr>
          <w:lang w:val="en-AU"/>
        </w:rPr>
      </w:pPr>
      <w:bookmarkStart w:id="46" w:name="_Ref498514522"/>
      <w:r>
        <w:rPr>
          <w:lang w:val="en-AU"/>
        </w:rPr>
        <w:t>Stress relief effects that result from the excavation of each open pit also involve relaxation and horizontal movement from outside the limit of block sliding movement (see the description of this mechanism elsewhere in this report). These stress relief effects can also add to consolidation / subsidence movements and give rise to slightly enhanced vertical ground movement.</w:t>
      </w:r>
      <w:r w:rsidRPr="0053788D">
        <w:rPr>
          <w:lang w:val="en-AU"/>
        </w:rPr>
        <w:t xml:space="preserve"> </w:t>
      </w:r>
    </w:p>
    <w:p w14:paraId="54A86B1A" w14:textId="77777777" w:rsidR="0077521E" w:rsidRPr="008B1259" w:rsidRDefault="0077521E" w:rsidP="0077521E">
      <w:pPr>
        <w:rPr>
          <w:lang w:val="en-AU"/>
        </w:rPr>
      </w:pPr>
      <w:r>
        <w:rPr>
          <w:lang w:val="en-AU"/>
        </w:rPr>
        <w:t>GHD (2016) found that:</w:t>
      </w:r>
    </w:p>
    <w:p w14:paraId="5C21B031" w14:textId="43AA1792" w:rsidR="0077521E" w:rsidRDefault="0077521E" w:rsidP="0077521E">
      <w:pPr>
        <w:pStyle w:val="Para0bullet"/>
        <w:rPr>
          <w:rFonts w:eastAsia="MS Mincho"/>
          <w:lang w:val="en-AU"/>
        </w:rPr>
      </w:pPr>
      <w:r>
        <w:rPr>
          <w:rFonts w:eastAsia="MS Mincho"/>
          <w:lang w:val="en-AU"/>
        </w:rPr>
        <w:t>Subsidence is centred around the mines with measured ground movement extending to the margins of the western Gippsland Basin and beyond Rosedale to the east.</w:t>
      </w:r>
    </w:p>
    <w:p w14:paraId="13712949" w14:textId="77777777" w:rsidR="0077521E" w:rsidRPr="004743CA" w:rsidRDefault="0077521E" w:rsidP="0077521E">
      <w:pPr>
        <w:pStyle w:val="Para0bullet"/>
        <w:rPr>
          <w:rFonts w:eastAsia="MS Mincho"/>
          <w:lang w:val="en-AU"/>
        </w:rPr>
      </w:pPr>
      <w:r w:rsidRPr="004743CA">
        <w:rPr>
          <w:rFonts w:eastAsia="MS Mincho"/>
          <w:lang w:val="en-AU"/>
        </w:rPr>
        <w:t>Regional subsidence rates have generally been less than 10</w:t>
      </w:r>
      <w:r>
        <w:rPr>
          <w:rFonts w:eastAsia="MS Mincho"/>
          <w:lang w:val="en-AU"/>
        </w:rPr>
        <w:t xml:space="preserve"> </w:t>
      </w:r>
      <w:r w:rsidRPr="004743CA">
        <w:rPr>
          <w:rFonts w:eastAsia="MS Mincho"/>
          <w:lang w:val="en-AU"/>
        </w:rPr>
        <w:t>mm/year.</w:t>
      </w:r>
    </w:p>
    <w:p w14:paraId="7749950E" w14:textId="77777777" w:rsidR="0077521E" w:rsidRPr="004743CA" w:rsidRDefault="0077521E" w:rsidP="0077521E">
      <w:pPr>
        <w:pStyle w:val="Para0bullet"/>
        <w:rPr>
          <w:rFonts w:eastAsia="MS Mincho"/>
          <w:lang w:val="en-AU"/>
        </w:rPr>
      </w:pPr>
      <w:r>
        <w:rPr>
          <w:rFonts w:eastAsia="MS Mincho"/>
          <w:lang w:val="en-AU"/>
        </w:rPr>
        <w:t>R</w:t>
      </w:r>
      <w:r w:rsidRPr="004743CA">
        <w:rPr>
          <w:rFonts w:eastAsia="MS Mincho"/>
          <w:lang w:val="en-AU"/>
        </w:rPr>
        <w:t>ates of settlement in the Hazelwood Mine and Yallourn Mine areas up to 12</w:t>
      </w:r>
      <w:r>
        <w:rPr>
          <w:rFonts w:eastAsia="MS Mincho"/>
          <w:lang w:val="en-AU"/>
        </w:rPr>
        <w:t xml:space="preserve"> </w:t>
      </w:r>
      <w:r w:rsidRPr="004743CA">
        <w:rPr>
          <w:rFonts w:eastAsia="MS Mincho"/>
          <w:lang w:val="en-AU"/>
        </w:rPr>
        <w:t>mm/year.</w:t>
      </w:r>
    </w:p>
    <w:p w14:paraId="5CE83B7C" w14:textId="77777777" w:rsidR="0077521E" w:rsidRPr="004743CA" w:rsidRDefault="0077521E" w:rsidP="0077521E">
      <w:pPr>
        <w:pStyle w:val="Para0bullet"/>
        <w:rPr>
          <w:rFonts w:eastAsia="MS Mincho"/>
          <w:lang w:val="en-AU"/>
        </w:rPr>
      </w:pPr>
      <w:r w:rsidRPr="004743CA">
        <w:rPr>
          <w:rFonts w:eastAsia="MS Mincho"/>
          <w:lang w:val="en-AU"/>
        </w:rPr>
        <w:t>Loy Yang Mine has developed towards the north and east resulting in an increase of subsidence.</w:t>
      </w:r>
      <w:r>
        <w:rPr>
          <w:rFonts w:eastAsia="MS Mincho"/>
          <w:lang w:val="en-AU"/>
        </w:rPr>
        <w:t xml:space="preserve"> Subsidence rates for the </w:t>
      </w:r>
      <w:r w:rsidRPr="004743CA">
        <w:rPr>
          <w:rFonts w:eastAsia="MS Mincho"/>
          <w:lang w:val="en-AU"/>
        </w:rPr>
        <w:t xml:space="preserve">Loy Yang Mine area </w:t>
      </w:r>
      <w:r>
        <w:rPr>
          <w:rFonts w:eastAsia="MS Mincho"/>
          <w:lang w:val="en-AU"/>
        </w:rPr>
        <w:t xml:space="preserve">are </w:t>
      </w:r>
      <w:r w:rsidRPr="004743CA">
        <w:rPr>
          <w:rFonts w:eastAsia="MS Mincho"/>
          <w:lang w:val="en-AU"/>
        </w:rPr>
        <w:t xml:space="preserve">up to 40/mm year with larger subsidence up to </w:t>
      </w:r>
      <w:r>
        <w:rPr>
          <w:rFonts w:eastAsia="MS Mincho"/>
          <w:lang w:val="en-AU"/>
        </w:rPr>
        <w:br/>
      </w:r>
      <w:r w:rsidRPr="004743CA">
        <w:rPr>
          <w:rFonts w:eastAsia="MS Mincho"/>
          <w:lang w:val="en-AU"/>
        </w:rPr>
        <w:t>43</w:t>
      </w:r>
      <w:r>
        <w:rPr>
          <w:rFonts w:eastAsia="MS Mincho"/>
          <w:lang w:val="en-AU"/>
        </w:rPr>
        <w:t xml:space="preserve"> </w:t>
      </w:r>
      <w:r w:rsidRPr="004743CA">
        <w:rPr>
          <w:rFonts w:eastAsia="MS Mincho"/>
          <w:lang w:val="en-AU"/>
        </w:rPr>
        <w:t>mm/year adjacent at the northern batters.</w:t>
      </w:r>
    </w:p>
    <w:p w14:paraId="543EF88F" w14:textId="77777777" w:rsidR="0077521E" w:rsidRPr="004743CA" w:rsidRDefault="0077521E" w:rsidP="0077521E">
      <w:pPr>
        <w:pStyle w:val="Para0bullet"/>
        <w:rPr>
          <w:rFonts w:eastAsia="MS Mincho"/>
          <w:lang w:val="en-AU"/>
        </w:rPr>
      </w:pPr>
      <w:r w:rsidRPr="004743CA">
        <w:rPr>
          <w:rFonts w:eastAsia="MS Mincho"/>
          <w:lang w:val="en-AU"/>
        </w:rPr>
        <w:t>Subsidence rates have remained the same or reduced in the Yallourn and Hazelwood Mine areas</w:t>
      </w:r>
      <w:r>
        <w:rPr>
          <w:rFonts w:eastAsia="MS Mincho"/>
          <w:lang w:val="en-AU"/>
        </w:rPr>
        <w:t xml:space="preserve"> due to groundwater extraction rates reducing or remaining relatively stable</w:t>
      </w:r>
      <w:r w:rsidRPr="004743CA">
        <w:rPr>
          <w:rFonts w:eastAsia="MS Mincho"/>
          <w:lang w:val="en-AU"/>
        </w:rPr>
        <w:t>.</w:t>
      </w:r>
    </w:p>
    <w:p w14:paraId="0ED2711A" w14:textId="3691D931" w:rsidR="0077521E" w:rsidRDefault="0077521E" w:rsidP="0077521E">
      <w:pPr>
        <w:rPr>
          <w:lang w:val="en-AU"/>
        </w:rPr>
      </w:pPr>
      <w:r>
        <w:rPr>
          <w:lang w:val="en-AU"/>
        </w:rPr>
        <w:t xml:space="preserve">No significant differential land movement has been apparent in the Latrobe Valley, rather locally uniform reductions in land levels have occurred, centred around the mines. </w:t>
      </w:r>
      <w:r w:rsidR="0015735E">
        <w:rPr>
          <w:lang w:val="en-AU"/>
        </w:rPr>
        <w:t xml:space="preserve"> </w:t>
      </w:r>
      <w:r>
        <w:rPr>
          <w:lang w:val="en-AU"/>
        </w:rPr>
        <w:t>At the inter-mine and regional scale subsidence that has occurred over years of mining expresses itself as modest tilt in the landscape rather than sharply defined local (differential) movements.</w:t>
      </w:r>
    </w:p>
    <w:p w14:paraId="3A499C2E" w14:textId="7EA45654" w:rsidR="0077521E" w:rsidRDefault="0077521E" w:rsidP="0077521E">
      <w:pPr>
        <w:spacing w:after="0" w:line="240" w:lineRule="auto"/>
        <w:rPr>
          <w:lang w:val="en-AU"/>
        </w:rPr>
      </w:pPr>
      <w:r>
        <w:rPr>
          <w:lang w:val="en-AU"/>
        </w:rPr>
        <w:t xml:space="preserve">Major considerations when designing for subsidence as shown in </w:t>
      </w:r>
      <w:r>
        <w:rPr>
          <w:lang w:val="en-AU"/>
        </w:rPr>
        <w:fldChar w:fldCharType="begin"/>
      </w:r>
      <w:r>
        <w:rPr>
          <w:lang w:val="en-AU"/>
        </w:rPr>
        <w:instrText xml:space="preserve"> REF _Ref505955305 \h </w:instrText>
      </w:r>
      <w:r>
        <w:rPr>
          <w:lang w:val="en-AU"/>
        </w:rPr>
      </w:r>
      <w:r>
        <w:rPr>
          <w:lang w:val="en-AU"/>
        </w:rPr>
        <w:fldChar w:fldCharType="separate"/>
      </w:r>
      <w:r w:rsidR="00A83148" w:rsidRPr="009038E7">
        <w:t xml:space="preserve">Figure </w:t>
      </w:r>
      <w:r w:rsidR="00A83148">
        <w:rPr>
          <w:noProof/>
        </w:rPr>
        <w:t>3</w:t>
      </w:r>
      <w:r w:rsidR="00A83148" w:rsidRPr="009038E7">
        <w:t>.</w:t>
      </w:r>
      <w:r w:rsidR="00A83148">
        <w:rPr>
          <w:noProof/>
        </w:rPr>
        <w:t>1</w:t>
      </w:r>
      <w:r>
        <w:rPr>
          <w:lang w:val="en-AU"/>
        </w:rPr>
        <w:fldChar w:fldCharType="end"/>
      </w:r>
      <w:r>
        <w:rPr>
          <w:lang w:val="en-AU"/>
        </w:rPr>
        <w:t xml:space="preserve"> include:</w:t>
      </w:r>
    </w:p>
    <w:p w14:paraId="34237ED4" w14:textId="77777777" w:rsidR="00492DC4" w:rsidRDefault="00492DC4" w:rsidP="0077521E">
      <w:pPr>
        <w:spacing w:after="0" w:line="240" w:lineRule="auto"/>
        <w:rPr>
          <w:lang w:val="en-AU"/>
        </w:rPr>
      </w:pPr>
    </w:p>
    <w:p w14:paraId="34F97138" w14:textId="77777777" w:rsidR="0077521E" w:rsidRPr="004743CA" w:rsidRDefault="0077521E" w:rsidP="0077521E">
      <w:pPr>
        <w:pStyle w:val="Para0bullet"/>
        <w:rPr>
          <w:rFonts w:eastAsia="MS Mincho"/>
          <w:lang w:val="en-AU"/>
        </w:rPr>
      </w:pPr>
      <w:r w:rsidRPr="004743CA">
        <w:rPr>
          <w:rFonts w:eastAsia="MS Mincho"/>
          <w:lang w:val="en-AU"/>
        </w:rPr>
        <w:t>Design for vertical subsidence</w:t>
      </w:r>
    </w:p>
    <w:p w14:paraId="60794962" w14:textId="77777777" w:rsidR="0077521E" w:rsidRPr="004743CA" w:rsidRDefault="0077521E" w:rsidP="0077521E">
      <w:pPr>
        <w:pStyle w:val="Para0bullet"/>
        <w:rPr>
          <w:rFonts w:eastAsia="MS Mincho"/>
          <w:lang w:val="en-AU"/>
        </w:rPr>
      </w:pPr>
      <w:r w:rsidRPr="004743CA">
        <w:rPr>
          <w:rFonts w:eastAsia="MS Mincho"/>
          <w:lang w:val="en-AU"/>
        </w:rPr>
        <w:t>Design to accommodate strains</w:t>
      </w:r>
    </w:p>
    <w:p w14:paraId="28011EDA" w14:textId="77777777" w:rsidR="0077521E" w:rsidRPr="004743CA" w:rsidRDefault="0077521E" w:rsidP="0077521E">
      <w:pPr>
        <w:pStyle w:val="Para0bullet"/>
        <w:rPr>
          <w:rFonts w:eastAsia="MS Mincho"/>
          <w:lang w:val="en-AU"/>
        </w:rPr>
      </w:pPr>
      <w:r w:rsidRPr="004743CA">
        <w:rPr>
          <w:rFonts w:eastAsia="MS Mincho"/>
          <w:lang w:val="en-AU"/>
        </w:rPr>
        <w:t>Design to accommodate curvature</w:t>
      </w:r>
    </w:p>
    <w:p w14:paraId="4E095A66" w14:textId="77777777" w:rsidR="0077521E" w:rsidRDefault="0077521E" w:rsidP="0077521E">
      <w:pPr>
        <w:pStyle w:val="Para0bullet"/>
        <w:rPr>
          <w:lang w:val="en-AU"/>
        </w:rPr>
      </w:pPr>
      <w:r w:rsidRPr="004743CA">
        <w:rPr>
          <w:rFonts w:eastAsia="MS Mincho"/>
          <w:lang w:val="en-AU"/>
        </w:rPr>
        <w:t>Design to accommodate tilt</w:t>
      </w:r>
    </w:p>
    <w:p w14:paraId="76E66836" w14:textId="6B3E539B" w:rsidR="0077521E" w:rsidRDefault="0077521E" w:rsidP="0058755C">
      <w:pPr>
        <w:pStyle w:val="Para0bullet"/>
        <w:numPr>
          <w:ilvl w:val="0"/>
          <w:numId w:val="0"/>
        </w:numPr>
        <w:rPr>
          <w:b/>
        </w:rPr>
      </w:pPr>
      <w:r w:rsidRPr="00771F2C">
        <w:t>Published studies and reference documents (CEN</w:t>
      </w:r>
      <w:r w:rsidR="00492DC4" w:rsidRPr="00771F2C">
        <w:t>,</w:t>
      </w:r>
      <w:r w:rsidRPr="00771F2C">
        <w:t xml:space="preserve"> 2004) have </w:t>
      </w:r>
      <w:r w:rsidR="00492DC4" w:rsidRPr="00771F2C">
        <w:t xml:space="preserve">been </w:t>
      </w:r>
      <w:r w:rsidRPr="00771F2C">
        <w:t xml:space="preserve">used as </w:t>
      </w:r>
      <w:r w:rsidR="00BA7033" w:rsidRPr="00771F2C">
        <w:t xml:space="preserve">a </w:t>
      </w:r>
      <w:r w:rsidRPr="00771F2C">
        <w:t>guide for assessment of building damage u</w:t>
      </w:r>
      <w:r w:rsidRPr="0058755C">
        <w:t>nder the influence of horizontal strain and deflection ratio (Figure 3.1) for buildings with a ratio Length/Height = 1.</w:t>
      </w:r>
      <w:r w:rsidR="0058755C">
        <w:t xml:space="preserve"> </w:t>
      </w:r>
      <w:r w:rsidRPr="0058755C">
        <w:t xml:space="preserve"> </w:t>
      </w:r>
      <w:r w:rsidR="00D94AA5" w:rsidRPr="0058755C">
        <w:t>These published studies identify that for a generally square building, th</w:t>
      </w:r>
      <w:r w:rsidR="00D30ED9" w:rsidRPr="0058755C">
        <w:t>e define</w:t>
      </w:r>
      <w:r w:rsidR="00DB2198" w:rsidRPr="0058755C">
        <w:t>d</w:t>
      </w:r>
      <w:r w:rsidR="00D30ED9" w:rsidRPr="0058755C">
        <w:t xml:space="preserve"> strain limits can be used as an indication of the point before damage is detected. </w:t>
      </w:r>
      <w:r w:rsidR="0058755C">
        <w:t xml:space="preserve"> </w:t>
      </w:r>
      <w:r w:rsidR="00D30ED9" w:rsidRPr="0058755C">
        <w:t>In a longer or not square building, some damage may be detectable at these strain limits</w:t>
      </w:r>
      <w:r w:rsidR="002D07CD" w:rsidRPr="0058755C">
        <w:t xml:space="preserve">. In balance, the recommended limits are considered to be early in any damage developing and are considered to be appropriate for </w:t>
      </w:r>
      <w:r w:rsidR="00986D0D" w:rsidRPr="0058755C">
        <w:t>this application, even if all buildings are not truly square</w:t>
      </w:r>
      <w:r w:rsidR="00066003" w:rsidRPr="0058755C">
        <w:t>.</w:t>
      </w:r>
      <w:r w:rsidR="00D94AA5" w:rsidRPr="0058755C">
        <w:t xml:space="preserve"> </w:t>
      </w:r>
      <w:r w:rsidRPr="0058755C">
        <w:t>In</w:t>
      </w:r>
      <w:r w:rsidRPr="00771F2C">
        <w:t xml:space="preserve"> this report the strain limit typically is defined as the movement limit value prior to damage being detected.</w:t>
      </w:r>
    </w:p>
    <w:p w14:paraId="0038CDC4" w14:textId="77777777" w:rsidR="0077521E" w:rsidRDefault="0077521E" w:rsidP="0077521E">
      <w:pPr>
        <w:pStyle w:val="Caption"/>
        <w:ind w:left="360"/>
      </w:pPr>
    </w:p>
    <w:bookmarkEnd w:id="46"/>
    <w:p w14:paraId="1E3A8C48" w14:textId="77777777" w:rsidR="0077521E" w:rsidRDefault="0077521E" w:rsidP="0077521E">
      <w:pPr>
        <w:rPr>
          <w:lang w:val="en-AU"/>
        </w:rPr>
      </w:pPr>
      <w:r>
        <w:rPr>
          <w:noProof/>
          <w:lang w:val="en-AU" w:eastAsia="en-AU"/>
        </w:rPr>
        <w:drawing>
          <wp:inline distT="0" distB="0" distL="0" distR="0" wp14:anchorId="59F10C00" wp14:editId="0F664ECB">
            <wp:extent cx="3009900" cy="404495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b="2509"/>
                    <a:stretch>
                      <a:fillRect/>
                    </a:stretch>
                  </pic:blipFill>
                  <pic:spPr bwMode="auto">
                    <a:xfrm>
                      <a:off x="0" y="0"/>
                      <a:ext cx="3009900" cy="4044950"/>
                    </a:xfrm>
                    <a:prstGeom prst="rect">
                      <a:avLst/>
                    </a:prstGeom>
                    <a:noFill/>
                    <a:ln>
                      <a:noFill/>
                    </a:ln>
                  </pic:spPr>
                </pic:pic>
              </a:graphicData>
            </a:graphic>
          </wp:inline>
        </w:drawing>
      </w:r>
    </w:p>
    <w:p w14:paraId="472462D9" w14:textId="7AD0E504" w:rsidR="0077521E" w:rsidRPr="00D45465" w:rsidRDefault="0077521E" w:rsidP="0077521E">
      <w:pPr>
        <w:pStyle w:val="Caption"/>
      </w:pPr>
      <w:bookmarkStart w:id="47" w:name="_Ref505955305"/>
      <w:bookmarkStart w:id="48" w:name="_Toc501356760"/>
      <w:r w:rsidRPr="009038E7">
        <w:t xml:space="preserve">Figure </w:t>
      </w:r>
      <w:r>
        <w:fldChar w:fldCharType="begin"/>
      </w:r>
      <w:r>
        <w:instrText xml:space="preserve"> STYLEREF 1 \s </w:instrText>
      </w:r>
      <w:r>
        <w:fldChar w:fldCharType="separate"/>
      </w:r>
      <w:r w:rsidR="00A83148">
        <w:rPr>
          <w:noProof/>
        </w:rPr>
        <w:t>3</w:t>
      </w:r>
      <w:r>
        <w:fldChar w:fldCharType="end"/>
      </w:r>
      <w:r w:rsidRPr="009038E7">
        <w:t>.</w:t>
      </w:r>
      <w:r>
        <w:fldChar w:fldCharType="begin"/>
      </w:r>
      <w:r>
        <w:instrText xml:space="preserve"> SEQ Figure \* ARABIC \s 1 </w:instrText>
      </w:r>
      <w:r>
        <w:fldChar w:fldCharType="separate"/>
      </w:r>
      <w:r w:rsidR="00A83148">
        <w:rPr>
          <w:noProof/>
        </w:rPr>
        <w:t>1</w:t>
      </w:r>
      <w:r>
        <w:fldChar w:fldCharType="end"/>
      </w:r>
      <w:bookmarkEnd w:id="47"/>
      <w:r w:rsidRPr="009038E7">
        <w:t xml:space="preserve"> : </w:t>
      </w:r>
      <w:r>
        <w:t>Definitions of structural deformation</w:t>
      </w:r>
      <w:bookmarkEnd w:id="48"/>
      <w:r>
        <w:t xml:space="preserve"> (adapted from CEN 2004)</w:t>
      </w:r>
      <w:r>
        <w:rPr>
          <w:rStyle w:val="FootnoteReference"/>
        </w:rPr>
        <w:t xml:space="preserve"> </w:t>
      </w:r>
    </w:p>
    <w:p w14:paraId="6B43C186" w14:textId="77777777" w:rsidR="0077521E" w:rsidRDefault="0077521E" w:rsidP="00405B95">
      <w:pPr>
        <w:rPr>
          <w:lang w:val="en-AU"/>
        </w:rPr>
      </w:pPr>
    </w:p>
    <w:p w14:paraId="37C21917" w14:textId="77777777" w:rsidR="003D1EC5" w:rsidRPr="004B65FD" w:rsidRDefault="003D1EC5" w:rsidP="002957F9">
      <w:pPr>
        <w:pStyle w:val="Heading3"/>
      </w:pPr>
      <w:r w:rsidRPr="004B65FD">
        <w:t xml:space="preserve">Stress Relief </w:t>
      </w:r>
      <w:r>
        <w:t>and</w:t>
      </w:r>
      <w:r w:rsidRPr="004B65FD">
        <w:t xml:space="preserve"> Block Sliding</w:t>
      </w:r>
    </w:p>
    <w:p w14:paraId="2C4969D0" w14:textId="1806D922" w:rsidR="003D1EC5" w:rsidRDefault="003D1EC5" w:rsidP="003D1EC5">
      <w:pPr>
        <w:pStyle w:val="Para0"/>
      </w:pPr>
      <w:r>
        <w:t xml:space="preserve">For this </w:t>
      </w:r>
      <w:r w:rsidR="00492DC4">
        <w:t xml:space="preserve">study assessment </w:t>
      </w:r>
      <w:r>
        <w:t>stress relief and block sliding are considered together as they both result in primarily horizontal ground movement and the effects on receptors are difficult to clearly separate.</w:t>
      </w:r>
      <w:r w:rsidR="0058755C">
        <w:t xml:space="preserve"> </w:t>
      </w:r>
      <w:r>
        <w:t xml:space="preserve"> For other studies, such as mine operations, separation of these processes may be important.</w:t>
      </w:r>
    </w:p>
    <w:p w14:paraId="176D1DF7" w14:textId="1F6506B0" w:rsidR="003D1EC5" w:rsidRDefault="003D1EC5" w:rsidP="003D1EC5">
      <w:pPr>
        <w:pStyle w:val="Para0"/>
      </w:pPr>
      <w:r>
        <w:t>Stress relief from mining is well understood in the Latrobe Valley, based on a long history of monitoring and understanding of ground movements:</w:t>
      </w:r>
    </w:p>
    <w:p w14:paraId="5023588F" w14:textId="22F3743C" w:rsidR="003D1EC5" w:rsidRDefault="003D1EC5" w:rsidP="003D1EC5">
      <w:pPr>
        <w:pStyle w:val="Para0bullet"/>
      </w:pPr>
      <w:r>
        <w:t xml:space="preserve">Prior to mining, the in-situ ground conditions experienced a regional compressive horizontal stress field. </w:t>
      </w:r>
      <w:r w:rsidR="0058755C">
        <w:t xml:space="preserve"> </w:t>
      </w:r>
      <w:r>
        <w:t>There is also a vertical stress component due to the overburden and coal;</w:t>
      </w:r>
    </w:p>
    <w:p w14:paraId="770938E4" w14:textId="3534FEB9" w:rsidR="003D1EC5" w:rsidRDefault="003D1EC5" w:rsidP="003D1EC5">
      <w:pPr>
        <w:pStyle w:val="Para0bullet"/>
      </w:pPr>
      <w:r>
        <w:t>With the commencement of mining and formation of the mine void the in-situ stress condition is changed, (“redistributed”) as the coal formation moves slowly into the mine void.</w:t>
      </w:r>
      <w:r w:rsidR="0058755C">
        <w:t xml:space="preserve"> </w:t>
      </w:r>
      <w:r>
        <w:t xml:space="preserve"> These are mainly horizontal ground movements; and </w:t>
      </w:r>
    </w:p>
    <w:p w14:paraId="37D885F4" w14:textId="77777777" w:rsidR="003D1EC5" w:rsidRDefault="003D1EC5" w:rsidP="003D1EC5">
      <w:pPr>
        <w:pStyle w:val="Para0bullet"/>
      </w:pPr>
      <w:r>
        <w:t>The rate of stress relief movement reduces with time after reaching the maximum depth of the mine void and will typically only further develop if mining is continued at greater depth (apart from long term creep movements, which although typically small may be locally significant).</w:t>
      </w:r>
    </w:p>
    <w:p w14:paraId="0897B6B0" w14:textId="33BB57FC" w:rsidR="003D1EC5" w:rsidRDefault="003D1EC5" w:rsidP="003D1EC5">
      <w:pPr>
        <w:pStyle w:val="Para0"/>
      </w:pPr>
      <w:r>
        <w:t xml:space="preserve">Experience in the Latrobe Valley has shown that the most significant ground movement impacts (and events) are a result of a combination of local stresses, coal jointing and water ingress to the joints. </w:t>
      </w:r>
      <w:r w:rsidR="0058755C">
        <w:t xml:space="preserve"> </w:t>
      </w:r>
      <w:r>
        <w:t>Block sliding can occur when mining induced stress relief causes joints in the coal and/or overburden to open sufficiently for water to drain through these sediments into coal joints, resulting in increased hydrostatic lateral pressure in the joint and horizontal movement within or below the coal seam.</w:t>
      </w:r>
    </w:p>
    <w:p w14:paraId="3F4837A2" w14:textId="10CEABE6" w:rsidR="003D1EC5" w:rsidRDefault="003D1EC5" w:rsidP="003D1EC5">
      <w:pPr>
        <w:pStyle w:val="Para0"/>
      </w:pPr>
      <w:r>
        <w:t>Stress relief and block sliding ground movement can extend for 100s of metres away from a mine, however the effects diminish significantly beyond approximately 1 km (GHD, 201</w:t>
      </w:r>
      <w:r w:rsidR="00C175E8">
        <w:t>9</w:t>
      </w:r>
      <w:r>
        <w:t>).</w:t>
      </w:r>
    </w:p>
    <w:p w14:paraId="31C145A5" w14:textId="77777777" w:rsidR="004E6FB0" w:rsidRDefault="004E6FB0" w:rsidP="004E6FB0">
      <w:r>
        <w:rPr>
          <w:lang w:val="en-AU"/>
        </w:rPr>
        <w:t xml:space="preserve">Stress relief effects involving relaxation and horizontal movement of ground towards the pit void from mine excavation are well understood in the Latrobe Valley based on </w:t>
      </w:r>
      <w:r w:rsidRPr="0072402C">
        <w:t xml:space="preserve">a long history of monitoring and understanding of ground movements.  </w:t>
      </w:r>
      <w:r>
        <w:t>This type of movement is mostly linear elastic deformation and it occurs in every excavated slope and is not necessarily symptomatic of instability (Read, 2009).</w:t>
      </w:r>
    </w:p>
    <w:p w14:paraId="5E99A035" w14:textId="55C1F5DB" w:rsidR="004E6FB0" w:rsidRDefault="004E6FB0" w:rsidP="004E6FB0">
      <w:r w:rsidRPr="001E29D9">
        <w:t xml:space="preserve">The magnitude of horizontal movements adjacent to the mines is largely influenced by </w:t>
      </w:r>
      <w:r>
        <w:t xml:space="preserve">topographic </w:t>
      </w:r>
      <w:r w:rsidRPr="001E29D9">
        <w:t xml:space="preserve">relief and </w:t>
      </w:r>
      <w:r>
        <w:t xml:space="preserve">the </w:t>
      </w:r>
      <w:r w:rsidRPr="001E29D9">
        <w:t>direction of the major regional NNW</w:t>
      </w:r>
      <w:r w:rsidRPr="001E29D9">
        <w:rPr>
          <w:rFonts w:ascii="Cambria Math" w:hAnsi="Cambria Math" w:cs="Cambria Math"/>
        </w:rPr>
        <w:t>‐</w:t>
      </w:r>
      <w:r w:rsidRPr="001E29D9">
        <w:t>SSE compressive tectonic stresses.  At Loy Yang Mine these stresses are aligned with the major</w:t>
      </w:r>
      <w:r>
        <w:t>,</w:t>
      </w:r>
      <w:r w:rsidRPr="001E29D9">
        <w:t xml:space="preserve"> near vertical</w:t>
      </w:r>
      <w:r>
        <w:t>,</w:t>
      </w:r>
      <w:r w:rsidRPr="001E29D9">
        <w:t xml:space="preserve"> joint set in the area being the north – south direction</w:t>
      </w:r>
      <w:r>
        <w:t xml:space="preserve"> (Barton, 1981).</w:t>
      </w:r>
      <w:r w:rsidRPr="001E29D9">
        <w:t xml:space="preserve">  High in-situ stress and </w:t>
      </w:r>
      <w:r w:rsidR="007814F9">
        <w:t>coal with a tend</w:t>
      </w:r>
      <w:r w:rsidR="00066003">
        <w:t>e</w:t>
      </w:r>
      <w:r w:rsidR="007814F9">
        <w:t xml:space="preserve">ncy to fracture or be brittle (that is, </w:t>
      </w:r>
      <w:r w:rsidRPr="001E29D9">
        <w:t>low modulus coal</w:t>
      </w:r>
      <w:r w:rsidR="007814F9">
        <w:t>)</w:t>
      </w:r>
      <w:r w:rsidRPr="001E29D9">
        <w:t xml:space="preserve"> have combined to produce relatively large movements (up to 1.5</w:t>
      </w:r>
      <w:r w:rsidR="00640248">
        <w:t xml:space="preserve"> </w:t>
      </w:r>
      <w:r w:rsidRPr="001E29D9">
        <w:t xml:space="preserve">m) immediately behind the mine crest or near the mine crest </w:t>
      </w:r>
      <w:r>
        <w:t xml:space="preserve">over approximately </w:t>
      </w:r>
      <w:r w:rsidRPr="001E29D9">
        <w:t>40 years</w:t>
      </w:r>
      <w:r>
        <w:t xml:space="preserve"> (Mining Warden, 2008).</w:t>
      </w:r>
      <w:r w:rsidRPr="0072402C">
        <w:t xml:space="preserve">  </w:t>
      </w:r>
      <w:r>
        <w:t xml:space="preserve">The magnitude of movement reduces away from the mine. </w:t>
      </w:r>
      <w:r w:rsidR="00640248">
        <w:t xml:space="preserve"> </w:t>
      </w:r>
      <w:r w:rsidRPr="0072402C">
        <w:t>The implications of stress relief movements are an increase in ground strain on the batters and batter crests, which can</w:t>
      </w:r>
      <w:r>
        <w:t xml:space="preserve"> result in localised cracking of the coal.  The cracking will occur preferentially along one of the joint sets in the coal. </w:t>
      </w:r>
      <w:r w:rsidR="00640248">
        <w:t xml:space="preserve"> </w:t>
      </w:r>
      <w:r>
        <w:t>The horizontal movement towards the open pit is diagrammatically represented in Figure 3.</w:t>
      </w:r>
      <w:r w:rsidR="00961AB8">
        <w:t>2</w:t>
      </w:r>
      <w:r>
        <w:t>.</w:t>
      </w:r>
    </w:p>
    <w:p w14:paraId="46A40638" w14:textId="658A73DD" w:rsidR="004E6FB0" w:rsidRDefault="004E6FB0" w:rsidP="004E6FB0">
      <w:r>
        <w:t>An interpretation of the origins of folds and joints, which affect the Tertiary Brown Coal Measures of the Latrobe Valley, indicates that the geological structures have been formed under a regional Late Tertiary NNW</w:t>
      </w:r>
      <w:r>
        <w:rPr>
          <w:rFonts w:ascii="Cambria Math" w:hAnsi="Cambria Math" w:cs="Cambria Math"/>
        </w:rPr>
        <w:t>‐</w:t>
      </w:r>
      <w:r>
        <w:t xml:space="preserve">SSE compressive stress. </w:t>
      </w:r>
      <w:r w:rsidR="00640248">
        <w:t xml:space="preserve"> </w:t>
      </w:r>
      <w:r>
        <w:t>Considerations of the pattern of measured in situ stresses and of interpreted stresses, derived from earth movements around open cuts and from earthquakes, indicate that a regional NNW</w:t>
      </w:r>
      <w:r>
        <w:rPr>
          <w:rFonts w:ascii="Cambria Math" w:hAnsi="Cambria Math" w:cs="Cambria Math"/>
        </w:rPr>
        <w:t>‐</w:t>
      </w:r>
      <w:r>
        <w:t>SSE compressive stress is still in existence in the South East part of Australia at the present time (Barton, 1981).</w:t>
      </w:r>
    </w:p>
    <w:p w14:paraId="1D8F5A94" w14:textId="6C57BBF9" w:rsidR="004E6FB0" w:rsidRPr="00265ACE" w:rsidRDefault="004E6FB0" w:rsidP="004E6F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pPr>
      <w:r>
        <w:t>Joints in coal do not generally impact on mine stability provided the jointing</w:t>
      </w:r>
      <w:r w:rsidRPr="00265ACE">
        <w:t xml:space="preserve"> has not been forced open by water pressure</w:t>
      </w:r>
      <w:r w:rsidR="007B237C">
        <w:t xml:space="preserve"> or the jointing is on an unfavourable plane</w:t>
      </w:r>
      <w:r w:rsidRPr="00265ACE">
        <w:t xml:space="preserve">.  Experience has shown that the most significant problem with coal jointing </w:t>
      </w:r>
      <w:r w:rsidR="009B1344">
        <w:t xml:space="preserve">(that is, the largest scale problems) </w:t>
      </w:r>
      <w:r w:rsidRPr="00265ACE">
        <w:t xml:space="preserve">in terms of its impact on mining lies with the effect of water </w:t>
      </w:r>
      <w:r>
        <w:t>on</w:t>
      </w:r>
      <w:r w:rsidRPr="00265ACE">
        <w:t xml:space="preserve"> stability. </w:t>
      </w:r>
      <w:r w:rsidR="00C745BD">
        <w:t xml:space="preserve"> </w:t>
      </w:r>
      <w:r w:rsidRPr="00265ACE">
        <w:t xml:space="preserve">This usually occurs when mining induced stress relief causes joints to open sufficiently for surface water </w:t>
      </w:r>
      <w:r>
        <w:t xml:space="preserve">and/or groundwater </w:t>
      </w:r>
      <w:r w:rsidRPr="00265ACE">
        <w:t xml:space="preserve">to </w:t>
      </w:r>
      <w:r w:rsidR="002B6B2B">
        <w:t xml:space="preserve">fill </w:t>
      </w:r>
      <w:r w:rsidRPr="00265ACE">
        <w:t>them, resulting in increased hydrostatic pressure and related movement wi</w:t>
      </w:r>
      <w:r>
        <w:t>thin or below the coal seam.</w:t>
      </w:r>
      <w:r w:rsidR="00C745BD">
        <w:t xml:space="preserve"> </w:t>
      </w:r>
      <w:r>
        <w:t xml:space="preserve"> Numerous examples of significant cracks are described in the various reports, both internal and external to the mines, prepared over the last 10 to 11 years (Mining Warden 2008</w:t>
      </w:r>
      <w:r w:rsidR="007C1D4D">
        <w:t>;</w:t>
      </w:r>
      <w:r>
        <w:t xml:space="preserve"> Technical Review Board </w:t>
      </w:r>
      <w:r w:rsidR="005865FC">
        <w:t xml:space="preserve">Annual Reports: </w:t>
      </w:r>
      <w:r>
        <w:t>2009, 2010, 2011, 2012, 2013, 2014, 2015, 2016</w:t>
      </w:r>
      <w:r w:rsidR="007C1D4D">
        <w:t>;</w:t>
      </w:r>
      <w:r>
        <w:t xml:space="preserve"> Earth Resources Regulation</w:t>
      </w:r>
      <w:r w:rsidR="007C1D4D">
        <w:t>,</w:t>
      </w:r>
      <w:r>
        <w:t xml:space="preserve"> 2014).</w:t>
      </w:r>
    </w:p>
    <w:p w14:paraId="1F929724" w14:textId="17C27E4B" w:rsidR="004E6FB0" w:rsidRDefault="004E6FB0" w:rsidP="004E6FB0">
      <w:r>
        <w:t>An</w:t>
      </w:r>
      <w:r w:rsidRPr="0007356A">
        <w:t xml:space="preserve"> example of a </w:t>
      </w:r>
      <w:r>
        <w:t xml:space="preserve">large </w:t>
      </w:r>
      <w:r w:rsidRPr="0007356A">
        <w:t xml:space="preserve">block sliding </w:t>
      </w:r>
      <w:r w:rsidR="00640248">
        <w:t xml:space="preserve">event </w:t>
      </w:r>
      <w:r w:rsidRPr="0007356A">
        <w:t>occurred at the Yallourn mine in 2007</w:t>
      </w:r>
      <w:r>
        <w:t xml:space="preserve"> (Figure 3.</w:t>
      </w:r>
      <w:r w:rsidR="004E5738">
        <w:t>3</w:t>
      </w:r>
      <w:r>
        <w:t>)</w:t>
      </w:r>
      <w:r w:rsidRPr="0007356A">
        <w:t xml:space="preserve">. </w:t>
      </w:r>
      <w:r w:rsidR="00C745BD">
        <w:t xml:space="preserve"> </w:t>
      </w:r>
      <w:r w:rsidRPr="0007356A">
        <w:t xml:space="preserve">Surface cracking due to stress relief </w:t>
      </w:r>
      <w:r>
        <w:t xml:space="preserve">extended </w:t>
      </w:r>
      <w:r w:rsidR="007D2FF1">
        <w:t xml:space="preserve">from the mine batter </w:t>
      </w:r>
      <w:r>
        <w:t>back to</w:t>
      </w:r>
      <w:r w:rsidRPr="0007356A">
        <w:t xml:space="preserve"> the Latrobe River</w:t>
      </w:r>
      <w:r>
        <w:t xml:space="preserve"> and allowed the river</w:t>
      </w:r>
      <w:r w:rsidRPr="0007356A">
        <w:t xml:space="preserve"> water </w:t>
      </w:r>
      <w:r>
        <w:t xml:space="preserve">to flow </w:t>
      </w:r>
      <w:r w:rsidRPr="0007356A">
        <w:t xml:space="preserve">into the coal seam.  Leakage of water into </w:t>
      </w:r>
      <w:r>
        <w:t xml:space="preserve">the </w:t>
      </w:r>
      <w:r w:rsidRPr="0007356A">
        <w:t xml:space="preserve">coal created a rise in hydrostatic pressure that </w:t>
      </w:r>
      <w:r>
        <w:t>increased</w:t>
      </w:r>
      <w:r w:rsidRPr="0007356A">
        <w:t xml:space="preserve"> the </w:t>
      </w:r>
      <w:r>
        <w:t xml:space="preserve">width of the cracks, which in turn </w:t>
      </w:r>
      <w:r w:rsidRPr="0007356A">
        <w:t>allowed</w:t>
      </w:r>
      <w:r>
        <w:t xml:space="preserve"> more</w:t>
      </w:r>
      <w:r w:rsidRPr="0007356A">
        <w:t xml:space="preserve"> ingress of water.  This caused large-scale block movement along the </w:t>
      </w:r>
      <w:r w:rsidR="0033261D">
        <w:t xml:space="preserve">coal interseam at the </w:t>
      </w:r>
      <w:r w:rsidRPr="0007356A">
        <w:t>base of the coal seam and consequent failure of the batter system.</w:t>
      </w:r>
    </w:p>
    <w:p w14:paraId="55BCFC78" w14:textId="50712DF4" w:rsidR="004E6FB0" w:rsidRDefault="004E6FB0" w:rsidP="004E6FB0">
      <w:pPr>
        <w:rPr>
          <w:lang w:val="en-AU"/>
        </w:rPr>
      </w:pPr>
      <w:r>
        <w:t>Figure 3.</w:t>
      </w:r>
      <w:r w:rsidR="00961AB8">
        <w:t>4</w:t>
      </w:r>
      <w:r w:rsidRPr="00451F3E">
        <w:rPr>
          <w:lang w:val="en-AU"/>
        </w:rPr>
        <w:t xml:space="preserve"> </w:t>
      </w:r>
      <w:r>
        <w:rPr>
          <w:lang w:val="en-AU"/>
        </w:rPr>
        <w:t>presents</w:t>
      </w:r>
      <w:r w:rsidRPr="00451F3E">
        <w:rPr>
          <w:lang w:val="en-AU"/>
        </w:rPr>
        <w:t xml:space="preserve"> a simplified diagram </w:t>
      </w:r>
      <w:r>
        <w:rPr>
          <w:lang w:val="en-AU"/>
        </w:rPr>
        <w:t>describing</w:t>
      </w:r>
      <w:r w:rsidRPr="00451F3E">
        <w:rPr>
          <w:lang w:val="en-AU"/>
        </w:rPr>
        <w:t xml:space="preserve"> block sliding movement. </w:t>
      </w:r>
      <w:r w:rsidR="00640248">
        <w:rPr>
          <w:lang w:val="en-AU"/>
        </w:rPr>
        <w:t xml:space="preserve"> </w:t>
      </w:r>
      <w:r w:rsidRPr="00451F3E">
        <w:t>High water levels can result in high pore pressures on the inter seam clays, and a high horizontal force component acting on the coal joints can result in block sliding</w:t>
      </w:r>
      <w:r w:rsidRPr="00451F3E">
        <w:rPr>
          <w:lang w:val="en-AU"/>
        </w:rPr>
        <w:t>.</w:t>
      </w:r>
      <w:r>
        <w:rPr>
          <w:lang w:val="en-AU"/>
        </w:rPr>
        <w:t xml:space="preserve">  Any water entering open joints can lead to block sliding of the batters. At Yallourn mine a direct hydraulic connection into joints/cracks forming a back release plane of failure caused a major block sliding event and subsequently the river to enter the mine.</w:t>
      </w:r>
    </w:p>
    <w:p w14:paraId="4E2E70DE" w14:textId="77777777" w:rsidR="004E6FB0" w:rsidRDefault="004E6FB0" w:rsidP="004E6FB0">
      <w:r>
        <w:rPr>
          <w:noProof/>
          <w:lang w:val="en-AU" w:eastAsia="en-AU"/>
        </w:rPr>
        <w:drawing>
          <wp:inline distT="0" distB="0" distL="0" distR="0" wp14:anchorId="23A9A00B" wp14:editId="3D6D98A4">
            <wp:extent cx="5894070" cy="258432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94070" cy="2584323"/>
                    </a:xfrm>
                    <a:prstGeom prst="rect">
                      <a:avLst/>
                    </a:prstGeom>
                  </pic:spPr>
                </pic:pic>
              </a:graphicData>
            </a:graphic>
          </wp:inline>
        </w:drawing>
      </w:r>
    </w:p>
    <w:p w14:paraId="66ACD65A" w14:textId="0544BC57" w:rsidR="004E6FB0" w:rsidRDefault="004E6FB0" w:rsidP="004E6FB0">
      <w:pPr>
        <w:pStyle w:val="Caption"/>
      </w:pPr>
      <w:r w:rsidRPr="009038E7">
        <w:t xml:space="preserve">Figure </w:t>
      </w:r>
      <w:r>
        <w:fldChar w:fldCharType="begin"/>
      </w:r>
      <w:r>
        <w:instrText xml:space="preserve"> STYLEREF 1 \s </w:instrText>
      </w:r>
      <w:r>
        <w:fldChar w:fldCharType="separate"/>
      </w:r>
      <w:r w:rsidR="00A83148">
        <w:rPr>
          <w:noProof/>
        </w:rPr>
        <w:t>3</w:t>
      </w:r>
      <w:r>
        <w:fldChar w:fldCharType="end"/>
      </w:r>
      <w:r w:rsidRPr="009038E7">
        <w:t>.</w:t>
      </w:r>
      <w:r>
        <w:fldChar w:fldCharType="begin"/>
      </w:r>
      <w:r>
        <w:instrText xml:space="preserve"> SEQ Figure \* ARABIC \s 1 </w:instrText>
      </w:r>
      <w:r>
        <w:fldChar w:fldCharType="separate"/>
      </w:r>
      <w:r w:rsidR="00A83148">
        <w:rPr>
          <w:noProof/>
        </w:rPr>
        <w:t>2</w:t>
      </w:r>
      <w:r>
        <w:fldChar w:fldCharType="end"/>
      </w:r>
      <w:r w:rsidRPr="009038E7">
        <w:t xml:space="preserve"> : </w:t>
      </w:r>
      <w:r>
        <w:t>Horizontal movements as a result of stress relief/water ingress</w:t>
      </w:r>
    </w:p>
    <w:p w14:paraId="0FA83582" w14:textId="77777777" w:rsidR="004E6FB0" w:rsidRDefault="004E6FB0" w:rsidP="004E6FB0">
      <w:pPr>
        <w:rPr>
          <w:lang w:val="en-AU"/>
        </w:rPr>
      </w:pPr>
    </w:p>
    <w:p w14:paraId="4319648A" w14:textId="77777777" w:rsidR="004E6FB0" w:rsidRDefault="004E6FB0" w:rsidP="004E6FB0">
      <w:pPr>
        <w:rPr>
          <w:lang w:val="en-AU"/>
        </w:rPr>
      </w:pPr>
    </w:p>
    <w:p w14:paraId="4032D155" w14:textId="77777777" w:rsidR="004E6FB0" w:rsidRDefault="004E6FB0" w:rsidP="004E6FB0">
      <w:pPr>
        <w:rPr>
          <w:lang w:val="en-AU"/>
        </w:rPr>
      </w:pPr>
      <w:r>
        <w:rPr>
          <w:noProof/>
          <w:lang w:val="en-AU" w:eastAsia="en-AU"/>
        </w:rPr>
        <w:drawing>
          <wp:inline distT="0" distB="0" distL="0" distR="0" wp14:anchorId="3085B2D5" wp14:editId="142A5466">
            <wp:extent cx="5715000" cy="3543300"/>
            <wp:effectExtent l="0" t="0" r="0" b="0"/>
            <wp:docPr id="6" name="Picture 6" descr="Image result for yallourn mine wall 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allourn mine wall collap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7895837D" w14:textId="455DAFCE" w:rsidR="004E6FB0" w:rsidRDefault="004E6FB0" w:rsidP="004E6FB0">
      <w:pPr>
        <w:pStyle w:val="Caption"/>
      </w:pPr>
      <w:r w:rsidRPr="009038E7">
        <w:t xml:space="preserve">Figure </w:t>
      </w:r>
      <w:r>
        <w:fldChar w:fldCharType="begin"/>
      </w:r>
      <w:r>
        <w:instrText xml:space="preserve"> STYLEREF 1 \s </w:instrText>
      </w:r>
      <w:r>
        <w:fldChar w:fldCharType="separate"/>
      </w:r>
      <w:r w:rsidR="00A83148">
        <w:rPr>
          <w:noProof/>
        </w:rPr>
        <w:t>3</w:t>
      </w:r>
      <w:r>
        <w:fldChar w:fldCharType="end"/>
      </w:r>
      <w:r w:rsidRPr="009038E7">
        <w:t>.</w:t>
      </w:r>
      <w:r>
        <w:fldChar w:fldCharType="begin"/>
      </w:r>
      <w:r>
        <w:instrText xml:space="preserve"> SEQ Figure \* ARABIC \s 1 </w:instrText>
      </w:r>
      <w:r>
        <w:fldChar w:fldCharType="separate"/>
      </w:r>
      <w:r w:rsidR="00A83148">
        <w:rPr>
          <w:noProof/>
        </w:rPr>
        <w:t>3</w:t>
      </w:r>
      <w:r>
        <w:fldChar w:fldCharType="end"/>
      </w:r>
      <w:r w:rsidRPr="009038E7">
        <w:t xml:space="preserve"> : </w:t>
      </w:r>
      <w:r>
        <w:t>Yallourn Mine batter failure (Photo source: theage.com.au online)</w:t>
      </w:r>
    </w:p>
    <w:p w14:paraId="1AE25BE8" w14:textId="77777777" w:rsidR="004E6FB0" w:rsidRDefault="004E6FB0" w:rsidP="004E6FB0">
      <w:pPr>
        <w:rPr>
          <w:lang w:val="en-AU"/>
        </w:rPr>
      </w:pPr>
    </w:p>
    <w:p w14:paraId="78EC92BE" w14:textId="77777777" w:rsidR="004E6FB0" w:rsidRDefault="004E6FB0" w:rsidP="004E6FB0">
      <w:pPr>
        <w:rPr>
          <w:lang w:val="en-AU"/>
        </w:rPr>
      </w:pPr>
    </w:p>
    <w:p w14:paraId="26C67D75" w14:textId="77777777" w:rsidR="004E6FB0" w:rsidRDefault="004E6FB0" w:rsidP="004E6FB0">
      <w:pPr>
        <w:spacing w:after="0" w:line="240" w:lineRule="auto"/>
        <w:rPr>
          <w:lang w:val="en-AU"/>
        </w:rPr>
      </w:pPr>
      <w:r>
        <w:rPr>
          <w:lang w:val="en-AU"/>
        </w:rPr>
        <w:br w:type="page"/>
      </w:r>
    </w:p>
    <w:p w14:paraId="27C7C3DA" w14:textId="77777777" w:rsidR="004E6FB0" w:rsidRDefault="004E6FB0" w:rsidP="004E6FB0">
      <w:pPr>
        <w:rPr>
          <w:lang w:val="en-AU"/>
        </w:rPr>
      </w:pPr>
    </w:p>
    <w:p w14:paraId="35B14D93" w14:textId="77777777" w:rsidR="004E6FB0" w:rsidRDefault="004E6FB0" w:rsidP="004E6FB0">
      <w:pPr>
        <w:pStyle w:val="Caption"/>
      </w:pPr>
      <w:r>
        <w:rPr>
          <w:noProof/>
          <w:lang w:val="en-AU" w:eastAsia="en-AU"/>
        </w:rPr>
        <w:drawing>
          <wp:inline distT="0" distB="0" distL="0" distR="0" wp14:anchorId="36F47751" wp14:editId="5B9222FC">
            <wp:extent cx="5894070" cy="2277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94070" cy="2277025"/>
                    </a:xfrm>
                    <a:prstGeom prst="rect">
                      <a:avLst/>
                    </a:prstGeom>
                  </pic:spPr>
                </pic:pic>
              </a:graphicData>
            </a:graphic>
          </wp:inline>
        </w:drawing>
      </w:r>
    </w:p>
    <w:p w14:paraId="6DF9CFE6" w14:textId="34C149DC" w:rsidR="004E6FB0" w:rsidRPr="00D45465" w:rsidRDefault="004E6FB0" w:rsidP="004E6FB0">
      <w:pPr>
        <w:pStyle w:val="Caption"/>
      </w:pPr>
      <w:r w:rsidRPr="009038E7">
        <w:t xml:space="preserve">Figure </w:t>
      </w:r>
      <w:r>
        <w:fldChar w:fldCharType="begin"/>
      </w:r>
      <w:r>
        <w:instrText xml:space="preserve"> STYLEREF 1 \s </w:instrText>
      </w:r>
      <w:r>
        <w:fldChar w:fldCharType="separate"/>
      </w:r>
      <w:r w:rsidR="00A83148">
        <w:rPr>
          <w:noProof/>
        </w:rPr>
        <w:t>3</w:t>
      </w:r>
      <w:r>
        <w:fldChar w:fldCharType="end"/>
      </w:r>
      <w:r w:rsidRPr="009038E7">
        <w:t>.</w:t>
      </w:r>
      <w:r>
        <w:fldChar w:fldCharType="begin"/>
      </w:r>
      <w:r>
        <w:instrText xml:space="preserve"> SEQ Figure \* ARABIC \s 1 </w:instrText>
      </w:r>
      <w:r>
        <w:fldChar w:fldCharType="separate"/>
      </w:r>
      <w:r w:rsidR="00A83148">
        <w:rPr>
          <w:noProof/>
        </w:rPr>
        <w:t>4</w:t>
      </w:r>
      <w:r>
        <w:fldChar w:fldCharType="end"/>
      </w:r>
      <w:r w:rsidRPr="009038E7">
        <w:t xml:space="preserve"> : </w:t>
      </w:r>
      <w:r>
        <w:t>Block sliding diagram</w:t>
      </w:r>
    </w:p>
    <w:p w14:paraId="508B1672" w14:textId="77777777" w:rsidR="003D1EC5" w:rsidRPr="00E800DC" w:rsidRDefault="003D1EC5" w:rsidP="002957F9">
      <w:pPr>
        <w:pStyle w:val="Heading3"/>
      </w:pPr>
      <w:r w:rsidRPr="00E800DC">
        <w:t>Reservoir Induced Seismicity</w:t>
      </w:r>
    </w:p>
    <w:p w14:paraId="02E8F008" w14:textId="19B4B35B" w:rsidR="003D1EC5" w:rsidRDefault="003D1EC5" w:rsidP="003D1EC5">
      <w:pPr>
        <w:pStyle w:val="Para0"/>
      </w:pPr>
      <w:r>
        <w:t>As the LVRRS is concerned with the formation of new lakes within the mine voids</w:t>
      </w:r>
      <w:r w:rsidR="00175FEF">
        <w:t>,</w:t>
      </w:r>
      <w:r>
        <w:t xml:space="preserve"> </w:t>
      </w:r>
      <w:r w:rsidR="00137794" w:rsidRPr="00FD01D8">
        <w:t xml:space="preserve">ground movement induced by Reservoir Induced Seismicity (RIS) is also </w:t>
      </w:r>
      <w:r w:rsidR="00373DB8">
        <w:t>included</w:t>
      </w:r>
      <w:r w:rsidR="00137794" w:rsidRPr="00FD01D8">
        <w:t>.</w:t>
      </w:r>
      <w:r>
        <w:t xml:space="preserve"> </w:t>
      </w:r>
      <w:r w:rsidR="00640248">
        <w:t xml:space="preserve"> </w:t>
      </w:r>
      <w:r>
        <w:t>The Gippsland area is one of the most seismically active regions in Australia.</w:t>
      </w:r>
      <w:r w:rsidR="00640248">
        <w:t xml:space="preserve"> </w:t>
      </w:r>
      <w:r>
        <w:t xml:space="preserve"> Many geological faults underlie the Latrobe Valley and have been active over geological time.</w:t>
      </w:r>
    </w:p>
    <w:p w14:paraId="3D4D0380" w14:textId="77777777" w:rsidR="003D1EC5" w:rsidRDefault="003D1EC5" w:rsidP="003D1EC5">
      <w:pPr>
        <w:pStyle w:val="Para0"/>
      </w:pPr>
      <w:r>
        <w:t>Two mechanisms that could induce seismicity within the region because of forming pit lakes include;</w:t>
      </w:r>
    </w:p>
    <w:p w14:paraId="4E8C1FDE" w14:textId="77777777" w:rsidR="003D1EC5" w:rsidRDefault="003D1EC5" w:rsidP="003D1EC5">
      <w:pPr>
        <w:pStyle w:val="Para0bullet"/>
      </w:pPr>
      <w:r>
        <w:t>An increased weight of the water from lake filling may change the stress field around the mine and produce seismic activity (on an inter-mine or regional scale).</w:t>
      </w:r>
    </w:p>
    <w:p w14:paraId="70AF545F" w14:textId="77777777" w:rsidR="003D1EC5" w:rsidRDefault="003D1EC5" w:rsidP="003D1EC5">
      <w:pPr>
        <w:pStyle w:val="Para0bullet"/>
      </w:pPr>
      <w:r>
        <w:t>Increased groundwater pressure due to the cessation of aquifer depressurisation combined with the presence of new (pit) lakes may alter stress on an existing fault, hence increasing the potential for movement along that fault.</w:t>
      </w:r>
    </w:p>
    <w:p w14:paraId="1144C0B8" w14:textId="3B750A4B" w:rsidR="003D1EC5" w:rsidRDefault="003D1EC5" w:rsidP="003D1EC5">
      <w:pPr>
        <w:pStyle w:val="Para0"/>
      </w:pPr>
      <w:r>
        <w:t xml:space="preserve">The potential influence of </w:t>
      </w:r>
      <w:r w:rsidR="005920CC">
        <w:t xml:space="preserve">RIS </w:t>
      </w:r>
      <w:r>
        <w:t>emanating from future pit lakes in the Latrobe Valley requires further study to assess the nature of the risk.</w:t>
      </w:r>
      <w:r w:rsidR="005920CC">
        <w:t xml:space="preserve"> </w:t>
      </w:r>
      <w:r w:rsidR="002F6720">
        <w:t xml:space="preserve"> It has not been identified as one of the principal risks but remains as a potential mechanism.</w:t>
      </w:r>
    </w:p>
    <w:p w14:paraId="65F77978" w14:textId="3B34CCF5" w:rsidR="00662197" w:rsidRDefault="00662197" w:rsidP="00662197">
      <w:r>
        <w:t xml:space="preserve">The Gippsland area is one of the most seismically active regions in Australia. </w:t>
      </w:r>
      <w:r w:rsidR="005920CC">
        <w:t xml:space="preserve"> </w:t>
      </w:r>
      <w:r>
        <w:t>Many of the known faults are located within the Strzelecki Ranges where faulting has continued from the mid Miocene to the present.  Many other structures underlie the Latrobe Valley and have been active over geological time (</w:t>
      </w:r>
      <w:r>
        <w:fldChar w:fldCharType="begin"/>
      </w:r>
      <w:r>
        <w:instrText xml:space="preserve"> REF _Ref505955655 \h </w:instrText>
      </w:r>
      <w:r>
        <w:fldChar w:fldCharType="separate"/>
      </w:r>
      <w:r w:rsidR="00A83148" w:rsidRPr="009038E7">
        <w:t xml:space="preserve">Figure </w:t>
      </w:r>
      <w:r w:rsidR="00A83148">
        <w:rPr>
          <w:noProof/>
        </w:rPr>
        <w:t>3</w:t>
      </w:r>
      <w:r w:rsidR="00A83148" w:rsidRPr="009038E7">
        <w:t>.</w:t>
      </w:r>
      <w:r w:rsidR="00A83148">
        <w:rPr>
          <w:noProof/>
        </w:rPr>
        <w:t>5</w:t>
      </w:r>
      <w:r>
        <w:fldChar w:fldCharType="end"/>
      </w:r>
      <w:r>
        <w:t xml:space="preserve">).  The current stress is northwest to southeast compression, producing horst and graben structures by reverse faults striking northeast to southwest Brown </w:t>
      </w:r>
      <w:r w:rsidRPr="008A24FE">
        <w:rPr>
          <w:i/>
        </w:rPr>
        <w:t>et al</w:t>
      </w:r>
      <w:r w:rsidR="00C10B35">
        <w:rPr>
          <w:i/>
        </w:rPr>
        <w:t>.</w:t>
      </w:r>
      <w:r>
        <w:t xml:space="preserve"> (2001).  The magnitude 5.4 Moe/Thorpdale earthquake in 2012 was the largest Victorian event in thirty years (Sandiford </w:t>
      </w:r>
      <w:r w:rsidRPr="00FF347B">
        <w:rPr>
          <w:i/>
        </w:rPr>
        <w:t>et al</w:t>
      </w:r>
      <w:r w:rsidR="00C10B35">
        <w:rPr>
          <w:i/>
        </w:rPr>
        <w:t>.</w:t>
      </w:r>
      <w:r>
        <w:t xml:space="preserve"> 2012).</w:t>
      </w:r>
    </w:p>
    <w:p w14:paraId="61FBDA9E" w14:textId="77777777" w:rsidR="00662197" w:rsidRPr="0042768E" w:rsidRDefault="00662197" w:rsidP="00662197">
      <w:r w:rsidRPr="00E23529">
        <w:t>Induced seismicity</w:t>
      </w:r>
      <w:r w:rsidRPr="00B21169">
        <w:t xml:space="preserve"> </w:t>
      </w:r>
      <w:r>
        <w:t>can be related to s</w:t>
      </w:r>
      <w:r w:rsidRPr="00B21169">
        <w:t xml:space="preserve">uch activities </w:t>
      </w:r>
      <w:r>
        <w:t xml:space="preserve">as lake, reservoir or valley filling during </w:t>
      </w:r>
      <w:r w:rsidRPr="00B21169">
        <w:t>mining</w:t>
      </w:r>
      <w:r>
        <w:t xml:space="preserve">.  Any significant change to a pre-existing stress environment may induce a degree of </w:t>
      </w:r>
      <w:r w:rsidRPr="0042768E">
        <w:t xml:space="preserve">seismicity. </w:t>
      </w:r>
    </w:p>
    <w:p w14:paraId="15FEBA11" w14:textId="77777777" w:rsidR="00662197" w:rsidRDefault="00662197" w:rsidP="00662197">
      <w:pPr>
        <w:pStyle w:val="Followon"/>
      </w:pPr>
    </w:p>
    <w:p w14:paraId="6834C968" w14:textId="77777777" w:rsidR="00662197" w:rsidRDefault="00662197" w:rsidP="006F654D">
      <w:pPr>
        <w:pStyle w:val="ListParagraph"/>
        <w:numPr>
          <w:ilvl w:val="0"/>
          <w:numId w:val="32"/>
        </w:numPr>
        <w:spacing w:before="0" w:after="0" w:line="240" w:lineRule="auto"/>
        <w:jc w:val="left"/>
        <w:sectPr w:rsidR="00662197" w:rsidSect="00553B51">
          <w:headerReference w:type="even" r:id="rId37"/>
          <w:headerReference w:type="default" r:id="rId38"/>
          <w:footerReference w:type="default" r:id="rId39"/>
          <w:headerReference w:type="first" r:id="rId40"/>
          <w:footerReference w:type="first" r:id="rId41"/>
          <w:pgSz w:w="11906" w:h="16838" w:code="9"/>
          <w:pgMar w:top="1985" w:right="1298" w:bottom="851" w:left="1326" w:header="709" w:footer="477" w:gutter="0"/>
          <w:pgNumType w:start="1"/>
          <w:cols w:space="720"/>
          <w:titlePg/>
          <w:docGrid w:linePitch="272"/>
        </w:sectPr>
      </w:pPr>
    </w:p>
    <w:p w14:paraId="4C1F9391" w14:textId="77777777" w:rsidR="00662197" w:rsidRDefault="00662197" w:rsidP="00662197">
      <w:pPr>
        <w:spacing w:after="0" w:line="259" w:lineRule="auto"/>
        <w:contextualSpacing/>
      </w:pPr>
      <w:r>
        <w:rPr>
          <w:noProof/>
          <w:lang w:val="en-AU" w:eastAsia="en-AU"/>
        </w:rPr>
        <w:drawing>
          <wp:inline distT="0" distB="0" distL="0" distR="0" wp14:anchorId="4B111E99" wp14:editId="6ACFB0A4">
            <wp:extent cx="7588250" cy="5200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88250" cy="5200650"/>
                    </a:xfrm>
                    <a:prstGeom prst="rect">
                      <a:avLst/>
                    </a:prstGeom>
                    <a:noFill/>
                    <a:ln>
                      <a:noFill/>
                    </a:ln>
                  </pic:spPr>
                </pic:pic>
              </a:graphicData>
            </a:graphic>
          </wp:inline>
        </w:drawing>
      </w:r>
    </w:p>
    <w:p w14:paraId="726CF405" w14:textId="33E6F57D" w:rsidR="00662197" w:rsidRDefault="00662197" w:rsidP="00662197">
      <w:pPr>
        <w:pStyle w:val="Caption"/>
        <w:spacing w:before="0" w:after="0"/>
      </w:pPr>
      <w:bookmarkStart w:id="49" w:name="_Ref505955655"/>
      <w:bookmarkStart w:id="50" w:name="_Toc501356765"/>
      <w:r w:rsidRPr="009038E7">
        <w:t xml:space="preserve">Figure </w:t>
      </w:r>
      <w:r>
        <w:fldChar w:fldCharType="begin"/>
      </w:r>
      <w:r>
        <w:instrText xml:space="preserve"> STYLEREF 1 \s </w:instrText>
      </w:r>
      <w:r>
        <w:fldChar w:fldCharType="separate"/>
      </w:r>
      <w:r w:rsidR="00A83148">
        <w:rPr>
          <w:noProof/>
        </w:rPr>
        <w:t>3</w:t>
      </w:r>
      <w:r>
        <w:fldChar w:fldCharType="end"/>
      </w:r>
      <w:r w:rsidRPr="009038E7">
        <w:t>.</w:t>
      </w:r>
      <w:r>
        <w:fldChar w:fldCharType="begin"/>
      </w:r>
      <w:r>
        <w:instrText xml:space="preserve"> SEQ Figure \* ARABIC \s 1 </w:instrText>
      </w:r>
      <w:r>
        <w:fldChar w:fldCharType="separate"/>
      </w:r>
      <w:r w:rsidR="00A83148">
        <w:rPr>
          <w:noProof/>
        </w:rPr>
        <w:t>5</w:t>
      </w:r>
      <w:r>
        <w:fldChar w:fldCharType="end"/>
      </w:r>
      <w:bookmarkEnd w:id="49"/>
      <w:r w:rsidRPr="009038E7">
        <w:t xml:space="preserve"> : </w:t>
      </w:r>
      <w:r>
        <w:t>Surface Geology and Regional Faults in the Latrobe Valley</w:t>
      </w:r>
      <w:bookmarkEnd w:id="50"/>
    </w:p>
    <w:p w14:paraId="58DA558E" w14:textId="77777777" w:rsidR="00662197" w:rsidRDefault="00662197" w:rsidP="00662197">
      <w:pPr>
        <w:spacing w:after="0" w:line="240" w:lineRule="auto"/>
        <w:sectPr w:rsidR="00662197" w:rsidSect="0023226C">
          <w:headerReference w:type="even" r:id="rId43"/>
          <w:headerReference w:type="default" r:id="rId44"/>
          <w:footerReference w:type="default" r:id="rId45"/>
          <w:headerReference w:type="first" r:id="rId46"/>
          <w:footerReference w:type="first" r:id="rId47"/>
          <w:pgSz w:w="16838" w:h="11906" w:orient="landscape" w:code="9"/>
          <w:pgMar w:top="1326" w:right="1985" w:bottom="1298" w:left="851" w:header="709" w:footer="477" w:gutter="0"/>
          <w:cols w:space="720"/>
          <w:titlePg/>
          <w:docGrid w:linePitch="299"/>
        </w:sectPr>
      </w:pPr>
    </w:p>
    <w:p w14:paraId="650E18D8" w14:textId="45F494CA" w:rsidR="00857979" w:rsidRDefault="00857979" w:rsidP="00857979">
      <w:pPr>
        <w:rPr>
          <w:b/>
        </w:rPr>
      </w:pPr>
      <w:r>
        <w:t xml:space="preserve">Seismic </w:t>
      </w:r>
      <w:r w:rsidRPr="000E5B14">
        <w:t xml:space="preserve">events </w:t>
      </w:r>
      <w:r>
        <w:t xml:space="preserve">of regional scale, i.e. along regional faults, </w:t>
      </w:r>
      <w:r w:rsidRPr="000E5B14">
        <w:t xml:space="preserve">due to lake filling are referred to as </w:t>
      </w:r>
      <w:r>
        <w:t>R</w:t>
      </w:r>
      <w:r w:rsidRPr="000E5B14">
        <w:t xml:space="preserve">eservoir </w:t>
      </w:r>
      <w:r>
        <w:t>I</w:t>
      </w:r>
      <w:r w:rsidRPr="000E5B14">
        <w:t xml:space="preserve">nduced </w:t>
      </w:r>
      <w:r>
        <w:t>S</w:t>
      </w:r>
      <w:r w:rsidRPr="000E5B14">
        <w:t xml:space="preserve">eismicity. </w:t>
      </w:r>
      <w:r>
        <w:t xml:space="preserve"> </w:t>
      </w:r>
      <w:r w:rsidRPr="000E5B14">
        <w:t xml:space="preserve">Evidence of RIS has been observed across the world.  As of 2012, 127 RIS events have been reported globally </w:t>
      </w:r>
      <w:r>
        <w:rPr>
          <w:noProof/>
        </w:rPr>
        <w:t>(Qiu, 2012)</w:t>
      </w:r>
      <w:r w:rsidR="00C55DFF">
        <w:rPr>
          <w:noProof/>
        </w:rPr>
        <w:t>.</w:t>
      </w:r>
      <w:r w:rsidR="00C55DFF">
        <w:t xml:space="preserve"> </w:t>
      </w:r>
      <w:r w:rsidR="00222123">
        <w:t xml:space="preserve"> </w:t>
      </w:r>
      <w:r w:rsidRPr="000E5B14">
        <w:t>In Australia three notable events have been identified and are listed in</w:t>
      </w:r>
      <w:r>
        <w:t xml:space="preserve"> </w:t>
      </w:r>
      <w:r>
        <w:fldChar w:fldCharType="begin"/>
      </w:r>
      <w:r>
        <w:instrText xml:space="preserve"> REF _Ref508206415 \h </w:instrText>
      </w:r>
      <w:r>
        <w:fldChar w:fldCharType="separate"/>
      </w:r>
      <w:r w:rsidR="00A83148" w:rsidRPr="009038E7">
        <w:t xml:space="preserve">Table </w:t>
      </w:r>
      <w:r w:rsidR="00A83148">
        <w:rPr>
          <w:noProof/>
        </w:rPr>
        <w:t>3</w:t>
      </w:r>
      <w:r w:rsidR="00A83148" w:rsidRPr="009038E7">
        <w:t>.</w:t>
      </w:r>
      <w:r w:rsidR="00A83148">
        <w:rPr>
          <w:noProof/>
        </w:rPr>
        <w:t>1</w:t>
      </w:r>
      <w:r>
        <w:fldChar w:fldCharType="end"/>
      </w:r>
      <w:r w:rsidR="00CC73D4">
        <w:t xml:space="preserve">, note that one of these </w:t>
      </w:r>
      <w:r w:rsidR="00CC73D4" w:rsidRPr="00C82B89">
        <w:t>events (Thomson</w:t>
      </w:r>
      <w:r w:rsidR="00CC73D4">
        <w:t xml:space="preserve"> Dam) is in Gippsland</w:t>
      </w:r>
      <w:r>
        <w:t>.</w:t>
      </w:r>
      <w:bookmarkStart w:id="51" w:name="_Ref499814565"/>
    </w:p>
    <w:p w14:paraId="68DBF866" w14:textId="6003DD12" w:rsidR="00857979" w:rsidRDefault="00857979" w:rsidP="00857979">
      <w:pPr>
        <w:pStyle w:val="Caption"/>
      </w:pPr>
      <w:bookmarkStart w:id="52" w:name="_Ref508206415"/>
      <w:bookmarkStart w:id="53" w:name="_Toc501356720"/>
      <w:bookmarkStart w:id="54" w:name="_Ref508206411"/>
      <w:bookmarkEnd w:id="51"/>
      <w:r w:rsidRPr="009038E7">
        <w:t xml:space="preserve">Table </w:t>
      </w:r>
      <w:r>
        <w:fldChar w:fldCharType="begin"/>
      </w:r>
      <w:r>
        <w:instrText xml:space="preserve"> STYLEREF 1 \s </w:instrText>
      </w:r>
      <w:r>
        <w:fldChar w:fldCharType="separate"/>
      </w:r>
      <w:r w:rsidR="00A83148">
        <w:rPr>
          <w:noProof/>
        </w:rPr>
        <w:t>3</w:t>
      </w:r>
      <w:r>
        <w:fldChar w:fldCharType="end"/>
      </w:r>
      <w:r w:rsidRPr="009038E7">
        <w:t>.</w:t>
      </w:r>
      <w:r>
        <w:fldChar w:fldCharType="begin"/>
      </w:r>
      <w:r>
        <w:instrText xml:space="preserve"> SEQ Table \* ARABIC \s 1 </w:instrText>
      </w:r>
      <w:r>
        <w:fldChar w:fldCharType="separate"/>
      </w:r>
      <w:r w:rsidR="00A83148">
        <w:rPr>
          <w:noProof/>
        </w:rPr>
        <w:t>1</w:t>
      </w:r>
      <w:r>
        <w:fldChar w:fldCharType="end"/>
      </w:r>
      <w:bookmarkEnd w:id="52"/>
      <w:r w:rsidRPr="009038E7">
        <w:t xml:space="preserve"> : </w:t>
      </w:r>
      <w:r>
        <w:t xml:space="preserve">Induced RIS events in </w:t>
      </w:r>
      <w:r w:rsidRPr="000E5B14">
        <w:t xml:space="preserve">Australia </w:t>
      </w:r>
      <w:r>
        <w:rPr>
          <w:noProof/>
        </w:rPr>
        <w:t>(Gibson &amp; Sandiford, 2013)</w:t>
      </w:r>
      <w:sdt>
        <w:sdtPr>
          <w:id w:val="1779287107"/>
          <w:showingPlcHdr/>
          <w:citation/>
        </w:sdtPr>
        <w:sdtEndPr/>
        <w:sdtContent>
          <w:r>
            <w:t xml:space="preserve">     </w:t>
          </w:r>
        </w:sdtContent>
      </w:sdt>
      <w:bookmarkEnd w:id="53"/>
      <w:bookmarkEnd w:id="54"/>
    </w:p>
    <w:tbl>
      <w:tblPr>
        <w:tblStyle w:val="TableGrid"/>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134"/>
        <w:gridCol w:w="1843"/>
        <w:gridCol w:w="1985"/>
        <w:gridCol w:w="4411"/>
      </w:tblGrid>
      <w:tr w:rsidR="00857979" w14:paraId="6549AC09" w14:textId="77777777" w:rsidTr="00FD7735">
        <w:trPr>
          <w:tblHeader/>
        </w:trPr>
        <w:tc>
          <w:tcPr>
            <w:tcW w:w="605" w:type="pct"/>
            <w:tcBorders>
              <w:right w:val="single" w:sz="4" w:space="0" w:color="FFFFFF" w:themeColor="background1"/>
            </w:tcBorders>
            <w:shd w:val="clear" w:color="auto" w:fill="00338D"/>
          </w:tcPr>
          <w:p w14:paraId="59D54A67" w14:textId="77777777" w:rsidR="00857979" w:rsidRDefault="00857979" w:rsidP="00BD37EA">
            <w:pPr>
              <w:pStyle w:val="Tableheading"/>
              <w:jc w:val="center"/>
            </w:pPr>
            <w:r>
              <w:t>Year</w:t>
            </w:r>
          </w:p>
        </w:tc>
        <w:tc>
          <w:tcPr>
            <w:tcW w:w="983" w:type="pct"/>
            <w:tcBorders>
              <w:left w:val="single" w:sz="4" w:space="0" w:color="FFFFFF" w:themeColor="background1"/>
              <w:right w:val="single" w:sz="4" w:space="0" w:color="FFFFFF" w:themeColor="background1"/>
            </w:tcBorders>
            <w:shd w:val="clear" w:color="auto" w:fill="00338D"/>
          </w:tcPr>
          <w:p w14:paraId="66943A17" w14:textId="77777777" w:rsidR="00857979" w:rsidRDefault="00857979" w:rsidP="00BD37EA">
            <w:pPr>
              <w:pStyle w:val="Tableheading"/>
              <w:jc w:val="center"/>
            </w:pPr>
            <w:r>
              <w:t>Location</w:t>
            </w:r>
          </w:p>
        </w:tc>
        <w:tc>
          <w:tcPr>
            <w:tcW w:w="1059" w:type="pct"/>
            <w:tcBorders>
              <w:left w:val="single" w:sz="4" w:space="0" w:color="FFFFFF" w:themeColor="background1"/>
            </w:tcBorders>
            <w:shd w:val="clear" w:color="auto" w:fill="00338D"/>
          </w:tcPr>
          <w:p w14:paraId="5F857B0A" w14:textId="0324F944" w:rsidR="00857979" w:rsidRDefault="00857979" w:rsidP="00BD37EA">
            <w:pPr>
              <w:pStyle w:val="Tableheading"/>
              <w:jc w:val="center"/>
            </w:pPr>
            <w:r w:rsidRPr="00C82B89">
              <w:t>Magnitude</w:t>
            </w:r>
            <w:r w:rsidR="00E01008" w:rsidRPr="00C82B89">
              <w:t>*</w:t>
            </w:r>
          </w:p>
        </w:tc>
        <w:tc>
          <w:tcPr>
            <w:tcW w:w="2353" w:type="pct"/>
            <w:tcBorders>
              <w:left w:val="single" w:sz="4" w:space="0" w:color="FFFFFF" w:themeColor="background1"/>
            </w:tcBorders>
            <w:shd w:val="clear" w:color="auto" w:fill="00338D"/>
          </w:tcPr>
          <w:p w14:paraId="1ECE240C" w14:textId="77777777" w:rsidR="00857979" w:rsidRDefault="00857979" w:rsidP="00BD37EA">
            <w:pPr>
              <w:pStyle w:val="Tableheading"/>
              <w:jc w:val="center"/>
            </w:pPr>
            <w:r>
              <w:t>Event/Lithology</w:t>
            </w:r>
          </w:p>
        </w:tc>
      </w:tr>
      <w:tr w:rsidR="00857979" w14:paraId="797CCA08" w14:textId="77777777" w:rsidTr="00FD7735">
        <w:tc>
          <w:tcPr>
            <w:tcW w:w="605" w:type="pct"/>
          </w:tcPr>
          <w:p w14:paraId="5659C0A4" w14:textId="77777777" w:rsidR="00857979" w:rsidRDefault="00857979" w:rsidP="00BD37EA">
            <w:pPr>
              <w:pStyle w:val="Tabletext"/>
              <w:jc w:val="center"/>
            </w:pPr>
            <w:r>
              <w:t>1959</w:t>
            </w:r>
          </w:p>
        </w:tc>
        <w:tc>
          <w:tcPr>
            <w:tcW w:w="983" w:type="pct"/>
          </w:tcPr>
          <w:p w14:paraId="4C403895" w14:textId="77777777" w:rsidR="00857979" w:rsidRDefault="00857979" w:rsidP="00BD37EA">
            <w:pPr>
              <w:pStyle w:val="Tabletext"/>
              <w:jc w:val="center"/>
            </w:pPr>
            <w:r w:rsidRPr="006B463E">
              <w:rPr>
                <w:szCs w:val="20"/>
              </w:rPr>
              <w:t>Jindabyne</w:t>
            </w:r>
          </w:p>
        </w:tc>
        <w:tc>
          <w:tcPr>
            <w:tcW w:w="1059" w:type="pct"/>
          </w:tcPr>
          <w:p w14:paraId="56C78046" w14:textId="77777777" w:rsidR="00857979" w:rsidRDefault="00857979" w:rsidP="00BD37EA">
            <w:pPr>
              <w:pStyle w:val="Tabletext"/>
              <w:jc w:val="center"/>
            </w:pPr>
            <w:r>
              <w:t>5.0</w:t>
            </w:r>
          </w:p>
        </w:tc>
        <w:tc>
          <w:tcPr>
            <w:tcW w:w="2353" w:type="pct"/>
          </w:tcPr>
          <w:p w14:paraId="3E90D698" w14:textId="77777777" w:rsidR="00857979" w:rsidRDefault="00857979" w:rsidP="00BD37EA">
            <w:pPr>
              <w:jc w:val="center"/>
              <w:rPr>
                <w:szCs w:val="20"/>
              </w:rPr>
            </w:pPr>
            <w:r>
              <w:rPr>
                <w:szCs w:val="20"/>
              </w:rPr>
              <w:t>Induced by</w:t>
            </w:r>
            <w:r w:rsidRPr="006B463E">
              <w:rPr>
                <w:szCs w:val="20"/>
              </w:rPr>
              <w:t xml:space="preserve"> Eucumbene Reservoir filling.</w:t>
            </w:r>
          </w:p>
          <w:p w14:paraId="558564E7" w14:textId="77777777" w:rsidR="00857979" w:rsidRDefault="00857979" w:rsidP="00BD37EA">
            <w:pPr>
              <w:pStyle w:val="Tabletext"/>
              <w:jc w:val="center"/>
            </w:pPr>
            <w:r w:rsidRPr="006B463E">
              <w:rPr>
                <w:szCs w:val="20"/>
              </w:rPr>
              <w:t>Predominantly granite</w:t>
            </w:r>
          </w:p>
        </w:tc>
      </w:tr>
      <w:tr w:rsidR="00857979" w14:paraId="5A2101E0" w14:textId="77777777" w:rsidTr="00FD7735">
        <w:tc>
          <w:tcPr>
            <w:tcW w:w="605" w:type="pct"/>
          </w:tcPr>
          <w:p w14:paraId="435F861F" w14:textId="77777777" w:rsidR="00857979" w:rsidRDefault="00857979" w:rsidP="00BD37EA">
            <w:pPr>
              <w:pStyle w:val="Tabletext"/>
              <w:jc w:val="center"/>
            </w:pPr>
            <w:r>
              <w:t>1973</w:t>
            </w:r>
          </w:p>
        </w:tc>
        <w:tc>
          <w:tcPr>
            <w:tcW w:w="983" w:type="pct"/>
          </w:tcPr>
          <w:p w14:paraId="42A93EC9" w14:textId="77777777" w:rsidR="00857979" w:rsidRDefault="00857979" w:rsidP="00BD37EA">
            <w:pPr>
              <w:pStyle w:val="Tabletext"/>
              <w:jc w:val="center"/>
            </w:pPr>
            <w:r w:rsidRPr="006B463E">
              <w:rPr>
                <w:szCs w:val="20"/>
              </w:rPr>
              <w:t>Warragamba</w:t>
            </w:r>
          </w:p>
        </w:tc>
        <w:tc>
          <w:tcPr>
            <w:tcW w:w="1059" w:type="pct"/>
          </w:tcPr>
          <w:p w14:paraId="71DA7198" w14:textId="77777777" w:rsidR="00857979" w:rsidRDefault="00857979" w:rsidP="00BD37EA">
            <w:pPr>
              <w:pStyle w:val="Tabletext"/>
              <w:jc w:val="center"/>
            </w:pPr>
            <w:r>
              <w:t>5.5</w:t>
            </w:r>
          </w:p>
        </w:tc>
        <w:tc>
          <w:tcPr>
            <w:tcW w:w="2353" w:type="pct"/>
          </w:tcPr>
          <w:p w14:paraId="6444C67C" w14:textId="77777777" w:rsidR="00857979" w:rsidRPr="006B463E" w:rsidRDefault="00857979" w:rsidP="00BD37EA">
            <w:pPr>
              <w:jc w:val="center"/>
              <w:rPr>
                <w:szCs w:val="20"/>
              </w:rPr>
            </w:pPr>
            <w:r>
              <w:rPr>
                <w:szCs w:val="20"/>
              </w:rPr>
              <w:t>Induced by</w:t>
            </w:r>
            <w:r w:rsidRPr="006B463E">
              <w:rPr>
                <w:szCs w:val="20"/>
              </w:rPr>
              <w:t xml:space="preserve"> Warragamba</w:t>
            </w:r>
            <w:r>
              <w:rPr>
                <w:szCs w:val="20"/>
              </w:rPr>
              <w:t xml:space="preserve"> Reservoir filling.</w:t>
            </w:r>
          </w:p>
          <w:p w14:paraId="3D7F5D09" w14:textId="77777777" w:rsidR="00857979" w:rsidRDefault="00857979" w:rsidP="00BD37EA">
            <w:pPr>
              <w:pStyle w:val="Tabletext"/>
              <w:jc w:val="center"/>
            </w:pPr>
            <w:r w:rsidRPr="006B463E">
              <w:rPr>
                <w:szCs w:val="20"/>
              </w:rPr>
              <w:t>Predominantly sandstones and shales</w:t>
            </w:r>
          </w:p>
        </w:tc>
      </w:tr>
      <w:tr w:rsidR="00857979" w:rsidRPr="00C82B89" w14:paraId="15AC32E0" w14:textId="77777777" w:rsidTr="00FD7735">
        <w:tc>
          <w:tcPr>
            <w:tcW w:w="605" w:type="pct"/>
          </w:tcPr>
          <w:p w14:paraId="3F51E5E3" w14:textId="77777777" w:rsidR="00857979" w:rsidRPr="00C82B89" w:rsidRDefault="00857979" w:rsidP="00BD37EA">
            <w:pPr>
              <w:pStyle w:val="Tabletext"/>
              <w:jc w:val="center"/>
            </w:pPr>
            <w:r w:rsidRPr="00C82B89">
              <w:t>1996</w:t>
            </w:r>
          </w:p>
        </w:tc>
        <w:tc>
          <w:tcPr>
            <w:tcW w:w="983" w:type="pct"/>
          </w:tcPr>
          <w:p w14:paraId="43ED0470" w14:textId="5387D06C" w:rsidR="00857979" w:rsidRPr="00C82B89" w:rsidRDefault="00902EFA" w:rsidP="00BD37EA">
            <w:pPr>
              <w:pStyle w:val="Tabletext"/>
              <w:jc w:val="center"/>
              <w:rPr>
                <w:szCs w:val="20"/>
              </w:rPr>
            </w:pPr>
            <w:r>
              <w:rPr>
                <w:szCs w:val="20"/>
              </w:rPr>
              <w:t>Err</w:t>
            </w:r>
            <w:r w:rsidR="00857979" w:rsidRPr="00C82B89">
              <w:rPr>
                <w:szCs w:val="20"/>
              </w:rPr>
              <w:t xml:space="preserve"> Dam</w:t>
            </w:r>
          </w:p>
        </w:tc>
        <w:tc>
          <w:tcPr>
            <w:tcW w:w="1059" w:type="pct"/>
          </w:tcPr>
          <w:p w14:paraId="76D027C2" w14:textId="77777777" w:rsidR="00857979" w:rsidRPr="00C82B89" w:rsidRDefault="00857979" w:rsidP="00BD37EA">
            <w:pPr>
              <w:pStyle w:val="Tabletext"/>
              <w:jc w:val="center"/>
            </w:pPr>
            <w:r w:rsidRPr="00C82B89">
              <w:t>5.0</w:t>
            </w:r>
          </w:p>
        </w:tc>
        <w:tc>
          <w:tcPr>
            <w:tcW w:w="2353" w:type="pct"/>
          </w:tcPr>
          <w:p w14:paraId="2A922CF9" w14:textId="77777777" w:rsidR="00857979" w:rsidRPr="00C82B89" w:rsidRDefault="00857979" w:rsidP="00BD37EA">
            <w:pPr>
              <w:jc w:val="center"/>
              <w:rPr>
                <w:szCs w:val="20"/>
              </w:rPr>
            </w:pPr>
            <w:r w:rsidRPr="00C82B89">
              <w:rPr>
                <w:szCs w:val="20"/>
              </w:rPr>
              <w:t>Induced by Thomson Reservoir filling.</w:t>
            </w:r>
          </w:p>
          <w:p w14:paraId="44D40AB9" w14:textId="77777777" w:rsidR="00857979" w:rsidRPr="00C82B89" w:rsidRDefault="00857979" w:rsidP="00BD37EA">
            <w:pPr>
              <w:jc w:val="center"/>
              <w:rPr>
                <w:szCs w:val="20"/>
              </w:rPr>
            </w:pPr>
            <w:r w:rsidRPr="00C82B89">
              <w:rPr>
                <w:szCs w:val="20"/>
              </w:rPr>
              <w:t>Both granite and sedimentary rock</w:t>
            </w:r>
          </w:p>
        </w:tc>
      </w:tr>
    </w:tbl>
    <w:p w14:paraId="646FAB30" w14:textId="514F2AEF" w:rsidR="00E01008" w:rsidRPr="00FE62C2" w:rsidRDefault="00AD4699" w:rsidP="00E01008">
      <w:pPr>
        <w:rPr>
          <w:sz w:val="16"/>
          <w:szCs w:val="16"/>
        </w:rPr>
      </w:pPr>
      <w:r w:rsidRPr="00C82B89">
        <w:rPr>
          <w:sz w:val="16"/>
          <w:szCs w:val="16"/>
        </w:rPr>
        <w:t xml:space="preserve">* </w:t>
      </w:r>
      <w:r w:rsidR="00C156B7" w:rsidRPr="00C82B89">
        <w:rPr>
          <w:sz w:val="16"/>
          <w:szCs w:val="16"/>
        </w:rPr>
        <w:t>S</w:t>
      </w:r>
      <w:r w:rsidRPr="00C82B89">
        <w:rPr>
          <w:sz w:val="16"/>
          <w:szCs w:val="16"/>
        </w:rPr>
        <w:t xml:space="preserve">ee Table </w:t>
      </w:r>
      <w:r w:rsidR="00944B87" w:rsidRPr="00C82B89">
        <w:rPr>
          <w:sz w:val="16"/>
          <w:szCs w:val="16"/>
        </w:rPr>
        <w:t xml:space="preserve">5.8: Damage Criteria for Earthquakes </w:t>
      </w:r>
      <w:r w:rsidR="00A862D2" w:rsidRPr="00C82B89">
        <w:rPr>
          <w:sz w:val="16"/>
          <w:szCs w:val="16"/>
        </w:rPr>
        <w:t>–</w:t>
      </w:r>
      <w:r w:rsidR="0023162B" w:rsidRPr="00C82B89">
        <w:rPr>
          <w:sz w:val="16"/>
          <w:szCs w:val="16"/>
        </w:rPr>
        <w:t xml:space="preserve"> </w:t>
      </w:r>
      <w:r w:rsidR="00A862D2" w:rsidRPr="00C82B89">
        <w:rPr>
          <w:sz w:val="16"/>
          <w:szCs w:val="16"/>
        </w:rPr>
        <w:t xml:space="preserve">describing </w:t>
      </w:r>
      <w:r w:rsidR="00401E75" w:rsidRPr="00C82B89">
        <w:rPr>
          <w:sz w:val="16"/>
          <w:szCs w:val="16"/>
        </w:rPr>
        <w:t>the</w:t>
      </w:r>
      <w:r w:rsidR="00896B32" w:rsidRPr="00C82B89">
        <w:rPr>
          <w:sz w:val="16"/>
          <w:szCs w:val="16"/>
        </w:rPr>
        <w:t xml:space="preserve"> likely </w:t>
      </w:r>
      <w:r w:rsidR="00401E75" w:rsidRPr="00C82B89">
        <w:rPr>
          <w:sz w:val="16"/>
          <w:szCs w:val="16"/>
        </w:rPr>
        <w:t>impact felt and damage</w:t>
      </w:r>
      <w:r w:rsidR="00957E64" w:rsidRPr="00C82B89">
        <w:rPr>
          <w:sz w:val="16"/>
          <w:szCs w:val="16"/>
        </w:rPr>
        <w:t xml:space="preserve"> </w:t>
      </w:r>
      <w:r w:rsidR="00A862D2" w:rsidRPr="00C82B89">
        <w:rPr>
          <w:sz w:val="16"/>
          <w:szCs w:val="16"/>
        </w:rPr>
        <w:t>susta</w:t>
      </w:r>
      <w:r w:rsidR="00896B32" w:rsidRPr="00C82B89">
        <w:rPr>
          <w:sz w:val="16"/>
          <w:szCs w:val="16"/>
        </w:rPr>
        <w:t xml:space="preserve">ined for </w:t>
      </w:r>
      <w:r w:rsidR="00EC38C7" w:rsidRPr="00C82B89">
        <w:rPr>
          <w:sz w:val="16"/>
          <w:szCs w:val="16"/>
        </w:rPr>
        <w:t xml:space="preserve">earthquakes </w:t>
      </w:r>
      <w:r w:rsidR="00CD4C1D" w:rsidRPr="00C82B89">
        <w:rPr>
          <w:sz w:val="16"/>
          <w:szCs w:val="16"/>
        </w:rPr>
        <w:t xml:space="preserve">of different </w:t>
      </w:r>
      <w:r w:rsidR="003871BA" w:rsidRPr="00C82B89">
        <w:rPr>
          <w:sz w:val="16"/>
          <w:szCs w:val="16"/>
        </w:rPr>
        <w:t>magnitude level</w:t>
      </w:r>
      <w:r w:rsidR="00FE62C2" w:rsidRPr="00C82B89">
        <w:rPr>
          <w:sz w:val="16"/>
          <w:szCs w:val="16"/>
        </w:rPr>
        <w:t>s.</w:t>
      </w:r>
      <w:r w:rsidR="00FE62C2" w:rsidRPr="00FE62C2">
        <w:rPr>
          <w:sz w:val="16"/>
          <w:szCs w:val="16"/>
        </w:rPr>
        <w:t xml:space="preserve"> </w:t>
      </w:r>
    </w:p>
    <w:p w14:paraId="4F2E1077" w14:textId="6838C1CC" w:rsidR="00857979" w:rsidRPr="001E29D9" w:rsidRDefault="00857979" w:rsidP="00222123">
      <w:pPr>
        <w:spacing w:before="240"/>
      </w:pPr>
      <w:r w:rsidRPr="001E29D9">
        <w:t>These cases, and those identified on an international level, host a key set of factors and conditions to induce seismicity.  RIS is likely to exist in areas where there is already relatively high stress.</w:t>
      </w:r>
      <w:r w:rsidR="00F33DBE">
        <w:t xml:space="preserve"> </w:t>
      </w:r>
      <w:r w:rsidRPr="001E29D9">
        <w:t xml:space="preserve"> The active faults such as the Strzelecki and Hoddle Ranges in the Gippsland region are thought to contribute to the seismic activity in the region.</w:t>
      </w:r>
    </w:p>
    <w:p w14:paraId="353A8EF5" w14:textId="77777777" w:rsidR="00857979" w:rsidRPr="001E29D9" w:rsidRDefault="00857979" w:rsidP="00857979">
      <w:r w:rsidRPr="001E29D9">
        <w:t>In general, RIS events usually occur:</w:t>
      </w:r>
    </w:p>
    <w:p w14:paraId="49CF8819" w14:textId="2590BD53" w:rsidR="00865632" w:rsidRDefault="00865632" w:rsidP="00865632">
      <w:pPr>
        <w:pStyle w:val="Para0bullet"/>
      </w:pPr>
      <w:r>
        <w:t>In formations and faults where stress build-up can occur.  This would normally require competent rocks that would not appreciably deform under stress and hence allow stress build-up (examples in Table 3.1) to a magnitude that drives failure on the fault plane.  The L</w:t>
      </w:r>
      <w:r w:rsidR="007804DB">
        <w:t xml:space="preserve">atrobe </w:t>
      </w:r>
      <w:r>
        <w:t>V</w:t>
      </w:r>
      <w:r w:rsidR="007804DB">
        <w:t>alley</w:t>
      </w:r>
      <w:r>
        <w:t xml:space="preserve"> coal formations are not considered to be competent rocks and while some stress build-up and transfer would occur it is uncertain to what magnitude</w:t>
      </w:r>
      <w:r w:rsidR="008C4AB3">
        <w:t>.</w:t>
      </w:r>
    </w:p>
    <w:p w14:paraId="0946B93D" w14:textId="033DB1AA" w:rsidR="00865632" w:rsidRDefault="00865632" w:rsidP="00186BDF">
      <w:pPr>
        <w:pStyle w:val="Para0bullet"/>
      </w:pPr>
      <w:r w:rsidRPr="001E29D9">
        <w:t xml:space="preserve">When pore pressure increases </w:t>
      </w:r>
      <w:r>
        <w:t>a</w:t>
      </w:r>
      <w:r w:rsidRPr="001E29D9">
        <w:t>t shallow depth under or alongside a reservoir;</w:t>
      </w:r>
      <w:r>
        <w:t xml:space="preserve"> and</w:t>
      </w:r>
    </w:p>
    <w:p w14:paraId="793D127A" w14:textId="071D67A3" w:rsidR="00865632" w:rsidRPr="001E29D9" w:rsidRDefault="00865632" w:rsidP="00865632">
      <w:pPr>
        <w:pStyle w:val="Para0bullet"/>
      </w:pPr>
      <w:r w:rsidRPr="001E29D9">
        <w:t>Until the stress field and pore pressure fields stabilise</w:t>
      </w:r>
      <w:r>
        <w:t>.  This may be a number of years after the pit lakes have been established.</w:t>
      </w:r>
    </w:p>
    <w:p w14:paraId="7EC038D5" w14:textId="570E8BD7" w:rsidR="00857979" w:rsidRDefault="00857979" w:rsidP="00857979">
      <w:r>
        <w:t xml:space="preserve">Gibson </w:t>
      </w:r>
      <w:r w:rsidR="00E0608C">
        <w:t>and Sandiford</w:t>
      </w:r>
      <w:r>
        <w:t xml:space="preserve"> (2013) states that </w:t>
      </w:r>
      <w:r w:rsidR="008C4AB3">
        <w:t>‘</w:t>
      </w:r>
      <w:r>
        <w:t xml:space="preserve">Induced seismicity under large reservoirs can be delayed for up to several years after reservoir filling due to slow increase in pore pressure as groundwater slowly permeates to greater depths. The activity can then continue for many years, typically 10 to 30 years, before a new equilibrium is </w:t>
      </w:r>
      <w:r w:rsidR="00A0314D">
        <w:t>established,</w:t>
      </w:r>
      <w:r>
        <w:t xml:space="preserve"> and seismicity returns to normal levels.</w:t>
      </w:r>
      <w:r w:rsidR="008C4AB3">
        <w:t>’</w:t>
      </w:r>
    </w:p>
    <w:p w14:paraId="58EE5BA7" w14:textId="169861CF" w:rsidR="00857979" w:rsidRDefault="00857979" w:rsidP="00857979">
      <w:r>
        <w:t xml:space="preserve">In line with industry standards </w:t>
      </w:r>
      <w:r w:rsidRPr="00175EAF">
        <w:t>RIS should be considered</w:t>
      </w:r>
      <w:r>
        <w:t xml:space="preserve"> </w:t>
      </w:r>
      <w:r w:rsidRPr="00175EAF">
        <w:t xml:space="preserve">in the seismic hazard assessment for new </w:t>
      </w:r>
      <w:r>
        <w:t>pit lakes</w:t>
      </w:r>
      <w:r w:rsidRPr="00175EAF">
        <w:t xml:space="preserve">, either </w:t>
      </w:r>
      <w:r>
        <w:t>by risk based or deterministic methods.</w:t>
      </w:r>
    </w:p>
    <w:p w14:paraId="04BB0613" w14:textId="77777777" w:rsidR="009E79B5" w:rsidRPr="00994BD0" w:rsidRDefault="009E79B5" w:rsidP="009E79B5">
      <w:pPr>
        <w:pStyle w:val="Heading3"/>
      </w:pPr>
      <w:r>
        <w:t>Other ground movements</w:t>
      </w:r>
    </w:p>
    <w:p w14:paraId="15E4CA44" w14:textId="2B3F65B7" w:rsidR="009E79B5" w:rsidRPr="008E5DB6" w:rsidRDefault="009E79B5" w:rsidP="009E79B5">
      <w:pPr>
        <w:pStyle w:val="Para0"/>
      </w:pPr>
      <w:r w:rsidRPr="008E5DB6">
        <w:t xml:space="preserve">Inundation settlement may occur when the volume of an unsaturated </w:t>
      </w:r>
      <w:r>
        <w:t>material</w:t>
      </w:r>
      <w:r w:rsidRPr="008E5DB6">
        <w:t xml:space="preserve"> decreases, as it becomes saturated by rising surface water or groundwater.  The process has been widely studied and documented in literature, including by Tadepalli </w:t>
      </w:r>
      <w:r w:rsidR="0056433D">
        <w:t>and</w:t>
      </w:r>
      <w:r w:rsidRPr="008E5DB6">
        <w:t xml:space="preserve"> Fredlund</w:t>
      </w:r>
      <w:r>
        <w:t xml:space="preserve"> (1991)</w:t>
      </w:r>
      <w:r w:rsidRPr="008E5DB6">
        <w:t>, which reports on earlier studies</w:t>
      </w:r>
      <w:r w:rsidR="00BE50B2">
        <w:t>.</w:t>
      </w:r>
    </w:p>
    <w:p w14:paraId="0530517F" w14:textId="60582347" w:rsidR="009E79B5" w:rsidRPr="002B112B" w:rsidRDefault="009E79B5" w:rsidP="009E79B5">
      <w:pPr>
        <w:pStyle w:val="Para0"/>
      </w:pPr>
      <w:r w:rsidRPr="001E29D9">
        <w:t xml:space="preserve">Inundation settlement during or after pit lake filling could lead to </w:t>
      </w:r>
      <w:r w:rsidR="0029291B">
        <w:t xml:space="preserve">ground </w:t>
      </w:r>
      <w:r w:rsidR="001A20F0">
        <w:t>movement</w:t>
      </w:r>
      <w:r w:rsidRPr="001E29D9">
        <w:t xml:space="preserve"> due to the loss of negative pore pressure (suction) at the soil particle contacts.  The mechanism of settlement accompanying wetting has been described by Tadepalli and Fredlund </w:t>
      </w:r>
      <w:r w:rsidR="001A20F0">
        <w:t>(1991)</w:t>
      </w:r>
      <w:r w:rsidR="00AD16B0">
        <w:t xml:space="preserve">. </w:t>
      </w:r>
      <w:r w:rsidRPr="001E29D9">
        <w:t>Due to inundation, the negative pore-water pressure at the contact points decrease, giving rise to grain slippage and distortion.</w:t>
      </w:r>
    </w:p>
    <w:p w14:paraId="29B330DB" w14:textId="6727D85D" w:rsidR="009E79B5" w:rsidRPr="005A456B" w:rsidRDefault="009E79B5" w:rsidP="009E79B5">
      <w:pPr>
        <w:pStyle w:val="Para0"/>
      </w:pPr>
      <w:r w:rsidRPr="002B112B">
        <w:t>Inundation settlement commonly occurs in mines when overburden has be</w:t>
      </w:r>
      <w:r>
        <w:t xml:space="preserve">en disposed of in a loose state.  Settlement is due to loss of strength at the base when </w:t>
      </w:r>
      <w:r w:rsidR="00BE50B2">
        <w:t>an</w:t>
      </w:r>
      <w:r w:rsidRPr="002B112B">
        <w:t xml:space="preserve"> overburden dump becomes saturated by rising water.  </w:t>
      </w:r>
      <w:r w:rsidR="0029291B">
        <w:t xml:space="preserve">This may occur within the rehabilitated mines during the establishment of pit lakes. </w:t>
      </w:r>
      <w:r w:rsidR="000069CE">
        <w:t xml:space="preserve"> </w:t>
      </w:r>
      <w:r w:rsidR="0029291B">
        <w:t>As the areas that may be affected by this are well within the mine there is unlikely to be any regional receptors that are affected by this type of ground movement.</w:t>
      </w:r>
    </w:p>
    <w:p w14:paraId="18DFD91E" w14:textId="58C1EB54" w:rsidR="009E79B5" w:rsidRPr="00AE77B4" w:rsidRDefault="009E79B5" w:rsidP="009E79B5">
      <w:pPr>
        <w:rPr>
          <w:rFonts w:eastAsia="MS Mincho"/>
          <w:lang w:val="en-AU"/>
        </w:rPr>
      </w:pPr>
      <w:r>
        <w:rPr>
          <w:rFonts w:eastAsia="MS Mincho"/>
          <w:lang w:val="en-AU"/>
        </w:rPr>
        <w:t>Tunnel</w:t>
      </w:r>
      <w:r w:rsidRPr="00AE77B4">
        <w:rPr>
          <w:rFonts w:eastAsia="MS Mincho"/>
          <w:lang w:val="en-AU"/>
        </w:rPr>
        <w:t xml:space="preserve"> erosion </w:t>
      </w:r>
      <w:r>
        <w:rPr>
          <w:rFonts w:eastAsia="MS Mincho"/>
          <w:lang w:val="en-AU"/>
        </w:rPr>
        <w:t xml:space="preserve">mechanisms potentially form sinkholes </w:t>
      </w:r>
      <w:r w:rsidRPr="00AE77B4">
        <w:rPr>
          <w:rFonts w:eastAsia="MS Mincho"/>
          <w:lang w:val="en-AU"/>
        </w:rPr>
        <w:t>when either:</w:t>
      </w:r>
    </w:p>
    <w:p w14:paraId="5E9924F8" w14:textId="6143A2C8" w:rsidR="009E79B5" w:rsidRPr="00D71143" w:rsidRDefault="009E79B5" w:rsidP="009E79B5">
      <w:pPr>
        <w:pStyle w:val="Para0bullet"/>
        <w:rPr>
          <w:lang w:val="en-US"/>
        </w:rPr>
      </w:pPr>
      <w:r w:rsidRPr="00613E12">
        <w:rPr>
          <w:lang w:val="en-US"/>
        </w:rPr>
        <w:t xml:space="preserve">Water ponds on the surface of slopes, which then enters the soil, seeps laterally, and creates a tunnel. </w:t>
      </w:r>
      <w:r w:rsidR="000069CE">
        <w:rPr>
          <w:lang w:val="en-US"/>
        </w:rPr>
        <w:t xml:space="preserve"> </w:t>
      </w:r>
      <w:r w:rsidRPr="00613E12">
        <w:rPr>
          <w:lang w:val="en-US"/>
        </w:rPr>
        <w:t xml:space="preserve">The tunnel may develop to a significant size before the surface collapses revealing a fully-formed gully.  This erosion is common on batter slopes where berms can cause water to </w:t>
      </w:r>
      <w:r w:rsidRPr="00D71143">
        <w:rPr>
          <w:lang w:val="en-US"/>
        </w:rPr>
        <w:t>pond and infiltrate.</w:t>
      </w:r>
    </w:p>
    <w:p w14:paraId="342C2C77" w14:textId="6FF4743B" w:rsidR="009E79B5" w:rsidRPr="00D71143" w:rsidRDefault="009E79B5" w:rsidP="009E79B5">
      <w:pPr>
        <w:pStyle w:val="Para0bullet"/>
        <w:rPr>
          <w:lang w:val="en-US"/>
        </w:rPr>
      </w:pPr>
      <w:r w:rsidRPr="00D71143">
        <w:rPr>
          <w:lang w:val="en-US"/>
        </w:rPr>
        <w:t xml:space="preserve">Water flows </w:t>
      </w:r>
      <w:r w:rsidRPr="00D71143">
        <w:t xml:space="preserve">overland towards a relatively steep slope, infiltrates close to the crest, and then seeps through to exit on the outer face of the slope. </w:t>
      </w:r>
      <w:r w:rsidR="000069CE">
        <w:t xml:space="preserve"> </w:t>
      </w:r>
      <w:r w:rsidRPr="00D71143">
        <w:t>Tunnels form in examples such as steep slopes, roadside cuttings, and into constructed drainage structures.</w:t>
      </w:r>
    </w:p>
    <w:p w14:paraId="1DB29A10" w14:textId="4D7FA054" w:rsidR="009E79B5" w:rsidRPr="00F76DBF" w:rsidRDefault="009E79B5" w:rsidP="009E79B5">
      <w:pPr>
        <w:rPr>
          <w:lang w:val="en-AU"/>
        </w:rPr>
      </w:pPr>
      <w:r w:rsidRPr="00F76DBF">
        <w:rPr>
          <w:lang w:val="en-AU"/>
        </w:rPr>
        <w:t xml:space="preserve">Tunnel erosion </w:t>
      </w:r>
      <w:r>
        <w:rPr>
          <w:lang w:val="en-AU"/>
        </w:rPr>
        <w:t>has been observed in the Latrobe Valley where the presence of jointed coal at shallow depth allows water ingress to the coal seam which may</w:t>
      </w:r>
      <w:r w:rsidRPr="00F76DBF">
        <w:rPr>
          <w:lang w:val="en-AU"/>
        </w:rPr>
        <w:t xml:space="preserve"> influence block sliding movement as discussed </w:t>
      </w:r>
      <w:r w:rsidR="0078102E">
        <w:rPr>
          <w:lang w:val="en-AU"/>
        </w:rPr>
        <w:t>above.</w:t>
      </w:r>
      <w:r>
        <w:rPr>
          <w:lang w:val="en-AU"/>
        </w:rPr>
        <w:t xml:space="preserve"> </w:t>
      </w:r>
      <w:r w:rsidR="000069CE">
        <w:rPr>
          <w:lang w:val="en-AU"/>
        </w:rPr>
        <w:t xml:space="preserve"> </w:t>
      </w:r>
      <w:r w:rsidR="0078102E">
        <w:rPr>
          <w:lang w:val="en-AU"/>
        </w:rPr>
        <w:t>Tunnel erosion can lead to the development of sinkholes.</w:t>
      </w:r>
    </w:p>
    <w:p w14:paraId="2995DCF4" w14:textId="67A3C3CC" w:rsidR="0033048C" w:rsidRDefault="00CF64E0" w:rsidP="00FA438A">
      <w:pPr>
        <w:pStyle w:val="Heading2"/>
        <w:rPr>
          <w:rFonts w:eastAsia="MS Mincho"/>
          <w:lang w:val="en-AU"/>
        </w:rPr>
      </w:pPr>
      <w:bookmarkStart w:id="55" w:name="_Toc57907084"/>
      <w:r>
        <w:rPr>
          <w:rFonts w:eastAsia="MS Mincho"/>
          <w:lang w:val="en-AU"/>
        </w:rPr>
        <w:t>Ground movement as it relates to receptors</w:t>
      </w:r>
      <w:bookmarkEnd w:id="55"/>
    </w:p>
    <w:p w14:paraId="586E8131" w14:textId="789C8CF7" w:rsidR="0023226C" w:rsidRDefault="0023226C" w:rsidP="0023226C">
      <w:pPr>
        <w:rPr>
          <w:rFonts w:eastAsia="MS Mincho"/>
          <w:lang w:val="en-AU"/>
        </w:rPr>
      </w:pPr>
      <w:r>
        <w:rPr>
          <w:rFonts w:eastAsia="MS Mincho"/>
          <w:lang w:val="en-AU"/>
        </w:rPr>
        <w:t>The amount of ground movement that could potentially have an adverse effect on</w:t>
      </w:r>
      <w:r w:rsidR="00121616">
        <w:rPr>
          <w:rFonts w:eastAsia="MS Mincho"/>
          <w:lang w:val="en-AU"/>
        </w:rPr>
        <w:t xml:space="preserve"> </w:t>
      </w:r>
      <w:r w:rsidR="00FA438A">
        <w:rPr>
          <w:rFonts w:eastAsia="MS Mincho"/>
          <w:lang w:val="en-AU"/>
        </w:rPr>
        <w:t xml:space="preserve">a </w:t>
      </w:r>
      <w:r>
        <w:rPr>
          <w:rFonts w:eastAsia="MS Mincho"/>
          <w:lang w:val="en-AU"/>
        </w:rPr>
        <w:t>receptor is influenced by many factors including:</w:t>
      </w:r>
    </w:p>
    <w:p w14:paraId="225F2532" w14:textId="64964247" w:rsidR="0023226C" w:rsidRPr="002A57FF" w:rsidRDefault="0023226C" w:rsidP="00855998">
      <w:pPr>
        <w:pStyle w:val="Para0bullet"/>
        <w:rPr>
          <w:rFonts w:eastAsia="MS Mincho"/>
          <w:lang w:val="en-AU"/>
        </w:rPr>
      </w:pPr>
      <w:r w:rsidRPr="002A57FF">
        <w:rPr>
          <w:rFonts w:eastAsia="MS Mincho"/>
          <w:lang w:val="en-AU"/>
        </w:rPr>
        <w:t>Type and size of structure</w:t>
      </w:r>
      <w:r w:rsidR="000B380D">
        <w:rPr>
          <w:rFonts w:eastAsia="MS Mincho"/>
          <w:lang w:val="en-AU"/>
        </w:rPr>
        <w:t xml:space="preserve"> and construction standards</w:t>
      </w:r>
    </w:p>
    <w:p w14:paraId="3722B453" w14:textId="77777777" w:rsidR="0023226C" w:rsidRDefault="0023226C" w:rsidP="00855998">
      <w:pPr>
        <w:pStyle w:val="Para0bullet"/>
        <w:rPr>
          <w:rFonts w:eastAsia="MS Mincho"/>
          <w:lang w:val="en-AU"/>
        </w:rPr>
      </w:pPr>
      <w:r w:rsidRPr="002A57FF">
        <w:rPr>
          <w:rFonts w:eastAsia="MS Mincho"/>
          <w:lang w:val="en-AU"/>
        </w:rPr>
        <w:t>Properties of the material of which it is constructed</w:t>
      </w:r>
    </w:p>
    <w:p w14:paraId="496CA0BB" w14:textId="77777777" w:rsidR="0023226C" w:rsidRPr="002A57FF" w:rsidRDefault="0023226C" w:rsidP="00855998">
      <w:pPr>
        <w:pStyle w:val="Para0bullet"/>
        <w:rPr>
          <w:rFonts w:eastAsia="MS Mincho"/>
          <w:lang w:val="en-AU"/>
        </w:rPr>
      </w:pPr>
      <w:r>
        <w:rPr>
          <w:rFonts w:eastAsia="MS Mincho"/>
          <w:lang w:val="en-AU"/>
        </w:rPr>
        <w:t>Characteristics of the natural soils</w:t>
      </w:r>
    </w:p>
    <w:p w14:paraId="675EF1D5" w14:textId="17B9E98F" w:rsidR="0023226C" w:rsidRPr="002A57FF" w:rsidRDefault="0023226C" w:rsidP="00855998">
      <w:pPr>
        <w:pStyle w:val="Para0bullet"/>
        <w:rPr>
          <w:rFonts w:eastAsia="MS Mincho"/>
          <w:lang w:val="en-AU"/>
        </w:rPr>
      </w:pPr>
      <w:r w:rsidRPr="002A57FF">
        <w:rPr>
          <w:rFonts w:eastAsia="MS Mincho"/>
          <w:lang w:val="en-AU"/>
        </w:rPr>
        <w:t>Rate and nature of ground movement</w:t>
      </w:r>
      <w:r>
        <w:rPr>
          <w:rFonts w:eastAsia="MS Mincho"/>
          <w:lang w:val="en-AU"/>
        </w:rPr>
        <w:t>.</w:t>
      </w:r>
    </w:p>
    <w:p w14:paraId="407078A8" w14:textId="108906DB" w:rsidR="0023226C" w:rsidRDefault="00651161" w:rsidP="0023226C">
      <w:pPr>
        <w:rPr>
          <w:lang w:val="en-AU"/>
        </w:rPr>
      </w:pPr>
      <w:r w:rsidRPr="00651161">
        <w:rPr>
          <w:lang w:val="en-AU"/>
        </w:rPr>
        <w:t xml:space="preserve">Critical movements have not been </w:t>
      </w:r>
      <w:r w:rsidRPr="00651161">
        <w:rPr>
          <w:rFonts w:eastAsia="MS Mincho"/>
          <w:lang w:val="en-AU"/>
        </w:rPr>
        <w:t xml:space="preserve">specifically </w:t>
      </w:r>
      <w:r w:rsidR="009A0868">
        <w:rPr>
          <w:rFonts w:eastAsia="MS Mincho"/>
          <w:lang w:val="en-AU"/>
        </w:rPr>
        <w:t xml:space="preserve">(or individually) </w:t>
      </w:r>
      <w:r w:rsidRPr="00651161">
        <w:rPr>
          <w:lang w:val="en-AU"/>
        </w:rPr>
        <w:t xml:space="preserve">determined </w:t>
      </w:r>
      <w:r w:rsidRPr="00651161">
        <w:rPr>
          <w:rFonts w:eastAsia="MS Mincho"/>
          <w:lang w:val="en-AU"/>
        </w:rPr>
        <w:t xml:space="preserve">or calculated for the ground movement processes </w:t>
      </w:r>
      <w:r w:rsidR="009A0868">
        <w:rPr>
          <w:rFonts w:eastAsia="MS Mincho"/>
          <w:lang w:val="en-AU"/>
        </w:rPr>
        <w:t>and rec</w:t>
      </w:r>
      <w:r w:rsidR="006C6AD8">
        <w:rPr>
          <w:rFonts w:eastAsia="MS Mincho"/>
          <w:lang w:val="en-AU"/>
        </w:rPr>
        <w:t>e</w:t>
      </w:r>
      <w:r w:rsidR="009A0868">
        <w:rPr>
          <w:rFonts w:eastAsia="MS Mincho"/>
          <w:lang w:val="en-AU"/>
        </w:rPr>
        <w:t xml:space="preserve">ptor combinations </w:t>
      </w:r>
      <w:r w:rsidRPr="00651161">
        <w:rPr>
          <w:lang w:val="en-AU"/>
        </w:rPr>
        <w:t>due to the</w:t>
      </w:r>
      <w:r w:rsidRPr="00651161">
        <w:rPr>
          <w:rFonts w:eastAsia="MS Mincho"/>
          <w:lang w:val="en-AU"/>
        </w:rPr>
        <w:t xml:space="preserve"> </w:t>
      </w:r>
      <w:r w:rsidRPr="00651161">
        <w:rPr>
          <w:lang w:val="en-AU"/>
        </w:rPr>
        <w:t>complexit</w:t>
      </w:r>
      <w:r w:rsidRPr="00651161">
        <w:rPr>
          <w:rFonts w:eastAsia="MS Mincho"/>
          <w:lang w:val="en-AU"/>
        </w:rPr>
        <w:t>y of factors described to do so for infrastructure receptors</w:t>
      </w:r>
      <w:r w:rsidRPr="00651161">
        <w:rPr>
          <w:lang w:val="en-AU"/>
        </w:rPr>
        <w:t>.</w:t>
      </w:r>
      <w:r w:rsidR="004C6015">
        <w:rPr>
          <w:lang w:val="en-AU"/>
        </w:rPr>
        <w:t xml:space="preserve"> </w:t>
      </w:r>
      <w:r w:rsidRPr="00651161">
        <w:rPr>
          <w:lang w:val="en-AU"/>
        </w:rPr>
        <w:t xml:space="preserve"> Instead this study provides </w:t>
      </w:r>
      <w:r w:rsidR="006C6AD8">
        <w:rPr>
          <w:lang w:val="en-AU"/>
        </w:rPr>
        <w:t xml:space="preserve">suggested </w:t>
      </w:r>
      <w:r w:rsidRPr="00651161">
        <w:rPr>
          <w:lang w:val="en-AU"/>
        </w:rPr>
        <w:t xml:space="preserve">criteria for tolerable ground movement </w:t>
      </w:r>
      <w:r w:rsidRPr="00651161">
        <w:rPr>
          <w:rFonts w:eastAsia="MS Mincho"/>
          <w:lang w:val="en-AU"/>
        </w:rPr>
        <w:t>strain. The data contained within this report is sourced</w:t>
      </w:r>
      <w:r>
        <w:rPr>
          <w:rFonts w:eastAsia="MS Mincho"/>
          <w:lang w:val="en-AU"/>
        </w:rPr>
        <w:t xml:space="preserve"> </w:t>
      </w:r>
      <w:r w:rsidRPr="00651161">
        <w:rPr>
          <w:lang w:val="en-AU"/>
        </w:rPr>
        <w:t>from published data.</w:t>
      </w:r>
      <w:r w:rsidR="00143998">
        <w:rPr>
          <w:lang w:val="en-AU"/>
        </w:rPr>
        <w:t xml:space="preserve"> </w:t>
      </w:r>
      <w:r w:rsidR="004C6015">
        <w:rPr>
          <w:lang w:val="en-AU"/>
        </w:rPr>
        <w:t xml:space="preserve"> </w:t>
      </w:r>
      <w:r w:rsidR="00143998">
        <w:rPr>
          <w:lang w:val="en-AU"/>
        </w:rPr>
        <w:t>No new testing has been conducted.</w:t>
      </w:r>
    </w:p>
    <w:p w14:paraId="713BE3E4" w14:textId="6BABF4B2" w:rsidR="009327E8" w:rsidRDefault="00F56771" w:rsidP="009327E8">
      <w:pPr>
        <w:rPr>
          <w:lang w:val="en-AU"/>
        </w:rPr>
      </w:pPr>
      <w:r w:rsidRPr="001E29D9">
        <w:rPr>
          <w:lang w:val="en-AU"/>
        </w:rPr>
        <w:t xml:space="preserve">Subsidence contours due to aquifer </w:t>
      </w:r>
      <w:r>
        <w:rPr>
          <w:lang w:val="en-AU"/>
        </w:rPr>
        <w:t>depressurisation</w:t>
      </w:r>
      <w:r w:rsidRPr="001E29D9">
        <w:rPr>
          <w:lang w:val="en-AU"/>
        </w:rPr>
        <w:t xml:space="preserve"> indicate the </w:t>
      </w:r>
      <w:r>
        <w:rPr>
          <w:lang w:val="en-AU"/>
        </w:rPr>
        <w:t xml:space="preserve">current </w:t>
      </w:r>
      <w:r w:rsidRPr="001E29D9">
        <w:rPr>
          <w:lang w:val="en-AU"/>
        </w:rPr>
        <w:t xml:space="preserve">impact </w:t>
      </w:r>
      <w:r>
        <w:rPr>
          <w:lang w:val="en-AU"/>
        </w:rPr>
        <w:t>is</w:t>
      </w:r>
      <w:r w:rsidRPr="001E29D9">
        <w:rPr>
          <w:lang w:val="en-AU"/>
        </w:rPr>
        <w:t xml:space="preserve"> up to 15</w:t>
      </w:r>
      <w:r w:rsidR="00B12C26">
        <w:rPr>
          <w:lang w:val="en-AU"/>
        </w:rPr>
        <w:t xml:space="preserve"> </w:t>
      </w:r>
      <w:r w:rsidRPr="001E29D9">
        <w:rPr>
          <w:lang w:val="en-AU"/>
        </w:rPr>
        <w:t>km from the mine crests</w:t>
      </w:r>
      <w:r>
        <w:rPr>
          <w:lang w:val="en-AU"/>
        </w:rPr>
        <w:t xml:space="preserve">, which will gradually increase if </w:t>
      </w:r>
      <w:r w:rsidRPr="001E29D9">
        <w:rPr>
          <w:lang w:val="en-AU"/>
        </w:rPr>
        <w:t xml:space="preserve">aquifer </w:t>
      </w:r>
      <w:r>
        <w:rPr>
          <w:lang w:val="en-AU"/>
        </w:rPr>
        <w:t>depressurisation continues.</w:t>
      </w:r>
      <w:r w:rsidR="004C6015">
        <w:rPr>
          <w:lang w:val="en-AU"/>
        </w:rPr>
        <w:t xml:space="preserve"> </w:t>
      </w:r>
      <w:r>
        <w:rPr>
          <w:lang w:val="en-AU"/>
        </w:rPr>
        <w:t xml:space="preserve"> </w:t>
      </w:r>
      <w:r w:rsidR="009327E8">
        <w:rPr>
          <w:lang w:val="en-AU"/>
        </w:rPr>
        <w:t>It should be noted that not all mining and associated works results in subsidence nor does all subsidence (rebound) cause damage to structures.</w:t>
      </w:r>
    </w:p>
    <w:p w14:paraId="105E2A88" w14:textId="01FBE282" w:rsidR="0023226C" w:rsidRPr="00151C09" w:rsidRDefault="002122CE" w:rsidP="004E7761">
      <w:pPr>
        <w:spacing w:after="0"/>
        <w:rPr>
          <w:lang w:val="en-AU"/>
        </w:rPr>
      </w:pPr>
      <w:r>
        <w:rPr>
          <w:lang w:val="en-AU"/>
        </w:rPr>
        <w:t>S</w:t>
      </w:r>
      <w:r w:rsidR="0023226C" w:rsidRPr="001E29D9">
        <w:rPr>
          <w:lang w:val="en-AU"/>
        </w:rPr>
        <w:t xml:space="preserve">tress relief impacts </w:t>
      </w:r>
      <w:r>
        <w:rPr>
          <w:lang w:val="en-AU"/>
        </w:rPr>
        <w:t xml:space="preserve">material to regional receptors </w:t>
      </w:r>
      <w:r w:rsidR="0023226C" w:rsidRPr="001E29D9">
        <w:rPr>
          <w:lang w:val="en-AU"/>
        </w:rPr>
        <w:t>may extend 1</w:t>
      </w:r>
      <w:r w:rsidR="00B12C26">
        <w:rPr>
          <w:lang w:val="en-AU"/>
        </w:rPr>
        <w:t xml:space="preserve"> </w:t>
      </w:r>
      <w:r w:rsidR="0023226C" w:rsidRPr="001E29D9">
        <w:rPr>
          <w:lang w:val="en-AU"/>
        </w:rPr>
        <w:t xml:space="preserve">km from a </w:t>
      </w:r>
      <w:r>
        <w:rPr>
          <w:lang w:val="en-AU"/>
        </w:rPr>
        <w:t xml:space="preserve">Latrobe Valley coal </w:t>
      </w:r>
      <w:r w:rsidR="0023226C" w:rsidRPr="001E29D9">
        <w:rPr>
          <w:lang w:val="en-AU"/>
        </w:rPr>
        <w:t xml:space="preserve">mine crest as indicated </w:t>
      </w:r>
      <w:r w:rsidR="007E20F5">
        <w:rPr>
          <w:lang w:val="en-AU"/>
        </w:rPr>
        <w:t xml:space="preserve">by </w:t>
      </w:r>
      <w:r w:rsidR="0023226C" w:rsidRPr="001E29D9">
        <w:rPr>
          <w:lang w:val="en-AU"/>
        </w:rPr>
        <w:t xml:space="preserve">GHD (2016). </w:t>
      </w:r>
      <w:r w:rsidR="004C6015">
        <w:rPr>
          <w:lang w:val="en-AU"/>
        </w:rPr>
        <w:t xml:space="preserve"> </w:t>
      </w:r>
      <w:r w:rsidR="0023226C" w:rsidRPr="001E29D9">
        <w:rPr>
          <w:lang w:val="en-AU"/>
        </w:rPr>
        <w:t>The potential for block sliding is likely to extend hundreds of metres from the pit crest based on the Yallourn batter failure experience.</w:t>
      </w:r>
      <w:r w:rsidR="004C6015">
        <w:rPr>
          <w:lang w:val="en-AU"/>
        </w:rPr>
        <w:t xml:space="preserve"> </w:t>
      </w:r>
      <w:r w:rsidR="0023226C">
        <w:rPr>
          <w:lang w:val="en-AU"/>
        </w:rPr>
        <w:t xml:space="preserve"> The area in this study with potential for block sliding with respect to pit lake filling </w:t>
      </w:r>
      <w:r w:rsidR="0023390C">
        <w:rPr>
          <w:lang w:val="en-AU"/>
        </w:rPr>
        <w:t>is</w:t>
      </w:r>
      <w:r>
        <w:rPr>
          <w:lang w:val="en-AU"/>
        </w:rPr>
        <w:t xml:space="preserve"> an area extending several hundred metres </w:t>
      </w:r>
      <w:r w:rsidR="00455871">
        <w:rPr>
          <w:lang w:val="en-AU"/>
        </w:rPr>
        <w:t>from each mine crest</w:t>
      </w:r>
      <w:r w:rsidR="0023226C">
        <w:rPr>
          <w:lang w:val="en-AU"/>
        </w:rPr>
        <w:t>.</w:t>
      </w:r>
      <w:r w:rsidR="004C6015">
        <w:rPr>
          <w:lang w:val="en-AU"/>
        </w:rPr>
        <w:t xml:space="preserve"> </w:t>
      </w:r>
      <w:r w:rsidR="0023226C">
        <w:rPr>
          <w:lang w:val="en-AU"/>
        </w:rPr>
        <w:t xml:space="preserve"> The block sliding rate of movement will be governed by water conditions.</w:t>
      </w:r>
      <w:r w:rsidR="0023390C">
        <w:rPr>
          <w:lang w:val="en-AU"/>
        </w:rPr>
        <w:t xml:space="preserve"> </w:t>
      </w:r>
      <w:r w:rsidR="004C6015">
        <w:rPr>
          <w:lang w:val="en-AU"/>
        </w:rPr>
        <w:t xml:space="preserve"> </w:t>
      </w:r>
      <w:r w:rsidR="0023390C">
        <w:rPr>
          <w:lang w:val="en-AU"/>
        </w:rPr>
        <w:t xml:space="preserve">Other studies associated with the LVRRS will </w:t>
      </w:r>
      <w:r w:rsidR="00E400E1">
        <w:rPr>
          <w:lang w:val="en-AU"/>
        </w:rPr>
        <w:t xml:space="preserve">further </w:t>
      </w:r>
      <w:r w:rsidR="0023390C">
        <w:rPr>
          <w:lang w:val="en-AU"/>
        </w:rPr>
        <w:t>define this area, but for the purposes of the metrics and thresholds assessment it is relevant to recognise that these movements are likely to occur only over a limited area of the Latrobe Valley.</w:t>
      </w:r>
    </w:p>
    <w:p w14:paraId="3797E007" w14:textId="04F643FB" w:rsidR="0023226C" w:rsidRDefault="00FC0F49" w:rsidP="0023226C">
      <w:pPr>
        <w:pStyle w:val="Heading1"/>
        <w:rPr>
          <w:lang w:val="en-US"/>
        </w:rPr>
      </w:pPr>
      <w:bookmarkStart w:id="56" w:name="_Ref493482878"/>
      <w:bookmarkStart w:id="57" w:name="_Toc499275881"/>
      <w:bookmarkStart w:id="58" w:name="_Toc501356650"/>
      <w:bookmarkStart w:id="59" w:name="_Toc57907085"/>
      <w:bookmarkStart w:id="60" w:name="_Toc495504761"/>
      <w:bookmarkStart w:id="61" w:name="_Ref491429003"/>
      <w:bookmarkStart w:id="62" w:name="_Ref493821144"/>
      <w:bookmarkStart w:id="63" w:name="_Ref493821622"/>
      <w:bookmarkEnd w:id="41"/>
      <w:bookmarkEnd w:id="42"/>
      <w:bookmarkEnd w:id="43"/>
      <w:r>
        <w:rPr>
          <w:lang w:val="en-US"/>
        </w:rPr>
        <w:t>Introduction to recognised regional receptors</w:t>
      </w:r>
      <w:bookmarkEnd w:id="56"/>
      <w:bookmarkEnd w:id="57"/>
      <w:bookmarkEnd w:id="58"/>
      <w:bookmarkEnd w:id="59"/>
    </w:p>
    <w:p w14:paraId="587A41A9" w14:textId="2B91BA94" w:rsidR="0023226C" w:rsidRDefault="001949C2" w:rsidP="0023226C">
      <w:r>
        <w:t xml:space="preserve">As described in the introduction, the purpose of this report is to define the metrics and thresholds for ground movement that relate to the recognised regional receptors in the Latrobe Valley. </w:t>
      </w:r>
      <w:r w:rsidR="001964D7">
        <w:t xml:space="preserve"> </w:t>
      </w:r>
      <w:r w:rsidR="007C281E">
        <w:t xml:space="preserve">A separate study </w:t>
      </w:r>
      <w:r w:rsidR="00711B12">
        <w:t>was undertaken</w:t>
      </w:r>
      <w:r w:rsidR="00F1459F">
        <w:t>,</w:t>
      </w:r>
      <w:r w:rsidR="00711B12">
        <w:t xml:space="preserve"> and an associated r</w:t>
      </w:r>
      <w:r w:rsidR="007C281E">
        <w:t>eport prepared that describes the detail of the definition of recognised rec</w:t>
      </w:r>
      <w:r w:rsidR="005D5516">
        <w:t>e</w:t>
      </w:r>
      <w:r w:rsidR="007C281E">
        <w:t xml:space="preserve">ptors and what constitutes the </w:t>
      </w:r>
      <w:r w:rsidR="005D5516">
        <w:t xml:space="preserve">members of receptor </w:t>
      </w:r>
      <w:r w:rsidR="00092569">
        <w:t>categories</w:t>
      </w:r>
      <w:r w:rsidR="005D5516">
        <w:t>.</w:t>
      </w:r>
      <w:r w:rsidR="001964D7">
        <w:t xml:space="preserve"> </w:t>
      </w:r>
      <w:r w:rsidR="005D5516">
        <w:t xml:space="preserve"> Readers are referred to </w:t>
      </w:r>
      <w:r w:rsidR="00711B12">
        <w:t>the</w:t>
      </w:r>
      <w:r w:rsidR="005D5516">
        <w:t xml:space="preserve"> Jacobs</w:t>
      </w:r>
      <w:r w:rsidR="00711B12">
        <w:t xml:space="preserve"> (20</w:t>
      </w:r>
      <w:r w:rsidR="001964D7">
        <w:t>20a</w:t>
      </w:r>
      <w:r w:rsidR="00711B12">
        <w:t>)</w:t>
      </w:r>
      <w:r w:rsidR="005D5516">
        <w:t xml:space="preserve"> report for a full description of the </w:t>
      </w:r>
      <w:r w:rsidR="00711B12">
        <w:t>definition</w:t>
      </w:r>
      <w:r w:rsidR="00281A46">
        <w:t>s</w:t>
      </w:r>
      <w:r w:rsidR="00711B12">
        <w:t xml:space="preserve"> and lists of </w:t>
      </w:r>
      <w:r w:rsidR="005D5516">
        <w:t xml:space="preserve">the receptor </w:t>
      </w:r>
      <w:r w:rsidR="00092569">
        <w:t>categories</w:t>
      </w:r>
      <w:r w:rsidR="00711B12">
        <w:t>.</w:t>
      </w:r>
    </w:p>
    <w:p w14:paraId="59DEB732" w14:textId="71F51A6F" w:rsidR="00812BB5" w:rsidRDefault="00281A46" w:rsidP="00792F62">
      <w:pPr>
        <w:pStyle w:val="Para0bullet"/>
        <w:numPr>
          <w:ilvl w:val="0"/>
          <w:numId w:val="0"/>
        </w:numPr>
      </w:pPr>
      <w:r>
        <w:t>Jacobs (20</w:t>
      </w:r>
      <w:r w:rsidR="001964D7">
        <w:t>20a</w:t>
      </w:r>
      <w:r>
        <w:t xml:space="preserve">) </w:t>
      </w:r>
      <w:r w:rsidR="00992E98" w:rsidRPr="00792F62">
        <w:t xml:space="preserve">defines the following five </w:t>
      </w:r>
      <w:r w:rsidR="00812BB5" w:rsidRPr="00812BB5">
        <w:t>categori</w:t>
      </w:r>
      <w:r w:rsidR="00992E98" w:rsidRPr="00792F62">
        <w:t>es</w:t>
      </w:r>
      <w:r>
        <w:t xml:space="preserve"> of recognised regional receptor</w:t>
      </w:r>
      <w:r w:rsidR="00992E98">
        <w:t>:</w:t>
      </w:r>
    </w:p>
    <w:p w14:paraId="5D961AB5" w14:textId="25EF7CAB" w:rsidR="0023226C" w:rsidRDefault="00022E42" w:rsidP="00022E42">
      <w:pPr>
        <w:pStyle w:val="Para0bullet"/>
      </w:pPr>
      <w:r>
        <w:t xml:space="preserve">Aboriginal and </w:t>
      </w:r>
      <w:r w:rsidR="009E5E91">
        <w:t xml:space="preserve">non-aboriginal Cultural </w:t>
      </w:r>
      <w:r>
        <w:t>Heritage</w:t>
      </w:r>
    </w:p>
    <w:p w14:paraId="628B6EBD" w14:textId="77777777" w:rsidR="0023226C" w:rsidRDefault="0023226C" w:rsidP="00022E42">
      <w:pPr>
        <w:pStyle w:val="Para0bullet"/>
      </w:pPr>
      <w:r>
        <w:t>Environment</w:t>
      </w:r>
    </w:p>
    <w:p w14:paraId="1A243276" w14:textId="77777777" w:rsidR="0023226C" w:rsidRDefault="0023226C" w:rsidP="00022E42">
      <w:pPr>
        <w:pStyle w:val="Para0bullet"/>
      </w:pPr>
      <w:r>
        <w:t>Infrastructure</w:t>
      </w:r>
    </w:p>
    <w:p w14:paraId="79B09E9F" w14:textId="77777777" w:rsidR="0023226C" w:rsidRDefault="0023226C" w:rsidP="00022E42">
      <w:pPr>
        <w:pStyle w:val="Para0bullet"/>
      </w:pPr>
      <w:r>
        <w:t xml:space="preserve">Land </w:t>
      </w:r>
    </w:p>
    <w:p w14:paraId="07C23E17" w14:textId="272280A8" w:rsidR="0023226C" w:rsidRDefault="0023226C" w:rsidP="00022E42">
      <w:pPr>
        <w:pStyle w:val="Para0bullet"/>
      </w:pPr>
      <w:r>
        <w:t xml:space="preserve">Water </w:t>
      </w:r>
      <w:r w:rsidR="00360C77">
        <w:t>Resources related infrastructure</w:t>
      </w:r>
    </w:p>
    <w:p w14:paraId="0CCB9039" w14:textId="4476BD4C" w:rsidR="00812BB5" w:rsidRDefault="0023226C" w:rsidP="0023226C">
      <w:pPr>
        <w:rPr>
          <w:lang w:val="en-AU"/>
        </w:rPr>
      </w:pPr>
      <w:r>
        <w:rPr>
          <w:lang w:val="en-AU"/>
        </w:rPr>
        <w:t xml:space="preserve">Receptors </w:t>
      </w:r>
      <w:r w:rsidR="0099688C">
        <w:rPr>
          <w:lang w:val="en-AU"/>
        </w:rPr>
        <w:t>have been identified for</w:t>
      </w:r>
      <w:r>
        <w:rPr>
          <w:lang w:val="en-AU"/>
        </w:rPr>
        <w:t xml:space="preserve"> q</w:t>
      </w:r>
      <w:r w:rsidR="00BF6169">
        <w:rPr>
          <w:lang w:val="en-AU"/>
        </w:rPr>
        <w:t>uanti</w:t>
      </w:r>
      <w:r>
        <w:rPr>
          <w:lang w:val="en-AU"/>
        </w:rPr>
        <w:t>tative assess</w:t>
      </w:r>
      <w:r w:rsidR="0099688C">
        <w:rPr>
          <w:lang w:val="en-AU"/>
        </w:rPr>
        <w:t xml:space="preserve">ment </w:t>
      </w:r>
      <w:r w:rsidR="00F1459F">
        <w:rPr>
          <w:lang w:val="en-AU"/>
        </w:rPr>
        <w:t>based on</w:t>
      </w:r>
      <w:r w:rsidR="0099688C">
        <w:rPr>
          <w:lang w:val="en-AU"/>
        </w:rPr>
        <w:t xml:space="preserve"> </w:t>
      </w:r>
      <w:r w:rsidR="009D1E64">
        <w:rPr>
          <w:lang w:val="en-AU"/>
        </w:rPr>
        <w:t xml:space="preserve">a </w:t>
      </w:r>
      <w:r w:rsidR="00812BB5">
        <w:rPr>
          <w:lang w:val="en-AU"/>
        </w:rPr>
        <w:t>conceptual</w:t>
      </w:r>
      <w:r w:rsidR="009D1E64">
        <w:rPr>
          <w:lang w:val="en-AU"/>
        </w:rPr>
        <w:t>isation of casual</w:t>
      </w:r>
      <w:r w:rsidR="00812BB5">
        <w:rPr>
          <w:lang w:val="en-AU"/>
        </w:rPr>
        <w:t xml:space="preserve"> pathways leading to a potential </w:t>
      </w:r>
      <w:r>
        <w:rPr>
          <w:lang w:val="en-AU"/>
        </w:rPr>
        <w:t xml:space="preserve">material </w:t>
      </w:r>
      <w:r w:rsidR="00812BB5">
        <w:rPr>
          <w:lang w:val="en-AU"/>
        </w:rPr>
        <w:t xml:space="preserve">impact from mine rehabilitation. </w:t>
      </w:r>
      <w:r w:rsidR="001964D7">
        <w:rPr>
          <w:lang w:val="en-AU"/>
        </w:rPr>
        <w:t xml:space="preserve"> </w:t>
      </w:r>
      <w:r w:rsidR="00812BB5">
        <w:rPr>
          <w:lang w:val="en-AU"/>
        </w:rPr>
        <w:t xml:space="preserve">A precautionary principal has been applied </w:t>
      </w:r>
      <w:r w:rsidR="00AA4E62">
        <w:rPr>
          <w:lang w:val="en-AU"/>
        </w:rPr>
        <w:t xml:space="preserve">to this process, whereby if the potential for a material impact on a receptor based on conceptualisation is unclear, then the receptor is identified for quantitative assessment. </w:t>
      </w:r>
      <w:r w:rsidR="001964D7">
        <w:rPr>
          <w:lang w:val="en-AU"/>
        </w:rPr>
        <w:t xml:space="preserve"> </w:t>
      </w:r>
      <w:r w:rsidR="00082D57">
        <w:rPr>
          <w:lang w:val="en-AU"/>
        </w:rPr>
        <w:t xml:space="preserve">Quantified receptors require metrics and thresholds for assessment. </w:t>
      </w:r>
      <w:r w:rsidR="001964D7">
        <w:rPr>
          <w:lang w:val="en-AU"/>
        </w:rPr>
        <w:t xml:space="preserve"> </w:t>
      </w:r>
      <w:r w:rsidR="00082D57">
        <w:rPr>
          <w:lang w:val="en-AU"/>
        </w:rPr>
        <w:t>These, quantified receptors, are the focus of this study.</w:t>
      </w:r>
    </w:p>
    <w:p w14:paraId="4C3EB71B" w14:textId="3FBA360C" w:rsidR="0023226C" w:rsidRPr="00E7299A" w:rsidRDefault="00C760AD" w:rsidP="001964D7">
      <w:pPr>
        <w:spacing w:after="0" w:line="240" w:lineRule="auto"/>
        <w:rPr>
          <w:lang w:val="en-AU"/>
        </w:rPr>
      </w:pPr>
      <w:r>
        <w:rPr>
          <w:lang w:val="en-AU"/>
        </w:rPr>
        <w:t>The followi</w:t>
      </w:r>
      <w:r w:rsidR="00DA2EEA">
        <w:rPr>
          <w:lang w:val="en-AU"/>
        </w:rPr>
        <w:t>n</w:t>
      </w:r>
      <w:r>
        <w:rPr>
          <w:lang w:val="en-AU"/>
        </w:rPr>
        <w:t xml:space="preserve">g chapter </w:t>
      </w:r>
      <w:r w:rsidR="00DA2EEA">
        <w:rPr>
          <w:lang w:val="en-AU"/>
        </w:rPr>
        <w:t>describe</w:t>
      </w:r>
      <w:r w:rsidR="00F92303">
        <w:rPr>
          <w:lang w:val="en-AU"/>
        </w:rPr>
        <w:t>s</w:t>
      </w:r>
      <w:r w:rsidR="00DA2EEA">
        <w:rPr>
          <w:lang w:val="en-AU"/>
        </w:rPr>
        <w:t xml:space="preserve"> the recommended metrics and thresholds for the different recep</w:t>
      </w:r>
      <w:r w:rsidR="00972BF5">
        <w:rPr>
          <w:lang w:val="en-AU"/>
        </w:rPr>
        <w:t>tor</w:t>
      </w:r>
      <w:r w:rsidR="00DA2EEA">
        <w:rPr>
          <w:lang w:val="en-AU"/>
        </w:rPr>
        <w:t xml:space="preserve"> categories.</w:t>
      </w:r>
    </w:p>
    <w:p w14:paraId="1AD8FCE6" w14:textId="75C30A32" w:rsidR="00E61498" w:rsidRDefault="00BF6169" w:rsidP="00BD37EA">
      <w:pPr>
        <w:pStyle w:val="Heading1"/>
        <w:rPr>
          <w:lang w:val="en-AU"/>
        </w:rPr>
      </w:pPr>
      <w:bookmarkStart w:id="64" w:name="_Toc499275893"/>
      <w:bookmarkStart w:id="65" w:name="_Toc501356661"/>
      <w:bookmarkStart w:id="66" w:name="_Toc57907086"/>
      <w:r w:rsidRPr="00E61498">
        <w:rPr>
          <w:lang w:val="en-AU"/>
        </w:rPr>
        <w:t xml:space="preserve">Quantitative </w:t>
      </w:r>
      <w:r w:rsidR="00022E42" w:rsidRPr="00E61498">
        <w:rPr>
          <w:lang w:val="en-AU"/>
        </w:rPr>
        <w:t>Metrics and Thresholds</w:t>
      </w:r>
      <w:bookmarkEnd w:id="64"/>
      <w:bookmarkEnd w:id="65"/>
      <w:bookmarkEnd w:id="66"/>
    </w:p>
    <w:p w14:paraId="79206E03" w14:textId="232B9DB5" w:rsidR="0023226C" w:rsidRDefault="0023226C" w:rsidP="0023226C">
      <w:pPr>
        <w:pStyle w:val="Heading2"/>
        <w:rPr>
          <w:lang w:val="en-AU"/>
        </w:rPr>
      </w:pPr>
      <w:bookmarkStart w:id="67" w:name="_Toc499275894"/>
      <w:bookmarkStart w:id="68" w:name="_Toc501356662"/>
      <w:bookmarkStart w:id="69" w:name="_Toc57907087"/>
      <w:bookmarkStart w:id="70" w:name="OLE_LINK1"/>
      <w:r w:rsidRPr="0023226C">
        <w:t>Aboriginal</w:t>
      </w:r>
      <w:r>
        <w:rPr>
          <w:lang w:val="en-AU"/>
        </w:rPr>
        <w:t xml:space="preserve"> </w:t>
      </w:r>
      <w:r w:rsidR="0059031A">
        <w:rPr>
          <w:lang w:val="en-AU"/>
        </w:rPr>
        <w:t xml:space="preserve">and </w:t>
      </w:r>
      <w:r w:rsidR="00E83654">
        <w:rPr>
          <w:lang w:val="en-AU"/>
        </w:rPr>
        <w:t>Non-aboriginal</w:t>
      </w:r>
      <w:r w:rsidR="0059031A">
        <w:rPr>
          <w:lang w:val="en-AU"/>
        </w:rPr>
        <w:t xml:space="preserve"> </w:t>
      </w:r>
      <w:r>
        <w:rPr>
          <w:lang w:val="en-AU"/>
        </w:rPr>
        <w:t>cultural heritage</w:t>
      </w:r>
      <w:bookmarkEnd w:id="67"/>
      <w:bookmarkEnd w:id="68"/>
      <w:bookmarkEnd w:id="69"/>
    </w:p>
    <w:bookmarkEnd w:id="70"/>
    <w:p w14:paraId="1A2A85F5" w14:textId="5990DAC4" w:rsidR="0059031A" w:rsidRDefault="0059031A" w:rsidP="00EF77CC">
      <w:pPr>
        <w:pStyle w:val="Heading3"/>
        <w:rPr>
          <w:lang w:val="en-AU"/>
        </w:rPr>
      </w:pPr>
      <w:r>
        <w:rPr>
          <w:lang w:val="en-AU"/>
        </w:rPr>
        <w:t>Aboriginal cultural heritage</w:t>
      </w:r>
    </w:p>
    <w:p w14:paraId="0CB2077A" w14:textId="3E63EA91" w:rsidR="0023226C" w:rsidRDefault="0023226C" w:rsidP="0023226C">
      <w:pPr>
        <w:rPr>
          <w:lang w:val="en-AU"/>
        </w:rPr>
      </w:pPr>
      <w:r>
        <w:rPr>
          <w:lang w:val="en-AU"/>
        </w:rPr>
        <w:t xml:space="preserve">Tangible Aboriginal cultural values may be materially linked </w:t>
      </w:r>
      <w:r w:rsidR="00444031">
        <w:rPr>
          <w:lang w:val="en-AU"/>
        </w:rPr>
        <w:t xml:space="preserve">to ground movement associated with rehabilitation </w:t>
      </w:r>
      <w:r>
        <w:rPr>
          <w:lang w:val="en-AU"/>
        </w:rPr>
        <w:t>due to:</w:t>
      </w:r>
    </w:p>
    <w:p w14:paraId="24D59333" w14:textId="77777777" w:rsidR="0023226C" w:rsidRPr="00066218" w:rsidRDefault="0023226C" w:rsidP="00037C14">
      <w:pPr>
        <w:pStyle w:val="Para1narrowarrow"/>
        <w:numPr>
          <w:ilvl w:val="1"/>
          <w:numId w:val="34"/>
        </w:numPr>
        <w:rPr>
          <w:lang w:val="en-AU"/>
        </w:rPr>
      </w:pPr>
      <w:r w:rsidRPr="00066218">
        <w:rPr>
          <w:lang w:val="en-AU"/>
        </w:rPr>
        <w:t>Close proximity – Aboriginal Places are often recorded near water sources, such as rivers, waterways and lakes</w:t>
      </w:r>
    </w:p>
    <w:p w14:paraId="307CCC61" w14:textId="77777777" w:rsidR="0023226C" w:rsidRPr="00066218" w:rsidRDefault="0023226C" w:rsidP="00037C14">
      <w:pPr>
        <w:pStyle w:val="Para1narrowarrow"/>
        <w:numPr>
          <w:ilvl w:val="1"/>
          <w:numId w:val="34"/>
        </w:numPr>
        <w:rPr>
          <w:lang w:val="en-AU"/>
        </w:rPr>
      </w:pPr>
      <w:r w:rsidRPr="00066218">
        <w:rPr>
          <w:lang w:val="en-AU"/>
        </w:rPr>
        <w:t xml:space="preserve">Groundwater and surface water interactions which may impact on the health of scarred trees </w:t>
      </w:r>
    </w:p>
    <w:p w14:paraId="3EB973F3" w14:textId="77777777" w:rsidR="0023226C" w:rsidRPr="00066218" w:rsidRDefault="0023226C" w:rsidP="00037C14">
      <w:pPr>
        <w:pStyle w:val="Para1narrowarrow"/>
        <w:numPr>
          <w:ilvl w:val="1"/>
          <w:numId w:val="34"/>
        </w:numPr>
        <w:rPr>
          <w:lang w:val="en-AU"/>
        </w:rPr>
      </w:pPr>
      <w:r w:rsidRPr="00066218">
        <w:rPr>
          <w:lang w:val="en-AU"/>
        </w:rPr>
        <w:t>Erosional impacts resulting from the change in flow and runoff volumes</w:t>
      </w:r>
    </w:p>
    <w:p w14:paraId="6BA21724" w14:textId="7BE682F4" w:rsidR="0023226C" w:rsidRDefault="0023226C" w:rsidP="0023226C">
      <w:pPr>
        <w:rPr>
          <w:lang w:val="en-AU"/>
        </w:rPr>
      </w:pPr>
      <w:r>
        <w:rPr>
          <w:lang w:val="en-AU"/>
        </w:rPr>
        <w:t xml:space="preserve">Receptors are most likely to be materially impacted by </w:t>
      </w:r>
      <w:r w:rsidR="00444031">
        <w:rPr>
          <w:lang w:val="en-AU"/>
        </w:rPr>
        <w:t xml:space="preserve">ground movement </w:t>
      </w:r>
      <w:r>
        <w:rPr>
          <w:lang w:val="en-AU"/>
        </w:rPr>
        <w:t>process of erosion through:</w:t>
      </w:r>
    </w:p>
    <w:p w14:paraId="445EAAC7" w14:textId="77777777" w:rsidR="0023226C" w:rsidRPr="00066218" w:rsidRDefault="0023226C" w:rsidP="00037C14">
      <w:pPr>
        <w:pStyle w:val="Para1narrowarrow"/>
        <w:numPr>
          <w:ilvl w:val="1"/>
          <w:numId w:val="35"/>
        </w:numPr>
        <w:rPr>
          <w:lang w:val="en-AU"/>
        </w:rPr>
      </w:pPr>
      <w:r>
        <w:rPr>
          <w:lang w:val="en-AU"/>
        </w:rPr>
        <w:t>A</w:t>
      </w:r>
      <w:r w:rsidRPr="00066218">
        <w:rPr>
          <w:lang w:val="en-AU"/>
        </w:rPr>
        <w:t>ltered flow rates and runoff volumes</w:t>
      </w:r>
    </w:p>
    <w:p w14:paraId="7ECA60F1" w14:textId="77777777" w:rsidR="0023226C" w:rsidRPr="00066218" w:rsidRDefault="0023226C" w:rsidP="00037C14">
      <w:pPr>
        <w:pStyle w:val="Para1narrowarrow"/>
        <w:numPr>
          <w:ilvl w:val="1"/>
          <w:numId w:val="35"/>
        </w:numPr>
        <w:rPr>
          <w:lang w:val="en-AU"/>
        </w:rPr>
      </w:pPr>
      <w:r w:rsidRPr="00066218">
        <w:rPr>
          <w:lang w:val="en-AU"/>
        </w:rPr>
        <w:t>Flooding events</w:t>
      </w:r>
    </w:p>
    <w:p w14:paraId="34F5F6C9" w14:textId="2CB7E55D" w:rsidR="0023226C" w:rsidRPr="00D44142" w:rsidRDefault="0023226C" w:rsidP="0023226C">
      <w:pPr>
        <w:rPr>
          <w:lang w:val="en-AU"/>
        </w:rPr>
      </w:pPr>
      <w:r w:rsidRPr="00D44142">
        <w:rPr>
          <w:lang w:val="en-AU"/>
        </w:rPr>
        <w:t>The following provides a brief description of</w:t>
      </w:r>
      <w:r>
        <w:rPr>
          <w:lang w:val="en-AU"/>
        </w:rPr>
        <w:t xml:space="preserve"> </w:t>
      </w:r>
      <w:r w:rsidR="00B250B9">
        <w:rPr>
          <w:lang w:val="en-AU"/>
        </w:rPr>
        <w:t>c</w:t>
      </w:r>
      <w:r w:rsidR="00937DEE">
        <w:rPr>
          <w:lang w:val="en-AU"/>
        </w:rPr>
        <w:t xml:space="preserve">ommon </w:t>
      </w:r>
      <w:r w:rsidR="00603D02">
        <w:rPr>
          <w:lang w:val="en-AU"/>
        </w:rPr>
        <w:t>A</w:t>
      </w:r>
      <w:r w:rsidR="00274478">
        <w:rPr>
          <w:lang w:val="en-AU"/>
        </w:rPr>
        <w:t xml:space="preserve">boriginal </w:t>
      </w:r>
      <w:r w:rsidR="00937DEE">
        <w:rPr>
          <w:lang w:val="en-AU"/>
        </w:rPr>
        <w:t>heritage features</w:t>
      </w:r>
      <w:r w:rsidR="00B250B9">
        <w:rPr>
          <w:lang w:val="en-AU"/>
        </w:rPr>
        <w:t xml:space="preserve"> that would most likely be potential</w:t>
      </w:r>
      <w:r w:rsidR="00706ED5">
        <w:rPr>
          <w:lang w:val="en-AU"/>
        </w:rPr>
        <w:t>ly</w:t>
      </w:r>
      <w:r w:rsidR="00B250B9">
        <w:rPr>
          <w:lang w:val="en-AU"/>
        </w:rPr>
        <w:t xml:space="preserve"> affected </w:t>
      </w:r>
      <w:r w:rsidR="00C80683">
        <w:rPr>
          <w:lang w:val="en-AU"/>
        </w:rPr>
        <w:t>by m</w:t>
      </w:r>
      <w:r w:rsidR="00860B4F">
        <w:rPr>
          <w:lang w:val="en-AU"/>
        </w:rPr>
        <w:t>ine rehabilitation ground movement</w:t>
      </w:r>
      <w:r w:rsidR="004A3D2D">
        <w:rPr>
          <w:lang w:val="en-AU"/>
        </w:rPr>
        <w:t xml:space="preserve"> processes</w:t>
      </w:r>
      <w:r w:rsidRPr="00D44142">
        <w:rPr>
          <w:lang w:val="en-AU"/>
        </w:rPr>
        <w:t>:</w:t>
      </w:r>
    </w:p>
    <w:p w14:paraId="5B0952F6" w14:textId="1BB729A9" w:rsidR="0023226C" w:rsidRPr="00D44142" w:rsidRDefault="0023226C" w:rsidP="00037C14">
      <w:pPr>
        <w:pStyle w:val="Para1narrowarrow"/>
        <w:numPr>
          <w:ilvl w:val="1"/>
          <w:numId w:val="36"/>
        </w:numPr>
      </w:pPr>
      <w:r w:rsidRPr="00066218">
        <w:rPr>
          <w:b/>
        </w:rPr>
        <w:t>Artefact scatters</w:t>
      </w:r>
      <w:r w:rsidRPr="00D44142">
        <w:t xml:space="preserve"> generally consist of a small number of artefacts on the surface (or sub-surface) within the vicinity of a watercourse. </w:t>
      </w:r>
      <w:r w:rsidR="00D84194">
        <w:t xml:space="preserve"> </w:t>
      </w:r>
      <w:r w:rsidRPr="00D44142">
        <w:t>Depending upon location in the landscape, artefact scatters can have varying degrees of integrity.</w:t>
      </w:r>
      <w:r w:rsidR="00D84194">
        <w:t xml:space="preserve"> </w:t>
      </w:r>
      <w:r w:rsidRPr="00D44142">
        <w:t xml:space="preserve"> In areas subject to repeated inundation, artefacts can be dispersed across a large area.</w:t>
      </w:r>
      <w:r w:rsidR="00D84194">
        <w:t xml:space="preserve"> </w:t>
      </w:r>
      <w:r w:rsidRPr="00D44142">
        <w:t xml:space="preserve"> Artefact scatters which are found in more intact deposits are likely to have a fair degree of integrity.</w:t>
      </w:r>
    </w:p>
    <w:p w14:paraId="0FC08E52" w14:textId="106A5030" w:rsidR="0023226C" w:rsidRPr="00D44142" w:rsidRDefault="0023226C" w:rsidP="00037C14">
      <w:pPr>
        <w:pStyle w:val="Para1narrowarrow"/>
        <w:numPr>
          <w:ilvl w:val="1"/>
          <w:numId w:val="36"/>
        </w:numPr>
      </w:pPr>
      <w:r w:rsidRPr="00066218">
        <w:rPr>
          <w:b/>
        </w:rPr>
        <w:t xml:space="preserve">Earth features </w:t>
      </w:r>
      <w:r w:rsidRPr="00D44142">
        <w:t>can comprise a number of site types, how</w:t>
      </w:r>
      <w:r>
        <w:t>ever, within the Latrobe Valley</w:t>
      </w:r>
      <w:r w:rsidRPr="00D44142">
        <w:t xml:space="preserve"> they are recorded as ‘soil deposits’.</w:t>
      </w:r>
      <w:r w:rsidR="00D84194">
        <w:t xml:space="preserve"> </w:t>
      </w:r>
      <w:r w:rsidRPr="00D44142">
        <w:t xml:space="preserve"> Generally, these indicate that there are sub-surface artefact scatters suspected within an area which has not been subject to test-excavation.</w:t>
      </w:r>
    </w:p>
    <w:p w14:paraId="6920A94B" w14:textId="77777777" w:rsidR="0023226C" w:rsidRPr="00D44142" w:rsidRDefault="0023226C" w:rsidP="00037C14">
      <w:pPr>
        <w:pStyle w:val="Para1narrowarrow"/>
        <w:numPr>
          <w:ilvl w:val="1"/>
          <w:numId w:val="36"/>
        </w:numPr>
      </w:pPr>
      <w:r w:rsidRPr="00066218">
        <w:rPr>
          <w:b/>
        </w:rPr>
        <w:t xml:space="preserve">Object collections </w:t>
      </w:r>
      <w:r w:rsidRPr="00D44142">
        <w:t xml:space="preserve">comprise a collection of artefacts that are reburied or stored at a location. </w:t>
      </w:r>
    </w:p>
    <w:p w14:paraId="250B835B" w14:textId="63232DFF" w:rsidR="0023226C" w:rsidRPr="00066218" w:rsidRDefault="0023226C" w:rsidP="00037C14">
      <w:pPr>
        <w:pStyle w:val="Para1narrowarrow"/>
        <w:numPr>
          <w:ilvl w:val="1"/>
          <w:numId w:val="36"/>
        </w:numPr>
        <w:rPr>
          <w:lang w:val="en-AU"/>
        </w:rPr>
      </w:pPr>
      <w:r w:rsidRPr="00066218">
        <w:rPr>
          <w:b/>
        </w:rPr>
        <w:t>Scarred trees</w:t>
      </w:r>
      <w:r w:rsidRPr="00D44142">
        <w:t xml:space="preserve"> are the result of Aboriginal people harvesting bark for various uses such as canoes, shields, shelters and containers. </w:t>
      </w:r>
      <w:r w:rsidR="00D84194">
        <w:t xml:space="preserve"> </w:t>
      </w:r>
      <w:r w:rsidRPr="00D44142">
        <w:t xml:space="preserve">Aboriginal people also cut toe holds into trees when hunting possums or for access to other resources, such as honey. </w:t>
      </w:r>
      <w:r w:rsidR="00D84194">
        <w:t xml:space="preserve"> </w:t>
      </w:r>
      <w:r w:rsidRPr="00D44142">
        <w:t>Within the region, scars will generally be found on gums species such as Red Gum (</w:t>
      </w:r>
      <w:r w:rsidRPr="00066218">
        <w:rPr>
          <w:i/>
        </w:rPr>
        <w:t>E</w:t>
      </w:r>
      <w:r>
        <w:rPr>
          <w:i/>
        </w:rPr>
        <w:t>ucalyptus</w:t>
      </w:r>
      <w:r w:rsidRPr="00066218">
        <w:rPr>
          <w:i/>
        </w:rPr>
        <w:t xml:space="preserve"> camaldulensis</w:t>
      </w:r>
      <w:r w:rsidRPr="00D44142">
        <w:t>) and Stringybark (</w:t>
      </w:r>
      <w:r w:rsidRPr="00066218">
        <w:rPr>
          <w:i/>
        </w:rPr>
        <w:t>E</w:t>
      </w:r>
      <w:r>
        <w:rPr>
          <w:i/>
        </w:rPr>
        <w:t>.</w:t>
      </w:r>
      <w:r w:rsidRPr="00066218">
        <w:rPr>
          <w:i/>
        </w:rPr>
        <w:t xml:space="preserve"> obliqua</w:t>
      </w:r>
      <w:r w:rsidRPr="00D44142">
        <w:t xml:space="preserve">), although a number of trees were on unidentified eucalypt species. </w:t>
      </w:r>
    </w:p>
    <w:p w14:paraId="45BAFD1F" w14:textId="69DBC421" w:rsidR="0023226C" w:rsidRPr="00066218" w:rsidRDefault="0023226C" w:rsidP="00037C14">
      <w:pPr>
        <w:pStyle w:val="Para1narrowarrow"/>
        <w:numPr>
          <w:ilvl w:val="1"/>
          <w:numId w:val="36"/>
        </w:numPr>
        <w:rPr>
          <w:lang w:val="en-AU"/>
        </w:rPr>
      </w:pPr>
      <w:r w:rsidRPr="00066218">
        <w:rPr>
          <w:b/>
          <w:lang w:val="en-AU"/>
        </w:rPr>
        <w:t>Quarries</w:t>
      </w:r>
      <w:r w:rsidRPr="00066218">
        <w:rPr>
          <w:lang w:val="en-AU"/>
        </w:rPr>
        <w:t xml:space="preserve"> comprise </w:t>
      </w:r>
      <w:r w:rsidR="005E3B9B">
        <w:rPr>
          <w:lang w:eastAsia="en-AU"/>
        </w:rPr>
        <w:t>of</w:t>
      </w:r>
      <w:r w:rsidRPr="00D44142">
        <w:rPr>
          <w:lang w:eastAsia="en-AU"/>
        </w:rPr>
        <w:t xml:space="preserve"> native sources of stone that were mined by Aboriginal people in the past. Rock from these sites could be used to make artefacts.</w:t>
      </w:r>
    </w:p>
    <w:p w14:paraId="1E531174" w14:textId="77777777" w:rsidR="0023226C" w:rsidRDefault="0023226C" w:rsidP="0023226C">
      <w:pPr>
        <w:rPr>
          <w:lang w:val="en-AU"/>
        </w:rPr>
      </w:pPr>
      <w:r>
        <w:rPr>
          <w:lang w:val="en-AU"/>
        </w:rPr>
        <w:t>Intangible Aboriginal cultural values may be materially linked due to:</w:t>
      </w:r>
    </w:p>
    <w:p w14:paraId="73D1574B" w14:textId="77777777" w:rsidR="0023226C" w:rsidRPr="006B5A2B" w:rsidRDefault="0023226C" w:rsidP="00037C14">
      <w:pPr>
        <w:pStyle w:val="Para1narrowarrow"/>
        <w:numPr>
          <w:ilvl w:val="1"/>
          <w:numId w:val="37"/>
        </w:numPr>
        <w:rPr>
          <w:lang w:val="en-AU"/>
        </w:rPr>
      </w:pPr>
      <w:r w:rsidRPr="006B5A2B">
        <w:rPr>
          <w:lang w:val="en-AU"/>
        </w:rPr>
        <w:t>Water dependence (in the form of habitat or environment)</w:t>
      </w:r>
    </w:p>
    <w:p w14:paraId="410ED560" w14:textId="77777777" w:rsidR="0023226C" w:rsidRPr="006B5A2B" w:rsidRDefault="0023226C" w:rsidP="00037C14">
      <w:pPr>
        <w:pStyle w:val="Para1narrowarrow"/>
        <w:numPr>
          <w:ilvl w:val="1"/>
          <w:numId w:val="37"/>
        </w:numPr>
        <w:rPr>
          <w:lang w:val="en-AU"/>
        </w:rPr>
      </w:pPr>
      <w:r w:rsidRPr="006B5A2B">
        <w:rPr>
          <w:lang w:val="en-AU"/>
        </w:rPr>
        <w:t>Alteration of landscape</w:t>
      </w:r>
    </w:p>
    <w:p w14:paraId="711CAAE6" w14:textId="2C0F1D7E" w:rsidR="0023226C" w:rsidRDefault="0023226C" w:rsidP="0023226C">
      <w:pPr>
        <w:rPr>
          <w:lang w:val="en-AU"/>
        </w:rPr>
      </w:pPr>
      <w:r>
        <w:rPr>
          <w:lang w:val="en-AU"/>
        </w:rPr>
        <w:t xml:space="preserve">The intangible Aboriginal cultural values of the Latrobe Valley have yet to be defined. It is also possible that </w:t>
      </w:r>
      <w:r w:rsidR="00BB14BF">
        <w:rPr>
          <w:lang w:val="en-AU"/>
        </w:rPr>
        <w:t>species</w:t>
      </w:r>
      <w:r>
        <w:rPr>
          <w:lang w:val="en-AU"/>
        </w:rPr>
        <w:t xml:space="preserve"> of non-threatened flora or fauna may be of cultural significance to </w:t>
      </w:r>
      <w:r w:rsidR="005F01A5" w:rsidRPr="005F01A5">
        <w:rPr>
          <w:lang w:val="en-AU"/>
        </w:rPr>
        <w:t>Gunaikurnai Land and Waters Aboriginal Corporation</w:t>
      </w:r>
      <w:r w:rsidR="005F01A5">
        <w:rPr>
          <w:lang w:val="en-AU"/>
        </w:rPr>
        <w:t xml:space="preserve"> (</w:t>
      </w:r>
      <w:r w:rsidRPr="002F7FF2">
        <w:rPr>
          <w:lang w:val="en-AU"/>
        </w:rPr>
        <w:t>GLaWAC</w:t>
      </w:r>
      <w:r w:rsidR="005F01A5">
        <w:rPr>
          <w:lang w:val="en-AU"/>
        </w:rPr>
        <w:t>)</w:t>
      </w:r>
      <w:r>
        <w:rPr>
          <w:lang w:val="en-AU"/>
        </w:rPr>
        <w:t xml:space="preserve">. </w:t>
      </w:r>
      <w:r w:rsidR="00D84194">
        <w:rPr>
          <w:lang w:val="en-AU"/>
        </w:rPr>
        <w:t xml:space="preserve"> </w:t>
      </w:r>
      <w:r>
        <w:rPr>
          <w:lang w:val="en-AU"/>
        </w:rPr>
        <w:t xml:space="preserve">Further assessment will provide more clarity on the potential impact pathways associated with these </w:t>
      </w:r>
      <w:r w:rsidRPr="00037C14">
        <w:rPr>
          <w:lang w:val="en-AU"/>
        </w:rPr>
        <w:t>water-dependent</w:t>
      </w:r>
      <w:r>
        <w:rPr>
          <w:lang w:val="en-AU"/>
        </w:rPr>
        <w:t xml:space="preserve"> cultural values.</w:t>
      </w:r>
    </w:p>
    <w:p w14:paraId="031925F0" w14:textId="71A169F9" w:rsidR="00C07C77" w:rsidRDefault="0023226C" w:rsidP="0023226C">
      <w:r>
        <w:t>Based on the legislative review, the key metric</w:t>
      </w:r>
      <w:r w:rsidR="00001184">
        <w:t xml:space="preserve"> and threshold</w:t>
      </w:r>
      <w:r>
        <w:t xml:space="preserve"> for all Aboriginal cultural heritage is avoidance of harm and protection of cultural values.</w:t>
      </w:r>
      <w:r w:rsidR="00D84194">
        <w:t xml:space="preserve"> </w:t>
      </w:r>
      <w:r>
        <w:t xml:space="preserve"> Therefore, the intangible and tangible Aboriginal cultural values within the Latrobe Valley </w:t>
      </w:r>
      <w:r w:rsidR="00615188">
        <w:t xml:space="preserve">requires that heritage values </w:t>
      </w:r>
      <w:r>
        <w:t xml:space="preserve">remain in their current condition </w:t>
      </w:r>
      <w:r w:rsidR="00615188">
        <w:t>into the future and so should not be affected by ground movement related to mine rehabilitation</w:t>
      </w:r>
      <w:r>
        <w:t>.</w:t>
      </w:r>
    </w:p>
    <w:p w14:paraId="48D43861" w14:textId="3E88F991" w:rsidR="00480E35" w:rsidRDefault="00C07C77" w:rsidP="0023226C">
      <w:r>
        <w:t xml:space="preserve">The impacts on cultural heritage receptors are likely to be in response to </w:t>
      </w:r>
      <w:r w:rsidR="00E87437">
        <w:t xml:space="preserve">a </w:t>
      </w:r>
      <w:r>
        <w:t xml:space="preserve">change in the flow-rate and volume of surface water systems. </w:t>
      </w:r>
      <w:r w:rsidR="00D84194">
        <w:t xml:space="preserve"> </w:t>
      </w:r>
      <w:r>
        <w:t xml:space="preserve">Therefore, quantitative impact assessment of cultural heritage should be considered during the quantitative assessment of Environment receptors i.e. Rivers and Waterways. The metrics and thresholds for these water-related impacts are defined in the LVRRS </w:t>
      </w:r>
      <w:r w:rsidRPr="00C07C77">
        <w:t xml:space="preserve">Water-Related Metrics </w:t>
      </w:r>
      <w:r w:rsidR="006F2E9E">
        <w:t xml:space="preserve">(2020c) </w:t>
      </w:r>
      <w:r w:rsidRPr="00C07C77">
        <w:t>and Thresholds for Impact Assessment on Recognised Regional Receptors</w:t>
      </w:r>
      <w:r w:rsidR="00924D54">
        <w:t xml:space="preserve"> report (Jacobs, 20</w:t>
      </w:r>
      <w:r w:rsidR="004D1445">
        <w:t>20</w:t>
      </w:r>
      <w:r w:rsidR="006F2E9E">
        <w:t>a</w:t>
      </w:r>
      <w:r w:rsidR="00924D54">
        <w:t>).</w:t>
      </w:r>
    </w:p>
    <w:p w14:paraId="1BE4247B" w14:textId="71EE069F" w:rsidR="00480E35" w:rsidRDefault="00E83654" w:rsidP="00EF77CC">
      <w:pPr>
        <w:pStyle w:val="Heading3"/>
      </w:pPr>
      <w:r>
        <w:t>Non-aboriginal</w:t>
      </w:r>
      <w:r w:rsidR="00EF77CC">
        <w:t xml:space="preserve"> cultural heritage</w:t>
      </w:r>
    </w:p>
    <w:p w14:paraId="0578CFB8" w14:textId="3B42DBF0" w:rsidR="00167967" w:rsidRDefault="00E83654" w:rsidP="0023226C">
      <w:r>
        <w:t>Non-aboriginal</w:t>
      </w:r>
      <w:r w:rsidR="00010BA2">
        <w:t xml:space="preserve"> cultural heritage </w:t>
      </w:r>
      <w:r w:rsidR="00275502">
        <w:t>involves buildings and structures that are</w:t>
      </w:r>
      <w:r w:rsidR="002B67F4">
        <w:t xml:space="preserve"> similar to buildings and structures that are found more widely in the area. </w:t>
      </w:r>
      <w:r w:rsidR="005F7C24">
        <w:t xml:space="preserve"> </w:t>
      </w:r>
      <w:r w:rsidR="002B67F4">
        <w:t xml:space="preserve">No </w:t>
      </w:r>
      <w:r w:rsidR="004E152C">
        <w:t>specific metrics or thresholds that are different to those for general buildings and structures have been defined in this study.</w:t>
      </w:r>
      <w:r w:rsidR="005F7C24">
        <w:t xml:space="preserve"> </w:t>
      </w:r>
      <w:r w:rsidR="004E152C">
        <w:t xml:space="preserve"> Should specific buildings be identified by later studies to be </w:t>
      </w:r>
      <w:r w:rsidR="00135948">
        <w:t xml:space="preserve">at risk it is likely that structure specific </w:t>
      </w:r>
      <w:r w:rsidR="00167967">
        <w:t>guidance</w:t>
      </w:r>
      <w:r w:rsidR="00135948">
        <w:t xml:space="preserve"> will be needed. </w:t>
      </w:r>
      <w:r w:rsidR="005F7C24">
        <w:t xml:space="preserve"> </w:t>
      </w:r>
      <w:r w:rsidR="00135948">
        <w:t>Such detailed assessment is beyond the scope of this study</w:t>
      </w:r>
      <w:r w:rsidR="00167967">
        <w:t>.</w:t>
      </w:r>
    </w:p>
    <w:p w14:paraId="563A58C6" w14:textId="2B056985" w:rsidR="00EF77CC" w:rsidRDefault="00167967" w:rsidP="0023226C">
      <w:r>
        <w:t>For metrics and thresholds for heritage areas, please see the relevant infrastructure sections below</w:t>
      </w:r>
      <w:r w:rsidR="00EE2713">
        <w:t>.</w:t>
      </w:r>
      <w:r w:rsidR="00275502">
        <w:t xml:space="preserve"> </w:t>
      </w:r>
    </w:p>
    <w:p w14:paraId="7A3EC085" w14:textId="077FF84F" w:rsidR="002B688A" w:rsidRDefault="00480E35" w:rsidP="00AF24B3">
      <w:pPr>
        <w:pStyle w:val="Heading2"/>
      </w:pPr>
      <w:bookmarkStart w:id="71" w:name="_Toc57907088"/>
      <w:r>
        <w:t>Environment</w:t>
      </w:r>
      <w:bookmarkEnd w:id="71"/>
    </w:p>
    <w:p w14:paraId="5258B9BF" w14:textId="65479C3C" w:rsidR="00F671EC" w:rsidRDefault="00C80847" w:rsidP="00C80847">
      <w:pPr>
        <w:pStyle w:val="Heading3"/>
      </w:pPr>
      <w:r>
        <w:t>Ground movement considerations for environment receptors</w:t>
      </w:r>
    </w:p>
    <w:p w14:paraId="36C10B3A" w14:textId="6C792FEB" w:rsidR="000B062E" w:rsidRDefault="00F07F92" w:rsidP="006D0A87">
      <w:pPr>
        <w:pStyle w:val="Para0"/>
      </w:pPr>
      <w:r w:rsidRPr="00065A6C">
        <w:t xml:space="preserve">Through literature review and assessment of the available reports and data we were </w:t>
      </w:r>
      <w:r w:rsidR="00E312C6" w:rsidRPr="00065A6C">
        <w:t xml:space="preserve">essentially </w:t>
      </w:r>
      <w:r w:rsidRPr="00065A6C">
        <w:t xml:space="preserve">unable to locate </w:t>
      </w:r>
      <w:r w:rsidR="00E312C6" w:rsidRPr="00065A6C">
        <w:t>research that describes the ground movement effect on most of the environmental receptors.</w:t>
      </w:r>
      <w:r w:rsidR="00E312C6">
        <w:t xml:space="preserve"> For example, the range and distribution of many of the </w:t>
      </w:r>
      <w:r w:rsidR="00B74DBE">
        <w:t xml:space="preserve">individual species identified in the </w:t>
      </w:r>
      <w:r w:rsidR="00B75E84">
        <w:t xml:space="preserve">Environment </w:t>
      </w:r>
      <w:r w:rsidR="00B74DBE">
        <w:t>receptor classification (Jacobs 20</w:t>
      </w:r>
      <w:r w:rsidR="005F7C24">
        <w:t>20a</w:t>
      </w:r>
      <w:r w:rsidR="00B74DBE">
        <w:t xml:space="preserve">) do not have clear linkages to ground movement. </w:t>
      </w:r>
      <w:r w:rsidR="00814F63">
        <w:t xml:space="preserve"> </w:t>
      </w:r>
      <w:r w:rsidR="00B74DBE" w:rsidRPr="00450FA8">
        <w:t>We have</w:t>
      </w:r>
      <w:r w:rsidR="00B74DBE" w:rsidRPr="00B75E84">
        <w:t xml:space="preserve"> been therefore unable to </w:t>
      </w:r>
      <w:r w:rsidR="00BA45D4" w:rsidRPr="00B75E84">
        <w:t>define metrics or thresholds that have a reasonable basis in literature.</w:t>
      </w:r>
    </w:p>
    <w:p w14:paraId="4FD55772" w14:textId="7F4EAA93" w:rsidR="00296297" w:rsidRDefault="000B062E" w:rsidP="00296297">
      <w:r>
        <w:t xml:space="preserve">In many cases </w:t>
      </w:r>
      <w:r w:rsidRPr="00450FA8">
        <w:t>we have</w:t>
      </w:r>
      <w:r>
        <w:t xml:space="preserve"> identified that the environmental receptors are supported by </w:t>
      </w:r>
      <w:r w:rsidR="002F7FF2">
        <w:t xml:space="preserve">maintaining </w:t>
      </w:r>
      <w:r w:rsidR="00B75E84">
        <w:t xml:space="preserve">integrity of </w:t>
      </w:r>
      <w:r>
        <w:t>water</w:t>
      </w:r>
      <w:r w:rsidR="00B75E84">
        <w:t>way natural conduits /</w:t>
      </w:r>
      <w:r>
        <w:t xml:space="preserve"> infrastructure, such as rivers or wetlands</w:t>
      </w:r>
      <w:r w:rsidR="00822252">
        <w:t>.</w:t>
      </w:r>
      <w:r w:rsidR="00296297" w:rsidRPr="00296297">
        <w:t xml:space="preserve"> </w:t>
      </w:r>
      <w:r w:rsidR="00814F63">
        <w:t xml:space="preserve"> </w:t>
      </w:r>
      <w:r w:rsidR="00296297">
        <w:t xml:space="preserve">Unknown geotechnical related magnitudes for different flow components (low flows, freshes, high flows, overbank flows), sediment transport, changes in gradient and the timing, frequency and duration of various components </w:t>
      </w:r>
      <w:r w:rsidR="00B75E84">
        <w:t xml:space="preserve">is </w:t>
      </w:r>
      <w:r w:rsidR="00296297">
        <w:t>unknown.</w:t>
      </w:r>
    </w:p>
    <w:p w14:paraId="229FE3E6" w14:textId="58BC03C1" w:rsidR="00C326B2" w:rsidRDefault="003D402F" w:rsidP="006D0A87">
      <w:pPr>
        <w:pStyle w:val="Para0"/>
      </w:pPr>
      <w:r>
        <w:t>The recommended metrics for</w:t>
      </w:r>
      <w:r w:rsidR="00C326B2">
        <w:t xml:space="preserve"> environmental receptors are set for the associated water structures</w:t>
      </w:r>
      <w:r w:rsidR="00545EEA">
        <w:t>.</w:t>
      </w:r>
      <w:r w:rsidR="00814F63">
        <w:t xml:space="preserve"> </w:t>
      </w:r>
      <w:r w:rsidR="00920AAB">
        <w:t xml:space="preserve"> It must be emphasised that these are preliminary values and that further research through</w:t>
      </w:r>
      <w:r w:rsidR="00B75E21">
        <w:t xml:space="preserve"> the LVRRS is expected to provide more detail in the future.</w:t>
      </w:r>
    </w:p>
    <w:p w14:paraId="2854FD45" w14:textId="018613C4" w:rsidR="0021285E" w:rsidRDefault="0021285E" w:rsidP="0021285E">
      <w:pPr>
        <w:pStyle w:val="Heading3"/>
        <w:rPr>
          <w:lang w:val="en-AU"/>
        </w:rPr>
      </w:pPr>
      <w:r w:rsidRPr="0061134C">
        <w:t>Metrics</w:t>
      </w:r>
    </w:p>
    <w:p w14:paraId="4C3BBE0C" w14:textId="46C5E421" w:rsidR="009E3892" w:rsidRDefault="00727EC5" w:rsidP="0021285E">
      <w:r>
        <w:t>For environmental rec</w:t>
      </w:r>
      <w:r w:rsidR="00880433">
        <w:t>e</w:t>
      </w:r>
      <w:r>
        <w:t xml:space="preserve">ptors, movement may result from any of the define movement types, but the largest area </w:t>
      </w:r>
      <w:r w:rsidR="00880433">
        <w:t xml:space="preserve">that is likely to be affected is from subsidence and rebound. </w:t>
      </w:r>
      <w:r w:rsidR="00814F63">
        <w:t xml:space="preserve"> </w:t>
      </w:r>
      <w:r w:rsidR="00880433">
        <w:t xml:space="preserve">These ground movements are characterised by </w:t>
      </w:r>
      <w:r w:rsidR="00604116">
        <w:t xml:space="preserve">gentle and continuous movements, as discussed in </w:t>
      </w:r>
      <w:r w:rsidR="00B75E84">
        <w:t>S</w:t>
      </w:r>
      <w:r w:rsidR="00604116">
        <w:t>ection 3.</w:t>
      </w:r>
    </w:p>
    <w:p w14:paraId="5AC27293" w14:textId="509743A8" w:rsidR="00404F73" w:rsidRDefault="009E3892" w:rsidP="0021285E">
      <w:r>
        <w:t>Accordingly</w:t>
      </w:r>
      <w:r w:rsidR="008055F5">
        <w:t>,</w:t>
      </w:r>
      <w:r>
        <w:t xml:space="preserve"> </w:t>
      </w:r>
      <w:r w:rsidRPr="00450FA8">
        <w:t>we have</w:t>
      </w:r>
      <w:r>
        <w:t xml:space="preserve"> assessed that horizontal ground strain is likely to be the most likely effect and thus is recommended as the </w:t>
      </w:r>
      <w:r w:rsidR="002021C4">
        <w:t xml:space="preserve">appropriate metric. </w:t>
      </w:r>
      <w:r w:rsidR="00814F63">
        <w:t xml:space="preserve"> </w:t>
      </w:r>
      <w:r w:rsidR="002021C4">
        <w:t>Sharp or rapid movements associated with seismic events</w:t>
      </w:r>
      <w:r w:rsidR="009417C4">
        <w:t xml:space="preserve"> are difficult to characterise and </w:t>
      </w:r>
      <w:r w:rsidR="009417C4" w:rsidRPr="00450FA8">
        <w:t>we have</w:t>
      </w:r>
      <w:r w:rsidR="009417C4">
        <w:t xml:space="preserve"> not been able to determine any specific structures or </w:t>
      </w:r>
      <w:r w:rsidR="00FF0374">
        <w:t xml:space="preserve">features for which we can define a seismic limit. </w:t>
      </w:r>
      <w:r w:rsidR="00814F63">
        <w:t xml:space="preserve"> </w:t>
      </w:r>
      <w:r w:rsidR="00FF0374">
        <w:t>It is recommended that as future work develops a better understanding of the potential risk of seismic activity</w:t>
      </w:r>
      <w:r w:rsidR="008055F5">
        <w:t>, that the requirement for additional metrics is revisited.</w:t>
      </w:r>
      <w:r w:rsidR="002021C4">
        <w:t xml:space="preserve"> </w:t>
      </w:r>
      <w:r w:rsidR="00880433">
        <w:t xml:space="preserve"> </w:t>
      </w:r>
    </w:p>
    <w:p w14:paraId="10342B79" w14:textId="71AC8F40" w:rsidR="0021285E" w:rsidRDefault="0021285E" w:rsidP="0021285E">
      <w:pPr>
        <w:autoSpaceDE w:val="0"/>
        <w:autoSpaceDN w:val="0"/>
        <w:adjustRightInd w:val="0"/>
        <w:spacing w:after="0" w:line="240" w:lineRule="auto"/>
      </w:pPr>
      <w:r w:rsidRPr="00594538">
        <w:t>Subsidence can change the elevation of an area which may lead to increased exposure to flooding. Lowering of the ground level may lead to levees overflowing, especially in low lying regions</w:t>
      </w:r>
      <w:r w:rsidR="003174E0">
        <w:t xml:space="preserve">. </w:t>
      </w:r>
      <w:r w:rsidR="0042414A">
        <w:t xml:space="preserve">Consideration of flooding patterns may need to be defined by future work if </w:t>
      </w:r>
      <w:r w:rsidR="00B9011B">
        <w:t xml:space="preserve">significant </w:t>
      </w:r>
      <w:r w:rsidR="0042414A">
        <w:t>ground movement is identified at a specific receptor.</w:t>
      </w:r>
    </w:p>
    <w:p w14:paraId="040082ED" w14:textId="77777777" w:rsidR="00B9011B" w:rsidRDefault="00B9011B" w:rsidP="0021285E">
      <w:pPr>
        <w:autoSpaceDE w:val="0"/>
        <w:autoSpaceDN w:val="0"/>
        <w:adjustRightInd w:val="0"/>
        <w:spacing w:after="0" w:line="240" w:lineRule="auto"/>
      </w:pPr>
    </w:p>
    <w:p w14:paraId="3BCD5413" w14:textId="212C052E" w:rsidR="00B9011B" w:rsidRPr="00355DCD" w:rsidRDefault="00B9011B" w:rsidP="0021285E">
      <w:pPr>
        <w:autoSpaceDE w:val="0"/>
        <w:autoSpaceDN w:val="0"/>
        <w:adjustRightInd w:val="0"/>
        <w:spacing w:after="0" w:line="240" w:lineRule="auto"/>
        <w:rPr>
          <w:rFonts w:cs="Arial"/>
          <w:color w:val="000000"/>
          <w:sz w:val="22"/>
          <w:szCs w:val="22"/>
          <w:lang w:val="en-AU"/>
        </w:rPr>
      </w:pPr>
      <w:r>
        <w:t xml:space="preserve">Rehabilitation </w:t>
      </w:r>
      <w:r w:rsidR="007E0C4F">
        <w:t xml:space="preserve">ground movements </w:t>
      </w:r>
      <w:r>
        <w:t>effects for environmental receptors are likely to constitute</w:t>
      </w:r>
      <w:r w:rsidR="007E0C4F">
        <w:t xml:space="preserve"> reversal of trends or affects that have already been felt through the mine development phase. </w:t>
      </w:r>
      <w:r w:rsidR="00814F63">
        <w:t xml:space="preserve"> </w:t>
      </w:r>
      <w:r w:rsidR="007E0C4F">
        <w:t>Accordingly</w:t>
      </w:r>
      <w:r w:rsidR="00F671EC">
        <w:t>,</w:t>
      </w:r>
      <w:r w:rsidR="007E0C4F">
        <w:t xml:space="preserve"> an extensive suit</w:t>
      </w:r>
      <w:r w:rsidR="00F671EC">
        <w:t>e</w:t>
      </w:r>
      <w:r w:rsidR="007E0C4F">
        <w:t xml:space="preserve"> of metrics is not considered warranted at this time. Future study may </w:t>
      </w:r>
      <w:r w:rsidR="00F671EC">
        <w:t>point to additional requirements.</w:t>
      </w:r>
    </w:p>
    <w:p w14:paraId="3C748478" w14:textId="177D11C8" w:rsidR="0021285E" w:rsidRPr="00017F99" w:rsidRDefault="0021285E" w:rsidP="0021285E">
      <w:pPr>
        <w:pStyle w:val="Heading3"/>
        <w:rPr>
          <w:lang w:val="en-AU"/>
        </w:rPr>
      </w:pPr>
      <w:r w:rsidRPr="00017F99">
        <w:rPr>
          <w:lang w:val="en-AU"/>
        </w:rPr>
        <w:t xml:space="preserve">Thresholds and Rationale </w:t>
      </w:r>
    </w:p>
    <w:p w14:paraId="37C9F95E" w14:textId="19338AB3" w:rsidR="00477179" w:rsidRDefault="00477179" w:rsidP="0021285E">
      <w:r>
        <w:t xml:space="preserve">As described above, limited data and research is available for this receptor </w:t>
      </w:r>
      <w:r w:rsidR="00EF7B96">
        <w:t>category</w:t>
      </w:r>
      <w:r>
        <w:t xml:space="preserve">. In absence of a clear limit that is defined by causal mechanisms, we recommend that the </w:t>
      </w:r>
      <w:r w:rsidR="00A9389E">
        <w:t xml:space="preserve">horizontal strain </w:t>
      </w:r>
      <w:r>
        <w:t>threshold for embankments, canals and miscellaneous structures from Singh (1986) by used</w:t>
      </w:r>
      <w:r w:rsidR="00660F4C">
        <w:t>.</w:t>
      </w:r>
      <w:r w:rsidR="00F732E0">
        <w:t xml:space="preserve"> </w:t>
      </w:r>
      <w:r w:rsidR="00F113E4">
        <w:t xml:space="preserve"> </w:t>
      </w:r>
      <w:r w:rsidR="00F732E0">
        <w:t>This is a strain value of 1 x 10</w:t>
      </w:r>
      <w:r w:rsidR="00F732E0" w:rsidRPr="00F732E0">
        <w:rPr>
          <w:vertAlign w:val="superscript"/>
        </w:rPr>
        <w:t>-3</w:t>
      </w:r>
      <w:r>
        <w:t xml:space="preserve">. </w:t>
      </w:r>
      <w:r w:rsidR="00F113E4">
        <w:t xml:space="preserve"> </w:t>
      </w:r>
      <w:r>
        <w:t xml:space="preserve">This is considered a conservative measure, as for many other structures such a low strain value would be considered </w:t>
      </w:r>
      <w:r w:rsidR="00640F10">
        <w:t>a</w:t>
      </w:r>
      <w:r>
        <w:t xml:space="preserve"> minor impact. </w:t>
      </w:r>
      <w:r w:rsidR="00F113E4">
        <w:t xml:space="preserve"> </w:t>
      </w:r>
      <w:r>
        <w:t xml:space="preserve">See the discussion on buildings and structures later in this report </w:t>
      </w:r>
      <w:r w:rsidR="008B122A">
        <w:t>f</w:t>
      </w:r>
      <w:r>
        <w:t>or comparison.</w:t>
      </w:r>
    </w:p>
    <w:p w14:paraId="3D452BAE" w14:textId="100F31F8" w:rsidR="0023226C" w:rsidRPr="00E85BC3" w:rsidRDefault="00FE76E8" w:rsidP="006D0A87">
      <w:pPr>
        <w:pStyle w:val="Heading2"/>
        <w:rPr>
          <w:lang w:val="en-AU"/>
        </w:rPr>
      </w:pPr>
      <w:bookmarkStart w:id="72" w:name="_Toc501356667"/>
      <w:bookmarkStart w:id="73" w:name="_Toc57907089"/>
      <w:r>
        <w:rPr>
          <w:lang w:val="en-AU"/>
        </w:rPr>
        <w:t>Infrastructure</w:t>
      </w:r>
      <w:bookmarkEnd w:id="72"/>
      <w:bookmarkEnd w:id="73"/>
    </w:p>
    <w:p w14:paraId="46B09286" w14:textId="6CDA7297" w:rsidR="00955414" w:rsidRDefault="00955414" w:rsidP="00955414">
      <w:pPr>
        <w:pStyle w:val="Heading3"/>
      </w:pPr>
      <w:bookmarkStart w:id="74" w:name="_Toc501356668"/>
      <w:r>
        <w:t>Introduction</w:t>
      </w:r>
    </w:p>
    <w:p w14:paraId="0D8F8E6E" w14:textId="1360E138" w:rsidR="00374BCC" w:rsidRDefault="00852827" w:rsidP="00C03F12">
      <w:pPr>
        <w:pStyle w:val="Para0"/>
      </w:pPr>
      <w:r w:rsidRPr="00E85BC3">
        <w:t xml:space="preserve">This section summarises the metrics and thresholds for </w:t>
      </w:r>
      <w:r>
        <w:t xml:space="preserve">infrastructure </w:t>
      </w:r>
      <w:r w:rsidRPr="00E85BC3">
        <w:t>receptor</w:t>
      </w:r>
      <w:r w:rsidR="002748C0">
        <w:t>s i</w:t>
      </w:r>
      <w:r w:rsidRPr="00E85BC3">
        <w:t xml:space="preserve">n relation to </w:t>
      </w:r>
      <w:r>
        <w:t xml:space="preserve">potential </w:t>
      </w:r>
      <w:r w:rsidRPr="00E85BC3">
        <w:t>ground movement</w:t>
      </w:r>
      <w:r w:rsidR="00660F4C">
        <w:t xml:space="preserve"> impact detection</w:t>
      </w:r>
      <w:r w:rsidRPr="00E85BC3">
        <w:t>.</w:t>
      </w:r>
      <w:r w:rsidR="00F113E4">
        <w:t xml:space="preserve"> </w:t>
      </w:r>
      <w:r w:rsidR="002748C0">
        <w:t xml:space="preserve"> </w:t>
      </w:r>
      <w:r>
        <w:t>The damage severity level to a structure tends to be different depending on the type of ground strain</w:t>
      </w:r>
      <w:r w:rsidR="00660F4C">
        <w:t xml:space="preserve"> exposure</w:t>
      </w:r>
      <w:r>
        <w:t>.</w:t>
      </w:r>
      <w:r w:rsidR="00F113E4">
        <w:t xml:space="preserve"> </w:t>
      </w:r>
      <w:r>
        <w:t xml:space="preserve"> Tensile stress by horizontal ground strain often produce vertical step like cracks in brickwork. </w:t>
      </w:r>
      <w:r w:rsidR="00F113E4">
        <w:t xml:space="preserve"> </w:t>
      </w:r>
      <w:r>
        <w:t xml:space="preserve">In the upper part of the structure the cracks may be diagonal. </w:t>
      </w:r>
      <w:r w:rsidR="00F113E4">
        <w:t xml:space="preserve"> </w:t>
      </w:r>
      <w:r>
        <w:t>Compressive damage is characteri</w:t>
      </w:r>
      <w:r w:rsidR="00660F4C">
        <w:t>s</w:t>
      </w:r>
      <w:r>
        <w:t xml:space="preserve">ed by bulging and bending failures </w:t>
      </w:r>
      <w:r w:rsidR="00EF7B96">
        <w:t xml:space="preserve">and formation </w:t>
      </w:r>
      <w:r>
        <w:t xml:space="preserve">of foundation cracks. </w:t>
      </w:r>
      <w:r w:rsidR="00F113E4">
        <w:t xml:space="preserve"> </w:t>
      </w:r>
      <w:r>
        <w:t xml:space="preserve">Angular distortion related to differential settlement can </w:t>
      </w:r>
      <w:r w:rsidR="00DA3CEF">
        <w:t>cause</w:t>
      </w:r>
      <w:r>
        <w:t xml:space="preserve"> vertical cracks in floor slabs and diagonal cracks in </w:t>
      </w:r>
      <w:r w:rsidR="00DA3CEF">
        <w:t>masonry</w:t>
      </w:r>
      <w:r>
        <w:t>.</w:t>
      </w:r>
    </w:p>
    <w:p w14:paraId="28E215A7" w14:textId="2A7BE5DA" w:rsidR="00852827" w:rsidRPr="00E85BC3" w:rsidRDefault="00374BCC" w:rsidP="00C03F12">
      <w:pPr>
        <w:pStyle w:val="Para0"/>
      </w:pPr>
      <w:r>
        <w:t xml:space="preserve">In the case of the different ground movement effects, at the scale of </w:t>
      </w:r>
      <w:r w:rsidR="002351B3">
        <w:t>most of the defined infrastructure receptors horizontal ground strain provides a good measure of the potential impact on a structure.</w:t>
      </w:r>
      <w:r>
        <w:t xml:space="preserve"> </w:t>
      </w:r>
      <w:r w:rsidR="00852827">
        <w:t xml:space="preserve"> </w:t>
      </w:r>
      <w:r w:rsidR="002351B3">
        <w:t>Literature values and guidance is available for this metric and</w:t>
      </w:r>
      <w:r w:rsidR="00C03F12">
        <w:t xml:space="preserve"> it has generally be</w:t>
      </w:r>
      <w:r w:rsidR="00660F4C">
        <w:t>en</w:t>
      </w:r>
      <w:r w:rsidR="00C03F12">
        <w:t xml:space="preserve"> adopted for all movement types.</w:t>
      </w:r>
    </w:p>
    <w:p w14:paraId="04656F74" w14:textId="3B0A95B4" w:rsidR="00852827" w:rsidRPr="00E85BC3" w:rsidRDefault="00852827" w:rsidP="00C03F12">
      <w:pPr>
        <w:pStyle w:val="Para0"/>
      </w:pPr>
      <w:r w:rsidRPr="00E85BC3">
        <w:t xml:space="preserve">It should be noted that the potential damage caused to </w:t>
      </w:r>
      <w:r>
        <w:t xml:space="preserve">infrastructure </w:t>
      </w:r>
      <w:r w:rsidRPr="00E85BC3">
        <w:t xml:space="preserve">foundations </w:t>
      </w:r>
      <w:r>
        <w:t xml:space="preserve">or structural members </w:t>
      </w:r>
      <w:r w:rsidRPr="00E85BC3">
        <w:t>is difficult to characteri</w:t>
      </w:r>
      <w:r w:rsidR="006A2D0D">
        <w:t>s</w:t>
      </w:r>
      <w:r w:rsidRPr="00E85BC3">
        <w:t xml:space="preserve">e in simple terms since the nature of the damage depends on several variables including strength properties of the structural members, type of construction, zones of weakness, </w:t>
      </w:r>
      <w:r>
        <w:t xml:space="preserve">building condition </w:t>
      </w:r>
      <w:r w:rsidRPr="00E85BC3">
        <w:t xml:space="preserve">and previous deformation history.  Determining individual strength properties of structural members </w:t>
      </w:r>
      <w:r w:rsidR="00C71D9E">
        <w:t>was beyond this project and may require further work by later stages of the LVRRS</w:t>
      </w:r>
      <w:r w:rsidRPr="00E85BC3">
        <w:t>.</w:t>
      </w:r>
      <w:r>
        <w:t xml:space="preserve"> It should be noted that the published studies and reference documents may not be applicable to heritage buildings and these may require further detailed consideration.</w:t>
      </w:r>
    </w:p>
    <w:p w14:paraId="42716911" w14:textId="456DBBD3" w:rsidR="00852827" w:rsidRDefault="00852827" w:rsidP="00C03F12">
      <w:pPr>
        <w:pStyle w:val="Para0"/>
      </w:pPr>
      <w:r>
        <w:t>Published studies and reference documents used as guid</w:t>
      </w:r>
      <w:r w:rsidR="0062244F">
        <w:t>ance</w:t>
      </w:r>
      <w:r>
        <w:t xml:space="preserve"> for assessment of building damage under the influence of horizontal strain and deflection ratio (Figure 3.1) for buildings with a Length/Height </w:t>
      </w:r>
      <w:r w:rsidR="00F703B8">
        <w:t xml:space="preserve">ratio </w:t>
      </w:r>
      <w:r w:rsidR="00140978">
        <w:t xml:space="preserve">equal to </w:t>
      </w:r>
      <w:r>
        <w:t>1</w:t>
      </w:r>
      <w:r w:rsidR="00140978">
        <w:t>.</w:t>
      </w:r>
      <w:r w:rsidR="00F113E4">
        <w:t xml:space="preserve"> </w:t>
      </w:r>
      <w:r>
        <w:t xml:space="preserve"> In this report the strain limit is the movement limit value prior to damage being observed.</w:t>
      </w:r>
    </w:p>
    <w:p w14:paraId="055873A0" w14:textId="1C211717" w:rsidR="00C03F12" w:rsidRDefault="00C03F12" w:rsidP="00C03F12">
      <w:pPr>
        <w:pStyle w:val="Para0"/>
      </w:pPr>
      <w:r>
        <w:t xml:space="preserve">As noted in earlier </w:t>
      </w:r>
      <w:r w:rsidR="009D232E">
        <w:t xml:space="preserve">discussion, there has already been a history of ground movement strain due to mining activities and the </w:t>
      </w:r>
      <w:r w:rsidR="00CE31DE">
        <w:t xml:space="preserve">ground movement </w:t>
      </w:r>
      <w:r w:rsidR="009D232E">
        <w:t xml:space="preserve">effects of rehabilitation </w:t>
      </w:r>
      <w:r w:rsidR="004A69B0">
        <w:t>are</w:t>
      </w:r>
      <w:r w:rsidR="00CE31DE">
        <w:t xml:space="preserve"> unlikely to be significantly different. </w:t>
      </w:r>
      <w:r w:rsidR="003C4F1A">
        <w:t xml:space="preserve"> </w:t>
      </w:r>
      <w:r w:rsidR="00CE31DE">
        <w:t xml:space="preserve">Thus, all the </w:t>
      </w:r>
      <w:r w:rsidR="004A69B0">
        <w:t xml:space="preserve">identified </w:t>
      </w:r>
      <w:r w:rsidR="00CE31DE">
        <w:t>infra</w:t>
      </w:r>
      <w:r w:rsidR="004A69B0">
        <w:t>s</w:t>
      </w:r>
      <w:r w:rsidR="00CE31DE">
        <w:t>tructure</w:t>
      </w:r>
      <w:r w:rsidR="004A69B0">
        <w:t xml:space="preserve"> receptors have experienced a history of ground strain to </w:t>
      </w:r>
      <w:r w:rsidR="00D22066">
        <w:t>s</w:t>
      </w:r>
      <w:r w:rsidR="004A69B0">
        <w:t>ome extent.</w:t>
      </w:r>
    </w:p>
    <w:p w14:paraId="43AD7686" w14:textId="696AC84A" w:rsidR="009B20A4" w:rsidRDefault="009B20A4" w:rsidP="009B20A4">
      <w:r>
        <w:t>Throughout this study we have adapted and utilised a severity ranking that has been derived for structure</w:t>
      </w:r>
      <w:r w:rsidR="00343228">
        <w:t>s</w:t>
      </w:r>
      <w:r>
        <w:t xml:space="preserve">. </w:t>
      </w:r>
      <w:r w:rsidR="008D1E7B">
        <w:t xml:space="preserve"> </w:t>
      </w:r>
      <w:r>
        <w:t>In some cases, this has also been applied to other types of receptors, in absence of a clear literature-based definition of damage</w:t>
      </w:r>
      <w:r w:rsidRPr="005C5E65">
        <w:t xml:space="preserve">. </w:t>
      </w:r>
      <w:r w:rsidR="008D1E7B">
        <w:t xml:space="preserve"> </w:t>
      </w:r>
      <w:r w:rsidRPr="005C5E65">
        <w:t>Tables of threshold values for different receptors are listed throughout the report which define severity levels.</w:t>
      </w:r>
      <w:r>
        <w:t xml:space="preserve"> </w:t>
      </w:r>
      <w:r w:rsidR="009467B0">
        <w:t xml:space="preserve"> </w:t>
      </w:r>
      <w:r>
        <w:t>The damage severity levels are classified into three categories for all receptors, based on the classification for structures:</w:t>
      </w:r>
    </w:p>
    <w:p w14:paraId="70A8DA9A" w14:textId="249444A8" w:rsidR="009B20A4" w:rsidRDefault="009B20A4" w:rsidP="009B20A4">
      <w:pPr>
        <w:pStyle w:val="Para0bullet"/>
      </w:pPr>
      <w:r w:rsidRPr="008B2464">
        <w:rPr>
          <w:b/>
        </w:rPr>
        <w:t>Architectural:</w:t>
      </w:r>
      <w:r>
        <w:t xml:space="preserve"> Minor cracking, opening and closing of construction joints in abutments, cracking and spalling of concrete decks. </w:t>
      </w:r>
      <w:r w:rsidR="003C4F1A">
        <w:t xml:space="preserve"> </w:t>
      </w:r>
      <w:r>
        <w:t>This category could be interpreted to damage classification of “Negligible or very slight” damage (refer to damage classification described above)</w:t>
      </w:r>
    </w:p>
    <w:p w14:paraId="18D743AD" w14:textId="673FFBF6" w:rsidR="009B20A4" w:rsidRDefault="009B20A4" w:rsidP="009B20A4">
      <w:pPr>
        <w:pStyle w:val="Para0bullet"/>
      </w:pPr>
      <w:r w:rsidRPr="008B2464">
        <w:rPr>
          <w:b/>
        </w:rPr>
        <w:t>Functional:</w:t>
      </w:r>
      <w:r>
        <w:t xml:space="preserve"> Superstructure distress, horizontal displacement, bearing damage or damage to abutments, warping or tilt of bridge decks, bumps at compressed and open expansion joints. </w:t>
      </w:r>
      <w:r w:rsidR="003C4F1A">
        <w:t xml:space="preserve"> </w:t>
      </w:r>
      <w:r>
        <w:t>This category could be interpreted to damage classification of “Slight” to “Appreciable” damages</w:t>
      </w:r>
    </w:p>
    <w:p w14:paraId="154C15E6" w14:textId="77777777" w:rsidR="009B20A4" w:rsidRDefault="009B20A4" w:rsidP="009B20A4">
      <w:pPr>
        <w:pStyle w:val="Para0bullet"/>
      </w:pPr>
      <w:r w:rsidRPr="008B2464">
        <w:rPr>
          <w:b/>
        </w:rPr>
        <w:t>Structural:</w:t>
      </w:r>
      <w:r>
        <w:t xml:space="preserve"> Instability of primary structural members, possibility of collapse. This category could be interpreted to damage classification of “Severe” to “Very severe” damages.</w:t>
      </w:r>
    </w:p>
    <w:p w14:paraId="22F0C810" w14:textId="237CEE03" w:rsidR="009B20A4" w:rsidRDefault="009B20A4" w:rsidP="009B20A4">
      <w:pPr>
        <w:spacing w:after="0" w:line="240" w:lineRule="auto"/>
      </w:pPr>
      <w:r>
        <w:t>The damage severity levels will have different considerations depending on the type of receptor.</w:t>
      </w:r>
      <w:r w:rsidR="009467B0">
        <w:t xml:space="preserve"> </w:t>
      </w:r>
      <w:r>
        <w:t xml:space="preserve"> In the case of residential dwellings, the architectural category would need to be highly considered whereas the functional category for the power station would be deemed as important. </w:t>
      </w:r>
      <w:r w:rsidR="00631BFF">
        <w:t xml:space="preserve"> </w:t>
      </w:r>
      <w:r>
        <w:t>For example, minor cracking in an industrial building which is not damaging to the overall function is likely to be more acceptable than minor but aesthetically un-pleasing damage in a person’s home.</w:t>
      </w:r>
    </w:p>
    <w:p w14:paraId="52A8D611" w14:textId="77777777" w:rsidR="0023226C" w:rsidRPr="00E85BC3" w:rsidRDefault="0023226C" w:rsidP="00955414">
      <w:pPr>
        <w:pStyle w:val="Heading3"/>
      </w:pPr>
      <w:r w:rsidRPr="00E85BC3">
        <w:t>Extractive Industry</w:t>
      </w:r>
      <w:bookmarkEnd w:id="74"/>
    </w:p>
    <w:p w14:paraId="27F5C286" w14:textId="77777777" w:rsidR="00A31BC2" w:rsidRDefault="00A31BC2" w:rsidP="00A31BC2">
      <w:bookmarkStart w:id="75" w:name="_Toc501356669"/>
      <w:r>
        <w:t>The operating coal mines, Yallourn and Loy Yang, and Hazelwood have been identified as recognised regional receptors.  Other small quarries in the Latrobe Valley are considered for the purpose of this study to be outside the inter-mine scale and thus have little evidence of a pathway for impact.</w:t>
      </w:r>
    </w:p>
    <w:p w14:paraId="1A345F3B" w14:textId="77777777" w:rsidR="00A31BC2" w:rsidRDefault="00A31BC2" w:rsidP="00A31BC2">
      <w:r>
        <w:t>To assess the impacts of rehabilitation on other mines it is proposed this is undertaken in terms of the potential change in Factor of Safely (FOS) and Probability of Failure (POF) that would result from the rehabilitation action - whether rehabilitation ground movement from one site would result in a change in FOS or POF in another site as the relevant threshold for response.  In truth, each mine will be constantly adjusting its response in light of external stressors so this is not a simple situation and no single test is likely to be suitable on its own.</w:t>
      </w:r>
    </w:p>
    <w:p w14:paraId="2D557748" w14:textId="1A86AB7D" w:rsidR="00A31BC2" w:rsidRDefault="00C9103B" w:rsidP="00A31BC2">
      <w:r>
        <w:t>In addition, t</w:t>
      </w:r>
      <w:r w:rsidR="00A31BC2">
        <w:t>he setting of thresholds for the FOS and POF is potentially problematic in this setting as the FOS and POF are continually reviewed, revised and the mine design is altered through ongoing operations and into rehabilitation.  The guidance in this section may not make any practical difference to the management of the mine voids, nevertheless a guidance value has been identified.</w:t>
      </w:r>
    </w:p>
    <w:p w14:paraId="7EE5018C" w14:textId="45A36151" w:rsidR="0023226C" w:rsidRPr="00C04A3F" w:rsidRDefault="0023226C" w:rsidP="000675B5">
      <w:pPr>
        <w:rPr>
          <w:b/>
          <w:bCs/>
        </w:rPr>
      </w:pPr>
      <w:bookmarkStart w:id="76" w:name="_Toc501356671"/>
      <w:bookmarkStart w:id="77" w:name="_Ref505858665"/>
      <w:bookmarkEnd w:id="75"/>
      <w:r w:rsidRPr="00C04A3F">
        <w:rPr>
          <w:b/>
          <w:bCs/>
        </w:rPr>
        <w:t>Metrics</w:t>
      </w:r>
      <w:bookmarkEnd w:id="76"/>
      <w:bookmarkEnd w:id="77"/>
    </w:p>
    <w:p w14:paraId="32795AE9" w14:textId="67D14ED1" w:rsidR="0023226C" w:rsidRDefault="0023226C" w:rsidP="000675B5">
      <w:r w:rsidRPr="000675B5">
        <w:t xml:space="preserve">Geotechnical risk of ground movement </w:t>
      </w:r>
      <w:r w:rsidR="003C5FD7" w:rsidRPr="000675B5">
        <w:t xml:space="preserve">in </w:t>
      </w:r>
      <w:r w:rsidR="009E6100" w:rsidRPr="000675B5">
        <w:t xml:space="preserve">a mine void </w:t>
      </w:r>
      <w:r w:rsidRPr="000675B5">
        <w:t xml:space="preserve">is assessed by </w:t>
      </w:r>
      <w:r w:rsidR="009E6100" w:rsidRPr="000675B5">
        <w:t>several</w:t>
      </w:r>
      <w:r w:rsidRPr="000675B5">
        <w:t xml:space="preserve"> guidelines and industry standards.  Earth Resources </w:t>
      </w:r>
      <w:r w:rsidR="009C7CB9" w:rsidRPr="000675B5">
        <w:t>Regulation</w:t>
      </w:r>
      <w:r w:rsidRPr="000675B5">
        <w:t xml:space="preserve"> </w:t>
      </w:r>
      <w:r w:rsidR="00BE1A17" w:rsidRPr="000675B5">
        <w:t xml:space="preserve">(ERR) </w:t>
      </w:r>
      <w:r w:rsidR="004048EF" w:rsidRPr="000675B5">
        <w:t xml:space="preserve">regulates </w:t>
      </w:r>
      <w:r w:rsidRPr="000675B5">
        <w:t>the development, operation and rehabilitation of mine</w:t>
      </w:r>
      <w:r w:rsidR="009A2D8C" w:rsidRPr="000675B5">
        <w:t>s</w:t>
      </w:r>
      <w:r w:rsidRPr="000675B5">
        <w:t xml:space="preserve"> </w:t>
      </w:r>
      <w:r w:rsidR="009A2D8C" w:rsidRPr="000675B5">
        <w:t xml:space="preserve">and </w:t>
      </w:r>
      <w:r w:rsidRPr="000675B5">
        <w:t>quarr</w:t>
      </w:r>
      <w:r w:rsidR="009A2D8C" w:rsidRPr="000675B5">
        <w:t>ies</w:t>
      </w:r>
      <w:r w:rsidRPr="000675B5">
        <w:t xml:space="preserve"> within Victoria</w:t>
      </w:r>
      <w:r w:rsidR="009A2D8C" w:rsidRPr="000675B5">
        <w:t>, including the regulation of geotechnical risks</w:t>
      </w:r>
      <w:r w:rsidRPr="000675B5">
        <w:t xml:space="preserve">. </w:t>
      </w:r>
      <w:r w:rsidR="006F5FA0">
        <w:t xml:space="preserve"> </w:t>
      </w:r>
      <w:r w:rsidRPr="000675B5">
        <w:t xml:space="preserve">Declared mines and quarries are required to regularly submit reviews of stability assessments to </w:t>
      </w:r>
      <w:r w:rsidR="009A2D8C" w:rsidRPr="000675B5">
        <w:t>ERR</w:t>
      </w:r>
      <w:r w:rsidRPr="000675B5">
        <w:t xml:space="preserve">. </w:t>
      </w:r>
      <w:r w:rsidR="006F5FA0">
        <w:t xml:space="preserve"> </w:t>
      </w:r>
      <w:r w:rsidRPr="000675B5">
        <w:t xml:space="preserve">The ongoing review of the </w:t>
      </w:r>
      <w:r>
        <w:t xml:space="preserve">Ground Control Management Plan (GCMP) is critical to the management of geotechnical risks on these large and complex sites. </w:t>
      </w:r>
      <w:r w:rsidR="006F5FA0">
        <w:t xml:space="preserve"> </w:t>
      </w:r>
      <w:r>
        <w:t xml:space="preserve">Declared mine stability requirements and processes are provided in Part 2 of Schedule 15 in </w:t>
      </w:r>
      <w:r w:rsidRPr="00D8239B">
        <w:t>the Mineral</w:t>
      </w:r>
      <w:r>
        <w:rPr>
          <w:rStyle w:val="Emphasis"/>
          <w:rFonts w:ascii="Verdana" w:hAnsi="Verdana"/>
          <w:color w:val="262626"/>
          <w:sz w:val="18"/>
          <w:szCs w:val="18"/>
        </w:rPr>
        <w:t xml:space="preserve"> </w:t>
      </w:r>
      <w:r w:rsidRPr="00D8239B">
        <w:t>Resources (Sustainable Development) (Mineral Industries) Regulations 2013</w:t>
      </w:r>
      <w:r w:rsidR="00D562CE">
        <w:t xml:space="preserve"> (E</w:t>
      </w:r>
      <w:r w:rsidR="00B84CA0">
        <w:t xml:space="preserve">arth Resources Regulation, </w:t>
      </w:r>
      <w:r w:rsidR="00D562CE">
        <w:t>2015).</w:t>
      </w:r>
    </w:p>
    <w:p w14:paraId="0E00C82C" w14:textId="036ACF64" w:rsidR="0023226C" w:rsidRPr="00FE76E8" w:rsidRDefault="00817C53" w:rsidP="00621068">
      <w:r>
        <w:t>M</w:t>
      </w:r>
      <w:r w:rsidR="0023226C" w:rsidRPr="006C2BEE">
        <w:t>ine operators have a duty to provide an auditable, robust and rigorous</w:t>
      </w:r>
      <w:r w:rsidR="0023226C" w:rsidRPr="006C2BEE">
        <w:rPr>
          <w:rFonts w:cs="Arial"/>
          <w:szCs w:val="22"/>
        </w:rPr>
        <w:t xml:space="preserve"> design process </w:t>
      </w:r>
      <w:r>
        <w:rPr>
          <w:rFonts w:cs="Arial"/>
          <w:szCs w:val="22"/>
        </w:rPr>
        <w:t xml:space="preserve">for the mining operation and by its nature this will </w:t>
      </w:r>
      <w:r w:rsidR="00B01E88">
        <w:rPr>
          <w:rFonts w:cs="Arial"/>
          <w:szCs w:val="22"/>
        </w:rPr>
        <w:t xml:space="preserve">necessarily </w:t>
      </w:r>
      <w:r w:rsidR="00621068">
        <w:rPr>
          <w:rFonts w:cs="Arial"/>
          <w:szCs w:val="22"/>
        </w:rPr>
        <w:t>consider</w:t>
      </w:r>
      <w:r w:rsidR="00B01E88">
        <w:rPr>
          <w:rFonts w:cs="Arial"/>
          <w:szCs w:val="22"/>
        </w:rPr>
        <w:t xml:space="preserve"> the effects of external ground movement on the design. </w:t>
      </w:r>
      <w:r w:rsidR="006F5FA0">
        <w:rPr>
          <w:rFonts w:cs="Arial"/>
          <w:szCs w:val="22"/>
        </w:rPr>
        <w:t xml:space="preserve"> </w:t>
      </w:r>
      <w:r w:rsidR="00B01E88">
        <w:rPr>
          <w:rFonts w:cs="Arial"/>
          <w:szCs w:val="22"/>
        </w:rPr>
        <w:t xml:space="preserve">Accordingly stating a single metric </w:t>
      </w:r>
      <w:r w:rsidR="00621068">
        <w:rPr>
          <w:rFonts w:cs="Arial"/>
          <w:szCs w:val="22"/>
        </w:rPr>
        <w:t>and threshold for these sites is simplistic and potentially problematic.</w:t>
      </w:r>
    </w:p>
    <w:p w14:paraId="67DD7015" w14:textId="2D083BA7" w:rsidR="0023226C" w:rsidRDefault="0023226C" w:rsidP="0023226C">
      <w:r>
        <w:t xml:space="preserve">Each </w:t>
      </w:r>
      <w:r w:rsidR="00292190">
        <w:t>m</w:t>
      </w:r>
      <w:r>
        <w:t xml:space="preserve">ine’s GCMP indicates design process and information inputs to mine batter stability assessment. A principle goal of design is to limit the potential occurrence of block sliding movements at batter scale.  This </w:t>
      </w:r>
      <w:r w:rsidR="009C386B">
        <w:t xml:space="preserve">analysis </w:t>
      </w:r>
      <w:r>
        <w:t xml:space="preserve">assumes that any future mine batter block movement events would be at the same scale as </w:t>
      </w:r>
      <w:r w:rsidR="009C386B">
        <w:t>the historically observed</w:t>
      </w:r>
      <w:r>
        <w:t xml:space="preserve"> events.  Stress relief will continue with ongoing mining and into the rehabilitation period until pit lakes are </w:t>
      </w:r>
      <w:r w:rsidR="00C9350F">
        <w:t xml:space="preserve">finally </w:t>
      </w:r>
      <w:r w:rsidRPr="001E29D9">
        <w:t>established.  Depending on the depth of the pit lake</w:t>
      </w:r>
      <w:r w:rsidR="004241E7">
        <w:t>,</w:t>
      </w:r>
      <w:r w:rsidRPr="001E29D9">
        <w:t xml:space="preserve"> stress relief may continue at a reduced rate for a considerable time after mine closure as in</w:t>
      </w:r>
      <w:r w:rsidR="004241E7">
        <w:t>-</w:t>
      </w:r>
      <w:r w:rsidRPr="001E29D9">
        <w:t>situ stresses in the region around the mines equilibrate.</w:t>
      </w:r>
    </w:p>
    <w:p w14:paraId="3521C426" w14:textId="6D166775" w:rsidR="0023226C" w:rsidRDefault="0023226C" w:rsidP="0023226C">
      <w:r>
        <w:t>It should be noted that reference by the mines to seismic influence assumes seismicity in general to include both earthquake</w:t>
      </w:r>
      <w:r w:rsidR="00B52D78">
        <w:t xml:space="preserve"> and </w:t>
      </w:r>
      <w:r>
        <w:t>mining induced seismicity</w:t>
      </w:r>
      <w:r w:rsidR="00B52D78">
        <w:t xml:space="preserve">. </w:t>
      </w:r>
      <w:r w:rsidR="001008CC">
        <w:t xml:space="preserve"> </w:t>
      </w:r>
      <w:r w:rsidR="00B52D78">
        <w:t>F</w:t>
      </w:r>
      <w:r>
        <w:t xml:space="preserve">or the LVRRS </w:t>
      </w:r>
      <w:r w:rsidR="00B52D78">
        <w:t xml:space="preserve">this </w:t>
      </w:r>
      <w:r>
        <w:t xml:space="preserve">should also include RIS. </w:t>
      </w:r>
    </w:p>
    <w:p w14:paraId="19FA8FA4" w14:textId="7FA4D6AD" w:rsidR="00525503" w:rsidRPr="003F4160" w:rsidRDefault="00525503" w:rsidP="00525503">
      <w:pPr>
        <w:rPr>
          <w:b/>
        </w:rPr>
      </w:pPr>
      <w:r>
        <w:rPr>
          <w:rFonts w:eastAsia="MS Mincho"/>
          <w:b/>
        </w:rPr>
        <w:t>Design Acceptance Criteria</w:t>
      </w:r>
    </w:p>
    <w:p w14:paraId="1E9D3E95" w14:textId="45AA7D5C" w:rsidR="0002113B" w:rsidRPr="000C01F7" w:rsidRDefault="0002113B" w:rsidP="0002113B">
      <w:r w:rsidRPr="000C01F7">
        <w:t xml:space="preserve">Design acceptance criteria are thresholds of </w:t>
      </w:r>
      <w:r>
        <w:t>Factor of Safety (</w:t>
      </w:r>
      <w:r w:rsidRPr="000C01F7">
        <w:t>FOS</w:t>
      </w:r>
      <w:r>
        <w:t>)</w:t>
      </w:r>
      <w:r w:rsidRPr="000C01F7">
        <w:t xml:space="preserve"> and </w:t>
      </w:r>
      <w:r>
        <w:t>Probability of Failure (</w:t>
      </w:r>
      <w:r w:rsidRPr="000C01F7">
        <w:t>POF</w:t>
      </w:r>
      <w:r>
        <w:t>)</w:t>
      </w:r>
      <w:r w:rsidRPr="000C01F7">
        <w:t xml:space="preserve"> that determine whether slope designs are acceptable.</w:t>
      </w:r>
      <w:r w:rsidR="0024523A">
        <w:t xml:space="preserve"> </w:t>
      </w:r>
      <w:r w:rsidRPr="000C01F7">
        <w:t xml:space="preserve"> Criteria vary, depending on the nature of potential risks and who may be impacted by them; for example, FOS where slopes are impacted only by the mining operation are lower than for public infrastructure, because hazards are managed differently within an operating mine</w:t>
      </w:r>
      <w:r w:rsidR="00525503">
        <w:t xml:space="preserve"> (</w:t>
      </w:r>
      <w:r w:rsidR="00BD3F3A">
        <w:fldChar w:fldCharType="begin"/>
      </w:r>
      <w:r w:rsidR="00BD3F3A">
        <w:instrText xml:space="preserve"> REF _Ref506800228 \h </w:instrText>
      </w:r>
      <w:r w:rsidR="00BD3F3A">
        <w:fldChar w:fldCharType="separate"/>
      </w:r>
      <w:r w:rsidR="00A83148" w:rsidRPr="009038E7">
        <w:t xml:space="preserve">Figure </w:t>
      </w:r>
      <w:r w:rsidR="00A83148">
        <w:rPr>
          <w:noProof/>
        </w:rPr>
        <w:t>5</w:t>
      </w:r>
      <w:r w:rsidR="00A83148" w:rsidRPr="009038E7">
        <w:t>.</w:t>
      </w:r>
      <w:r w:rsidR="00A83148">
        <w:rPr>
          <w:noProof/>
        </w:rPr>
        <w:t>1</w:t>
      </w:r>
      <w:r w:rsidR="00BD3F3A">
        <w:fldChar w:fldCharType="end"/>
      </w:r>
      <w:r w:rsidR="00525503">
        <w:t>)</w:t>
      </w:r>
      <w:r w:rsidRPr="000C01F7">
        <w:t>.</w:t>
      </w:r>
    </w:p>
    <w:p w14:paraId="1DBD09B8" w14:textId="64F8EE8C" w:rsidR="00CC495E" w:rsidRPr="000C01F7" w:rsidRDefault="00CC495E" w:rsidP="00CC495E">
      <w:r w:rsidRPr="001E29D9">
        <w:t xml:space="preserve">There is no single industry standard for FOS and POF, generally determined on a case by case basis, guided by various industry guidelines </w:t>
      </w:r>
      <w:r w:rsidR="007649A7" w:rsidRPr="001E29D9">
        <w:t xml:space="preserve">which </w:t>
      </w:r>
      <w:r w:rsidRPr="001E29D9">
        <w:t>consider the data that is used to derive them, and the level of perceived acceptable risk, key stakeholder requirements, economics, and societal impacts.</w:t>
      </w:r>
      <w:r w:rsidR="00036D50">
        <w:t xml:space="preserve"> </w:t>
      </w:r>
      <w:r w:rsidR="00852827">
        <w:t xml:space="preserve"> For example, the acceptable slope design criteria for maximum design FOS for an operating mine with interim or permanent batter walls can be different to the FOS requirement for a mine closure and rehabilitation site due to public infrastructure and liability.</w:t>
      </w:r>
    </w:p>
    <w:p w14:paraId="49EDD285" w14:textId="1EBAD4EB" w:rsidR="00CC495E" w:rsidRPr="000C01F7" w:rsidRDefault="00CC495E" w:rsidP="00CC495E">
      <w:r w:rsidRPr="000C01F7">
        <w:t>Various acceptance criteria that are commonly used in the mining industry are pub</w:t>
      </w:r>
      <w:r>
        <w:t xml:space="preserve">lished in Read and Stacey (2009) </w:t>
      </w:r>
      <w:r w:rsidRPr="000C01F7">
        <w:t>which was the product of a CSIRO</w:t>
      </w:r>
      <w:r w:rsidR="00CD174A">
        <w:t xml:space="preserve"> </w:t>
      </w:r>
      <w:r w:rsidRPr="000C01F7">
        <w:t>led international research and knowledge transfer project</w:t>
      </w:r>
      <w:r w:rsidR="001B6322">
        <w:t>.</w:t>
      </w:r>
      <w:r w:rsidR="00036D50">
        <w:t xml:space="preserve"> </w:t>
      </w:r>
      <w:r w:rsidR="001B6322">
        <w:t xml:space="preserve"> It is </w:t>
      </w:r>
      <w:r w:rsidRPr="000C01F7">
        <w:t xml:space="preserve">widely accepted in Australia </w:t>
      </w:r>
      <w:r w:rsidR="001B6322">
        <w:t xml:space="preserve">and is regarded </w:t>
      </w:r>
      <w:r w:rsidRPr="000C01F7">
        <w:t xml:space="preserve">as an industry standard in geotechnical engineering for open-pit mining.  Selected relevant examples are summarised in </w:t>
      </w:r>
      <w:r w:rsidR="00ED4A84">
        <w:fldChar w:fldCharType="begin"/>
      </w:r>
      <w:r w:rsidR="00ED4A84">
        <w:instrText xml:space="preserve"> REF _Ref506801005 \h </w:instrText>
      </w:r>
      <w:r w:rsidR="00ED4A84">
        <w:fldChar w:fldCharType="separate"/>
      </w:r>
      <w:r w:rsidR="00A83148" w:rsidRPr="009038E7">
        <w:t xml:space="preserve">Table </w:t>
      </w:r>
      <w:r w:rsidR="00A83148">
        <w:rPr>
          <w:noProof/>
        </w:rPr>
        <w:t>5</w:t>
      </w:r>
      <w:r w:rsidR="00A83148" w:rsidRPr="009038E7">
        <w:t>.</w:t>
      </w:r>
      <w:r w:rsidR="00A83148">
        <w:rPr>
          <w:noProof/>
        </w:rPr>
        <w:t>1</w:t>
      </w:r>
      <w:r w:rsidR="00ED4A84">
        <w:fldChar w:fldCharType="end"/>
      </w:r>
      <w:r w:rsidR="00ED4A84">
        <w:t xml:space="preserve"> and </w:t>
      </w:r>
      <w:r w:rsidR="00ED4A84">
        <w:fldChar w:fldCharType="begin"/>
      </w:r>
      <w:r w:rsidR="00ED4A84">
        <w:instrText xml:space="preserve"> REF _Ref506800816 \h </w:instrText>
      </w:r>
      <w:r w:rsidR="00ED4A84">
        <w:fldChar w:fldCharType="separate"/>
      </w:r>
      <w:r w:rsidR="00A83148" w:rsidRPr="009038E7">
        <w:t xml:space="preserve">Table </w:t>
      </w:r>
      <w:r w:rsidR="00A83148">
        <w:rPr>
          <w:noProof/>
        </w:rPr>
        <w:t>5</w:t>
      </w:r>
      <w:r w:rsidR="00A83148" w:rsidRPr="009038E7">
        <w:t>.</w:t>
      </w:r>
      <w:r w:rsidR="00A83148">
        <w:rPr>
          <w:noProof/>
        </w:rPr>
        <w:t>2</w:t>
      </w:r>
      <w:r w:rsidR="00ED4A84">
        <w:fldChar w:fldCharType="end"/>
      </w:r>
      <w:r w:rsidRPr="000C01F7">
        <w:t>.</w:t>
      </w:r>
    </w:p>
    <w:p w14:paraId="43B20711" w14:textId="1DCE2063" w:rsidR="00CC495E" w:rsidRPr="000C01F7" w:rsidRDefault="00CC495E" w:rsidP="00CC495E">
      <w:r w:rsidRPr="000C01F7">
        <w:t>There are no legislative specifications for FOS and POF in Australia, and the only state that provides guidance is Western Australia, with their 1999 guidelines</w:t>
      </w:r>
      <w:r w:rsidR="00B52D78">
        <w:t>.</w:t>
      </w:r>
      <w:r w:rsidR="00660F4C">
        <w:t xml:space="preserve"> </w:t>
      </w:r>
      <w:r w:rsidR="00036D50">
        <w:t xml:space="preserve"> </w:t>
      </w:r>
      <w:r w:rsidR="00B52D78">
        <w:rPr>
          <w:rStyle w:val="FootnoteReference"/>
        </w:rPr>
        <w:t xml:space="preserve"> </w:t>
      </w:r>
      <w:r w:rsidRPr="000C01F7">
        <w:t>These have been used widely and are frequently regarded as a requirement, but the original publication clearly states that they are a guideline.</w:t>
      </w:r>
    </w:p>
    <w:p w14:paraId="1ED8E962" w14:textId="39BFF4F9" w:rsidR="0023226C" w:rsidRDefault="001B6322" w:rsidP="0023226C">
      <w:r>
        <w:t xml:space="preserve">Examples of </w:t>
      </w:r>
      <w:r w:rsidR="0023226C">
        <w:t>acceptable F</w:t>
      </w:r>
      <w:r w:rsidR="0002113B">
        <w:t>OS</w:t>
      </w:r>
      <w:r w:rsidR="0023226C">
        <w:t xml:space="preserve"> and P</w:t>
      </w:r>
      <w:r w:rsidR="0002113B">
        <w:t>O</w:t>
      </w:r>
      <w:r w:rsidR="0023226C">
        <w:t>F</w:t>
      </w:r>
      <w:r w:rsidR="00391E42">
        <w:t>,</w:t>
      </w:r>
      <w:r w:rsidR="0023226C">
        <w:t xml:space="preserve"> values</w:t>
      </w:r>
      <w:r w:rsidR="00C52465">
        <w:rPr>
          <w:rStyle w:val="FootnoteReference"/>
        </w:rPr>
        <w:t xml:space="preserve"> </w:t>
      </w:r>
      <w:r w:rsidR="0023226C">
        <w:t xml:space="preserve">are presented in </w:t>
      </w:r>
      <w:r w:rsidR="00905500">
        <w:fldChar w:fldCharType="begin"/>
      </w:r>
      <w:r w:rsidR="00905500">
        <w:instrText xml:space="preserve"> REF _Ref506801005 \h </w:instrText>
      </w:r>
      <w:r w:rsidR="00905500">
        <w:fldChar w:fldCharType="separate"/>
      </w:r>
      <w:r w:rsidR="00A83148" w:rsidRPr="009038E7">
        <w:t xml:space="preserve">Table </w:t>
      </w:r>
      <w:r w:rsidR="00A83148">
        <w:rPr>
          <w:noProof/>
        </w:rPr>
        <w:t>5</w:t>
      </w:r>
      <w:r w:rsidR="00A83148" w:rsidRPr="009038E7">
        <w:t>.</w:t>
      </w:r>
      <w:r w:rsidR="00A83148">
        <w:rPr>
          <w:noProof/>
        </w:rPr>
        <w:t>1</w:t>
      </w:r>
      <w:r w:rsidR="00905500">
        <w:fldChar w:fldCharType="end"/>
      </w:r>
      <w:r w:rsidR="008F58DC">
        <w:t xml:space="preserve"> </w:t>
      </w:r>
      <w:r w:rsidR="0023226C">
        <w:t xml:space="preserve">and </w:t>
      </w:r>
      <w:r w:rsidR="00905500">
        <w:fldChar w:fldCharType="begin"/>
      </w:r>
      <w:r w:rsidR="00905500">
        <w:instrText xml:space="preserve"> REF _Ref506800816 \h </w:instrText>
      </w:r>
      <w:r w:rsidR="00905500">
        <w:fldChar w:fldCharType="separate"/>
      </w:r>
      <w:r w:rsidR="00A83148" w:rsidRPr="009038E7">
        <w:t xml:space="preserve">Table </w:t>
      </w:r>
      <w:r w:rsidR="00A83148">
        <w:rPr>
          <w:noProof/>
        </w:rPr>
        <w:t>5</w:t>
      </w:r>
      <w:r w:rsidR="00A83148" w:rsidRPr="009038E7">
        <w:t>.</w:t>
      </w:r>
      <w:r w:rsidR="00A83148">
        <w:rPr>
          <w:noProof/>
        </w:rPr>
        <w:t>2</w:t>
      </w:r>
      <w:r w:rsidR="00905500">
        <w:fldChar w:fldCharType="end"/>
      </w:r>
      <w:r w:rsidR="0023226C">
        <w:t xml:space="preserve"> and are deemed an acceptable industry standard for the design of block sliding</w:t>
      </w:r>
      <w:r w:rsidR="00C52465">
        <w:t xml:space="preserve"> </w:t>
      </w:r>
      <w:r w:rsidR="00560B0D">
        <w:t xml:space="preserve">with an </w:t>
      </w:r>
      <w:r w:rsidR="0023226C">
        <w:t>earthquake loading</w:t>
      </w:r>
      <w:r w:rsidR="00560B0D">
        <w:t xml:space="preserve"> component</w:t>
      </w:r>
      <w:r w:rsidR="0023226C">
        <w:t>.</w:t>
      </w:r>
      <w:r w:rsidR="00C52465">
        <w:t xml:space="preserve"> </w:t>
      </w:r>
      <w:r w:rsidR="00332991">
        <w:t xml:space="preserve"> </w:t>
      </w:r>
      <w:r w:rsidR="0023226C">
        <w:t>F</w:t>
      </w:r>
      <w:r w:rsidR="0002113B">
        <w:t>OS</w:t>
      </w:r>
      <w:r w:rsidR="0023226C">
        <w:t xml:space="preserve"> as a design criterion is a deterministic measure of ratio between the resisting forces (capacity, C)</w:t>
      </w:r>
      <w:r w:rsidR="009C5D0C">
        <w:t xml:space="preserve"> </w:t>
      </w:r>
      <w:r w:rsidR="0023226C">
        <w:t>and driving forces (demand, D) of a system in its environment.</w:t>
      </w:r>
    </w:p>
    <w:p w14:paraId="027E132C" w14:textId="1A531A85" w:rsidR="0023226C" w:rsidRDefault="0023226C" w:rsidP="0023226C">
      <w:pPr>
        <w:spacing w:after="0" w:line="240" w:lineRule="auto"/>
        <w:ind w:left="2880" w:firstLine="720"/>
      </w:pPr>
      <w:r>
        <w:t>F</w:t>
      </w:r>
      <w:r w:rsidR="0002113B">
        <w:t>O</w:t>
      </w:r>
      <w:r>
        <w:t>S  =</w:t>
      </w:r>
      <w:r w:rsidRPr="006B2A30">
        <w:rPr>
          <w:u w:val="single"/>
        </w:rPr>
        <w:t xml:space="preserve"> </w:t>
      </w:r>
      <w:r>
        <w:rPr>
          <w:u w:val="single"/>
        </w:rPr>
        <w:t xml:space="preserve"> </w:t>
      </w:r>
      <w:r w:rsidRPr="006B2A30">
        <w:rPr>
          <w:u w:val="single"/>
        </w:rPr>
        <w:t>C</w:t>
      </w:r>
      <w:r>
        <w:rPr>
          <w:u w:val="single"/>
        </w:rPr>
        <w:t>_</w:t>
      </w:r>
    </w:p>
    <w:p w14:paraId="39B225CC" w14:textId="75A0B9D6" w:rsidR="0023226C" w:rsidRDefault="0023226C" w:rsidP="0023226C">
      <w:pPr>
        <w:spacing w:after="0" w:line="240" w:lineRule="auto"/>
        <w:ind w:left="4320"/>
      </w:pPr>
      <w:r>
        <w:t xml:space="preserve"> D</w:t>
      </w:r>
    </w:p>
    <w:p w14:paraId="32063603" w14:textId="77777777" w:rsidR="002C1720" w:rsidRDefault="002C1720" w:rsidP="0023226C">
      <w:pPr>
        <w:spacing w:after="0" w:line="240" w:lineRule="auto"/>
        <w:ind w:left="4320"/>
      </w:pPr>
    </w:p>
    <w:p w14:paraId="0260E067" w14:textId="2954CF7B" w:rsidR="0023226C" w:rsidRDefault="0023226C" w:rsidP="0023226C">
      <w:r>
        <w:t>In concept, limiting equilibrium is achieved when the F</w:t>
      </w:r>
      <w:r w:rsidR="0002113B">
        <w:t>O</w:t>
      </w:r>
      <w:r>
        <w:t xml:space="preserve">S has a value of 1.0. </w:t>
      </w:r>
      <w:r w:rsidR="00332991">
        <w:t xml:space="preserve"> </w:t>
      </w:r>
      <w:r>
        <w:t xml:space="preserve">Due to uncertainty of likely performance, from industry experience the current standard is to prescribe a minimum design acceptance value. </w:t>
      </w:r>
      <w:r w:rsidR="00036D50">
        <w:t xml:space="preserve"> </w:t>
      </w:r>
      <w:r>
        <w:t>Examples of acceptable F</w:t>
      </w:r>
      <w:r w:rsidR="004A6EBF">
        <w:t>O</w:t>
      </w:r>
      <w:r>
        <w:t>S values for civil and mining applications is shown in</w:t>
      </w:r>
      <w:r w:rsidR="003D27A6">
        <w:t xml:space="preserve"> </w:t>
      </w:r>
      <w:r w:rsidR="00ED4A84">
        <w:fldChar w:fldCharType="begin"/>
      </w:r>
      <w:r w:rsidR="00ED4A84">
        <w:instrText xml:space="preserve"> REF _Ref506800228 \h </w:instrText>
      </w:r>
      <w:r w:rsidR="00ED4A84">
        <w:fldChar w:fldCharType="separate"/>
      </w:r>
      <w:r w:rsidR="00A83148" w:rsidRPr="009038E7">
        <w:t xml:space="preserve">Figure </w:t>
      </w:r>
      <w:r w:rsidR="00A83148">
        <w:rPr>
          <w:noProof/>
        </w:rPr>
        <w:t>5</w:t>
      </w:r>
      <w:r w:rsidR="00A83148" w:rsidRPr="009038E7">
        <w:t>.</w:t>
      </w:r>
      <w:r w:rsidR="00A83148">
        <w:rPr>
          <w:noProof/>
        </w:rPr>
        <w:t>1</w:t>
      </w:r>
      <w:r w:rsidR="00ED4A84">
        <w:fldChar w:fldCharType="end"/>
      </w:r>
      <w:r w:rsidR="00ED4A84">
        <w:t>.</w:t>
      </w:r>
    </w:p>
    <w:p w14:paraId="0FE72B3A" w14:textId="77777777" w:rsidR="005E3B9B" w:rsidRDefault="00246B19" w:rsidP="0023226C">
      <w:r>
        <w:rPr>
          <w:noProof/>
          <w:lang w:val="en-AU" w:eastAsia="en-AU"/>
        </w:rPr>
        <w:drawing>
          <wp:inline distT="0" distB="0" distL="0" distR="0" wp14:anchorId="327212E8" wp14:editId="4B8D91E2">
            <wp:extent cx="4102100" cy="1968500"/>
            <wp:effectExtent l="0" t="0" r="0" b="0"/>
            <wp:docPr id="8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t="17990"/>
                    <a:stretch>
                      <a:fillRect/>
                    </a:stretch>
                  </pic:blipFill>
                  <pic:spPr bwMode="auto">
                    <a:xfrm>
                      <a:off x="0" y="0"/>
                      <a:ext cx="4102100" cy="1968500"/>
                    </a:xfrm>
                    <a:prstGeom prst="rect">
                      <a:avLst/>
                    </a:prstGeom>
                    <a:noFill/>
                    <a:ln>
                      <a:noFill/>
                    </a:ln>
                  </pic:spPr>
                </pic:pic>
              </a:graphicData>
            </a:graphic>
          </wp:inline>
        </w:drawing>
      </w:r>
    </w:p>
    <w:p w14:paraId="2367EDF0" w14:textId="061FE154" w:rsidR="0023226C" w:rsidRPr="00EA1D58" w:rsidRDefault="00EA1D58" w:rsidP="0023226C">
      <w:pPr>
        <w:pStyle w:val="Caption"/>
      </w:pPr>
      <w:bookmarkStart w:id="78" w:name="_Ref506800228"/>
      <w:bookmarkStart w:id="79" w:name="_Toc501356767"/>
      <w:r w:rsidRPr="009038E7">
        <w:t xml:space="preserve">Figure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Figure \* ARABIC \s 1 </w:instrText>
      </w:r>
      <w:r>
        <w:fldChar w:fldCharType="separate"/>
      </w:r>
      <w:r w:rsidR="00A83148">
        <w:rPr>
          <w:noProof/>
        </w:rPr>
        <w:t>1</w:t>
      </w:r>
      <w:r>
        <w:fldChar w:fldCharType="end"/>
      </w:r>
      <w:bookmarkEnd w:id="78"/>
      <w:r w:rsidRPr="009038E7">
        <w:t xml:space="preserve"> : </w:t>
      </w:r>
      <w:r w:rsidR="0023226C">
        <w:t>Examples of acceptable F</w:t>
      </w:r>
      <w:r w:rsidR="004A6EBF">
        <w:t>O</w:t>
      </w:r>
      <w:r w:rsidR="0023226C">
        <w:t>S values</w:t>
      </w:r>
      <w:bookmarkEnd w:id="79"/>
      <w:r w:rsidR="00E40943">
        <w:t xml:space="preserve"> for </w:t>
      </w:r>
      <w:r w:rsidR="002701F0">
        <w:t>different</w:t>
      </w:r>
      <w:r w:rsidR="00A57453">
        <w:t xml:space="preserve"> industries</w:t>
      </w:r>
    </w:p>
    <w:p w14:paraId="651FE11C" w14:textId="77777777" w:rsidR="0023226C" w:rsidRDefault="0023226C" w:rsidP="0023226C">
      <w:pPr>
        <w:spacing w:after="0" w:line="240" w:lineRule="auto"/>
        <w:rPr>
          <w:b/>
        </w:rPr>
      </w:pPr>
      <w:bookmarkStart w:id="80" w:name="_Ref499823307"/>
      <w:bookmarkStart w:id="81" w:name="_Ref501091703"/>
      <w:r>
        <w:br w:type="page"/>
      </w:r>
    </w:p>
    <w:p w14:paraId="130BCF9C" w14:textId="4D9EBA14" w:rsidR="0023226C" w:rsidRPr="00D83BE1" w:rsidRDefault="00EA1D58" w:rsidP="00EA1D58">
      <w:pPr>
        <w:pStyle w:val="Caption"/>
      </w:pPr>
      <w:bookmarkStart w:id="82" w:name="_Ref506801005"/>
      <w:bookmarkStart w:id="83" w:name="_Toc501356731"/>
      <w:bookmarkEnd w:id="80"/>
      <w:bookmarkEnd w:id="81"/>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1</w:t>
      </w:r>
      <w:r>
        <w:fldChar w:fldCharType="end"/>
      </w:r>
      <w:bookmarkEnd w:id="82"/>
      <w:r w:rsidRPr="009038E7">
        <w:t xml:space="preserve"> : </w:t>
      </w:r>
      <w:r w:rsidR="0023226C">
        <w:t>Acceptable F</w:t>
      </w:r>
      <w:r w:rsidR="001B6322">
        <w:t>OS</w:t>
      </w:r>
      <w:r w:rsidR="0023226C">
        <w:t xml:space="preserve"> values, civil engineering applications</w:t>
      </w:r>
      <w:bookmarkEnd w:id="83"/>
      <w:r w:rsidR="004D5E07">
        <w:t xml:space="preserve"> (After Read and Stacey 2009)</w:t>
      </w:r>
    </w:p>
    <w:p w14:paraId="4DCE7D62" w14:textId="77777777" w:rsidR="005E3B9B" w:rsidRDefault="00246B19" w:rsidP="0023226C">
      <w:pPr>
        <w:rPr>
          <w:highlight w:val="yellow"/>
        </w:rPr>
      </w:pPr>
      <w:r>
        <w:rPr>
          <w:noProof/>
          <w:lang w:val="en-AU" w:eastAsia="en-AU"/>
        </w:rPr>
        <w:drawing>
          <wp:inline distT="0" distB="0" distL="0" distR="0" wp14:anchorId="05ACE6E8" wp14:editId="11227547">
            <wp:extent cx="6121400" cy="4210050"/>
            <wp:effectExtent l="0" t="0" r="0" b="0"/>
            <wp:docPr id="86"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49">
                      <a:extLst>
                        <a:ext uri="{28A0092B-C50C-407E-A947-70E740481C1C}">
                          <a14:useLocalDpi xmlns:a14="http://schemas.microsoft.com/office/drawing/2010/main" val="0"/>
                        </a:ext>
                      </a:extLst>
                    </a:blip>
                    <a:srcRect t="4831"/>
                    <a:stretch>
                      <a:fillRect/>
                    </a:stretch>
                  </pic:blipFill>
                  <pic:spPr bwMode="auto">
                    <a:xfrm>
                      <a:off x="0" y="0"/>
                      <a:ext cx="6121400" cy="4210050"/>
                    </a:xfrm>
                    <a:prstGeom prst="rect">
                      <a:avLst/>
                    </a:prstGeom>
                    <a:noFill/>
                    <a:ln>
                      <a:noFill/>
                    </a:ln>
                  </pic:spPr>
                </pic:pic>
              </a:graphicData>
            </a:graphic>
          </wp:inline>
        </w:drawing>
      </w:r>
    </w:p>
    <w:p w14:paraId="6DEDFD9B" w14:textId="7E4CC2AE" w:rsidR="0023226C" w:rsidRDefault="0023226C" w:rsidP="0023226C">
      <w:bookmarkStart w:id="84" w:name="_Ref499755980"/>
      <w:r>
        <w:t>Used along with the F</w:t>
      </w:r>
      <w:r w:rsidR="004A6EBF">
        <w:t>OS</w:t>
      </w:r>
      <w:r>
        <w:t>, the P</w:t>
      </w:r>
      <w:r w:rsidR="00391E42">
        <w:t>O</w:t>
      </w:r>
      <w:r>
        <w:t xml:space="preserve">F design criterion </w:t>
      </w:r>
      <w:r w:rsidR="004D5E07">
        <w:t>considers</w:t>
      </w:r>
      <w:r>
        <w:t xml:space="preserve"> the variability of the capacity (C) and demand (D). </w:t>
      </w:r>
      <w:r w:rsidR="00036D50">
        <w:t xml:space="preserve"> </w:t>
      </w:r>
      <w:r>
        <w:t>The P</w:t>
      </w:r>
      <w:r w:rsidR="00391E42">
        <w:t>O</w:t>
      </w:r>
      <w:r>
        <w:t xml:space="preserve">F enables the variabilities in capacity (C) and demand (D) functions to be taken into account and helps establish the level of confidence in the design. </w:t>
      </w:r>
      <w:r w:rsidR="00036D50">
        <w:t xml:space="preserve"> </w:t>
      </w:r>
      <w:r>
        <w:t>The P</w:t>
      </w:r>
      <w:r w:rsidR="00391E42">
        <w:t>O</w:t>
      </w:r>
      <w:r>
        <w:t>F scales linearly, for example a P</w:t>
      </w:r>
      <w:r w:rsidR="00391E42">
        <w:t>O</w:t>
      </w:r>
      <w:r>
        <w:t>F of 10% is twice as great as a P</w:t>
      </w:r>
      <w:r w:rsidR="00391E42">
        <w:t>O</w:t>
      </w:r>
      <w:r>
        <w:t>F of 5% and the P</w:t>
      </w:r>
      <w:r w:rsidR="00391E42">
        <w:t>O</w:t>
      </w:r>
      <w:r>
        <w:t xml:space="preserve">F can </w:t>
      </w:r>
      <w:r w:rsidR="001B6322">
        <w:t xml:space="preserve">be </w:t>
      </w:r>
      <w:r>
        <w:t>used in risk calculations.</w:t>
      </w:r>
    </w:p>
    <w:p w14:paraId="5E271280" w14:textId="46DA3358" w:rsidR="0023226C" w:rsidRDefault="0023226C" w:rsidP="0023226C">
      <w:r>
        <w:tab/>
      </w:r>
      <w:r>
        <w:tab/>
      </w:r>
      <w:r>
        <w:tab/>
      </w:r>
      <w:r>
        <w:tab/>
        <w:t>P</w:t>
      </w:r>
      <w:r w:rsidR="00391E42">
        <w:t>O</w:t>
      </w:r>
      <w:r>
        <w:t xml:space="preserve">F  =  </w:t>
      </w:r>
      <w:r w:rsidRPr="003D27A6">
        <w:t>P</w:t>
      </w:r>
      <w:r>
        <w:t>(F</w:t>
      </w:r>
      <w:r w:rsidR="00391E42">
        <w:t>OS</w:t>
      </w:r>
      <w:r>
        <w:t xml:space="preserve"> </w:t>
      </w:r>
      <w:r w:rsidRPr="003D27A6">
        <w:t>≤</w:t>
      </w:r>
      <w:r>
        <w:t xml:space="preserve"> 1)</w:t>
      </w:r>
    </w:p>
    <w:p w14:paraId="1BFDA79F" w14:textId="32AB4DC9" w:rsidR="0023226C" w:rsidRPr="003D27A6" w:rsidRDefault="0023226C" w:rsidP="0023226C">
      <w:pPr>
        <w:spacing w:after="0" w:line="240" w:lineRule="auto"/>
      </w:pPr>
      <w:r>
        <w:t>P</w:t>
      </w:r>
      <w:r w:rsidR="008F58DC">
        <w:t>O</w:t>
      </w:r>
      <w:r>
        <w:t>F design acceptance guidelines are listed in</w:t>
      </w:r>
      <w:r w:rsidR="003D27A6">
        <w:t xml:space="preserve"> </w:t>
      </w:r>
      <w:r w:rsidR="00905500">
        <w:fldChar w:fldCharType="begin"/>
      </w:r>
      <w:r w:rsidR="00905500">
        <w:instrText xml:space="preserve"> REF _Ref506800816 \h </w:instrText>
      </w:r>
      <w:r w:rsidR="003D27A6">
        <w:instrText xml:space="preserve"> \* MERGEFORMAT </w:instrText>
      </w:r>
      <w:r w:rsidR="00905500">
        <w:fldChar w:fldCharType="separate"/>
      </w:r>
      <w:r w:rsidR="00A83148" w:rsidRPr="009038E7">
        <w:t xml:space="preserve">Table </w:t>
      </w:r>
      <w:r w:rsidR="00A83148">
        <w:t>5</w:t>
      </w:r>
      <w:r w:rsidR="00A83148" w:rsidRPr="009038E7">
        <w:t>.</w:t>
      </w:r>
      <w:r w:rsidR="00A83148">
        <w:t>2</w:t>
      </w:r>
      <w:r w:rsidR="00905500">
        <w:fldChar w:fldCharType="end"/>
      </w:r>
      <w:r>
        <w:t>.</w:t>
      </w:r>
    </w:p>
    <w:p w14:paraId="6D14408C" w14:textId="77777777" w:rsidR="0023226C" w:rsidRDefault="0023226C" w:rsidP="0023226C"/>
    <w:p w14:paraId="3CFD2722" w14:textId="77777777" w:rsidR="0023226C" w:rsidRDefault="0023226C" w:rsidP="0023226C">
      <w:pPr>
        <w:spacing w:after="0" w:line="240" w:lineRule="auto"/>
        <w:rPr>
          <w:b/>
        </w:rPr>
      </w:pPr>
      <w:bookmarkStart w:id="85" w:name="_Ref500934877"/>
      <w:r>
        <w:br w:type="page"/>
      </w:r>
    </w:p>
    <w:p w14:paraId="56D308F5" w14:textId="2990FF41" w:rsidR="0023226C" w:rsidRPr="00AF0831" w:rsidRDefault="00EA1D58" w:rsidP="0023226C">
      <w:pPr>
        <w:pStyle w:val="Caption"/>
      </w:pPr>
      <w:bookmarkStart w:id="86" w:name="_Ref506800816"/>
      <w:bookmarkStart w:id="87" w:name="_Toc501356732"/>
      <w:bookmarkEnd w:id="84"/>
      <w:bookmarkEnd w:id="85"/>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2</w:t>
      </w:r>
      <w:r>
        <w:fldChar w:fldCharType="end"/>
      </w:r>
      <w:bookmarkEnd w:id="86"/>
      <w:r w:rsidRPr="009038E7">
        <w:t xml:space="preserve"> : </w:t>
      </w:r>
      <w:r w:rsidR="0023226C">
        <w:t>P</w:t>
      </w:r>
      <w:r w:rsidR="001B6322">
        <w:t>O</w:t>
      </w:r>
      <w:r w:rsidR="0023226C">
        <w:t>F design acceptance guidelines</w:t>
      </w:r>
      <w:bookmarkEnd w:id="87"/>
    </w:p>
    <w:p w14:paraId="33310095" w14:textId="77777777" w:rsidR="005E3B9B" w:rsidRDefault="00246B19" w:rsidP="0023226C">
      <w:pPr>
        <w:rPr>
          <w:highlight w:val="yellow"/>
        </w:rPr>
      </w:pPr>
      <w:r>
        <w:rPr>
          <w:noProof/>
          <w:lang w:val="en-AU" w:eastAsia="en-AU"/>
        </w:rPr>
        <w:drawing>
          <wp:inline distT="0" distB="0" distL="0" distR="0" wp14:anchorId="79F02520" wp14:editId="71F9E707">
            <wp:extent cx="6102350" cy="2933700"/>
            <wp:effectExtent l="0" t="0" r="0" b="0"/>
            <wp:docPr id="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t="7477"/>
                    <a:stretch>
                      <a:fillRect/>
                    </a:stretch>
                  </pic:blipFill>
                  <pic:spPr bwMode="auto">
                    <a:xfrm>
                      <a:off x="0" y="0"/>
                      <a:ext cx="6102350" cy="2933700"/>
                    </a:xfrm>
                    <a:prstGeom prst="rect">
                      <a:avLst/>
                    </a:prstGeom>
                    <a:noFill/>
                    <a:ln>
                      <a:noFill/>
                    </a:ln>
                  </pic:spPr>
                </pic:pic>
              </a:graphicData>
            </a:graphic>
          </wp:inline>
        </w:drawing>
      </w:r>
    </w:p>
    <w:p w14:paraId="1D8C29C2" w14:textId="77777777" w:rsidR="00C77A29" w:rsidRPr="00525503" w:rsidRDefault="00C77A29" w:rsidP="00525503">
      <w:pPr>
        <w:rPr>
          <w:rFonts w:eastAsia="MS Mincho"/>
          <w:b/>
        </w:rPr>
      </w:pPr>
      <w:r w:rsidRPr="00525503">
        <w:rPr>
          <w:rFonts w:eastAsia="MS Mincho"/>
          <w:b/>
        </w:rPr>
        <w:t>Interpretations of POF for Slope Designs</w:t>
      </w:r>
    </w:p>
    <w:p w14:paraId="5A196F74" w14:textId="3E27110A" w:rsidR="00C77A29" w:rsidRPr="000C01F7" w:rsidRDefault="00C77A29" w:rsidP="00C77A29">
      <w:r w:rsidRPr="000C01F7">
        <w:t>FOS</w:t>
      </w:r>
      <w:r w:rsidR="00525503">
        <w:t xml:space="preserve"> thresholds are</w:t>
      </w:r>
      <w:r w:rsidRPr="000C01F7">
        <w:t xml:space="preserve"> a well-established criter</w:t>
      </w:r>
      <w:r w:rsidR="00525503">
        <w:t>ion in geotechnical engineering</w:t>
      </w:r>
      <w:r w:rsidRPr="000C01F7">
        <w:t xml:space="preserve"> </w:t>
      </w:r>
      <w:r w:rsidR="00525503">
        <w:t xml:space="preserve">that are widely used </w:t>
      </w:r>
      <w:r w:rsidRPr="000C01F7">
        <w:t xml:space="preserve">and their implied risk </w:t>
      </w:r>
      <w:r w:rsidR="00525503">
        <w:t xml:space="preserve">in a qualitative sense </w:t>
      </w:r>
      <w:r w:rsidR="001B6322">
        <w:t xml:space="preserve">is typically </w:t>
      </w:r>
      <w:r w:rsidR="00525503">
        <w:t>well understood.  POF requires</w:t>
      </w:r>
      <w:r w:rsidRPr="000C01F7">
        <w:t xml:space="preserve"> practitioners to consider assumptions about uncertainties in the geotechnical model.  POF </w:t>
      </w:r>
      <w:r w:rsidR="00B925A6">
        <w:t>values</w:t>
      </w:r>
      <w:r w:rsidRPr="000C01F7">
        <w:t xml:space="preserve"> provided in mining guidelines need to </w:t>
      </w:r>
      <w:r w:rsidR="001B6322">
        <w:t xml:space="preserve">also </w:t>
      </w:r>
      <w:r w:rsidRPr="000C01F7">
        <w:t xml:space="preserve">consider a risk-based </w:t>
      </w:r>
      <w:r w:rsidR="00B925A6">
        <w:t>approach.</w:t>
      </w:r>
    </w:p>
    <w:p w14:paraId="1CD58D42" w14:textId="77777777" w:rsidR="00C77A29" w:rsidRPr="00595A9A" w:rsidRDefault="00C77A29" w:rsidP="00595A9A">
      <w:pPr>
        <w:rPr>
          <w:rFonts w:eastAsia="MS Mincho"/>
          <w:b/>
        </w:rPr>
      </w:pPr>
      <w:bookmarkStart w:id="88" w:name="_Ref493082427"/>
      <w:bookmarkStart w:id="89" w:name="_Toc505086579"/>
      <w:r w:rsidRPr="00595A9A">
        <w:rPr>
          <w:rFonts w:eastAsia="MS Mincho"/>
          <w:b/>
        </w:rPr>
        <w:t>Probability and Risk</w:t>
      </w:r>
      <w:bookmarkEnd w:id="88"/>
      <w:bookmarkEnd w:id="89"/>
    </w:p>
    <w:p w14:paraId="50029B76" w14:textId="3795A9F3" w:rsidR="00C77A29" w:rsidRPr="000C01F7" w:rsidRDefault="00C77A29" w:rsidP="00C77A29">
      <w:r w:rsidRPr="000C01F7">
        <w:t>Geotechnical design processes that incorporate prescribed levels of reliability, and consideration of acceptable risk, rather than a constant FOS prescribed in codes or guidelines, are becoming increasingly recognised and accepted in recent literature (for example, Lacasse</w:t>
      </w:r>
      <w:r w:rsidR="00595A9A">
        <w:t>, 2016)</w:t>
      </w:r>
      <w:r w:rsidR="001809BA">
        <w:t>.</w:t>
      </w:r>
    </w:p>
    <w:p w14:paraId="0F12E9D8" w14:textId="5E486F13" w:rsidR="00C77A29" w:rsidRPr="000C01F7" w:rsidRDefault="00C77A29" w:rsidP="00C77A29">
      <w:r w:rsidRPr="000C01F7">
        <w:t xml:space="preserve">It is implied in this process that risks cannot be reduced to zero, and that as they are reduced to very low levels, an extremely high cost is required, which may then in turn induce further risks; for example, considerable earthworks, or importing of materials, in the case of a geotechnical design, which has flow-on effects for industrial risks and transportation on public roads.  </w:t>
      </w:r>
      <w:r w:rsidR="001B6322">
        <w:t>T</w:t>
      </w:r>
      <w:r w:rsidRPr="000C01F7">
        <w:t>he concept of ALARP (as low as reasonably practicable) risk level was developed, which is the point at which the cost involved in reducing the risk further would be greatly disproportionate to the benefit gained</w:t>
      </w:r>
      <w:r w:rsidR="00905500">
        <w:t>.</w:t>
      </w:r>
    </w:p>
    <w:p w14:paraId="3E63AB35" w14:textId="77777777" w:rsidR="00C77A29" w:rsidRPr="000C01F7" w:rsidRDefault="00C77A29" w:rsidP="00C77A29"/>
    <w:p w14:paraId="10ABD3C4" w14:textId="77777777" w:rsidR="00C77A29" w:rsidRPr="000C01F7" w:rsidRDefault="00C77A29" w:rsidP="00C77A29">
      <w:pPr>
        <w:keepNext/>
      </w:pPr>
      <w:r w:rsidRPr="000C01F7">
        <w:rPr>
          <w:noProof/>
          <w:lang w:val="en-AU" w:eastAsia="en-AU"/>
        </w:rPr>
        <w:drawing>
          <wp:inline distT="0" distB="0" distL="0" distR="0" wp14:anchorId="4126997A" wp14:editId="1B20E743">
            <wp:extent cx="2819400" cy="2701925"/>
            <wp:effectExtent l="0" t="0" r="0" b="3175"/>
            <wp:docPr id="28" name="Picture 28" descr="C:\Users\dlucas\Desktop\Risk3_Lacasse Fi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ucas\Desktop\Risk3_Lacasse Fig 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9739" cy="2702250"/>
                    </a:xfrm>
                    <a:prstGeom prst="rect">
                      <a:avLst/>
                    </a:prstGeom>
                    <a:noFill/>
                    <a:ln>
                      <a:noFill/>
                    </a:ln>
                  </pic:spPr>
                </pic:pic>
              </a:graphicData>
            </a:graphic>
          </wp:inline>
        </w:drawing>
      </w:r>
    </w:p>
    <w:p w14:paraId="2AE7D2EE" w14:textId="7A8F0D2F" w:rsidR="00C77A29" w:rsidRPr="00EA1D58" w:rsidRDefault="00EA1D58" w:rsidP="00510DC6">
      <w:pPr>
        <w:pStyle w:val="Caption"/>
      </w:pPr>
      <w:bookmarkStart w:id="90" w:name="_Ref506800367"/>
      <w:bookmarkStart w:id="91" w:name="_Toc505086781"/>
      <w:r w:rsidRPr="009038E7">
        <w:t xml:space="preserve">Figure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Figure \* ARABIC \s 1 </w:instrText>
      </w:r>
      <w:r>
        <w:fldChar w:fldCharType="separate"/>
      </w:r>
      <w:r w:rsidR="00A83148">
        <w:rPr>
          <w:noProof/>
        </w:rPr>
        <w:t>2</w:t>
      </w:r>
      <w:r>
        <w:fldChar w:fldCharType="end"/>
      </w:r>
      <w:bookmarkEnd w:id="90"/>
      <w:r w:rsidRPr="009038E7">
        <w:t xml:space="preserve"> : </w:t>
      </w:r>
      <w:r w:rsidR="00C77A29" w:rsidRPr="000C01F7">
        <w:t>ALARP Range, Acceptable and Unacceptable Risk Concept (</w:t>
      </w:r>
      <w:r w:rsidR="00BA7BAA">
        <w:t xml:space="preserve">adapted after </w:t>
      </w:r>
      <w:r w:rsidR="008740BD">
        <w:t>Australian Geomechanics</w:t>
      </w:r>
      <w:r w:rsidR="00BA7BAA">
        <w:t xml:space="preserve"> Society, 2000)</w:t>
      </w:r>
      <w:bookmarkEnd w:id="91"/>
    </w:p>
    <w:p w14:paraId="335E31A5" w14:textId="06939A2C" w:rsidR="00C77A29" w:rsidRPr="000C01F7" w:rsidRDefault="00905500" w:rsidP="00C77A29">
      <w:r>
        <w:fldChar w:fldCharType="begin"/>
      </w:r>
      <w:r>
        <w:instrText xml:space="preserve"> REF _Ref506800381 \h </w:instrText>
      </w:r>
      <w:r>
        <w:fldChar w:fldCharType="separate"/>
      </w:r>
      <w:r w:rsidR="00A83148" w:rsidRPr="009038E7">
        <w:t xml:space="preserve">Figure </w:t>
      </w:r>
      <w:r w:rsidR="00A83148">
        <w:rPr>
          <w:noProof/>
        </w:rPr>
        <w:t>5</w:t>
      </w:r>
      <w:r w:rsidR="00A83148" w:rsidRPr="009038E7">
        <w:t>.</w:t>
      </w:r>
      <w:r w:rsidR="00A83148">
        <w:rPr>
          <w:noProof/>
        </w:rPr>
        <w:t>3</w:t>
      </w:r>
      <w:r>
        <w:fldChar w:fldCharType="end"/>
      </w:r>
      <w:r w:rsidR="003D27A6">
        <w:t xml:space="preserve"> </w:t>
      </w:r>
      <w:r w:rsidR="00C77A29" w:rsidRPr="000C01F7">
        <w:t xml:space="preserve">compares some risk guidelines from various </w:t>
      </w:r>
      <w:r w:rsidR="00F241CD" w:rsidRPr="000C01F7">
        <w:t>countries and</w:t>
      </w:r>
      <w:r w:rsidR="00C77A29" w:rsidRPr="000C01F7">
        <w:t xml:space="preserve"> suggests that where one or no lives are at risk, an annual probability of 10</w:t>
      </w:r>
      <w:r w:rsidR="00C77A29" w:rsidRPr="000C01F7">
        <w:rPr>
          <w:vertAlign w:val="superscript"/>
        </w:rPr>
        <w:t>-2</w:t>
      </w:r>
      <w:r w:rsidR="00C77A29" w:rsidRPr="000C01F7">
        <w:t xml:space="preserve"> to 10</w:t>
      </w:r>
      <w:r w:rsidR="00C77A29" w:rsidRPr="000C01F7">
        <w:rPr>
          <w:vertAlign w:val="superscript"/>
        </w:rPr>
        <w:t>-3</w:t>
      </w:r>
      <w:r w:rsidR="00C77A29" w:rsidRPr="000C01F7">
        <w:t xml:space="preserve"> may be acceptable.  The ANCOLD/AGS line on this figure is placed at 10</w:t>
      </w:r>
      <w:r w:rsidR="00C77A29" w:rsidRPr="000C01F7">
        <w:rPr>
          <w:vertAlign w:val="superscript"/>
        </w:rPr>
        <w:t>-5</w:t>
      </w:r>
      <w:r w:rsidR="00C77A29" w:rsidRPr="000C01F7">
        <w:t>, and the AGS reference on risk management of landslides in natural slopes</w:t>
      </w:r>
      <w:r w:rsidR="00510DC6">
        <w:rPr>
          <w:rStyle w:val="FootnoteReference"/>
        </w:rPr>
        <w:footnoteReference w:id="7"/>
      </w:r>
      <w:r w:rsidR="00510DC6">
        <w:t xml:space="preserve"> </w:t>
      </w:r>
      <w:r w:rsidR="00C77A29" w:rsidRPr="000C01F7">
        <w:t>indicates that the average risk per person may be 10</w:t>
      </w:r>
      <w:r w:rsidR="00C77A29" w:rsidRPr="000C01F7">
        <w:rPr>
          <w:vertAlign w:val="superscript"/>
        </w:rPr>
        <w:t>-5</w:t>
      </w:r>
      <w:r w:rsidR="00C77A29" w:rsidRPr="000C01F7">
        <w:t xml:space="preserve"> with the tolerable risk for the person most at risk rising to 10</w:t>
      </w:r>
      <w:r w:rsidR="00C77A29" w:rsidRPr="000C01F7">
        <w:rPr>
          <w:vertAlign w:val="superscript"/>
        </w:rPr>
        <w:t>-4</w:t>
      </w:r>
      <w:r w:rsidR="00C77A29" w:rsidRPr="000C01F7">
        <w:t>.</w:t>
      </w:r>
    </w:p>
    <w:p w14:paraId="7320B68F" w14:textId="77777777" w:rsidR="00C77A29" w:rsidRPr="000C01F7" w:rsidRDefault="00C77A29" w:rsidP="00C77A29">
      <w:pPr>
        <w:keepNext/>
      </w:pPr>
      <w:r w:rsidRPr="000C01F7">
        <w:rPr>
          <w:noProof/>
          <w:lang w:val="en-AU" w:eastAsia="en-AU"/>
        </w:rPr>
        <w:drawing>
          <wp:inline distT="0" distB="0" distL="0" distR="0" wp14:anchorId="62E503BA" wp14:editId="5854C896">
            <wp:extent cx="3724275" cy="2936448"/>
            <wp:effectExtent l="0" t="0" r="0" b="0"/>
            <wp:docPr id="2159" name="Picture 2159" descr="C:\Users\dlucas\Desktop\Risk1_Lacasse 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Desktop\Risk1_Lacasse Fig 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24864" cy="2936913"/>
                    </a:xfrm>
                    <a:prstGeom prst="rect">
                      <a:avLst/>
                    </a:prstGeom>
                    <a:noFill/>
                    <a:ln>
                      <a:noFill/>
                    </a:ln>
                  </pic:spPr>
                </pic:pic>
              </a:graphicData>
            </a:graphic>
          </wp:inline>
        </w:drawing>
      </w:r>
    </w:p>
    <w:p w14:paraId="49087E5D" w14:textId="243DB78A" w:rsidR="00C77A29" w:rsidRPr="00EA1D58" w:rsidRDefault="00EA1D58" w:rsidP="00510DC6">
      <w:pPr>
        <w:pStyle w:val="Caption"/>
      </w:pPr>
      <w:bookmarkStart w:id="92" w:name="_Ref506800381"/>
      <w:bookmarkStart w:id="93" w:name="_Toc505086782"/>
      <w:r w:rsidRPr="009038E7">
        <w:t xml:space="preserve">Figure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Figure \* ARABIC \s 1 </w:instrText>
      </w:r>
      <w:r>
        <w:fldChar w:fldCharType="separate"/>
      </w:r>
      <w:r w:rsidR="00A83148">
        <w:rPr>
          <w:noProof/>
        </w:rPr>
        <w:t>3</w:t>
      </w:r>
      <w:r>
        <w:fldChar w:fldCharType="end"/>
      </w:r>
      <w:bookmarkEnd w:id="92"/>
      <w:r w:rsidRPr="009038E7">
        <w:t xml:space="preserve"> : </w:t>
      </w:r>
      <w:r w:rsidR="00C77A29" w:rsidRPr="000C01F7">
        <w:t xml:space="preserve">Comparison of Risk Guidelines in Various Countries </w:t>
      </w:r>
      <w:bookmarkEnd w:id="93"/>
      <w:r w:rsidR="00BA7BAA">
        <w:t>(adapted after Australian Geomechanics Society, 2000)</w:t>
      </w:r>
    </w:p>
    <w:p w14:paraId="65E49DB5" w14:textId="77777777" w:rsidR="00C77A29" w:rsidRPr="000C01F7" w:rsidRDefault="00C77A29" w:rsidP="00C77A29"/>
    <w:p w14:paraId="14D3F9C0" w14:textId="251DCB59" w:rsidR="00C77A29" w:rsidRPr="000C01F7" w:rsidRDefault="00C77A29" w:rsidP="00C77A29">
      <w:r w:rsidRPr="000C01F7">
        <w:t>Taking as a benchmark the maximum individual risk due to common activities, excepting those that are inherently safe or highly unlikely, and the range of ALARP from the various examples where low numbers of fatalities may occur, it is considered that a probability of 10</w:t>
      </w:r>
      <w:r w:rsidRPr="000C01F7">
        <w:rPr>
          <w:vertAlign w:val="superscript"/>
        </w:rPr>
        <w:t>-4</w:t>
      </w:r>
      <w:r w:rsidRPr="000C01F7">
        <w:t xml:space="preserve"> events per year is an upper limit, and 10</w:t>
      </w:r>
      <w:r w:rsidRPr="000C01F7">
        <w:rPr>
          <w:vertAlign w:val="superscript"/>
        </w:rPr>
        <w:t>-5</w:t>
      </w:r>
      <w:r w:rsidRPr="000C01F7">
        <w:t xml:space="preserve"> events pe</w:t>
      </w:r>
      <w:r w:rsidR="007649A7">
        <w:t>r year is an acceptable target, f</w:t>
      </w:r>
      <w:r w:rsidRPr="000C01F7">
        <w:t xml:space="preserve">or </w:t>
      </w:r>
      <w:r w:rsidRPr="00B10720">
        <w:t>this purpose, a POF design target of 10</w:t>
      </w:r>
      <w:r w:rsidRPr="00B10720">
        <w:rPr>
          <w:vertAlign w:val="superscript"/>
        </w:rPr>
        <w:t>-5</w:t>
      </w:r>
      <w:r w:rsidR="007649A7" w:rsidRPr="00B10720">
        <w:rPr>
          <w:vertAlign w:val="superscript"/>
        </w:rPr>
        <w:t xml:space="preserve"> </w:t>
      </w:r>
      <w:r w:rsidR="007649A7" w:rsidRPr="00B10720">
        <w:t>could be adopted.</w:t>
      </w:r>
      <w:r w:rsidR="007649A7" w:rsidRPr="007649A7">
        <w:t xml:space="preserve"> </w:t>
      </w:r>
    </w:p>
    <w:p w14:paraId="67019F59" w14:textId="72611A06" w:rsidR="00D125E3" w:rsidRPr="007649A7" w:rsidRDefault="00D125E3" w:rsidP="00AE46BC">
      <w:pPr>
        <w:pStyle w:val="Heading4"/>
        <w:rPr>
          <w:rFonts w:eastAsia="MS Mincho"/>
          <w:lang w:val="en-AU"/>
        </w:rPr>
      </w:pPr>
      <w:bookmarkStart w:id="94" w:name="_Ref487120385"/>
      <w:bookmarkStart w:id="95" w:name="_Toc505086582"/>
      <w:r w:rsidRPr="007649A7">
        <w:t>Thresholds</w:t>
      </w:r>
      <w:r w:rsidRPr="007649A7">
        <w:rPr>
          <w:rFonts w:eastAsia="MS Mincho"/>
          <w:lang w:val="en-AU"/>
        </w:rPr>
        <w:t xml:space="preserve"> and Rationale </w:t>
      </w:r>
    </w:p>
    <w:bookmarkEnd w:id="94"/>
    <w:bookmarkEnd w:id="95"/>
    <w:p w14:paraId="3E605A61" w14:textId="2CF31254" w:rsidR="00922339" w:rsidRDefault="00F83073" w:rsidP="00D125E3">
      <w:r>
        <w:t xml:space="preserve">The setting of thresholds for the </w:t>
      </w:r>
      <w:r w:rsidR="00564E5D">
        <w:t xml:space="preserve">factor of safety (FOS) and probability of failure (POF) </w:t>
      </w:r>
      <w:r w:rsidR="00BB0A99">
        <w:t>i</w:t>
      </w:r>
      <w:r w:rsidR="00C44035">
        <w:t>s</w:t>
      </w:r>
      <w:r w:rsidR="00BB0A99">
        <w:t xml:space="preserve"> potentially problematic in this setting as the FOS and POF are continually reviewed, revised and the mine design is altered through ongoing </w:t>
      </w:r>
      <w:r w:rsidR="002578F3">
        <w:t>operations and into rehabilitation.</w:t>
      </w:r>
      <w:r w:rsidR="00246F11">
        <w:t xml:space="preserve"> </w:t>
      </w:r>
      <w:r w:rsidR="002578F3">
        <w:t xml:space="preserve"> The guidance in this section may not make any practical difference to the management of the mine voids, nevertheless </w:t>
      </w:r>
      <w:r w:rsidR="00922339">
        <w:t>a guidance value has been identified.</w:t>
      </w:r>
    </w:p>
    <w:p w14:paraId="1D83CB8A" w14:textId="0171D28A" w:rsidR="00B73ACD" w:rsidRPr="00CF2C36" w:rsidRDefault="00922339" w:rsidP="00D125E3">
      <w:r w:rsidRPr="00CF2C36">
        <w:t xml:space="preserve">We propose that impacts of rehabilitation on other mines should be viewed in terms of the </w:t>
      </w:r>
      <w:r w:rsidR="0041241F" w:rsidRPr="00CF2C36">
        <w:t xml:space="preserve">potential change in FOS and POF that would result from the rehabilitation action. </w:t>
      </w:r>
      <w:r w:rsidR="00246F11" w:rsidRPr="00CF2C36">
        <w:t xml:space="preserve"> </w:t>
      </w:r>
      <w:r w:rsidR="0041241F" w:rsidRPr="00CF2C36">
        <w:t xml:space="preserve">In </w:t>
      </w:r>
      <w:r w:rsidR="00361F4A" w:rsidRPr="00CF2C36">
        <w:t xml:space="preserve">truth, each mine will be constantly adjusting its response in light of external stressors so this is not a </w:t>
      </w:r>
      <w:r w:rsidR="00DE7366" w:rsidRPr="00CF2C36">
        <w:t>simple</w:t>
      </w:r>
      <w:r w:rsidR="00361F4A" w:rsidRPr="00CF2C36">
        <w:t xml:space="preserve"> situation and no single test </w:t>
      </w:r>
      <w:r w:rsidR="00B73ACD" w:rsidRPr="00CF2C36">
        <w:t>is likely to be suitable</w:t>
      </w:r>
      <w:r w:rsidR="00DE7366" w:rsidRPr="00CF2C36">
        <w:t xml:space="preserve"> on its own</w:t>
      </w:r>
      <w:r w:rsidR="00B73ACD" w:rsidRPr="00CF2C36">
        <w:t>.</w:t>
      </w:r>
    </w:p>
    <w:p w14:paraId="08D2A17E" w14:textId="7521C4DC" w:rsidR="00F83073" w:rsidRDefault="00B73ACD" w:rsidP="00D125E3">
      <w:r w:rsidRPr="00CF2C36">
        <w:t xml:space="preserve">Our recommended approach is to consider the change </w:t>
      </w:r>
      <w:r w:rsidR="00044C56" w:rsidRPr="00CF2C36">
        <w:t xml:space="preserve">whether rehabilitation ground movement from one site would result in a change </w:t>
      </w:r>
      <w:r w:rsidRPr="00CF2C36">
        <w:t xml:space="preserve">in FOS </w:t>
      </w:r>
      <w:r w:rsidR="00044C56" w:rsidRPr="00CF2C36">
        <w:t xml:space="preserve">or POF in another site as the relevant threshold for response. As noted in the discussion above, mine operators are duty bound to respond to such external changes in any case, so this threshold may never be able to be applied in </w:t>
      </w:r>
      <w:r w:rsidR="000665E8" w:rsidRPr="00CF2C36">
        <w:t>practice.</w:t>
      </w:r>
    </w:p>
    <w:p w14:paraId="7B28F809" w14:textId="0C4ABE42" w:rsidR="00C77A29" w:rsidRPr="000C01F7" w:rsidRDefault="00D125E3" w:rsidP="00C77A29">
      <w:r>
        <w:t xml:space="preserve">The defined threshold </w:t>
      </w:r>
      <w:r w:rsidR="000665E8">
        <w:t xml:space="preserve">for extractive industry is to consider any rehabilitation ground movement effect that lowers the FOS </w:t>
      </w:r>
      <w:r w:rsidR="00097AD5">
        <w:t xml:space="preserve">below the threshold or increases the POF above the threshold as subject to review. The recommended threshold values are given in </w:t>
      </w:r>
      <w:r w:rsidR="00ED4A84">
        <w:fldChar w:fldCharType="begin"/>
      </w:r>
      <w:r w:rsidR="00ED4A84">
        <w:instrText xml:space="preserve"> REF _Ref506801252 \h </w:instrText>
      </w:r>
      <w:r w:rsidR="00ED4A84">
        <w:fldChar w:fldCharType="separate"/>
      </w:r>
      <w:r w:rsidR="00A83148" w:rsidRPr="009038E7">
        <w:t xml:space="preserve">Table </w:t>
      </w:r>
      <w:r w:rsidR="00A83148">
        <w:rPr>
          <w:noProof/>
        </w:rPr>
        <w:t>5</w:t>
      </w:r>
      <w:r w:rsidR="00A83148" w:rsidRPr="009038E7">
        <w:t>.</w:t>
      </w:r>
      <w:r w:rsidR="00A83148">
        <w:rPr>
          <w:noProof/>
        </w:rPr>
        <w:t>3</w:t>
      </w:r>
      <w:r w:rsidR="00ED4A84">
        <w:fldChar w:fldCharType="end"/>
      </w:r>
      <w:r w:rsidR="00097AD5">
        <w:t>. Because of the circular nature of these</w:t>
      </w:r>
      <w:r w:rsidR="0076467B">
        <w:t xml:space="preserve"> factors their application may be problematic.</w:t>
      </w:r>
    </w:p>
    <w:p w14:paraId="0935D312" w14:textId="200ED703" w:rsidR="00C77A29" w:rsidRPr="000C01F7" w:rsidRDefault="00EA1D58" w:rsidP="007649A7">
      <w:pPr>
        <w:pStyle w:val="Caption"/>
      </w:pPr>
      <w:bookmarkStart w:id="96" w:name="_Ref506801252"/>
      <w:bookmarkStart w:id="97" w:name="_Toc505086711"/>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3</w:t>
      </w:r>
      <w:r>
        <w:fldChar w:fldCharType="end"/>
      </w:r>
      <w:bookmarkEnd w:id="96"/>
      <w:r w:rsidRPr="009038E7">
        <w:t xml:space="preserve"> : </w:t>
      </w:r>
      <w:r w:rsidR="0076467B">
        <w:t>Recommended t</w:t>
      </w:r>
      <w:r w:rsidR="007649A7">
        <w:t xml:space="preserve">hresholds </w:t>
      </w:r>
      <w:r w:rsidR="00C77A29" w:rsidRPr="000C01F7">
        <w:t xml:space="preserve">for </w:t>
      </w:r>
      <w:r w:rsidR="009A4AEF">
        <w:t>Batter Stability</w:t>
      </w:r>
      <w:bookmarkEnd w:id="97"/>
      <w:r w:rsidR="0076467B">
        <w:t xml:space="preserve"> (see text for important context to these recommended numbers)</w:t>
      </w:r>
    </w:p>
    <w:tbl>
      <w:tblPr>
        <w:tblStyle w:val="TableGrid"/>
        <w:tblW w:w="0" w:type="auto"/>
        <w:tblLook w:val="04A0" w:firstRow="1" w:lastRow="0" w:firstColumn="1" w:lastColumn="0" w:noHBand="0" w:noVBand="1"/>
      </w:tblPr>
      <w:tblGrid>
        <w:gridCol w:w="3197"/>
        <w:gridCol w:w="2111"/>
        <w:gridCol w:w="2111"/>
        <w:gridCol w:w="2079"/>
      </w:tblGrid>
      <w:tr w:rsidR="00C77A29" w:rsidRPr="000C01F7" w14:paraId="064BE8E3" w14:textId="77777777" w:rsidTr="00C77A29">
        <w:tc>
          <w:tcPr>
            <w:tcW w:w="3227" w:type="dxa"/>
            <w:vMerge w:val="restart"/>
            <w:vAlign w:val="center"/>
          </w:tcPr>
          <w:p w14:paraId="70EF1D59" w14:textId="77777777" w:rsidR="00C77A29" w:rsidRPr="000C01F7" w:rsidRDefault="00C77A29" w:rsidP="00C77A29">
            <w:pPr>
              <w:spacing w:after="60" w:line="240" w:lineRule="auto"/>
              <w:jc w:val="center"/>
              <w:rPr>
                <w:b/>
              </w:rPr>
            </w:pPr>
            <w:r w:rsidRPr="000C01F7">
              <w:rPr>
                <w:b/>
              </w:rPr>
              <w:t>Design Case</w:t>
            </w:r>
          </w:p>
        </w:tc>
        <w:tc>
          <w:tcPr>
            <w:tcW w:w="4252" w:type="dxa"/>
            <w:gridSpan w:val="2"/>
            <w:vAlign w:val="center"/>
          </w:tcPr>
          <w:p w14:paraId="2045C7EF" w14:textId="77777777" w:rsidR="00C77A29" w:rsidRPr="000C01F7" w:rsidRDefault="00C77A29" w:rsidP="00C77A29">
            <w:pPr>
              <w:spacing w:after="60" w:line="240" w:lineRule="auto"/>
              <w:jc w:val="center"/>
              <w:rPr>
                <w:b/>
              </w:rPr>
            </w:pPr>
            <w:r w:rsidRPr="000C01F7">
              <w:rPr>
                <w:b/>
              </w:rPr>
              <w:t>Static</w:t>
            </w:r>
          </w:p>
        </w:tc>
        <w:tc>
          <w:tcPr>
            <w:tcW w:w="2091" w:type="dxa"/>
            <w:vAlign w:val="center"/>
          </w:tcPr>
          <w:p w14:paraId="3013E52E" w14:textId="77777777" w:rsidR="00C77A29" w:rsidRPr="000C01F7" w:rsidRDefault="00C77A29" w:rsidP="00C77A29">
            <w:pPr>
              <w:spacing w:after="60" w:line="240" w:lineRule="auto"/>
              <w:jc w:val="center"/>
              <w:rPr>
                <w:b/>
              </w:rPr>
            </w:pPr>
            <w:r w:rsidRPr="000C01F7">
              <w:rPr>
                <w:b/>
              </w:rPr>
              <w:t>Dynamic</w:t>
            </w:r>
          </w:p>
        </w:tc>
      </w:tr>
      <w:tr w:rsidR="00C77A29" w:rsidRPr="000C01F7" w14:paraId="68DFE3BC" w14:textId="77777777" w:rsidTr="00C77A29">
        <w:tc>
          <w:tcPr>
            <w:tcW w:w="3227" w:type="dxa"/>
            <w:vMerge/>
            <w:vAlign w:val="center"/>
          </w:tcPr>
          <w:p w14:paraId="2931F168" w14:textId="77777777" w:rsidR="00C77A29" w:rsidRPr="000C01F7" w:rsidRDefault="00C77A29" w:rsidP="00C77A29">
            <w:pPr>
              <w:spacing w:after="60" w:line="240" w:lineRule="auto"/>
              <w:jc w:val="center"/>
              <w:rPr>
                <w:b/>
              </w:rPr>
            </w:pPr>
          </w:p>
        </w:tc>
        <w:tc>
          <w:tcPr>
            <w:tcW w:w="2126" w:type="dxa"/>
            <w:vAlign w:val="center"/>
          </w:tcPr>
          <w:p w14:paraId="7C06EB4F" w14:textId="77777777" w:rsidR="00C77A29" w:rsidRPr="000C01F7" w:rsidRDefault="00C77A29" w:rsidP="00C77A29">
            <w:pPr>
              <w:spacing w:after="60" w:line="240" w:lineRule="auto"/>
              <w:jc w:val="center"/>
              <w:rPr>
                <w:b/>
              </w:rPr>
            </w:pPr>
            <w:r w:rsidRPr="000C01F7">
              <w:rPr>
                <w:b/>
              </w:rPr>
              <w:t>Minimum FOS</w:t>
            </w:r>
          </w:p>
        </w:tc>
        <w:tc>
          <w:tcPr>
            <w:tcW w:w="2126" w:type="dxa"/>
            <w:vAlign w:val="center"/>
          </w:tcPr>
          <w:p w14:paraId="307E2F4F" w14:textId="77777777" w:rsidR="00C77A29" w:rsidRPr="000C01F7" w:rsidRDefault="00C77A29" w:rsidP="00C77A29">
            <w:pPr>
              <w:spacing w:after="60" w:line="240" w:lineRule="auto"/>
              <w:jc w:val="center"/>
              <w:rPr>
                <w:b/>
              </w:rPr>
            </w:pPr>
            <w:r w:rsidRPr="000C01F7">
              <w:rPr>
                <w:b/>
              </w:rPr>
              <w:t>Maximum POF</w:t>
            </w:r>
          </w:p>
        </w:tc>
        <w:tc>
          <w:tcPr>
            <w:tcW w:w="2091" w:type="dxa"/>
            <w:vAlign w:val="center"/>
          </w:tcPr>
          <w:p w14:paraId="73E9BC0B" w14:textId="77777777" w:rsidR="00C77A29" w:rsidRPr="000C01F7" w:rsidRDefault="00C77A29" w:rsidP="00C77A29">
            <w:pPr>
              <w:spacing w:after="60" w:line="240" w:lineRule="auto"/>
              <w:jc w:val="center"/>
              <w:rPr>
                <w:b/>
              </w:rPr>
            </w:pPr>
            <w:r w:rsidRPr="000C01F7">
              <w:rPr>
                <w:b/>
              </w:rPr>
              <w:t>Minimum FOS</w:t>
            </w:r>
          </w:p>
        </w:tc>
      </w:tr>
      <w:tr w:rsidR="00C77A29" w:rsidRPr="000C01F7" w14:paraId="23BA67A3" w14:textId="77777777" w:rsidTr="00C77A29">
        <w:tc>
          <w:tcPr>
            <w:tcW w:w="3227" w:type="dxa"/>
            <w:vAlign w:val="center"/>
          </w:tcPr>
          <w:p w14:paraId="7030994E" w14:textId="77777777" w:rsidR="00C77A29" w:rsidRPr="000C01F7" w:rsidRDefault="00C77A29" w:rsidP="00C77A29">
            <w:pPr>
              <w:spacing w:after="60" w:line="240" w:lineRule="auto"/>
              <w:jc w:val="center"/>
            </w:pPr>
            <w:r w:rsidRPr="000C01F7">
              <w:t xml:space="preserve">All slopes, following completion </w:t>
            </w:r>
            <w:r w:rsidRPr="000C01F7">
              <w:br/>
              <w:t>of final landforms</w:t>
            </w:r>
          </w:p>
        </w:tc>
        <w:tc>
          <w:tcPr>
            <w:tcW w:w="2126" w:type="dxa"/>
            <w:vAlign w:val="center"/>
          </w:tcPr>
          <w:p w14:paraId="137648C3" w14:textId="77777777" w:rsidR="00C77A29" w:rsidRPr="000C01F7" w:rsidRDefault="00C77A29" w:rsidP="00C77A29">
            <w:pPr>
              <w:spacing w:after="60" w:line="240" w:lineRule="auto"/>
              <w:jc w:val="center"/>
            </w:pPr>
            <w:r w:rsidRPr="00B10720">
              <w:t>1.5</w:t>
            </w:r>
          </w:p>
        </w:tc>
        <w:tc>
          <w:tcPr>
            <w:tcW w:w="2126" w:type="dxa"/>
            <w:vAlign w:val="center"/>
          </w:tcPr>
          <w:p w14:paraId="3BD22B65" w14:textId="77777777" w:rsidR="00C77A29" w:rsidRPr="000C01F7" w:rsidRDefault="00C77A29" w:rsidP="00C77A29">
            <w:pPr>
              <w:spacing w:after="60" w:line="240" w:lineRule="auto"/>
              <w:jc w:val="center"/>
            </w:pPr>
            <w:r w:rsidRPr="000C01F7">
              <w:t>10</w:t>
            </w:r>
            <w:r w:rsidRPr="000C01F7">
              <w:rPr>
                <w:vertAlign w:val="superscript"/>
              </w:rPr>
              <w:t>-5</w:t>
            </w:r>
          </w:p>
        </w:tc>
        <w:tc>
          <w:tcPr>
            <w:tcW w:w="2091" w:type="dxa"/>
            <w:vAlign w:val="center"/>
          </w:tcPr>
          <w:p w14:paraId="08D79145" w14:textId="77777777" w:rsidR="00C77A29" w:rsidRPr="000C01F7" w:rsidRDefault="00C77A29" w:rsidP="00C77A29">
            <w:pPr>
              <w:spacing w:after="60" w:line="240" w:lineRule="auto"/>
              <w:jc w:val="center"/>
            </w:pPr>
            <w:r w:rsidRPr="000C01F7">
              <w:t>1.05</w:t>
            </w:r>
          </w:p>
          <w:p w14:paraId="50ECB3CC" w14:textId="77777777" w:rsidR="00C77A29" w:rsidRPr="000C01F7" w:rsidRDefault="00C77A29" w:rsidP="00C77A29">
            <w:pPr>
              <w:spacing w:after="60" w:line="240" w:lineRule="auto"/>
              <w:jc w:val="center"/>
            </w:pPr>
            <w:r w:rsidRPr="000C01F7">
              <w:t>With Liquefaction Analysis</w:t>
            </w:r>
          </w:p>
        </w:tc>
      </w:tr>
    </w:tbl>
    <w:p w14:paraId="6766EE02" w14:textId="77777777" w:rsidR="00C77A29" w:rsidRPr="008F50EB" w:rsidRDefault="00C77A29" w:rsidP="0023226C">
      <w:pPr>
        <w:rPr>
          <w:highlight w:val="yellow"/>
        </w:rPr>
      </w:pPr>
    </w:p>
    <w:p w14:paraId="4C6EF6DE" w14:textId="77777777" w:rsidR="0023226C" w:rsidRPr="00882F93" w:rsidRDefault="0023226C" w:rsidP="0023226C">
      <w:pPr>
        <w:keepNext/>
        <w:widowControl w:val="0"/>
        <w:rPr>
          <w:rFonts w:eastAsia="MS Mincho" w:cs="Arial"/>
          <w:b/>
          <w:szCs w:val="20"/>
          <w:lang w:val="en-AU"/>
        </w:rPr>
      </w:pPr>
      <w:bookmarkStart w:id="98" w:name="_Toc494371005"/>
      <w:r w:rsidRPr="00882F93">
        <w:rPr>
          <w:rFonts w:eastAsia="MS Mincho" w:cs="Arial"/>
          <w:b/>
          <w:szCs w:val="20"/>
          <w:lang w:val="en-AU"/>
        </w:rPr>
        <w:t>Earthquake/RIS Loading</w:t>
      </w:r>
      <w:bookmarkEnd w:id="98"/>
    </w:p>
    <w:p w14:paraId="58017EE2" w14:textId="77777777" w:rsidR="0023226C" w:rsidRPr="009D4471" w:rsidRDefault="0023226C" w:rsidP="0023226C">
      <w:r w:rsidRPr="009D4471">
        <w:t>Analysis of slope stability undergoing shaking due to earthquakes</w:t>
      </w:r>
      <w:r>
        <w:t>/RIS</w:t>
      </w:r>
      <w:r w:rsidRPr="009D4471">
        <w:t xml:space="preserve"> is carried out us</w:t>
      </w:r>
      <w:r>
        <w:t xml:space="preserve">ing a standard screening method </w:t>
      </w:r>
      <w:r w:rsidRPr="009D4471">
        <w:t>which determines whether slopes may require further assessment.  This is a limit equilibrium analysis with the earthquake motion applied as a constant, uniform horizontal acceleration (seismic loading).  The method is recognised to be very conservative in the way it applies the seismic load, and therefore the minimum FOS typically used are low to compensate for this conservatism.  For example, a standard used by one large international mining company is a range of 1.0 to 1.05, which reflects the common practice in the industry, and is also used for dam designs.</w:t>
      </w:r>
    </w:p>
    <w:p w14:paraId="4C6D94F1" w14:textId="4E33AB62" w:rsidR="0023226C" w:rsidRPr="009D4471" w:rsidRDefault="0023226C" w:rsidP="0023226C">
      <w:r w:rsidRPr="009D4471">
        <w:t>There are no clear guidelines on acceptable FOS for seismic loading for short-term mine design, vs. long-term and post-closure conditions for mining.  The long-term life spans and safety requirements of dams would suggest that the ANCOLD guidelines on tailings dams</w:t>
      </w:r>
      <w:r w:rsidR="00C054B0">
        <w:t xml:space="preserve"> (ANCOLD, 201</w:t>
      </w:r>
      <w:r w:rsidR="00C94663">
        <w:t>2</w:t>
      </w:r>
      <w:r w:rsidR="00C054B0">
        <w:t>)</w:t>
      </w:r>
      <w:r w:rsidR="00C94663">
        <w:rPr>
          <w:rStyle w:val="FootnoteReference"/>
        </w:rPr>
        <w:t xml:space="preserve"> </w:t>
      </w:r>
      <w:r w:rsidRPr="009D4471">
        <w:t xml:space="preserve">are a useful indication for stability of soil slopes and compacted fill embankments.  Tailings comprise a mixture of fine sand, silt, gravel and ash, placed in a loose state, may be taken to represent a worse-case end of the spectrum of the slopes at </w:t>
      </w:r>
      <w:r>
        <w:t>a mine</w:t>
      </w:r>
      <w:r w:rsidRPr="009D4471">
        <w:t xml:space="preserve"> site.  </w:t>
      </w:r>
    </w:p>
    <w:p w14:paraId="22F7D086" w14:textId="77777777" w:rsidR="0023226C" w:rsidRPr="009D4471" w:rsidRDefault="0023226C" w:rsidP="0023226C">
      <w:r w:rsidRPr="009D4471">
        <w:t xml:space="preserve">The ANCOLD Guidelines have moved away from pseudo-static analysis, and toward a process that assesses the consequence category of the dam, liquefaction potential, and post-liquefaction strengths of the materials. </w:t>
      </w:r>
    </w:p>
    <w:p w14:paraId="18075888" w14:textId="77777777" w:rsidR="0023226C" w:rsidRPr="009D4471" w:rsidRDefault="0023226C" w:rsidP="0023226C">
      <w:r>
        <w:t>T</w:t>
      </w:r>
      <w:r w:rsidRPr="009D4471">
        <w:t xml:space="preserve">he following </w:t>
      </w:r>
      <w:r>
        <w:t xml:space="preserve">assessment </w:t>
      </w:r>
      <w:r w:rsidRPr="009D4471">
        <w:t xml:space="preserve">approach </w:t>
      </w:r>
      <w:r>
        <w:t xml:space="preserve">could be </w:t>
      </w:r>
      <w:r w:rsidRPr="009D4471">
        <w:t>adopted:</w:t>
      </w:r>
    </w:p>
    <w:p w14:paraId="6CDC278E" w14:textId="77777777" w:rsidR="0023226C" w:rsidRPr="00E364B6" w:rsidRDefault="0023226C" w:rsidP="002C7C0F">
      <w:pPr>
        <w:pStyle w:val="Para0bullet"/>
      </w:pPr>
      <w:r w:rsidRPr="00E364B6">
        <w:t xml:space="preserve">Pseudo-static analysis with seismic coefficient, as this is a standard industry approach for assessing slopes.  Considering that the full value of the peak ground acceleration has been used, the upper end of the range of FOS may be considered reasonable.  </w:t>
      </w:r>
      <w:r w:rsidRPr="005B1DA8">
        <w:t>A minimum seismic FOS of 1.05 adopted</w:t>
      </w:r>
      <w:r w:rsidRPr="00E364B6">
        <w:t>; and</w:t>
      </w:r>
    </w:p>
    <w:p w14:paraId="54E65DBC" w14:textId="12A548DF" w:rsidR="0023226C" w:rsidRPr="00E364B6" w:rsidRDefault="0023226C" w:rsidP="002C7C0F">
      <w:pPr>
        <w:pStyle w:val="Para0bullet"/>
      </w:pPr>
      <w:r w:rsidRPr="00E364B6">
        <w:t>Liquefaction assessment, to determine whether any loss of shear strength may occur during an earthquake.</w:t>
      </w:r>
    </w:p>
    <w:p w14:paraId="24A6C58C" w14:textId="77777777" w:rsidR="0023226C" w:rsidRPr="00017F99" w:rsidRDefault="0023226C" w:rsidP="00714849">
      <w:pPr>
        <w:pStyle w:val="Heading3"/>
      </w:pPr>
      <w:bookmarkStart w:id="99" w:name="_Ref501356480"/>
      <w:bookmarkStart w:id="100" w:name="_Toc501356673"/>
      <w:r w:rsidRPr="00017F99">
        <w:t xml:space="preserve">Electricity </w:t>
      </w:r>
      <w:r w:rsidRPr="0023226C">
        <w:t>Transmission</w:t>
      </w:r>
      <w:r w:rsidRPr="00017F99">
        <w:t xml:space="preserve"> Network</w:t>
      </w:r>
      <w:bookmarkEnd w:id="99"/>
      <w:bookmarkEnd w:id="100"/>
    </w:p>
    <w:p w14:paraId="5F155C1C" w14:textId="6DAE0C07" w:rsidR="0050355B" w:rsidRDefault="009669A2" w:rsidP="0023226C">
      <w:pPr>
        <w:rPr>
          <w:lang w:val="en-AU"/>
        </w:rPr>
      </w:pPr>
      <w:r>
        <w:rPr>
          <w:lang w:val="en-AU"/>
        </w:rPr>
        <w:t>The electricity transmission network is a recognised regional receptor.</w:t>
      </w:r>
      <w:r w:rsidR="005141A6">
        <w:rPr>
          <w:lang w:val="en-AU"/>
        </w:rPr>
        <w:t xml:space="preserve"> </w:t>
      </w:r>
      <w:r>
        <w:rPr>
          <w:lang w:val="en-AU"/>
        </w:rPr>
        <w:t xml:space="preserve"> The recognised component of the network </w:t>
      </w:r>
      <w:r w:rsidR="0050213A">
        <w:rPr>
          <w:lang w:val="en-AU"/>
        </w:rPr>
        <w:t>is</w:t>
      </w:r>
      <w:r>
        <w:rPr>
          <w:lang w:val="en-AU"/>
        </w:rPr>
        <w:t xml:space="preserve"> the 500kV </w:t>
      </w:r>
      <w:r w:rsidR="0050213A">
        <w:rPr>
          <w:lang w:val="en-AU"/>
        </w:rPr>
        <w:t xml:space="preserve">and greater capacity </w:t>
      </w:r>
      <w:r>
        <w:rPr>
          <w:lang w:val="en-AU"/>
        </w:rPr>
        <w:t xml:space="preserve">transmission lines. </w:t>
      </w:r>
      <w:r w:rsidR="00171CBC">
        <w:rPr>
          <w:lang w:val="en-AU"/>
        </w:rPr>
        <w:t xml:space="preserve"> </w:t>
      </w:r>
      <w:r>
        <w:rPr>
          <w:lang w:val="en-AU"/>
        </w:rPr>
        <w:t xml:space="preserve">Smaller distribution systems such as the individual poles and wires in residential areas are not recognised and so are not intended to be covered by the metric and thresholds in this discussion.   </w:t>
      </w:r>
    </w:p>
    <w:p w14:paraId="63732AA8" w14:textId="46BEA565" w:rsidR="0023226C" w:rsidRPr="00017F99" w:rsidRDefault="0023226C" w:rsidP="0023226C">
      <w:pPr>
        <w:rPr>
          <w:lang w:val="en-AU"/>
        </w:rPr>
      </w:pPr>
      <w:r w:rsidRPr="00017F99">
        <w:rPr>
          <w:lang w:val="en-AU"/>
        </w:rPr>
        <w:t xml:space="preserve">Relevant standards, guidelines and reference documents which maintain value </w:t>
      </w:r>
      <w:r w:rsidR="0050213A">
        <w:rPr>
          <w:lang w:val="en-AU"/>
        </w:rPr>
        <w:t xml:space="preserve">for this receptor have been identified and </w:t>
      </w:r>
      <w:r w:rsidRPr="00017F99">
        <w:rPr>
          <w:lang w:val="en-AU"/>
        </w:rPr>
        <w:t>are listed in</w:t>
      </w:r>
      <w:r w:rsidR="00086B37">
        <w:rPr>
          <w:lang w:val="en-AU"/>
        </w:rPr>
        <w:t xml:space="preserve"> </w:t>
      </w:r>
      <w:r w:rsidR="00086B37">
        <w:rPr>
          <w:lang w:val="en-AU"/>
        </w:rPr>
        <w:fldChar w:fldCharType="begin"/>
      </w:r>
      <w:r w:rsidR="00086B37">
        <w:rPr>
          <w:lang w:val="en-AU"/>
        </w:rPr>
        <w:instrText xml:space="preserve"> REF _Ref506803729 \h </w:instrText>
      </w:r>
      <w:r w:rsidR="00086B37">
        <w:rPr>
          <w:lang w:val="en-AU"/>
        </w:rPr>
      </w:r>
      <w:r w:rsidR="00086B37">
        <w:rPr>
          <w:lang w:val="en-AU"/>
        </w:rPr>
        <w:fldChar w:fldCharType="separate"/>
      </w:r>
      <w:r w:rsidR="00A83148" w:rsidRPr="009038E7">
        <w:t xml:space="preserve">Table </w:t>
      </w:r>
      <w:r w:rsidR="00A83148">
        <w:rPr>
          <w:noProof/>
        </w:rPr>
        <w:t>5</w:t>
      </w:r>
      <w:r w:rsidR="00A83148" w:rsidRPr="009038E7">
        <w:t>.</w:t>
      </w:r>
      <w:r w:rsidR="00A83148">
        <w:rPr>
          <w:noProof/>
        </w:rPr>
        <w:t>4</w:t>
      </w:r>
      <w:r w:rsidR="00086B37">
        <w:rPr>
          <w:lang w:val="en-AU"/>
        </w:rPr>
        <w:fldChar w:fldCharType="end"/>
      </w:r>
      <w:r w:rsidRPr="00017F99">
        <w:rPr>
          <w:lang w:val="en-AU"/>
        </w:rPr>
        <w:t>.</w:t>
      </w:r>
    </w:p>
    <w:p w14:paraId="1221B8B7" w14:textId="5A9A2F39" w:rsidR="0023226C" w:rsidRPr="00017F99" w:rsidRDefault="00EA1D58" w:rsidP="00EA1D58">
      <w:pPr>
        <w:pStyle w:val="Caption"/>
      </w:pPr>
      <w:bookmarkStart w:id="101" w:name="_Ref506803729"/>
      <w:bookmarkStart w:id="102" w:name="_Toc501356733"/>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4</w:t>
      </w:r>
      <w:r>
        <w:fldChar w:fldCharType="end"/>
      </w:r>
      <w:bookmarkEnd w:id="101"/>
      <w:r w:rsidRPr="009038E7">
        <w:t xml:space="preserve"> : </w:t>
      </w:r>
      <w:r w:rsidR="0023226C" w:rsidRPr="00017F99">
        <w:t xml:space="preserve">Electricity Transmission Network </w:t>
      </w:r>
      <w:r w:rsidR="00CF2818">
        <w:t>–</w:t>
      </w:r>
      <w:r w:rsidR="0023226C" w:rsidRPr="00017F99">
        <w:t xml:space="preserve"> </w:t>
      </w:r>
      <w:r w:rsidR="00CF2818">
        <w:t>standards and guidelines</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7193"/>
      </w:tblGrid>
      <w:tr w:rsidR="00CF2818" w:rsidRPr="00017F99" w14:paraId="795E0BA4" w14:textId="77777777" w:rsidTr="00CF2818">
        <w:tc>
          <w:tcPr>
            <w:tcW w:w="1987" w:type="dxa"/>
            <w:shd w:val="clear" w:color="auto" w:fill="00338D"/>
          </w:tcPr>
          <w:p w14:paraId="32B809CA" w14:textId="77777777" w:rsidR="00CF2818" w:rsidRPr="00754023" w:rsidRDefault="00CF2818" w:rsidP="0023226C">
            <w:pPr>
              <w:keepNext/>
              <w:spacing w:before="100" w:after="100"/>
              <w:rPr>
                <w:color w:val="FFFFFF"/>
                <w:lang w:val="en-AU"/>
              </w:rPr>
            </w:pPr>
            <w:r w:rsidRPr="00754023">
              <w:rPr>
                <w:rFonts w:ascii="Arial Black" w:hAnsi="Arial Black"/>
                <w:b/>
                <w:color w:val="FFFFFF"/>
                <w:sz w:val="16"/>
              </w:rPr>
              <w:t>Value Category</w:t>
            </w:r>
          </w:p>
        </w:tc>
        <w:tc>
          <w:tcPr>
            <w:tcW w:w="7193" w:type="dxa"/>
            <w:shd w:val="clear" w:color="auto" w:fill="00338D"/>
          </w:tcPr>
          <w:p w14:paraId="48978F37" w14:textId="77777777" w:rsidR="00CF2818" w:rsidRPr="00754023" w:rsidRDefault="00CF2818" w:rsidP="0023226C">
            <w:pPr>
              <w:keepNext/>
              <w:spacing w:before="100" w:after="100"/>
              <w:rPr>
                <w:rFonts w:ascii="Arial Black" w:hAnsi="Arial Black"/>
                <w:b/>
                <w:color w:val="FFFFFF"/>
                <w:sz w:val="16"/>
              </w:rPr>
            </w:pPr>
            <w:r w:rsidRPr="00754023">
              <w:rPr>
                <w:rFonts w:ascii="Arial Black" w:hAnsi="Arial Black"/>
                <w:b/>
                <w:color w:val="FFFFFF"/>
                <w:sz w:val="16"/>
              </w:rPr>
              <w:t>Standard, Guideline or Reference Documents</w:t>
            </w:r>
          </w:p>
        </w:tc>
      </w:tr>
      <w:tr w:rsidR="00CF2818" w:rsidRPr="00017F99" w14:paraId="0FBCFE65" w14:textId="77777777" w:rsidTr="00CF2818">
        <w:tc>
          <w:tcPr>
            <w:tcW w:w="1987" w:type="dxa"/>
          </w:tcPr>
          <w:p w14:paraId="27F18A8A" w14:textId="77777777" w:rsidR="00CF2818" w:rsidRPr="00017F99" w:rsidRDefault="00CF2818" w:rsidP="0023226C">
            <w:pPr>
              <w:spacing w:after="60"/>
              <w:rPr>
                <w:rFonts w:eastAsia="MS Mincho"/>
                <w:sz w:val="18"/>
              </w:rPr>
            </w:pPr>
            <w:r w:rsidRPr="00017F99">
              <w:rPr>
                <w:rFonts w:eastAsia="MS Mincho"/>
                <w:sz w:val="18"/>
              </w:rPr>
              <w:t>Social/Cultural</w:t>
            </w:r>
          </w:p>
        </w:tc>
        <w:tc>
          <w:tcPr>
            <w:tcW w:w="7193" w:type="dxa"/>
          </w:tcPr>
          <w:p w14:paraId="36E54D18" w14:textId="77777777"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Electricity Industry Act (2000)</w:t>
            </w:r>
          </w:p>
          <w:p w14:paraId="15CB6198" w14:textId="77777777"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Electricity Safety Act (1998)</w:t>
            </w:r>
          </w:p>
          <w:p w14:paraId="366BCFD3" w14:textId="77777777"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Energy Safe Victoria</w:t>
            </w:r>
          </w:p>
          <w:p w14:paraId="61108FB1" w14:textId="77777777"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DELWP (2017) Latrobe Planning Scheme</w:t>
            </w:r>
          </w:p>
          <w:p w14:paraId="5365626D" w14:textId="74D59D3D"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 xml:space="preserve">Planning &amp; Environment Act </w:t>
            </w:r>
            <w:r w:rsidR="003C4681">
              <w:rPr>
                <w:rFonts w:eastAsia="Times New Roman" w:cs="Arial"/>
                <w:sz w:val="18"/>
                <w:szCs w:val="20"/>
                <w:lang w:val="en-AU"/>
              </w:rPr>
              <w:t>(</w:t>
            </w:r>
            <w:r w:rsidRPr="00086B37">
              <w:rPr>
                <w:rFonts w:eastAsia="Times New Roman" w:cs="Arial"/>
                <w:sz w:val="18"/>
                <w:szCs w:val="20"/>
                <w:lang w:val="en-AU"/>
              </w:rPr>
              <w:t>1987)</w:t>
            </w:r>
          </w:p>
          <w:p w14:paraId="737DC35D" w14:textId="54F33DB4"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Live Work Latrobe (Housing Strategy, Industrial Land Use and Employment Strategy and Rural Land Use Strategy) (2016)</w:t>
            </w:r>
          </w:p>
          <w:p w14:paraId="3ABCC9D6" w14:textId="77777777"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Mine Subsidence Board (2009) Graduated Guidelines for Residential Construction (NSW) Historical and Technical Background</w:t>
            </w:r>
          </w:p>
          <w:p w14:paraId="7797E4BD" w14:textId="77777777"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Harrison, J (2011) Mining Engineering Handbook, Mine Subsidence, Society for Mining, Metallurgy and Exploration</w:t>
            </w:r>
          </w:p>
          <w:p w14:paraId="192F2A3D" w14:textId="77777777"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Singh, M (1986) Mine subsidence, Society for Mining, Metallurgy and Exploration</w:t>
            </w:r>
          </w:p>
          <w:p w14:paraId="41741823" w14:textId="02BE9164" w:rsidR="00CF2818" w:rsidRPr="00086B37"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53" w:history="1">
              <w:r w:rsidR="00CF2818" w:rsidRPr="00086B37">
                <w:rPr>
                  <w:rFonts w:eastAsia="Times New Roman" w:cs="Arial"/>
                  <w:sz w:val="18"/>
                  <w:szCs w:val="20"/>
                  <w:lang w:val="en-AU"/>
                </w:rPr>
                <w:t>Standards Australia</w:t>
              </w:r>
            </w:hyperlink>
            <w:r w:rsidR="00CF2818" w:rsidRPr="00086B37">
              <w:rPr>
                <w:rFonts w:eastAsia="Times New Roman" w:cs="Arial"/>
                <w:sz w:val="18"/>
                <w:szCs w:val="20"/>
                <w:lang w:val="en-AU"/>
              </w:rPr>
              <w:t xml:space="preserve"> associated publications.</w:t>
            </w:r>
          </w:p>
          <w:p w14:paraId="1DCED67A" w14:textId="77777777"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AS/NZS7000 Overhead Line Design Standard</w:t>
            </w:r>
          </w:p>
          <w:p w14:paraId="2306BF0B" w14:textId="77777777"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AS 3600 Concrete Structures</w:t>
            </w:r>
          </w:p>
          <w:p w14:paraId="54DBCFBA" w14:textId="77777777" w:rsidR="00CF2818" w:rsidRPr="00017F99" w:rsidRDefault="00CF2818" w:rsidP="006F654D">
            <w:pPr>
              <w:numPr>
                <w:ilvl w:val="0"/>
                <w:numId w:val="33"/>
              </w:numPr>
              <w:spacing w:after="0" w:line="240" w:lineRule="auto"/>
              <w:ind w:left="209" w:hanging="284"/>
              <w:contextualSpacing/>
              <w:rPr>
                <w:rFonts w:eastAsia="MS Mincho"/>
                <w:sz w:val="18"/>
                <w:szCs w:val="18"/>
              </w:rPr>
            </w:pPr>
            <w:r w:rsidRPr="00086B37">
              <w:rPr>
                <w:rFonts w:eastAsia="Times New Roman" w:cs="Arial"/>
                <w:sz w:val="18"/>
                <w:szCs w:val="20"/>
                <w:lang w:val="en-AU"/>
              </w:rPr>
              <w:t>AS 4100 1990 - Steel Structures</w:t>
            </w:r>
          </w:p>
        </w:tc>
      </w:tr>
      <w:tr w:rsidR="00CF2818" w:rsidRPr="00017F99" w14:paraId="4D1977FB" w14:textId="77777777" w:rsidTr="00CF2818">
        <w:tc>
          <w:tcPr>
            <w:tcW w:w="1987" w:type="dxa"/>
          </w:tcPr>
          <w:p w14:paraId="60782AC7" w14:textId="77777777" w:rsidR="00CF2818" w:rsidRPr="00017F99" w:rsidRDefault="00CF2818" w:rsidP="0023226C">
            <w:pPr>
              <w:spacing w:after="60"/>
              <w:rPr>
                <w:rFonts w:eastAsia="MS Mincho"/>
                <w:sz w:val="18"/>
              </w:rPr>
            </w:pPr>
            <w:r w:rsidRPr="00017F99">
              <w:rPr>
                <w:rFonts w:eastAsia="MS Mincho"/>
                <w:sz w:val="18"/>
              </w:rPr>
              <w:t>Economic</w:t>
            </w:r>
          </w:p>
        </w:tc>
        <w:tc>
          <w:tcPr>
            <w:tcW w:w="7193" w:type="dxa"/>
          </w:tcPr>
          <w:p w14:paraId="1BA61251" w14:textId="77777777" w:rsidR="00CF2818" w:rsidRPr="00017F99" w:rsidRDefault="00CF2818" w:rsidP="006F654D">
            <w:pPr>
              <w:numPr>
                <w:ilvl w:val="0"/>
                <w:numId w:val="33"/>
              </w:numPr>
              <w:spacing w:after="0" w:line="240" w:lineRule="auto"/>
              <w:ind w:left="209" w:hanging="284"/>
              <w:contextualSpacing/>
              <w:rPr>
                <w:rFonts w:eastAsia="MS Mincho"/>
                <w:sz w:val="18"/>
              </w:rPr>
            </w:pPr>
            <w:r w:rsidRPr="00086B37">
              <w:rPr>
                <w:rFonts w:eastAsia="Times New Roman" w:cs="Arial"/>
                <w:sz w:val="18"/>
                <w:szCs w:val="20"/>
                <w:lang w:val="en-AU"/>
              </w:rPr>
              <w:t>Live Work Latrobe (Housing Strategy, Industrial Land Use and Employment Strategy and Rural Land Use Strategy) (2016)</w:t>
            </w:r>
          </w:p>
        </w:tc>
      </w:tr>
      <w:tr w:rsidR="00CF2818" w:rsidRPr="00605691" w14:paraId="2A63F8DA" w14:textId="77777777" w:rsidTr="00CF2818">
        <w:tc>
          <w:tcPr>
            <w:tcW w:w="1987" w:type="dxa"/>
          </w:tcPr>
          <w:p w14:paraId="651CA7C1" w14:textId="77777777" w:rsidR="00CF2818" w:rsidRPr="00017F99" w:rsidRDefault="00CF2818" w:rsidP="0023226C">
            <w:pPr>
              <w:spacing w:after="60"/>
              <w:rPr>
                <w:rFonts w:eastAsia="MS Mincho"/>
                <w:sz w:val="18"/>
              </w:rPr>
            </w:pPr>
            <w:r w:rsidRPr="00017F99">
              <w:rPr>
                <w:sz w:val="18"/>
                <w:szCs w:val="18"/>
                <w:lang w:val="en-US"/>
              </w:rPr>
              <w:t>Safety, Electrical Maintenance, Operability and Reliability</w:t>
            </w:r>
          </w:p>
        </w:tc>
        <w:tc>
          <w:tcPr>
            <w:tcW w:w="7193" w:type="dxa"/>
          </w:tcPr>
          <w:p w14:paraId="79EC79EF" w14:textId="77777777"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ENA NENS 04 – 2006 National Guidelines for Safe Approach Distances and to Electrical and Mechanical Apparatus</w:t>
            </w:r>
          </w:p>
          <w:p w14:paraId="000ECE0C" w14:textId="77777777"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AS/NZS7000 Overhead Line Design Standard</w:t>
            </w:r>
          </w:p>
          <w:p w14:paraId="53035E87" w14:textId="77777777" w:rsidR="00CF2818" w:rsidRPr="00086B37" w:rsidRDefault="00CF2818" w:rsidP="006F654D">
            <w:pPr>
              <w:numPr>
                <w:ilvl w:val="0"/>
                <w:numId w:val="33"/>
              </w:numPr>
              <w:spacing w:after="0" w:line="240" w:lineRule="auto"/>
              <w:ind w:left="209" w:hanging="284"/>
              <w:contextualSpacing/>
              <w:rPr>
                <w:rFonts w:eastAsia="Times New Roman" w:cs="Arial"/>
                <w:sz w:val="18"/>
                <w:szCs w:val="20"/>
                <w:lang w:val="en-AU"/>
              </w:rPr>
            </w:pPr>
            <w:r w:rsidRPr="00086B37">
              <w:rPr>
                <w:rFonts w:eastAsia="Times New Roman" w:cs="Arial"/>
                <w:sz w:val="18"/>
                <w:szCs w:val="20"/>
                <w:lang w:val="en-AU"/>
              </w:rPr>
              <w:t>AS 1170.2 : 2016 Wind Code</w:t>
            </w:r>
          </w:p>
          <w:p w14:paraId="434E356A" w14:textId="77777777" w:rsidR="00CF2818" w:rsidRPr="00017F99" w:rsidRDefault="00CF2818" w:rsidP="0023226C">
            <w:pPr>
              <w:spacing w:after="60"/>
              <w:rPr>
                <w:rFonts w:eastAsia="MS Mincho"/>
                <w:sz w:val="18"/>
              </w:rPr>
            </w:pPr>
          </w:p>
        </w:tc>
      </w:tr>
    </w:tbl>
    <w:p w14:paraId="584E98C3" w14:textId="77777777" w:rsidR="0023226C" w:rsidRPr="00605691" w:rsidRDefault="0023226C" w:rsidP="0023226C">
      <w:pPr>
        <w:rPr>
          <w:highlight w:val="yellow"/>
          <w:lang w:val="en-AU"/>
        </w:rPr>
      </w:pPr>
    </w:p>
    <w:p w14:paraId="5A475B50" w14:textId="26CB8737" w:rsidR="0023226C" w:rsidRPr="00017F99" w:rsidRDefault="0023226C" w:rsidP="00714849">
      <w:pPr>
        <w:pStyle w:val="Heading4"/>
        <w:rPr>
          <w:lang w:val="en-AU"/>
        </w:rPr>
      </w:pPr>
      <w:bookmarkStart w:id="103" w:name="_Toc501356676"/>
      <w:r w:rsidRPr="00017F99">
        <w:rPr>
          <w:lang w:val="en-AU"/>
        </w:rPr>
        <w:t>Metrics</w:t>
      </w:r>
      <w:bookmarkEnd w:id="103"/>
    </w:p>
    <w:p w14:paraId="5D812E16" w14:textId="403D4462" w:rsidR="0023226C" w:rsidRDefault="00533955" w:rsidP="00533955">
      <w:pPr>
        <w:rPr>
          <w:rFonts w:ascii="Times New Roman" w:hAnsi="Times New Roman"/>
          <w:sz w:val="24"/>
          <w:lang w:eastAsia="en-AU"/>
        </w:rPr>
      </w:pPr>
      <w:r w:rsidRPr="00017F99">
        <w:t>For transmission line foundation design, the shear strength and compressibility properties of the soil are normally required</w:t>
      </w:r>
      <w:r w:rsidR="005E3099">
        <w:t xml:space="preserve"> </w:t>
      </w:r>
      <w:r w:rsidR="00891944">
        <w:t>(</w:t>
      </w:r>
      <w:r w:rsidR="005E3099">
        <w:t>Kalaga and Yenu</w:t>
      </w:r>
      <w:r w:rsidR="00891944">
        <w:t xml:space="preserve">mula, 2016). </w:t>
      </w:r>
      <w:r w:rsidR="00171CBC">
        <w:t xml:space="preserve"> </w:t>
      </w:r>
      <w:r w:rsidRPr="00017F99">
        <w:t>Damage to the lattice structures, is mainly caused by foundation settlement which may be caused by high flooding events, foundation tilt, angular distortion, bending, and horizontal strain (</w:t>
      </w:r>
      <w:r w:rsidR="00A041D4">
        <w:fldChar w:fldCharType="begin"/>
      </w:r>
      <w:r w:rsidR="00A041D4">
        <w:instrText xml:space="preserve"> REF _Ref506803811 \h </w:instrText>
      </w:r>
      <w:r w:rsidR="00A041D4">
        <w:fldChar w:fldCharType="separate"/>
      </w:r>
      <w:r w:rsidR="00A83148" w:rsidRPr="009038E7">
        <w:t xml:space="preserve">Figure </w:t>
      </w:r>
      <w:r w:rsidR="00A83148">
        <w:rPr>
          <w:noProof/>
        </w:rPr>
        <w:t>5</w:t>
      </w:r>
      <w:r w:rsidR="00A83148" w:rsidRPr="009038E7">
        <w:t>.</w:t>
      </w:r>
      <w:r w:rsidR="00A83148">
        <w:rPr>
          <w:noProof/>
        </w:rPr>
        <w:t>4</w:t>
      </w:r>
      <w:r w:rsidR="00A041D4">
        <w:fldChar w:fldCharType="end"/>
      </w:r>
      <w:r w:rsidRPr="00017F99">
        <w:t>).</w:t>
      </w:r>
      <w:r w:rsidR="00D07D67">
        <w:t xml:space="preserve"> </w:t>
      </w:r>
      <w:r>
        <w:t xml:space="preserve"> </w:t>
      </w:r>
      <w:r w:rsidRPr="00017F99">
        <w:t xml:space="preserve">In the extreme differential settlement scenario, if there is considerable settlement in all </w:t>
      </w:r>
      <w:r w:rsidR="00D07D67">
        <w:t>four</w:t>
      </w:r>
      <w:r w:rsidRPr="00017F99">
        <w:t xml:space="preserve"> legs of the structure </w:t>
      </w:r>
      <w:r w:rsidR="0016025A">
        <w:t xml:space="preserve">it may </w:t>
      </w:r>
      <w:r w:rsidRPr="00017F99">
        <w:t>cause imbalance loads which lead to overstress in the connection</w:t>
      </w:r>
      <w:r>
        <w:t>s leading to structural failure (</w:t>
      </w:r>
      <w:r w:rsidR="00086B37">
        <w:fldChar w:fldCharType="begin"/>
      </w:r>
      <w:r w:rsidR="00086B37">
        <w:instrText xml:space="preserve"> REF _Ref506803811 \h </w:instrText>
      </w:r>
      <w:r w:rsidR="00086B37">
        <w:fldChar w:fldCharType="separate"/>
      </w:r>
      <w:r w:rsidR="00A83148" w:rsidRPr="009038E7">
        <w:t xml:space="preserve">Figure </w:t>
      </w:r>
      <w:r w:rsidR="00A83148">
        <w:rPr>
          <w:noProof/>
        </w:rPr>
        <w:t>5</w:t>
      </w:r>
      <w:r w:rsidR="00A83148" w:rsidRPr="009038E7">
        <w:t>.</w:t>
      </w:r>
      <w:r w:rsidR="00A83148">
        <w:rPr>
          <w:noProof/>
        </w:rPr>
        <w:t>4</w:t>
      </w:r>
      <w:r w:rsidR="00086B37">
        <w:fldChar w:fldCharType="end"/>
      </w:r>
      <w:r w:rsidR="00086B37">
        <w:t>).</w:t>
      </w:r>
    </w:p>
    <w:p w14:paraId="3FD1EC8A" w14:textId="77777777" w:rsidR="0023226C" w:rsidRPr="00605691" w:rsidRDefault="0023226C" w:rsidP="0023226C">
      <w:pPr>
        <w:rPr>
          <w:highlight w:val="yellow"/>
          <w:lang w:val="en-AU"/>
        </w:rPr>
      </w:pPr>
    </w:p>
    <w:p w14:paraId="736C4F35" w14:textId="274402EE" w:rsidR="0023226C" w:rsidRPr="00605691" w:rsidRDefault="007E5246" w:rsidP="00533955">
      <w:pPr>
        <w:spacing w:after="0"/>
        <w:rPr>
          <w:highlight w:val="yellow"/>
          <w:lang w:val="en-AU"/>
        </w:rPr>
      </w:pPr>
      <w:r w:rsidRPr="007E5246">
        <w:rPr>
          <w:noProof/>
          <w:lang w:val="en-AU" w:eastAsia="en-AU"/>
        </w:rPr>
        <w:drawing>
          <wp:inline distT="0" distB="0" distL="0" distR="0" wp14:anchorId="35BB0EA4" wp14:editId="626ED7C7">
            <wp:extent cx="2851150" cy="20002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ing.jpg"/>
                    <pic:cNvPicPr/>
                  </pic:nvPicPr>
                  <pic:blipFill rotWithShape="1">
                    <a:blip r:embed="rId54">
                      <a:extLst>
                        <a:ext uri="{28A0092B-C50C-407E-A947-70E740481C1C}">
                          <a14:useLocalDpi xmlns:a14="http://schemas.microsoft.com/office/drawing/2010/main" val="0"/>
                        </a:ext>
                      </a:extLst>
                    </a:blip>
                    <a:srcRect l="22472" r="10393" b="1445"/>
                    <a:stretch/>
                  </pic:blipFill>
                  <pic:spPr bwMode="auto">
                    <a:xfrm>
                      <a:off x="0" y="0"/>
                      <a:ext cx="2851150" cy="2000250"/>
                    </a:xfrm>
                    <a:prstGeom prst="rect">
                      <a:avLst/>
                    </a:prstGeom>
                    <a:ln>
                      <a:noFill/>
                    </a:ln>
                    <a:extLst>
                      <a:ext uri="{53640926-AAD7-44D8-BBD7-CCE9431645EC}">
                        <a14:shadowObscured xmlns:a14="http://schemas.microsoft.com/office/drawing/2010/main"/>
                      </a:ext>
                    </a:extLst>
                  </pic:spPr>
                </pic:pic>
              </a:graphicData>
            </a:graphic>
          </wp:inline>
        </w:drawing>
      </w:r>
      <w:r w:rsidRPr="007E5246">
        <w:rPr>
          <w:lang w:val="en-AU"/>
        </w:rPr>
        <w:t xml:space="preserve"> </w:t>
      </w:r>
      <w:r>
        <w:rPr>
          <w:noProof/>
          <w:lang w:val="en-AU" w:eastAsia="en-AU"/>
        </w:rPr>
        <w:drawing>
          <wp:inline distT="0" distB="0" distL="0" distR="0" wp14:anchorId="77313169" wp14:editId="5158E1A9">
            <wp:extent cx="2927350" cy="196550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927500" cy="1965607"/>
                    </a:xfrm>
                    <a:prstGeom prst="rect">
                      <a:avLst/>
                    </a:prstGeom>
                  </pic:spPr>
                </pic:pic>
              </a:graphicData>
            </a:graphic>
          </wp:inline>
        </w:drawing>
      </w:r>
    </w:p>
    <w:p w14:paraId="1D27A5BC" w14:textId="608FD8A0" w:rsidR="0023226C" w:rsidRPr="00EA1D58" w:rsidRDefault="00EA1D58" w:rsidP="00EA1D58">
      <w:pPr>
        <w:pStyle w:val="Caption"/>
      </w:pPr>
      <w:bookmarkStart w:id="104" w:name="_Ref506803811"/>
      <w:bookmarkStart w:id="105" w:name="_Toc501356769"/>
      <w:r w:rsidRPr="009038E7">
        <w:t xml:space="preserve">Figure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Figure \* ARABIC \s 1 </w:instrText>
      </w:r>
      <w:r>
        <w:fldChar w:fldCharType="separate"/>
      </w:r>
      <w:r w:rsidR="00A83148">
        <w:rPr>
          <w:noProof/>
        </w:rPr>
        <w:t>4</w:t>
      </w:r>
      <w:r>
        <w:fldChar w:fldCharType="end"/>
      </w:r>
      <w:bookmarkEnd w:id="104"/>
      <w:r w:rsidRPr="009038E7">
        <w:t xml:space="preserve"> : </w:t>
      </w:r>
      <w:r w:rsidR="0023226C" w:rsidRPr="006775F6">
        <w:t>Extensive footing backfill carried out in areas of displacing soils</w:t>
      </w:r>
      <w:r w:rsidR="00474B1F">
        <w:t xml:space="preserve"> (Kalaga and Yenumula, 2016)</w:t>
      </w:r>
      <w:bookmarkEnd w:id="105"/>
    </w:p>
    <w:p w14:paraId="150DCBFB" w14:textId="4E542981" w:rsidR="0023226C" w:rsidRDefault="00284502" w:rsidP="00284502">
      <w:pPr>
        <w:pStyle w:val="Para0"/>
        <w:rPr>
          <w:lang w:eastAsia="en-AU"/>
        </w:rPr>
      </w:pPr>
      <w:r>
        <w:rPr>
          <w:lang w:eastAsia="en-AU"/>
        </w:rPr>
        <w:t xml:space="preserve">These effects </w:t>
      </w:r>
      <w:r w:rsidR="00055296">
        <w:rPr>
          <w:lang w:eastAsia="en-AU"/>
        </w:rPr>
        <w:t xml:space="preserve">can be indicated by horizontal strain. </w:t>
      </w:r>
      <w:r w:rsidR="00D07D67">
        <w:rPr>
          <w:lang w:eastAsia="en-AU"/>
        </w:rPr>
        <w:t xml:space="preserve"> </w:t>
      </w:r>
      <w:r w:rsidR="00055296">
        <w:rPr>
          <w:lang w:eastAsia="en-AU"/>
        </w:rPr>
        <w:t xml:space="preserve">Accordingly, this is recommended as the metric for </w:t>
      </w:r>
      <w:r w:rsidR="00B8673A">
        <w:rPr>
          <w:lang w:eastAsia="en-AU"/>
        </w:rPr>
        <w:t>assessing rehabilitation ground movement.</w:t>
      </w:r>
    </w:p>
    <w:p w14:paraId="4D5715E1" w14:textId="353D501F" w:rsidR="0023226C" w:rsidRPr="00017F99" w:rsidRDefault="0023226C" w:rsidP="00714849">
      <w:pPr>
        <w:pStyle w:val="Heading4"/>
        <w:rPr>
          <w:lang w:val="en-AU"/>
        </w:rPr>
      </w:pPr>
      <w:bookmarkStart w:id="106" w:name="_Toc501356677"/>
      <w:r w:rsidRPr="00017F99">
        <w:rPr>
          <w:lang w:val="en-AU"/>
        </w:rPr>
        <w:t>Thresholds and Rationale</w:t>
      </w:r>
      <w:bookmarkEnd w:id="106"/>
      <w:r w:rsidRPr="00017F99">
        <w:rPr>
          <w:lang w:val="en-AU"/>
        </w:rPr>
        <w:t xml:space="preserve"> </w:t>
      </w:r>
    </w:p>
    <w:p w14:paraId="55C85D1A" w14:textId="7F82D32A" w:rsidR="00B10720" w:rsidRDefault="00B10720" w:rsidP="00B10720">
      <w:bookmarkStart w:id="107" w:name="_Toc501356678"/>
      <w:r w:rsidRPr="00017F99">
        <w:t xml:space="preserve">In terms of damage criteria (movement limit values) across a wide range of structures, </w:t>
      </w:r>
      <w:r w:rsidR="00B66321">
        <w:t xml:space="preserve">there is </w:t>
      </w:r>
      <w:r w:rsidRPr="00017F99">
        <w:t xml:space="preserve">consensus </w:t>
      </w:r>
      <w:r w:rsidR="00B66321">
        <w:t xml:space="preserve">in literature for a conservative </w:t>
      </w:r>
      <w:r w:rsidRPr="00B10720">
        <w:t>strain value of 1.0 x 10</w:t>
      </w:r>
      <w:r w:rsidRPr="00B10720">
        <w:rPr>
          <w:vertAlign w:val="superscript"/>
        </w:rPr>
        <w:t>-3</w:t>
      </w:r>
      <w:r w:rsidRPr="00B10720">
        <w:t xml:space="preserve"> for tolerable horizontal strain (see, for example Nishida and Goto 1970; Lackington and Robinson 1973</w:t>
      </w:r>
      <w:r w:rsidRPr="00017F99">
        <w:t>)</w:t>
      </w:r>
      <w:r w:rsidR="008B23EA">
        <w:t xml:space="preserve">. </w:t>
      </w:r>
      <w:r w:rsidR="00D07D67">
        <w:t xml:space="preserve"> </w:t>
      </w:r>
      <w:r w:rsidR="008B23EA">
        <w:t>This value will provide protection for more sensitive structures and can be used as early war</w:t>
      </w:r>
      <w:r w:rsidR="0056686E">
        <w:t>n</w:t>
      </w:r>
      <w:r w:rsidR="008B23EA">
        <w:t>ing for less sensitive structures.</w:t>
      </w:r>
      <w:r w:rsidR="00D07D67">
        <w:t xml:space="preserve"> </w:t>
      </w:r>
      <w:r w:rsidR="008B23EA">
        <w:t xml:space="preserve"> Final acceptance will need to be determined for each indivi</w:t>
      </w:r>
      <w:r w:rsidR="0056686E">
        <w:t>d</w:t>
      </w:r>
      <w:r w:rsidR="008B23EA">
        <w:t xml:space="preserve">ual structure </w:t>
      </w:r>
      <w:r w:rsidR="0056686E">
        <w:t>because of the differences in age, materials and design</w:t>
      </w:r>
      <w:r w:rsidR="001544A2">
        <w:t>.</w:t>
      </w:r>
    </w:p>
    <w:p w14:paraId="2DF19852" w14:textId="76F16B01" w:rsidR="00294A0C" w:rsidRPr="00017F99" w:rsidRDefault="00257AC1" w:rsidP="00B10720">
      <w:r>
        <w:t xml:space="preserve">This strain value can also be used for differential settlement due to subsidence </w:t>
      </w:r>
      <w:r w:rsidR="000E6457">
        <w:t xml:space="preserve">and </w:t>
      </w:r>
      <w:r>
        <w:t>re</w:t>
      </w:r>
      <w:r w:rsidR="000E6457">
        <w:t>b</w:t>
      </w:r>
      <w:r>
        <w:t xml:space="preserve">ound for any individual tower or lattice structure. </w:t>
      </w:r>
      <w:r w:rsidR="00D07D67">
        <w:t xml:space="preserve"> </w:t>
      </w:r>
      <w:r>
        <w:t xml:space="preserve">As has been </w:t>
      </w:r>
      <w:r w:rsidR="000E6457">
        <w:t xml:space="preserve">described earlier, during mining it is likely that </w:t>
      </w:r>
      <w:r w:rsidR="009B797B">
        <w:t>some</w:t>
      </w:r>
      <w:r w:rsidR="000E6457">
        <w:t xml:space="preserve"> individual towers have experienced strain in excess of this threshold so the individual circumstances of design and location for any structure will need to be considered when assessing a receptor.</w:t>
      </w:r>
    </w:p>
    <w:p w14:paraId="6D7B41B2" w14:textId="38A05608" w:rsidR="0023226C" w:rsidRPr="00B73C3A" w:rsidRDefault="0023226C" w:rsidP="00714849">
      <w:pPr>
        <w:pStyle w:val="Heading3"/>
      </w:pPr>
      <w:r w:rsidRPr="00B73C3A">
        <w:t xml:space="preserve">Gas Fired </w:t>
      </w:r>
      <w:r w:rsidRPr="0023226C">
        <w:t>Power</w:t>
      </w:r>
      <w:r w:rsidRPr="00B73C3A">
        <w:t xml:space="preserve"> Generation</w:t>
      </w:r>
      <w:bookmarkEnd w:id="107"/>
    </w:p>
    <w:p w14:paraId="6E194F9C" w14:textId="5310D6BB" w:rsidR="001C3CD9" w:rsidRDefault="001C3CD9" w:rsidP="001C3CD9">
      <w:r w:rsidRPr="00480F44">
        <w:t>Jeeralang Power Station is a gas turbine power station with a capacity of 460 me</w:t>
      </w:r>
      <w:r>
        <w:t>gawatts (620,000 hp) about 6 km</w:t>
      </w:r>
      <w:r w:rsidRPr="00480F44">
        <w:t xml:space="preserve"> south of Morwell. </w:t>
      </w:r>
      <w:r>
        <w:t xml:space="preserve"> The </w:t>
      </w:r>
      <w:r w:rsidRPr="00480F44">
        <w:t xml:space="preserve">plant is used during periods of peak demand, and as a black start facility to restore power to the grid in the event of major system failure. </w:t>
      </w:r>
      <w:r>
        <w:t xml:space="preserve"> </w:t>
      </w:r>
      <w:r w:rsidRPr="00480F44">
        <w:t>The</w:t>
      </w:r>
      <w:r>
        <w:t xml:space="preserve"> power station was built by the </w:t>
      </w:r>
      <w:r w:rsidRPr="00480F44">
        <w:t xml:space="preserve">State Electricity Commission of Victoria. </w:t>
      </w:r>
      <w:r w:rsidR="00D07D67">
        <w:t xml:space="preserve"> </w:t>
      </w:r>
      <w:r w:rsidRPr="00480F44">
        <w:t xml:space="preserve">Jeeralang consists of seven gas turbines configured to operate in single cycle mode. </w:t>
      </w:r>
      <w:r w:rsidR="00D07D67">
        <w:t xml:space="preserve"> </w:t>
      </w:r>
      <w:r w:rsidRPr="00480F44">
        <w:t>The plant is divided into two stations</w:t>
      </w:r>
      <w:r>
        <w:t>:</w:t>
      </w:r>
    </w:p>
    <w:p w14:paraId="5C100809" w14:textId="29CE8277" w:rsidR="001C3CD9" w:rsidRDefault="001C3CD9" w:rsidP="001C3CD9">
      <w:pPr>
        <w:pStyle w:val="Para0bullet"/>
      </w:pPr>
      <w:r>
        <w:rPr>
          <w:b/>
          <w:bCs/>
        </w:rPr>
        <w:t>Jeeralang A</w:t>
      </w:r>
      <w:r>
        <w:t xml:space="preserve"> was built between 1977 and 1979</w:t>
      </w:r>
      <w:r w:rsidR="00B912C6">
        <w:t>;</w:t>
      </w:r>
      <w:r>
        <w:t xml:space="preserve"> and</w:t>
      </w:r>
    </w:p>
    <w:p w14:paraId="6E111E8E" w14:textId="0FFBF605" w:rsidR="001C3CD9" w:rsidRDefault="001C3CD9" w:rsidP="001C3CD9">
      <w:pPr>
        <w:pStyle w:val="Para0bullet"/>
      </w:pPr>
      <w:r>
        <w:rPr>
          <w:b/>
          <w:bCs/>
        </w:rPr>
        <w:t>Jeeralang B</w:t>
      </w:r>
      <w:r>
        <w:t xml:space="preserve"> was built between 1978 and 1980</w:t>
      </w:r>
      <w:r w:rsidR="00B912C6">
        <w:t>.</w:t>
      </w:r>
      <w:r>
        <w:t xml:space="preserve"> </w:t>
      </w:r>
    </w:p>
    <w:p w14:paraId="2C942C92" w14:textId="0D40A382" w:rsidR="0023226C" w:rsidRDefault="0023226C" w:rsidP="0023226C">
      <w:r>
        <w:t>The metrics and thresholds for the potential damage induced by ground movement to the Jeeralang gas fired power station (</w:t>
      </w:r>
      <w:r w:rsidR="00F5051B">
        <w:fldChar w:fldCharType="begin"/>
      </w:r>
      <w:r w:rsidR="00F5051B">
        <w:instrText xml:space="preserve"> REF _Ref506888403 \h </w:instrText>
      </w:r>
      <w:r w:rsidR="00F5051B">
        <w:fldChar w:fldCharType="separate"/>
      </w:r>
      <w:r w:rsidR="00A83148" w:rsidRPr="009038E7">
        <w:t xml:space="preserve">Figure </w:t>
      </w:r>
      <w:r w:rsidR="00A83148">
        <w:rPr>
          <w:noProof/>
        </w:rPr>
        <w:t>5</w:t>
      </w:r>
      <w:r w:rsidR="00A83148" w:rsidRPr="009038E7">
        <w:t>.</w:t>
      </w:r>
      <w:r w:rsidR="00A83148">
        <w:rPr>
          <w:noProof/>
        </w:rPr>
        <w:t>5</w:t>
      </w:r>
      <w:r w:rsidR="00F5051B">
        <w:fldChar w:fldCharType="end"/>
      </w:r>
      <w:r>
        <w:t xml:space="preserve">) </w:t>
      </w:r>
      <w:r w:rsidR="00C14E0E">
        <w:t xml:space="preserve">has been adopted from </w:t>
      </w:r>
      <w:r>
        <w:t>those used for buildings and structures</w:t>
      </w:r>
      <w:r w:rsidR="0049581E">
        <w:t>.</w:t>
      </w:r>
      <w:r>
        <w:t xml:space="preserve"> </w:t>
      </w:r>
    </w:p>
    <w:p w14:paraId="1CF4A1B0" w14:textId="5A060186" w:rsidR="0023226C" w:rsidRDefault="008507D5" w:rsidP="0023226C">
      <w:r>
        <w:rPr>
          <w:noProof/>
          <w:lang w:val="en-AU" w:eastAsia="en-AU"/>
        </w:rPr>
        <w:drawing>
          <wp:inline distT="0" distB="0" distL="0" distR="0" wp14:anchorId="33755689" wp14:editId="34F7A02E">
            <wp:extent cx="5894070" cy="37871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eralang_Power_Station,_Victoria.jpg"/>
                    <pic:cNvPicPr/>
                  </pic:nvPicPr>
                  <pic:blipFill>
                    <a:blip r:embed="rId56"/>
                    <a:stretch>
                      <a:fillRect/>
                    </a:stretch>
                  </pic:blipFill>
                  <pic:spPr>
                    <a:xfrm>
                      <a:off x="0" y="0"/>
                      <a:ext cx="5894070" cy="3787140"/>
                    </a:xfrm>
                    <a:prstGeom prst="rect">
                      <a:avLst/>
                    </a:prstGeom>
                  </pic:spPr>
                </pic:pic>
              </a:graphicData>
            </a:graphic>
          </wp:inline>
        </w:drawing>
      </w:r>
    </w:p>
    <w:p w14:paraId="6FEB8E16" w14:textId="6556853E" w:rsidR="0023226C" w:rsidRDefault="00EA1D58" w:rsidP="0023226C">
      <w:pPr>
        <w:pStyle w:val="Caption"/>
      </w:pPr>
      <w:bookmarkStart w:id="108" w:name="_Ref506888403"/>
      <w:bookmarkStart w:id="109" w:name="_Toc501356770"/>
      <w:r w:rsidRPr="009038E7">
        <w:t xml:space="preserve">Figure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Figure \* ARABIC \s 1 </w:instrText>
      </w:r>
      <w:r>
        <w:fldChar w:fldCharType="separate"/>
      </w:r>
      <w:r w:rsidR="00A83148">
        <w:rPr>
          <w:noProof/>
        </w:rPr>
        <w:t>5</w:t>
      </w:r>
      <w:r>
        <w:fldChar w:fldCharType="end"/>
      </w:r>
      <w:bookmarkEnd w:id="108"/>
      <w:r w:rsidRPr="009038E7">
        <w:t xml:space="preserve"> : </w:t>
      </w:r>
      <w:r w:rsidR="0023226C">
        <w:t>Jeeralang gas fired power station</w:t>
      </w:r>
      <w:bookmarkEnd w:id="109"/>
      <w:r w:rsidR="00411EC1">
        <w:t xml:space="preserve"> </w:t>
      </w:r>
      <w:r w:rsidR="0062053D">
        <w:t xml:space="preserve">(Source: </w:t>
      </w:r>
      <w:r w:rsidR="00411EC1" w:rsidRPr="00411EC1">
        <w:t>By Marcus Wong - Own work, CC BY-SA 3.0, https://commons.wikimedia.org/w/index.php?curid=5567823</w:t>
      </w:r>
      <w:r w:rsidR="0062053D">
        <w:t>)</w:t>
      </w:r>
    </w:p>
    <w:p w14:paraId="25B8F383" w14:textId="729FDE37" w:rsidR="0023226C" w:rsidRDefault="00297D63" w:rsidP="0021628F">
      <w:pPr>
        <w:pStyle w:val="Para0"/>
      </w:pPr>
      <w:bookmarkStart w:id="110" w:name="_Ref499710824"/>
      <w:r>
        <w:t xml:space="preserve">Relevant standards and guidelines that apply to this receptor have been identified and are listed in table </w:t>
      </w:r>
      <w:r w:rsidR="0021628F">
        <w:t>5.6.</w:t>
      </w:r>
    </w:p>
    <w:p w14:paraId="4362B29E" w14:textId="0A11D8B8" w:rsidR="0023226C" w:rsidRPr="002B0110" w:rsidRDefault="00EA1D58" w:rsidP="00EA1D58">
      <w:pPr>
        <w:pStyle w:val="Caption"/>
      </w:pPr>
      <w:bookmarkStart w:id="111" w:name="_Ref506888673"/>
      <w:bookmarkStart w:id="112" w:name="_Toc501356734"/>
      <w:bookmarkEnd w:id="110"/>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5</w:t>
      </w:r>
      <w:r>
        <w:fldChar w:fldCharType="end"/>
      </w:r>
      <w:bookmarkEnd w:id="111"/>
      <w:r w:rsidRPr="009038E7">
        <w:t xml:space="preserve"> : </w:t>
      </w:r>
      <w:r w:rsidR="0023226C" w:rsidRPr="00D55E15">
        <w:t>Gas Fired Power Generation</w:t>
      </w:r>
      <w:r w:rsidR="0023226C">
        <w:t xml:space="preserve"> </w:t>
      </w:r>
      <w:r w:rsidR="00267651">
        <w:t>–</w:t>
      </w:r>
      <w:r w:rsidR="0023226C">
        <w:t xml:space="preserve"> </w:t>
      </w:r>
      <w:bookmarkEnd w:id="112"/>
      <w:r w:rsidR="00267651">
        <w:t>identified standards and guidelines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7052"/>
      </w:tblGrid>
      <w:tr w:rsidR="00297D63" w:rsidRPr="00177792" w14:paraId="3E5DC9B8" w14:textId="77777777" w:rsidTr="00297D63">
        <w:tc>
          <w:tcPr>
            <w:tcW w:w="1987" w:type="dxa"/>
            <w:shd w:val="clear" w:color="auto" w:fill="00338D"/>
          </w:tcPr>
          <w:p w14:paraId="3C6B42EC" w14:textId="77777777" w:rsidR="00297D63" w:rsidRPr="00D523CA" w:rsidRDefault="00297D63" w:rsidP="0023226C">
            <w:pPr>
              <w:keepNext/>
              <w:spacing w:before="100" w:after="100"/>
              <w:rPr>
                <w:color w:val="FFFFFF"/>
                <w:lang w:val="en-AU"/>
              </w:rPr>
            </w:pPr>
            <w:r w:rsidRPr="00D523CA">
              <w:rPr>
                <w:rFonts w:ascii="Arial Black" w:hAnsi="Arial Black"/>
                <w:b/>
                <w:color w:val="FFFFFF"/>
                <w:sz w:val="16"/>
              </w:rPr>
              <w:t>Value Category</w:t>
            </w:r>
          </w:p>
        </w:tc>
        <w:tc>
          <w:tcPr>
            <w:tcW w:w="7052" w:type="dxa"/>
            <w:shd w:val="clear" w:color="auto" w:fill="00338D"/>
          </w:tcPr>
          <w:p w14:paraId="7FC4DCF6" w14:textId="77777777" w:rsidR="00297D63" w:rsidRPr="00D523CA" w:rsidRDefault="00297D63" w:rsidP="0023226C">
            <w:pPr>
              <w:keepNext/>
              <w:spacing w:before="100" w:after="100"/>
              <w:rPr>
                <w:rFonts w:ascii="Arial Black" w:hAnsi="Arial Black"/>
                <w:b/>
                <w:color w:val="FFFFFF"/>
                <w:sz w:val="16"/>
              </w:rPr>
            </w:pPr>
            <w:r w:rsidRPr="00D523CA">
              <w:rPr>
                <w:rFonts w:ascii="Arial Black" w:hAnsi="Arial Black"/>
                <w:b/>
                <w:color w:val="FFFFFF"/>
                <w:sz w:val="16"/>
              </w:rPr>
              <w:t>Standard, Guideline or Reference Documents</w:t>
            </w:r>
          </w:p>
        </w:tc>
      </w:tr>
      <w:tr w:rsidR="00297D63" w14:paraId="0DD41F2B" w14:textId="77777777" w:rsidTr="00297D63">
        <w:tc>
          <w:tcPr>
            <w:tcW w:w="1987" w:type="dxa"/>
          </w:tcPr>
          <w:p w14:paraId="2F107787" w14:textId="77777777" w:rsidR="00297D63" w:rsidRPr="0098775D" w:rsidRDefault="00297D63" w:rsidP="0023226C">
            <w:pPr>
              <w:spacing w:after="60"/>
              <w:rPr>
                <w:rFonts w:eastAsia="MS Mincho"/>
                <w:sz w:val="18"/>
              </w:rPr>
            </w:pPr>
            <w:r w:rsidRPr="0098775D">
              <w:rPr>
                <w:rFonts w:eastAsia="MS Mincho"/>
                <w:sz w:val="18"/>
              </w:rPr>
              <w:t>Social/Cultural</w:t>
            </w:r>
          </w:p>
        </w:tc>
        <w:tc>
          <w:tcPr>
            <w:tcW w:w="7052" w:type="dxa"/>
          </w:tcPr>
          <w:p w14:paraId="02CD9BD7" w14:textId="7777777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 xml:space="preserve">Australian Pipelines and Gas Association Ltd (APGA) </w:t>
            </w:r>
          </w:p>
          <w:p w14:paraId="24E0265A" w14:textId="7777777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Gas Industry Act 2001</w:t>
            </w:r>
          </w:p>
          <w:p w14:paraId="462C1AB9" w14:textId="2CDED172" w:rsidR="00297D63" w:rsidRPr="00F5051B"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57" w:tgtFrame="_blank" w:history="1">
              <w:r w:rsidR="00297D63" w:rsidRPr="00F5051B">
                <w:rPr>
                  <w:rFonts w:eastAsia="Times New Roman" w:cs="Arial"/>
                  <w:sz w:val="18"/>
                  <w:szCs w:val="20"/>
                  <w:lang w:val="en-AU"/>
                </w:rPr>
                <w:t>Gas Safety Act 1997</w:t>
              </w:r>
            </w:hyperlink>
          </w:p>
          <w:p w14:paraId="2509F563" w14:textId="7B15D4AF" w:rsidR="00297D63" w:rsidRPr="00F5051B"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58" w:tgtFrame="_blank" w:history="1">
              <w:r w:rsidR="00297D63" w:rsidRPr="00F5051B">
                <w:rPr>
                  <w:rFonts w:eastAsia="Times New Roman" w:cs="Arial"/>
                  <w:sz w:val="18"/>
                  <w:szCs w:val="20"/>
                  <w:lang w:val="en-AU"/>
                </w:rPr>
                <w:t>Gas Safety (Gas Installation) Regulations 2008</w:t>
              </w:r>
            </w:hyperlink>
          </w:p>
          <w:p w14:paraId="0A17AA10" w14:textId="0F8D285A" w:rsidR="00297D63" w:rsidRPr="00F5051B"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59" w:tgtFrame="_blank" w:history="1">
              <w:r w:rsidR="00297D63" w:rsidRPr="00F5051B">
                <w:rPr>
                  <w:rFonts w:eastAsia="Times New Roman" w:cs="Arial"/>
                  <w:sz w:val="18"/>
                  <w:szCs w:val="20"/>
                  <w:lang w:val="en-AU"/>
                </w:rPr>
                <w:t>Gas Safety (Safety Case) Regulations 2008</w:t>
              </w:r>
            </w:hyperlink>
          </w:p>
          <w:p w14:paraId="48E3EC26" w14:textId="3551B207" w:rsidR="00297D63" w:rsidRPr="00F5051B"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60" w:tgtFrame="_blank" w:history="1">
              <w:r w:rsidR="00297D63" w:rsidRPr="00F5051B">
                <w:rPr>
                  <w:rFonts w:eastAsia="Times New Roman" w:cs="Arial"/>
                  <w:sz w:val="18"/>
                  <w:szCs w:val="20"/>
                  <w:lang w:val="en-AU"/>
                </w:rPr>
                <w:t>Gas Safety (Gas Quality) Regulations 2017</w:t>
              </w:r>
            </w:hyperlink>
          </w:p>
          <w:p w14:paraId="6AE73A74" w14:textId="7777777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Renewable Energy (Electricity) Act 2000</w:t>
            </w:r>
          </w:p>
          <w:p w14:paraId="43BA6D60" w14:textId="7777777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 xml:space="preserve">Pipelines Act 2005 </w:t>
            </w:r>
          </w:p>
          <w:p w14:paraId="6202D1D1" w14:textId="7777777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Pipelines Regulations 2017</w:t>
            </w:r>
          </w:p>
          <w:p w14:paraId="213825E1" w14:textId="7777777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DELWP (2017) Latrobe Planning Scheme</w:t>
            </w:r>
          </w:p>
          <w:p w14:paraId="0211F23F" w14:textId="380802A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 xml:space="preserve">Planning </w:t>
            </w:r>
            <w:r w:rsidR="00D27DBE">
              <w:rPr>
                <w:rFonts w:eastAsia="Times New Roman" w:cs="Arial"/>
                <w:sz w:val="18"/>
                <w:szCs w:val="20"/>
                <w:lang w:val="en-AU"/>
              </w:rPr>
              <w:t xml:space="preserve">and </w:t>
            </w:r>
            <w:r w:rsidRPr="00F5051B">
              <w:rPr>
                <w:rFonts w:eastAsia="Times New Roman" w:cs="Arial"/>
                <w:sz w:val="18"/>
                <w:szCs w:val="20"/>
                <w:lang w:val="en-AU"/>
              </w:rPr>
              <w:t xml:space="preserve">Environment Act </w:t>
            </w:r>
            <w:r w:rsidR="00D27DBE">
              <w:rPr>
                <w:rFonts w:eastAsia="Times New Roman" w:cs="Arial"/>
                <w:sz w:val="18"/>
                <w:szCs w:val="20"/>
                <w:lang w:val="en-AU"/>
              </w:rPr>
              <w:t>(</w:t>
            </w:r>
            <w:r w:rsidRPr="00F5051B">
              <w:rPr>
                <w:rFonts w:eastAsia="Times New Roman" w:cs="Arial"/>
                <w:sz w:val="18"/>
                <w:szCs w:val="20"/>
                <w:lang w:val="en-AU"/>
              </w:rPr>
              <w:t>1987)</w:t>
            </w:r>
          </w:p>
          <w:p w14:paraId="058715A2" w14:textId="7777777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Live Work Latrobe (Housing Strategy, Industrial Land Use and Employment Strategy and Rural Land Use Strategy) (2016)</w:t>
            </w:r>
          </w:p>
          <w:p w14:paraId="2A55AAEB" w14:textId="7777777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Harrison, J (2011) Mining Engineering Handbook, Mine Subsidence, Society for Mining, Metallurgy and Exploration</w:t>
            </w:r>
          </w:p>
          <w:p w14:paraId="338AB348" w14:textId="7777777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Singh, M (1986) Mine subsidence, Society for Mining, Metallurgy and Exploration</w:t>
            </w:r>
          </w:p>
          <w:p w14:paraId="6B0CAB68" w14:textId="1A278C43" w:rsidR="00297D63" w:rsidRPr="00F5051B"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61" w:history="1">
              <w:r w:rsidR="00297D63" w:rsidRPr="00F5051B">
                <w:rPr>
                  <w:rFonts w:eastAsia="Times New Roman" w:cs="Arial"/>
                  <w:sz w:val="18"/>
                  <w:szCs w:val="20"/>
                  <w:lang w:val="en-AU"/>
                </w:rPr>
                <w:t>Standards Australia</w:t>
              </w:r>
            </w:hyperlink>
            <w:r w:rsidR="00297D63" w:rsidRPr="00F5051B">
              <w:rPr>
                <w:rFonts w:eastAsia="Times New Roman" w:cs="Arial"/>
                <w:sz w:val="18"/>
                <w:szCs w:val="20"/>
                <w:lang w:val="en-AU"/>
              </w:rPr>
              <w:t xml:space="preserve"> AS 2885 pipeline Industry</w:t>
            </w:r>
          </w:p>
          <w:p w14:paraId="60189998" w14:textId="7777777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AS 3600 Concrete Structures</w:t>
            </w:r>
          </w:p>
          <w:p w14:paraId="2AC95887" w14:textId="7777777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AS 1170.4:2007 Structural design actions – Part 4: Earthquake actions in Australia</w:t>
            </w:r>
          </w:p>
          <w:p w14:paraId="0955F3A3" w14:textId="7A3CB862" w:rsidR="00297D63" w:rsidRPr="00F5051B"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62" w:tgtFrame="_blank" w:history="1">
              <w:r w:rsidR="00297D63" w:rsidRPr="00F5051B">
                <w:rPr>
                  <w:rFonts w:eastAsia="Times New Roman" w:cs="Arial"/>
                  <w:sz w:val="18"/>
                  <w:szCs w:val="20"/>
                  <w:lang w:val="en-AU"/>
                </w:rPr>
                <w:t>IECA (2008). Best Practice Erosion and Sediment Control – Appendix P Land-Based Pipeline Construction</w:t>
              </w:r>
            </w:hyperlink>
          </w:p>
          <w:p w14:paraId="4170575B" w14:textId="77777777" w:rsidR="00297D63" w:rsidRPr="00F5051B" w:rsidRDefault="00297D63" w:rsidP="006F654D">
            <w:pPr>
              <w:numPr>
                <w:ilvl w:val="0"/>
                <w:numId w:val="33"/>
              </w:numPr>
              <w:spacing w:after="0" w:line="240" w:lineRule="auto"/>
              <w:ind w:left="209" w:hanging="284"/>
              <w:contextualSpacing/>
              <w:rPr>
                <w:rFonts w:eastAsia="Times New Roman" w:cs="Arial"/>
                <w:sz w:val="18"/>
                <w:szCs w:val="20"/>
                <w:lang w:val="en-AU"/>
              </w:rPr>
            </w:pPr>
            <w:r w:rsidRPr="00F5051B">
              <w:rPr>
                <w:rFonts w:eastAsia="Times New Roman" w:cs="Arial"/>
                <w:sz w:val="18"/>
                <w:szCs w:val="20"/>
                <w:lang w:val="en-AU"/>
              </w:rPr>
              <w:t>APGA CP-04-004 Design in Mine Subsidence Areas, release H1 2018</w:t>
            </w:r>
          </w:p>
        </w:tc>
      </w:tr>
      <w:tr w:rsidR="00297D63" w14:paraId="42CAF644" w14:textId="77777777" w:rsidTr="00297D63">
        <w:tc>
          <w:tcPr>
            <w:tcW w:w="1987" w:type="dxa"/>
          </w:tcPr>
          <w:p w14:paraId="1DBC77AF" w14:textId="77777777" w:rsidR="00297D63" w:rsidRPr="00D35D43" w:rsidRDefault="00297D63" w:rsidP="0023226C">
            <w:pPr>
              <w:spacing w:after="60"/>
              <w:rPr>
                <w:rFonts w:eastAsia="MS Mincho"/>
                <w:sz w:val="18"/>
              </w:rPr>
            </w:pPr>
            <w:r w:rsidRPr="00D35D43">
              <w:rPr>
                <w:rFonts w:eastAsia="MS Mincho"/>
                <w:sz w:val="18"/>
              </w:rPr>
              <w:t>Economic</w:t>
            </w:r>
          </w:p>
        </w:tc>
        <w:tc>
          <w:tcPr>
            <w:tcW w:w="7052" w:type="dxa"/>
          </w:tcPr>
          <w:p w14:paraId="0879C6C4" w14:textId="77777777" w:rsidR="00297D63" w:rsidRPr="0098775D" w:rsidRDefault="00297D63" w:rsidP="006F654D">
            <w:pPr>
              <w:numPr>
                <w:ilvl w:val="0"/>
                <w:numId w:val="33"/>
              </w:numPr>
              <w:spacing w:after="0" w:line="240" w:lineRule="auto"/>
              <w:ind w:left="209" w:hanging="284"/>
              <w:contextualSpacing/>
              <w:rPr>
                <w:rFonts w:eastAsia="MS Mincho"/>
                <w:sz w:val="18"/>
              </w:rPr>
            </w:pPr>
            <w:r w:rsidRPr="00F5051B">
              <w:rPr>
                <w:rFonts w:eastAsia="Times New Roman" w:cs="Arial"/>
                <w:sz w:val="18"/>
                <w:szCs w:val="20"/>
                <w:lang w:val="en-AU"/>
              </w:rPr>
              <w:t>Live Work Latrobe (Housing Strategy, Industrial Land Use and Employment Strategy and Rural Land Use Strategy) (2016)</w:t>
            </w:r>
          </w:p>
        </w:tc>
      </w:tr>
    </w:tbl>
    <w:p w14:paraId="7F5656DB" w14:textId="2C2B8DCA" w:rsidR="0023226C" w:rsidRDefault="0023226C" w:rsidP="00714849">
      <w:pPr>
        <w:pStyle w:val="Heading4"/>
        <w:rPr>
          <w:lang w:val="en-AU"/>
        </w:rPr>
      </w:pPr>
      <w:bookmarkStart w:id="113" w:name="_Toc501356681"/>
      <w:r w:rsidRPr="00D20CAD">
        <w:rPr>
          <w:lang w:val="en-AU"/>
        </w:rPr>
        <w:t>Metrics</w:t>
      </w:r>
      <w:bookmarkEnd w:id="113"/>
    </w:p>
    <w:p w14:paraId="29A6A2F7" w14:textId="623A7826" w:rsidR="0023226C" w:rsidRPr="008E34B3" w:rsidRDefault="00A626C1" w:rsidP="0023226C">
      <w:pPr>
        <w:rPr>
          <w:rFonts w:eastAsia="MS Mincho"/>
          <w:lang w:val="en-AU"/>
        </w:rPr>
      </w:pPr>
      <w:r>
        <w:rPr>
          <w:rFonts w:eastAsia="MS Mincho"/>
          <w:lang w:val="en-AU"/>
        </w:rPr>
        <w:t>Rebound/subsidence metrics f</w:t>
      </w:r>
      <w:r w:rsidR="0023226C">
        <w:rPr>
          <w:rFonts w:eastAsia="MS Mincho"/>
          <w:lang w:val="en-AU"/>
        </w:rPr>
        <w:t>o</w:t>
      </w:r>
      <w:r>
        <w:rPr>
          <w:rFonts w:eastAsia="MS Mincho"/>
          <w:lang w:val="en-AU"/>
        </w:rPr>
        <w:t>r</w:t>
      </w:r>
      <w:r w:rsidR="0023226C">
        <w:rPr>
          <w:rFonts w:eastAsia="MS Mincho"/>
          <w:lang w:val="en-AU"/>
        </w:rPr>
        <w:t xml:space="preserve"> building</w:t>
      </w:r>
      <w:r>
        <w:rPr>
          <w:rFonts w:eastAsia="MS Mincho"/>
          <w:lang w:val="en-AU"/>
        </w:rPr>
        <w:t>s</w:t>
      </w:r>
      <w:r w:rsidR="0023226C">
        <w:rPr>
          <w:rFonts w:eastAsia="MS Mincho"/>
          <w:lang w:val="en-AU"/>
        </w:rPr>
        <w:t xml:space="preserve"> and structure</w:t>
      </w:r>
      <w:r>
        <w:rPr>
          <w:rFonts w:eastAsia="MS Mincho"/>
          <w:lang w:val="en-AU"/>
        </w:rPr>
        <w:t>s</w:t>
      </w:r>
      <w:r w:rsidR="00717673">
        <w:rPr>
          <w:rFonts w:eastAsia="MS Mincho"/>
          <w:lang w:val="en-AU"/>
        </w:rPr>
        <w:t xml:space="preserve"> have been considered and are recommended to apply </w:t>
      </w:r>
      <w:r w:rsidR="0023226C">
        <w:rPr>
          <w:rFonts w:eastAsia="MS Mincho"/>
          <w:lang w:val="en-AU"/>
        </w:rPr>
        <w:t>to the Jeeralang power station</w:t>
      </w:r>
      <w:r w:rsidR="004D60A7">
        <w:rPr>
          <w:rFonts w:eastAsia="MS Mincho"/>
          <w:lang w:val="en-AU"/>
        </w:rPr>
        <w:t xml:space="preserve">. </w:t>
      </w:r>
      <w:r w:rsidR="00D07D67">
        <w:rPr>
          <w:rFonts w:eastAsia="MS Mincho"/>
          <w:lang w:val="en-AU"/>
        </w:rPr>
        <w:t xml:space="preserve"> </w:t>
      </w:r>
      <w:r w:rsidR="00A428D8">
        <w:rPr>
          <w:rFonts w:eastAsia="MS Mincho"/>
          <w:lang w:val="en-AU"/>
        </w:rPr>
        <w:t xml:space="preserve">Section 5.4 (Towns) </w:t>
      </w:r>
      <w:r w:rsidR="004D60A7">
        <w:rPr>
          <w:rFonts w:eastAsia="MS Mincho"/>
          <w:lang w:val="en-AU"/>
        </w:rPr>
        <w:t>gives details of the types of metrics and impacts that have been classified.</w:t>
      </w:r>
    </w:p>
    <w:p w14:paraId="6842F545" w14:textId="6870E496" w:rsidR="0023226C" w:rsidRPr="00D20CAD" w:rsidRDefault="0023226C" w:rsidP="00714849">
      <w:pPr>
        <w:pStyle w:val="Heading4"/>
        <w:rPr>
          <w:lang w:val="en-AU"/>
        </w:rPr>
      </w:pPr>
      <w:bookmarkStart w:id="114" w:name="_Toc501356682"/>
      <w:r w:rsidRPr="00D20CAD">
        <w:rPr>
          <w:lang w:val="en-AU"/>
        </w:rPr>
        <w:t>Thresholds and Rationale</w:t>
      </w:r>
      <w:bookmarkEnd w:id="114"/>
      <w:r w:rsidRPr="00D20CAD">
        <w:rPr>
          <w:lang w:val="en-AU"/>
        </w:rPr>
        <w:t xml:space="preserve"> </w:t>
      </w:r>
    </w:p>
    <w:p w14:paraId="7ABC3C9D" w14:textId="0C8D9BE4" w:rsidR="0023226C" w:rsidRDefault="0023226C" w:rsidP="003251F9">
      <w:r>
        <w:t xml:space="preserve">The damage severity levels </w:t>
      </w:r>
      <w:r w:rsidR="00785762">
        <w:t xml:space="preserve">due to ground movement </w:t>
      </w:r>
      <w:r>
        <w:t xml:space="preserve">are classified into three categories for buildings/structures </w:t>
      </w:r>
      <w:r w:rsidR="00855986">
        <w:t>as described in section 5.</w:t>
      </w:r>
      <w:r w:rsidR="00401A57">
        <w:t>3</w:t>
      </w:r>
      <w:r>
        <w:t>.</w:t>
      </w:r>
      <w:r w:rsidR="003251F9">
        <w:t xml:space="preserve"> </w:t>
      </w:r>
      <w:r w:rsidR="00D07D67">
        <w:t xml:space="preserve"> </w:t>
      </w:r>
      <w:r>
        <w:t xml:space="preserve">In terms of damage criteria (movement limit values) for each damage severity level, currently, a sufficient database does not exist to extend this nationwide for Australia. </w:t>
      </w:r>
      <w:r w:rsidR="00D07D67">
        <w:t xml:space="preserve"> </w:t>
      </w:r>
      <w:r>
        <w:t>However, the results of a survey of a wide range of sourc</w:t>
      </w:r>
      <w:r w:rsidR="00A50C10">
        <w:t xml:space="preserve">es presented in </w:t>
      </w:r>
      <w:r w:rsidR="00A50C10">
        <w:fldChar w:fldCharType="begin"/>
      </w:r>
      <w:r w:rsidR="00A50C10">
        <w:instrText xml:space="preserve"> REF _Ref506890658 \h </w:instrText>
      </w:r>
      <w:r w:rsidR="00A50C10">
        <w:fldChar w:fldCharType="separate"/>
      </w:r>
      <w:r w:rsidR="00A83148" w:rsidRPr="009038E7">
        <w:t xml:space="preserve">Table </w:t>
      </w:r>
      <w:r w:rsidR="00A83148">
        <w:rPr>
          <w:noProof/>
        </w:rPr>
        <w:t>5</w:t>
      </w:r>
      <w:r w:rsidR="00A83148" w:rsidRPr="009038E7">
        <w:t>.</w:t>
      </w:r>
      <w:r w:rsidR="00A83148">
        <w:rPr>
          <w:noProof/>
        </w:rPr>
        <w:t>6</w:t>
      </w:r>
      <w:r w:rsidR="00A50C10">
        <w:fldChar w:fldCharType="end"/>
      </w:r>
      <w:r w:rsidR="00A50C10">
        <w:t>,</w:t>
      </w:r>
      <w:r w:rsidR="00A50C10">
        <w:fldChar w:fldCharType="begin"/>
      </w:r>
      <w:r w:rsidR="00A50C10">
        <w:instrText xml:space="preserve"> REF _Ref506890668 \h </w:instrText>
      </w:r>
      <w:r w:rsidR="00A50C10">
        <w:fldChar w:fldCharType="separate"/>
      </w:r>
      <w:r w:rsidR="00A83148" w:rsidRPr="009038E7">
        <w:t xml:space="preserve">Table </w:t>
      </w:r>
      <w:r w:rsidR="00A83148">
        <w:rPr>
          <w:noProof/>
        </w:rPr>
        <w:t>5</w:t>
      </w:r>
      <w:r w:rsidR="00A83148" w:rsidRPr="009038E7">
        <w:t>.</w:t>
      </w:r>
      <w:r w:rsidR="00A83148">
        <w:rPr>
          <w:noProof/>
        </w:rPr>
        <w:t>7</w:t>
      </w:r>
      <w:r w:rsidR="00A50C10">
        <w:fldChar w:fldCharType="end"/>
      </w:r>
      <w:r w:rsidR="00A50C10">
        <w:t xml:space="preserve"> and </w:t>
      </w:r>
      <w:r w:rsidR="00A50C10">
        <w:fldChar w:fldCharType="begin"/>
      </w:r>
      <w:r w:rsidR="00A50C10">
        <w:instrText xml:space="preserve"> REF _Ref506890735 \h </w:instrText>
      </w:r>
      <w:r w:rsidR="00A50C10">
        <w:fldChar w:fldCharType="separate"/>
      </w:r>
      <w:r w:rsidR="00A83148" w:rsidRPr="009038E7">
        <w:t xml:space="preserve">Table </w:t>
      </w:r>
      <w:r w:rsidR="00A83148">
        <w:rPr>
          <w:noProof/>
        </w:rPr>
        <w:t>5</w:t>
      </w:r>
      <w:r w:rsidR="00A83148" w:rsidRPr="009038E7">
        <w:t>.</w:t>
      </w:r>
      <w:r w:rsidR="00A83148">
        <w:rPr>
          <w:noProof/>
        </w:rPr>
        <w:t>8</w:t>
      </w:r>
      <w:r w:rsidR="00A50C10">
        <w:fldChar w:fldCharType="end"/>
      </w:r>
      <w:r w:rsidR="00A50C10">
        <w:t xml:space="preserve"> </w:t>
      </w:r>
      <w:r>
        <w:t>are deemed an acceptable industry standard</w:t>
      </w:r>
      <w:r w:rsidR="007E5246">
        <w:t xml:space="preserve"> and </w:t>
      </w:r>
      <w:r w:rsidR="007E5246">
        <w:rPr>
          <w:rFonts w:cs="Arial"/>
          <w:szCs w:val="20"/>
        </w:rPr>
        <w:t xml:space="preserve">are </w:t>
      </w:r>
      <w:r w:rsidR="003251F9">
        <w:rPr>
          <w:rFonts w:cs="Arial"/>
          <w:szCs w:val="20"/>
        </w:rPr>
        <w:t>recommended for use in this case. These standa</w:t>
      </w:r>
      <w:r w:rsidR="009F68B6">
        <w:rPr>
          <w:rFonts w:cs="Arial"/>
          <w:szCs w:val="20"/>
        </w:rPr>
        <w:t>r</w:t>
      </w:r>
      <w:r w:rsidR="003251F9">
        <w:rPr>
          <w:rFonts w:cs="Arial"/>
          <w:szCs w:val="20"/>
        </w:rPr>
        <w:t xml:space="preserve">ds represent the best complication of effects and cover a wide range of structures that include the range of </w:t>
      </w:r>
      <w:r w:rsidR="006A1A35">
        <w:rPr>
          <w:rFonts w:cs="Arial"/>
          <w:szCs w:val="20"/>
        </w:rPr>
        <w:t>buildings and features at the power station.</w:t>
      </w:r>
      <w:r w:rsidR="00D07D67">
        <w:rPr>
          <w:rFonts w:cs="Arial"/>
          <w:szCs w:val="20"/>
        </w:rPr>
        <w:t xml:space="preserve"> </w:t>
      </w:r>
      <w:r>
        <w:t xml:space="preserve"> Note that the movements listed are all strain percentages and do not have units.</w:t>
      </w:r>
    </w:p>
    <w:p w14:paraId="226E48C0" w14:textId="38B191C6" w:rsidR="0023226C" w:rsidRDefault="0023226C" w:rsidP="0023226C">
      <w:r>
        <w:t xml:space="preserve">Jeeralang power station is </w:t>
      </w:r>
      <w:r w:rsidR="004F7232">
        <w:t>approximately 6</w:t>
      </w:r>
      <w:r w:rsidR="00BA42CE">
        <w:t xml:space="preserve"> </w:t>
      </w:r>
      <w:r w:rsidR="002D60F4">
        <w:t>k</w:t>
      </w:r>
      <w:r>
        <w:t xml:space="preserve">m from Hazelwood </w:t>
      </w:r>
      <w:r w:rsidR="00F95B4A">
        <w:t xml:space="preserve">mine (the closest </w:t>
      </w:r>
      <w:r w:rsidR="00DB024F">
        <w:t xml:space="preserve">rehabilitation site) </w:t>
      </w:r>
      <w:r>
        <w:t xml:space="preserve">and </w:t>
      </w:r>
      <w:r w:rsidR="00DB024F">
        <w:t xml:space="preserve">is thus </w:t>
      </w:r>
      <w:r>
        <w:t>unlikely to be affected by batter failure or long</w:t>
      </w:r>
      <w:r w:rsidR="009F68B6">
        <w:t>-</w:t>
      </w:r>
      <w:r>
        <w:t>term stress relief</w:t>
      </w:r>
      <w:r w:rsidR="00DB024F">
        <w:t xml:space="preserve"> associated with the void walls (DJPR, 2019)</w:t>
      </w:r>
      <w:r>
        <w:t>.</w:t>
      </w:r>
    </w:p>
    <w:p w14:paraId="7BE9AF02" w14:textId="77777777" w:rsidR="0023226C" w:rsidRDefault="0023226C" w:rsidP="0023226C"/>
    <w:p w14:paraId="4EEBE7F2" w14:textId="77777777" w:rsidR="0023226C" w:rsidRDefault="0023226C" w:rsidP="0023226C">
      <w:pPr>
        <w:spacing w:after="0" w:line="240" w:lineRule="auto"/>
        <w:rPr>
          <w:b/>
        </w:rPr>
      </w:pPr>
      <w:bookmarkStart w:id="115" w:name="_Ref499711051"/>
      <w:r>
        <w:br w:type="page"/>
      </w:r>
    </w:p>
    <w:p w14:paraId="4B2E1172" w14:textId="632776A3" w:rsidR="0023226C" w:rsidRPr="002B0110" w:rsidRDefault="00EA1D58" w:rsidP="00EA1D58">
      <w:pPr>
        <w:pStyle w:val="Caption"/>
      </w:pPr>
      <w:bookmarkStart w:id="116" w:name="_Ref506890658"/>
      <w:bookmarkStart w:id="117" w:name="_Toc501356735"/>
      <w:bookmarkEnd w:id="115"/>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6</w:t>
      </w:r>
      <w:r>
        <w:fldChar w:fldCharType="end"/>
      </w:r>
      <w:bookmarkEnd w:id="116"/>
      <w:r w:rsidRPr="009038E7">
        <w:t xml:space="preserve"> : </w:t>
      </w:r>
      <w:r w:rsidR="0023226C">
        <w:t>Damage Criteria for Buildings/Structures</w:t>
      </w:r>
      <w:bookmarkEnd w:id="117"/>
      <w:r w:rsidR="009F68B6">
        <w:t xml:space="preserve"> (Source: Si</w:t>
      </w:r>
      <w:r w:rsidR="00C26025">
        <w:t>n</w:t>
      </w:r>
      <w:r w:rsidR="009F68B6">
        <w:t>gh, 1986)</w:t>
      </w:r>
    </w:p>
    <w:p w14:paraId="416016C9" w14:textId="30952D31" w:rsidR="0023226C" w:rsidRPr="008B2464" w:rsidRDefault="00246B19" w:rsidP="0023226C">
      <w:pPr>
        <w:pStyle w:val="Para0"/>
        <w:rPr>
          <w:sz w:val="16"/>
          <w:szCs w:val="16"/>
        </w:rPr>
      </w:pPr>
      <w:r>
        <w:rPr>
          <w:noProof/>
          <w:lang w:val="en-AU" w:eastAsia="en-AU"/>
        </w:rPr>
        <w:drawing>
          <wp:inline distT="0" distB="0" distL="0" distR="0" wp14:anchorId="0F0473D0" wp14:editId="7CBBE628">
            <wp:extent cx="5969000" cy="6172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t="2957" b="52"/>
                    <a:stretch>
                      <a:fillRect/>
                    </a:stretch>
                  </pic:blipFill>
                  <pic:spPr bwMode="auto">
                    <a:xfrm>
                      <a:off x="0" y="0"/>
                      <a:ext cx="5969000" cy="6172200"/>
                    </a:xfrm>
                    <a:prstGeom prst="rect">
                      <a:avLst/>
                    </a:prstGeom>
                    <a:noFill/>
                    <a:ln>
                      <a:noFill/>
                    </a:ln>
                  </pic:spPr>
                </pic:pic>
              </a:graphicData>
            </a:graphic>
          </wp:inline>
        </w:drawing>
      </w:r>
    </w:p>
    <w:p w14:paraId="1E56E4BA" w14:textId="77777777" w:rsidR="0023226C" w:rsidRDefault="0023226C" w:rsidP="0023226C">
      <w:pPr>
        <w:pStyle w:val="Para0"/>
      </w:pPr>
    </w:p>
    <w:p w14:paraId="069186E5" w14:textId="77777777" w:rsidR="0023226C" w:rsidRDefault="0023226C" w:rsidP="0023226C">
      <w:pPr>
        <w:spacing w:after="0" w:line="240" w:lineRule="auto"/>
      </w:pPr>
      <w:r>
        <w:br w:type="page"/>
      </w:r>
    </w:p>
    <w:p w14:paraId="17F0B212" w14:textId="79AA4B78" w:rsidR="0023226C" w:rsidRDefault="00EA1D58" w:rsidP="0023226C">
      <w:pPr>
        <w:pStyle w:val="Caption"/>
      </w:pPr>
      <w:bookmarkStart w:id="118" w:name="_Ref506890668"/>
      <w:bookmarkStart w:id="119" w:name="_Ref499815576"/>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7</w:t>
      </w:r>
      <w:r>
        <w:fldChar w:fldCharType="end"/>
      </w:r>
      <w:bookmarkEnd w:id="118"/>
      <w:r w:rsidRPr="009038E7">
        <w:t xml:space="preserve"> : </w:t>
      </w:r>
      <w:r w:rsidR="0023226C">
        <w:t>Damage Criteri</w:t>
      </w:r>
      <w:r w:rsidR="00A50C10">
        <w:t xml:space="preserve">a for Buildings/Structures </w:t>
      </w:r>
      <w:r w:rsidR="00DF5466">
        <w:t>(</w:t>
      </w:r>
      <w:r w:rsidR="00A50C10">
        <w:t>cont</w:t>
      </w:r>
      <w:r w:rsidR="00DF5466">
        <w:t>inued)</w:t>
      </w:r>
    </w:p>
    <w:bookmarkEnd w:id="119"/>
    <w:p w14:paraId="5CDCA68C" w14:textId="77777777" w:rsidR="005E3B9B" w:rsidRDefault="00246B19" w:rsidP="0023226C">
      <w:pPr>
        <w:pStyle w:val="Para0"/>
      </w:pPr>
      <w:r>
        <w:rPr>
          <w:noProof/>
          <w:lang w:val="en-AU" w:eastAsia="en-AU"/>
        </w:rPr>
        <w:drawing>
          <wp:inline distT="0" distB="0" distL="0" distR="0" wp14:anchorId="25BBBE71" wp14:editId="4F79937A">
            <wp:extent cx="5727700" cy="4051300"/>
            <wp:effectExtent l="0" t="0" r="6350" b="6350"/>
            <wp:docPr id="9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t="3636"/>
                    <a:stretch>
                      <a:fillRect/>
                    </a:stretch>
                  </pic:blipFill>
                  <pic:spPr bwMode="auto">
                    <a:xfrm>
                      <a:off x="0" y="0"/>
                      <a:ext cx="5727700" cy="4051300"/>
                    </a:xfrm>
                    <a:prstGeom prst="rect">
                      <a:avLst/>
                    </a:prstGeom>
                    <a:noFill/>
                    <a:ln>
                      <a:noFill/>
                    </a:ln>
                  </pic:spPr>
                </pic:pic>
              </a:graphicData>
            </a:graphic>
          </wp:inline>
        </w:drawing>
      </w:r>
    </w:p>
    <w:p w14:paraId="17EE22DA" w14:textId="77777777" w:rsidR="005E3B9B" w:rsidRDefault="005E3B9B" w:rsidP="0023226C">
      <w:pPr>
        <w:rPr>
          <w:lang w:val="en-AU" w:eastAsia="en-AU"/>
        </w:rPr>
      </w:pPr>
    </w:p>
    <w:p w14:paraId="0604CF52" w14:textId="77777777" w:rsidR="0023226C" w:rsidRDefault="0023226C" w:rsidP="0023226C">
      <w:pPr>
        <w:spacing w:after="0" w:line="240" w:lineRule="auto"/>
        <w:rPr>
          <w:b/>
        </w:rPr>
      </w:pPr>
      <w:r>
        <w:br w:type="page"/>
      </w:r>
    </w:p>
    <w:p w14:paraId="01923E5B" w14:textId="2E833F3C" w:rsidR="0023226C" w:rsidRDefault="00EA1D58" w:rsidP="00EA1D58">
      <w:pPr>
        <w:pStyle w:val="Caption"/>
      </w:pPr>
      <w:bookmarkStart w:id="120" w:name="_Ref506890735"/>
      <w:bookmarkStart w:id="121" w:name="_Toc501356736"/>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8</w:t>
      </w:r>
      <w:r>
        <w:fldChar w:fldCharType="end"/>
      </w:r>
      <w:bookmarkEnd w:id="120"/>
      <w:r w:rsidRPr="009038E7">
        <w:t xml:space="preserve"> : </w:t>
      </w:r>
      <w:r w:rsidR="0023226C">
        <w:t>Damage Criteria for Earthquakes</w:t>
      </w:r>
      <w:bookmarkEnd w:id="121"/>
      <w:r w:rsidR="00B672E4">
        <w:t xml:space="preserve"> (Source: European Seismological Commission</w:t>
      </w:r>
      <w:r w:rsidR="00EF6DEB">
        <w:t>, 2000</w:t>
      </w:r>
      <w:r w:rsidR="00B672E4">
        <w:t>)</w:t>
      </w:r>
    </w:p>
    <w:p w14:paraId="5D116180" w14:textId="77777777" w:rsidR="005E3B9B" w:rsidRDefault="00246B19" w:rsidP="0023226C">
      <w:r>
        <w:rPr>
          <w:noProof/>
          <w:lang w:val="en-AU" w:eastAsia="en-AU"/>
        </w:rPr>
        <w:drawing>
          <wp:inline distT="0" distB="0" distL="0" distR="0" wp14:anchorId="7ED65692" wp14:editId="061B8E68">
            <wp:extent cx="5886450" cy="6286500"/>
            <wp:effectExtent l="0" t="0" r="0" b="0"/>
            <wp:docPr id="99" name="Picture 54" descr="Image result for richter scale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richter scale earthquak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6450" cy="6286500"/>
                    </a:xfrm>
                    <a:prstGeom prst="rect">
                      <a:avLst/>
                    </a:prstGeom>
                    <a:noFill/>
                    <a:ln>
                      <a:noFill/>
                    </a:ln>
                  </pic:spPr>
                </pic:pic>
              </a:graphicData>
            </a:graphic>
          </wp:inline>
        </w:drawing>
      </w:r>
    </w:p>
    <w:p w14:paraId="77D43E82" w14:textId="77777777" w:rsidR="0023226C" w:rsidRDefault="0023226C" w:rsidP="0023226C">
      <w:pPr>
        <w:spacing w:after="0" w:line="240" w:lineRule="auto"/>
        <w:rPr>
          <w:lang w:val="en-AU"/>
        </w:rPr>
      </w:pPr>
      <w:r>
        <w:rPr>
          <w:lang w:val="en-AU"/>
        </w:rPr>
        <w:br w:type="page"/>
      </w:r>
    </w:p>
    <w:p w14:paraId="246F07CD" w14:textId="77777777" w:rsidR="0023226C" w:rsidRPr="00147653" w:rsidRDefault="0023226C" w:rsidP="00AB2D35">
      <w:pPr>
        <w:pStyle w:val="Heading3"/>
      </w:pPr>
      <w:bookmarkStart w:id="122" w:name="_Toc501356683"/>
      <w:r w:rsidRPr="00147653">
        <w:t>Road – Freeway/State Maintained</w:t>
      </w:r>
      <w:bookmarkEnd w:id="122"/>
    </w:p>
    <w:p w14:paraId="3283AFD9" w14:textId="3C3B1E0F" w:rsidR="0023226C" w:rsidRPr="009620C9" w:rsidRDefault="005F08CA" w:rsidP="0023226C">
      <w:pPr>
        <w:rPr>
          <w:lang w:val="en-AU"/>
        </w:rPr>
      </w:pPr>
      <w:r>
        <w:rPr>
          <w:color w:val="000000"/>
        </w:rPr>
        <w:t>M</w:t>
      </w:r>
      <w:r w:rsidR="0023226C" w:rsidRPr="00EA1D58">
        <w:rPr>
          <w:color w:val="000000"/>
        </w:rPr>
        <w:t xml:space="preserve">etrics and thresholds for </w:t>
      </w:r>
      <w:r>
        <w:rPr>
          <w:color w:val="000000"/>
        </w:rPr>
        <w:t xml:space="preserve">ground movement </w:t>
      </w:r>
      <w:r w:rsidR="0023226C" w:rsidRPr="00EA1D58">
        <w:rPr>
          <w:color w:val="000000"/>
        </w:rPr>
        <w:t xml:space="preserve">induced </w:t>
      </w:r>
      <w:r>
        <w:rPr>
          <w:color w:val="000000"/>
        </w:rPr>
        <w:t xml:space="preserve">damage to </w:t>
      </w:r>
      <w:r w:rsidR="009C113D">
        <w:rPr>
          <w:color w:val="000000"/>
        </w:rPr>
        <w:t>f</w:t>
      </w:r>
      <w:r w:rsidR="0023226C" w:rsidRPr="00EA1D58">
        <w:rPr>
          <w:color w:val="000000"/>
        </w:rPr>
        <w:t>reeways</w:t>
      </w:r>
      <w:r>
        <w:rPr>
          <w:color w:val="000000"/>
        </w:rPr>
        <w:t xml:space="preserve">, </w:t>
      </w:r>
      <w:r w:rsidR="0023226C" w:rsidRPr="00EA1D58">
        <w:rPr>
          <w:color w:val="000000"/>
        </w:rPr>
        <w:t>associated infrastructure</w:t>
      </w:r>
      <w:r>
        <w:rPr>
          <w:color w:val="000000"/>
        </w:rPr>
        <w:t xml:space="preserve">, and arterial roads are </w:t>
      </w:r>
      <w:r w:rsidR="005468B2">
        <w:rPr>
          <w:color w:val="000000"/>
        </w:rPr>
        <w:t xml:space="preserve">effectively </w:t>
      </w:r>
      <w:r>
        <w:rPr>
          <w:color w:val="000000"/>
        </w:rPr>
        <w:t xml:space="preserve">set by </w:t>
      </w:r>
      <w:r w:rsidR="0023226C" w:rsidRPr="00EA1D58">
        <w:rPr>
          <w:color w:val="000000"/>
        </w:rPr>
        <w:t>VicRoads</w:t>
      </w:r>
      <w:r w:rsidR="005468B2">
        <w:rPr>
          <w:color w:val="000000"/>
        </w:rPr>
        <w:t xml:space="preserve"> and this study has adopted the guidance already developed (Latrobe City</w:t>
      </w:r>
      <w:r w:rsidR="004D31AF">
        <w:rPr>
          <w:color w:val="000000"/>
        </w:rPr>
        <w:t xml:space="preserve"> Council</w:t>
      </w:r>
      <w:r w:rsidR="005468B2">
        <w:rPr>
          <w:color w:val="000000"/>
        </w:rPr>
        <w:t xml:space="preserve">, 2017). </w:t>
      </w:r>
      <w:r w:rsidR="00D07D67">
        <w:rPr>
          <w:color w:val="000000"/>
        </w:rPr>
        <w:t xml:space="preserve"> </w:t>
      </w:r>
      <w:r w:rsidR="0023226C" w:rsidRPr="000731EF">
        <w:rPr>
          <w:lang w:val="en-AU"/>
        </w:rPr>
        <w:t xml:space="preserve">Relevant standards, guidelines and reference documents which maintain </w:t>
      </w:r>
      <w:r w:rsidR="00D2754D">
        <w:rPr>
          <w:lang w:val="en-AU"/>
        </w:rPr>
        <w:t xml:space="preserve">this </w:t>
      </w:r>
      <w:r w:rsidR="00017EC9">
        <w:rPr>
          <w:lang w:val="en-AU"/>
        </w:rPr>
        <w:t xml:space="preserve">receptor </w:t>
      </w:r>
      <w:r w:rsidR="0023226C" w:rsidRPr="000731EF">
        <w:rPr>
          <w:lang w:val="en-AU"/>
        </w:rPr>
        <w:t>value are listed in</w:t>
      </w:r>
      <w:r w:rsidR="00A50C10">
        <w:rPr>
          <w:lang w:val="en-AU"/>
        </w:rPr>
        <w:t xml:space="preserve"> </w:t>
      </w:r>
      <w:r w:rsidR="00A50C10">
        <w:rPr>
          <w:lang w:val="en-AU"/>
        </w:rPr>
        <w:fldChar w:fldCharType="begin"/>
      </w:r>
      <w:r w:rsidR="00A50C10">
        <w:rPr>
          <w:lang w:val="en-AU"/>
        </w:rPr>
        <w:instrText xml:space="preserve"> REF _Ref506890852 \h </w:instrText>
      </w:r>
      <w:r w:rsidR="00A50C10">
        <w:rPr>
          <w:lang w:val="en-AU"/>
        </w:rPr>
      </w:r>
      <w:r w:rsidR="00A50C10">
        <w:rPr>
          <w:lang w:val="en-AU"/>
        </w:rPr>
        <w:fldChar w:fldCharType="separate"/>
      </w:r>
      <w:r w:rsidR="00A83148" w:rsidRPr="009038E7">
        <w:t xml:space="preserve">Table </w:t>
      </w:r>
      <w:r w:rsidR="00A83148">
        <w:rPr>
          <w:noProof/>
        </w:rPr>
        <w:t>5</w:t>
      </w:r>
      <w:r w:rsidR="00A83148" w:rsidRPr="009038E7">
        <w:t>.</w:t>
      </w:r>
      <w:r w:rsidR="00A83148">
        <w:rPr>
          <w:noProof/>
        </w:rPr>
        <w:t>9</w:t>
      </w:r>
      <w:r w:rsidR="00A50C10">
        <w:rPr>
          <w:lang w:val="en-AU"/>
        </w:rPr>
        <w:fldChar w:fldCharType="end"/>
      </w:r>
      <w:r w:rsidR="0023226C" w:rsidRPr="000731EF">
        <w:rPr>
          <w:lang w:val="en-AU"/>
        </w:rPr>
        <w:t>.</w:t>
      </w:r>
      <w:r w:rsidR="0023226C">
        <w:rPr>
          <w:lang w:val="en-AU"/>
        </w:rPr>
        <w:t xml:space="preserve"> </w:t>
      </w:r>
      <w:r w:rsidR="00D07D67">
        <w:rPr>
          <w:lang w:val="en-AU"/>
        </w:rPr>
        <w:t xml:space="preserve"> </w:t>
      </w:r>
      <w:r w:rsidR="0023226C" w:rsidRPr="009620C9">
        <w:t xml:space="preserve">The Austroads Guide titled </w:t>
      </w:r>
      <w:r w:rsidR="00D2754D">
        <w:t>‘</w:t>
      </w:r>
      <w:r w:rsidR="00517DB1">
        <w:t>T</w:t>
      </w:r>
      <w:r w:rsidR="0023226C" w:rsidRPr="009620C9">
        <w:t>he Austroads Guide to Road Design 1 to 8</w:t>
      </w:r>
      <w:r w:rsidR="00D2754D">
        <w:t>’</w:t>
      </w:r>
      <w:r w:rsidR="0023226C" w:rsidRPr="009620C9">
        <w:t xml:space="preserve"> are over-arching</w:t>
      </w:r>
      <w:r w:rsidR="0023226C">
        <w:t xml:space="preserve"> documents that provide the </w:t>
      </w:r>
      <w:r w:rsidR="00517DB1">
        <w:t xml:space="preserve">national </w:t>
      </w:r>
      <w:r w:rsidR="0023226C">
        <w:t>framework for design and management of freeways</w:t>
      </w:r>
      <w:r w:rsidR="00517DB1">
        <w:t>, including in the Latrobe Valley</w:t>
      </w:r>
      <w:r w:rsidR="0023226C">
        <w:t>.</w:t>
      </w:r>
    </w:p>
    <w:p w14:paraId="13721A79" w14:textId="471523D9" w:rsidR="0023226C" w:rsidRPr="002B0110" w:rsidRDefault="00EA1D58" w:rsidP="00EA1D58">
      <w:pPr>
        <w:pStyle w:val="Caption"/>
      </w:pPr>
      <w:bookmarkStart w:id="123" w:name="_Ref506890852"/>
      <w:bookmarkStart w:id="124" w:name="_Toc501356737"/>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9</w:t>
      </w:r>
      <w:r>
        <w:fldChar w:fldCharType="end"/>
      </w:r>
      <w:bookmarkEnd w:id="123"/>
      <w:r w:rsidRPr="009038E7">
        <w:t xml:space="preserve"> : </w:t>
      </w:r>
      <w:r w:rsidR="0023226C">
        <w:t xml:space="preserve">Road/Freeway </w:t>
      </w:r>
      <w:r w:rsidR="00835529">
        <w:t>–</w:t>
      </w:r>
      <w:r w:rsidR="0023226C">
        <w:t xml:space="preserve"> </w:t>
      </w:r>
      <w:bookmarkEnd w:id="124"/>
      <w:r w:rsidR="00835529">
        <w:t>relevant standards and guidelines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8044"/>
      </w:tblGrid>
      <w:tr w:rsidR="00835529" w:rsidRPr="00D06BB7" w14:paraId="3ECC3E83" w14:textId="77777777" w:rsidTr="00835529">
        <w:tc>
          <w:tcPr>
            <w:tcW w:w="1987" w:type="dxa"/>
            <w:shd w:val="clear" w:color="auto" w:fill="00338D"/>
          </w:tcPr>
          <w:p w14:paraId="1B6E526A" w14:textId="77777777" w:rsidR="00835529" w:rsidRPr="00785762" w:rsidRDefault="00835529" w:rsidP="0023226C">
            <w:pPr>
              <w:keepNext/>
              <w:spacing w:before="100" w:after="100"/>
              <w:rPr>
                <w:color w:val="FFFFFF" w:themeColor="background1"/>
                <w:lang w:val="en-AU"/>
              </w:rPr>
            </w:pPr>
            <w:r w:rsidRPr="00785762">
              <w:rPr>
                <w:rFonts w:ascii="Arial Black" w:hAnsi="Arial Black"/>
                <w:b/>
                <w:color w:val="FFFFFF" w:themeColor="background1"/>
                <w:sz w:val="16"/>
              </w:rPr>
              <w:t>Value Category</w:t>
            </w:r>
          </w:p>
        </w:tc>
        <w:tc>
          <w:tcPr>
            <w:tcW w:w="8044" w:type="dxa"/>
            <w:shd w:val="clear" w:color="auto" w:fill="00338D"/>
          </w:tcPr>
          <w:p w14:paraId="5C442F02" w14:textId="77777777" w:rsidR="00835529" w:rsidRPr="00785762" w:rsidRDefault="00835529" w:rsidP="0023226C">
            <w:pPr>
              <w:keepNext/>
              <w:spacing w:before="100" w:after="100"/>
              <w:rPr>
                <w:rFonts w:ascii="Arial Black" w:hAnsi="Arial Black"/>
                <w:b/>
                <w:color w:val="FFFFFF" w:themeColor="background1"/>
                <w:sz w:val="16"/>
              </w:rPr>
            </w:pPr>
            <w:r w:rsidRPr="00785762">
              <w:rPr>
                <w:rFonts w:ascii="Arial Black" w:hAnsi="Arial Black"/>
                <w:b/>
                <w:color w:val="FFFFFF" w:themeColor="background1"/>
                <w:sz w:val="16"/>
              </w:rPr>
              <w:t>Standard, Guideline or Reference Documents</w:t>
            </w:r>
          </w:p>
        </w:tc>
      </w:tr>
      <w:tr w:rsidR="00835529" w14:paraId="78961483" w14:textId="77777777" w:rsidTr="00835529">
        <w:tc>
          <w:tcPr>
            <w:tcW w:w="1987" w:type="dxa"/>
          </w:tcPr>
          <w:p w14:paraId="3C86F8D0" w14:textId="77777777" w:rsidR="00835529" w:rsidRPr="0098775D" w:rsidRDefault="00835529" w:rsidP="0023226C">
            <w:pPr>
              <w:spacing w:after="60"/>
              <w:rPr>
                <w:rFonts w:eastAsia="MS Mincho"/>
                <w:sz w:val="18"/>
              </w:rPr>
            </w:pPr>
            <w:r w:rsidRPr="0098775D">
              <w:rPr>
                <w:rFonts w:eastAsia="MS Mincho"/>
                <w:sz w:val="18"/>
              </w:rPr>
              <w:t>Social/Cultural</w:t>
            </w:r>
          </w:p>
        </w:tc>
        <w:tc>
          <w:tcPr>
            <w:tcW w:w="8044" w:type="dxa"/>
          </w:tcPr>
          <w:p w14:paraId="169EFC12"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Road Management Act 2004</w:t>
            </w:r>
          </w:p>
          <w:p w14:paraId="6C390199"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Codes of Practice under the Road Management Act</w:t>
            </w:r>
          </w:p>
          <w:p w14:paraId="61FF3A39"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Road Safety Act 1986</w:t>
            </w:r>
          </w:p>
          <w:p w14:paraId="17698F6D"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Austroads (2013) Guide to Road Design Parts 1-8</w:t>
            </w:r>
          </w:p>
          <w:p w14:paraId="47AFFF98"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DELWP (2017) Latrobe Planning Scheme</w:t>
            </w:r>
          </w:p>
          <w:p w14:paraId="45ED507F" w14:textId="54BEB202"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 xml:space="preserve">Planning </w:t>
            </w:r>
            <w:r w:rsidR="00765DBF">
              <w:rPr>
                <w:rFonts w:eastAsia="Times New Roman" w:cs="Arial"/>
                <w:sz w:val="18"/>
                <w:szCs w:val="20"/>
                <w:lang w:val="en-AU"/>
              </w:rPr>
              <w:t>and</w:t>
            </w:r>
            <w:r w:rsidRPr="00A50C10">
              <w:rPr>
                <w:rFonts w:eastAsia="Times New Roman" w:cs="Arial"/>
                <w:sz w:val="18"/>
                <w:szCs w:val="20"/>
                <w:lang w:val="en-AU"/>
              </w:rPr>
              <w:t xml:space="preserve"> Environment Act </w:t>
            </w:r>
            <w:r w:rsidR="00765DBF">
              <w:rPr>
                <w:rFonts w:eastAsia="Times New Roman" w:cs="Arial"/>
                <w:sz w:val="18"/>
                <w:szCs w:val="20"/>
                <w:lang w:val="en-AU"/>
              </w:rPr>
              <w:t>(</w:t>
            </w:r>
            <w:r w:rsidRPr="00A50C10">
              <w:rPr>
                <w:rFonts w:eastAsia="Times New Roman" w:cs="Arial"/>
                <w:sz w:val="18"/>
                <w:szCs w:val="20"/>
                <w:lang w:val="en-AU"/>
              </w:rPr>
              <w:t>1987)</w:t>
            </w:r>
          </w:p>
          <w:p w14:paraId="3C35EFA7"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Live Work Latrobe (Housing Strategy, Industrial Land Use and Employment Strategy and Rural Land Use Strategy) (2016)</w:t>
            </w:r>
          </w:p>
          <w:p w14:paraId="7C37B97F"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Mine Subsidence Board (2009) Graduated Guidelines for Residential Construction (NSW) Historical and Technical Background</w:t>
            </w:r>
          </w:p>
          <w:p w14:paraId="00D4498E"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Harrison, J (2011) Mining Engineering Handbook, Mine Subsidence, Society for Mining, Metallurgy and Exploration</w:t>
            </w:r>
          </w:p>
          <w:p w14:paraId="6B168F58"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Singh, M (1986) Mine subsidence, Society for Mining, Metallurgy and Exploration</w:t>
            </w:r>
          </w:p>
          <w:p w14:paraId="5B861D1A"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Building Code of Australia (BCA), in the National Construction Code series, contains technical provisions for the design and construction of buildings and other structures.</w:t>
            </w:r>
          </w:p>
          <w:p w14:paraId="431756AC" w14:textId="2E793C5F" w:rsidR="00835529" w:rsidRPr="00A50C10"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66" w:history="1">
              <w:r w:rsidR="00835529" w:rsidRPr="00A50C10">
                <w:rPr>
                  <w:rFonts w:eastAsia="Times New Roman" w:cs="Arial"/>
                  <w:sz w:val="18"/>
                  <w:szCs w:val="20"/>
                  <w:lang w:val="en-AU"/>
                </w:rPr>
                <w:t>Standards Australia</w:t>
              </w:r>
            </w:hyperlink>
            <w:r w:rsidR="00835529" w:rsidRPr="00A50C10">
              <w:rPr>
                <w:rFonts w:eastAsia="Times New Roman" w:cs="Arial"/>
                <w:sz w:val="18"/>
                <w:szCs w:val="20"/>
                <w:lang w:val="en-AU"/>
              </w:rPr>
              <w:t xml:space="preserve"> associated publications</w:t>
            </w:r>
          </w:p>
          <w:p w14:paraId="7164D15C"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AS 2159 Design and Installation of Piles</w:t>
            </w:r>
          </w:p>
          <w:p w14:paraId="43C09E33"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AS 5100 Bridge Design (2004)</w:t>
            </w:r>
          </w:p>
          <w:p w14:paraId="4F81D408"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AS 3600 Concrete Structures</w:t>
            </w:r>
          </w:p>
          <w:p w14:paraId="42B01803"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VicRoads Supplement to the Austroads Guide to Road Design Part 5 – Drainage: General &amp; Hydrology Considerations Part 5A – Drainage: Road Surface, Networks, Basins &amp; Subsurface Part 5B – Drainage: Open Channels, Culverts &amp; Floodways</w:t>
            </w:r>
          </w:p>
        </w:tc>
      </w:tr>
      <w:tr w:rsidR="00835529" w14:paraId="4D504A49" w14:textId="77777777" w:rsidTr="00835529">
        <w:tc>
          <w:tcPr>
            <w:tcW w:w="1987" w:type="dxa"/>
          </w:tcPr>
          <w:p w14:paraId="309DD53C" w14:textId="77777777" w:rsidR="00835529" w:rsidRPr="0098775D" w:rsidRDefault="00835529" w:rsidP="0023226C">
            <w:pPr>
              <w:spacing w:after="60"/>
              <w:rPr>
                <w:rFonts w:eastAsia="MS Mincho"/>
                <w:sz w:val="18"/>
              </w:rPr>
            </w:pPr>
            <w:r>
              <w:rPr>
                <w:rFonts w:eastAsia="MS Mincho"/>
                <w:sz w:val="18"/>
              </w:rPr>
              <w:t>Economic</w:t>
            </w:r>
          </w:p>
        </w:tc>
        <w:tc>
          <w:tcPr>
            <w:tcW w:w="8044" w:type="dxa"/>
          </w:tcPr>
          <w:p w14:paraId="4B262E2A" w14:textId="77777777" w:rsidR="00835529" w:rsidRPr="00A50C10" w:rsidRDefault="00835529" w:rsidP="006F654D">
            <w:pPr>
              <w:numPr>
                <w:ilvl w:val="0"/>
                <w:numId w:val="33"/>
              </w:numPr>
              <w:spacing w:after="0" w:line="240" w:lineRule="auto"/>
              <w:ind w:left="209" w:hanging="284"/>
              <w:contextualSpacing/>
              <w:rPr>
                <w:rFonts w:eastAsia="Times New Roman" w:cs="Arial"/>
                <w:sz w:val="18"/>
                <w:szCs w:val="20"/>
                <w:lang w:val="en-AU"/>
              </w:rPr>
            </w:pPr>
            <w:r w:rsidRPr="00A50C10">
              <w:rPr>
                <w:rFonts w:eastAsia="Times New Roman" w:cs="Arial"/>
                <w:sz w:val="18"/>
                <w:szCs w:val="20"/>
                <w:lang w:val="en-AU"/>
              </w:rPr>
              <w:t>DELWP (2017) Latrobe Planning Scheme</w:t>
            </w:r>
          </w:p>
          <w:p w14:paraId="12C5E78A" w14:textId="77777777" w:rsidR="00835529" w:rsidRPr="0098775D" w:rsidRDefault="00835529" w:rsidP="006F654D">
            <w:pPr>
              <w:numPr>
                <w:ilvl w:val="0"/>
                <w:numId w:val="33"/>
              </w:numPr>
              <w:spacing w:after="0" w:line="240" w:lineRule="auto"/>
              <w:ind w:left="209" w:hanging="284"/>
              <w:contextualSpacing/>
              <w:rPr>
                <w:rFonts w:eastAsia="MS Mincho"/>
                <w:sz w:val="18"/>
              </w:rPr>
            </w:pPr>
            <w:r w:rsidRPr="00A50C10">
              <w:rPr>
                <w:rFonts w:eastAsia="Times New Roman" w:cs="Arial"/>
                <w:sz w:val="18"/>
                <w:szCs w:val="20"/>
                <w:lang w:val="en-AU"/>
              </w:rPr>
              <w:t>Live Work Latrobe (Housing Strategy, Industrial Land Use and Employment Strategy and Rural Land Use Strategy) (2016)</w:t>
            </w:r>
          </w:p>
        </w:tc>
      </w:tr>
    </w:tbl>
    <w:p w14:paraId="1C3EB25B" w14:textId="77777777" w:rsidR="0023226C" w:rsidRDefault="0023226C" w:rsidP="0023226C">
      <w:pPr>
        <w:rPr>
          <w:lang w:val="en-AU"/>
        </w:rPr>
      </w:pPr>
    </w:p>
    <w:p w14:paraId="2C4D0CC0" w14:textId="099FA512" w:rsidR="0023226C" w:rsidRDefault="0023226C" w:rsidP="00AB2D35">
      <w:pPr>
        <w:pStyle w:val="Heading4"/>
        <w:rPr>
          <w:lang w:val="en-AU"/>
        </w:rPr>
      </w:pPr>
      <w:bookmarkStart w:id="125" w:name="_Toc501356686"/>
      <w:r w:rsidRPr="0061134C">
        <w:t>Metrics</w:t>
      </w:r>
      <w:bookmarkEnd w:id="125"/>
    </w:p>
    <w:p w14:paraId="22EEE45D" w14:textId="2106419B" w:rsidR="0023226C" w:rsidRDefault="0023226C" w:rsidP="0023226C">
      <w:pPr>
        <w:rPr>
          <w:rFonts w:eastAsia="MS Mincho"/>
          <w:lang w:val="en-AU"/>
        </w:rPr>
      </w:pPr>
      <w:r>
        <w:rPr>
          <w:rFonts w:eastAsia="MS Mincho"/>
          <w:lang w:val="en-AU"/>
        </w:rPr>
        <w:t>The main mechanisms for ground movement damage affecting freeways and highways due to subsidence/rebound movements include</w:t>
      </w:r>
      <w:r w:rsidR="001D31B1">
        <w:rPr>
          <w:rFonts w:eastAsia="MS Mincho"/>
          <w:lang w:val="en-AU"/>
        </w:rPr>
        <w:t xml:space="preserve"> (Singh 1986):</w:t>
      </w:r>
    </w:p>
    <w:p w14:paraId="41BB899E" w14:textId="77777777" w:rsidR="0023226C" w:rsidRPr="00EA1D58" w:rsidRDefault="0023226C" w:rsidP="00A50C10">
      <w:pPr>
        <w:pStyle w:val="Para0bullet"/>
        <w:rPr>
          <w:rFonts w:eastAsia="MS Mincho"/>
          <w:lang w:val="en-AU"/>
        </w:rPr>
      </w:pPr>
      <w:r w:rsidRPr="00EA1D58">
        <w:rPr>
          <w:rFonts w:eastAsia="MS Mincho"/>
          <w:lang w:val="en-AU"/>
        </w:rPr>
        <w:t>Cracks on the road surface.</w:t>
      </w:r>
    </w:p>
    <w:p w14:paraId="529B5753" w14:textId="77777777" w:rsidR="0023226C" w:rsidRPr="00EA1D58" w:rsidRDefault="0023226C" w:rsidP="00A50C10">
      <w:pPr>
        <w:pStyle w:val="Para0bullet"/>
        <w:rPr>
          <w:rFonts w:eastAsia="MS Mincho"/>
          <w:lang w:val="en-AU"/>
        </w:rPr>
      </w:pPr>
      <w:r w:rsidRPr="00EA1D58">
        <w:rPr>
          <w:rFonts w:eastAsia="MS Mincho"/>
          <w:lang w:val="en-AU"/>
        </w:rPr>
        <w:t>Deterioration of base course and/or subgrade.</w:t>
      </w:r>
    </w:p>
    <w:p w14:paraId="2C71FEB1" w14:textId="77777777" w:rsidR="0023226C" w:rsidRPr="00EA1D58" w:rsidRDefault="0023226C" w:rsidP="00A50C10">
      <w:pPr>
        <w:pStyle w:val="Para0bullet"/>
        <w:rPr>
          <w:rFonts w:eastAsia="MS Mincho"/>
          <w:lang w:val="en-AU"/>
        </w:rPr>
      </w:pPr>
      <w:r w:rsidRPr="00EA1D58">
        <w:rPr>
          <w:rFonts w:eastAsia="MS Mincho"/>
          <w:lang w:val="en-AU"/>
        </w:rPr>
        <w:t>Distortion of horizontal and vertical alignment.</w:t>
      </w:r>
    </w:p>
    <w:p w14:paraId="2C44A997" w14:textId="77777777" w:rsidR="0023226C" w:rsidRPr="00EA1D58" w:rsidRDefault="0023226C" w:rsidP="00A50C10">
      <w:pPr>
        <w:pStyle w:val="Para0bullet"/>
        <w:rPr>
          <w:rFonts w:eastAsia="MS Mincho"/>
          <w:lang w:val="en-AU"/>
        </w:rPr>
      </w:pPr>
      <w:r w:rsidRPr="00EA1D58">
        <w:rPr>
          <w:rFonts w:eastAsia="MS Mincho"/>
          <w:lang w:val="en-AU"/>
        </w:rPr>
        <w:t>Bumps or undulations on the road surface.</w:t>
      </w:r>
    </w:p>
    <w:p w14:paraId="612ABECD" w14:textId="77777777" w:rsidR="0023226C" w:rsidRPr="00EA1D58" w:rsidRDefault="0023226C" w:rsidP="00A50C10">
      <w:pPr>
        <w:pStyle w:val="Para0bullet"/>
        <w:rPr>
          <w:rFonts w:eastAsia="MS Mincho"/>
          <w:lang w:val="en-AU"/>
        </w:rPr>
      </w:pPr>
      <w:r w:rsidRPr="00EA1D58">
        <w:rPr>
          <w:rFonts w:eastAsia="MS Mincho"/>
          <w:lang w:val="en-AU"/>
        </w:rPr>
        <w:t>Damage to ancillary works such as sidewalks, drains, fences, curbs, etc.</w:t>
      </w:r>
    </w:p>
    <w:p w14:paraId="3FE69A1C" w14:textId="68E5F8C9" w:rsidR="0023226C" w:rsidRPr="00EA1D58" w:rsidRDefault="005F08CA" w:rsidP="00A50C10">
      <w:pPr>
        <w:pStyle w:val="Para0bullet"/>
        <w:rPr>
          <w:rFonts w:eastAsia="MS Mincho"/>
          <w:lang w:val="en-AU"/>
        </w:rPr>
      </w:pPr>
      <w:r>
        <w:rPr>
          <w:rFonts w:eastAsia="MS Mincho"/>
          <w:lang w:val="en-AU"/>
        </w:rPr>
        <w:t>Altered drainage</w:t>
      </w:r>
      <w:r w:rsidR="001D31B1">
        <w:rPr>
          <w:rFonts w:eastAsia="MS Mincho"/>
          <w:lang w:val="en-AU"/>
        </w:rPr>
        <w:t xml:space="preserve"> leading to flooding</w:t>
      </w:r>
      <w:r w:rsidR="0023226C" w:rsidRPr="00EA1D58">
        <w:rPr>
          <w:rFonts w:eastAsia="MS Mincho"/>
          <w:lang w:val="en-AU"/>
        </w:rPr>
        <w:t>.</w:t>
      </w:r>
    </w:p>
    <w:p w14:paraId="0CB303A2" w14:textId="6BDEFAB4" w:rsidR="0023226C" w:rsidRPr="00210538" w:rsidRDefault="0023226C" w:rsidP="0023226C">
      <w:r>
        <w:rPr>
          <w:rFonts w:eastAsia="MS Mincho"/>
          <w:lang w:val="en-AU"/>
        </w:rPr>
        <w:t xml:space="preserve">The most common damage caused is the formation of tensile cracks on the road surface. </w:t>
      </w:r>
      <w:r w:rsidR="00D07D67">
        <w:rPr>
          <w:rFonts w:eastAsia="MS Mincho"/>
          <w:lang w:val="en-AU"/>
        </w:rPr>
        <w:t xml:space="preserve"> </w:t>
      </w:r>
      <w:r>
        <w:rPr>
          <w:w w:val="105"/>
        </w:rPr>
        <w:t>C</w:t>
      </w:r>
      <w:r w:rsidRPr="00210538">
        <w:rPr>
          <w:w w:val="105"/>
        </w:rPr>
        <w:t xml:space="preserve">ompression ridges may </w:t>
      </w:r>
      <w:r>
        <w:rPr>
          <w:w w:val="105"/>
        </w:rPr>
        <w:t>also occur and</w:t>
      </w:r>
      <w:r w:rsidRPr="00210538">
        <w:rPr>
          <w:w w:val="105"/>
        </w:rPr>
        <w:t xml:space="preserve"> </w:t>
      </w:r>
      <w:r>
        <w:rPr>
          <w:w w:val="105"/>
        </w:rPr>
        <w:t xml:space="preserve">local changes of gradient that </w:t>
      </w:r>
      <w:r w:rsidRPr="00210538">
        <w:rPr>
          <w:w w:val="105"/>
        </w:rPr>
        <w:t xml:space="preserve">may </w:t>
      </w:r>
      <w:r w:rsidRPr="00210538">
        <w:rPr>
          <w:spacing w:val="-3"/>
          <w:w w:val="105"/>
        </w:rPr>
        <w:t xml:space="preserve">become </w:t>
      </w:r>
      <w:r w:rsidRPr="00210538">
        <w:rPr>
          <w:w w:val="105"/>
        </w:rPr>
        <w:t xml:space="preserve">a </w:t>
      </w:r>
      <w:r w:rsidR="005F08CA">
        <w:rPr>
          <w:w w:val="105"/>
        </w:rPr>
        <w:t xml:space="preserve">hazard </w:t>
      </w:r>
      <w:r w:rsidRPr="00210538">
        <w:rPr>
          <w:w w:val="105"/>
        </w:rPr>
        <w:t xml:space="preserve">for </w:t>
      </w:r>
      <w:r>
        <w:rPr>
          <w:spacing w:val="-3"/>
          <w:w w:val="105"/>
        </w:rPr>
        <w:t xml:space="preserve">high-speed traffic, especially </w:t>
      </w:r>
      <w:r w:rsidRPr="00210538">
        <w:rPr>
          <w:w w:val="105"/>
        </w:rPr>
        <w:t>if</w:t>
      </w:r>
      <w:r w:rsidRPr="00210538">
        <w:rPr>
          <w:spacing w:val="27"/>
          <w:w w:val="105"/>
        </w:rPr>
        <w:t xml:space="preserve"> </w:t>
      </w:r>
      <w:r w:rsidRPr="00210538">
        <w:rPr>
          <w:w w:val="105"/>
        </w:rPr>
        <w:t>it</w:t>
      </w:r>
      <w:r w:rsidRPr="00210538">
        <w:rPr>
          <w:spacing w:val="27"/>
          <w:w w:val="105"/>
        </w:rPr>
        <w:t xml:space="preserve"> </w:t>
      </w:r>
      <w:r w:rsidRPr="00210538">
        <w:rPr>
          <w:w w:val="105"/>
        </w:rPr>
        <w:t>causes</w:t>
      </w:r>
      <w:r w:rsidRPr="00210538">
        <w:rPr>
          <w:spacing w:val="27"/>
          <w:w w:val="105"/>
        </w:rPr>
        <w:t xml:space="preserve"> </w:t>
      </w:r>
      <w:r w:rsidRPr="00210538">
        <w:rPr>
          <w:w w:val="105"/>
        </w:rPr>
        <w:t>surface</w:t>
      </w:r>
      <w:r w:rsidRPr="00210538">
        <w:rPr>
          <w:spacing w:val="27"/>
          <w:w w:val="105"/>
        </w:rPr>
        <w:t xml:space="preserve"> </w:t>
      </w:r>
      <w:r w:rsidRPr="00210538">
        <w:rPr>
          <w:w w:val="105"/>
        </w:rPr>
        <w:t>water</w:t>
      </w:r>
      <w:r w:rsidRPr="00210538">
        <w:rPr>
          <w:spacing w:val="27"/>
          <w:w w:val="105"/>
        </w:rPr>
        <w:t xml:space="preserve"> </w:t>
      </w:r>
      <w:r w:rsidRPr="00210538">
        <w:rPr>
          <w:w w:val="105"/>
        </w:rPr>
        <w:t>to</w:t>
      </w:r>
      <w:r w:rsidRPr="00210538">
        <w:rPr>
          <w:spacing w:val="27"/>
          <w:w w:val="105"/>
        </w:rPr>
        <w:t xml:space="preserve"> </w:t>
      </w:r>
      <w:r>
        <w:rPr>
          <w:w w:val="105"/>
        </w:rPr>
        <w:t>pool</w:t>
      </w:r>
      <w:r w:rsidRPr="00210538">
        <w:rPr>
          <w:spacing w:val="27"/>
          <w:w w:val="105"/>
        </w:rPr>
        <w:t xml:space="preserve"> </w:t>
      </w:r>
      <w:r w:rsidRPr="00210538">
        <w:rPr>
          <w:w w:val="105"/>
        </w:rPr>
        <w:t>in</w:t>
      </w:r>
      <w:r w:rsidRPr="00210538">
        <w:rPr>
          <w:spacing w:val="27"/>
          <w:w w:val="105"/>
        </w:rPr>
        <w:t xml:space="preserve"> </w:t>
      </w:r>
      <w:r w:rsidRPr="00210538">
        <w:rPr>
          <w:w w:val="105"/>
        </w:rPr>
        <w:t>affected</w:t>
      </w:r>
      <w:r w:rsidRPr="00210538">
        <w:rPr>
          <w:spacing w:val="27"/>
          <w:w w:val="105"/>
        </w:rPr>
        <w:t xml:space="preserve"> </w:t>
      </w:r>
      <w:r w:rsidRPr="00210538">
        <w:rPr>
          <w:spacing w:val="-2"/>
          <w:w w:val="105"/>
        </w:rPr>
        <w:t>areas.</w:t>
      </w:r>
    </w:p>
    <w:p w14:paraId="4A9F2110" w14:textId="4295FAC4" w:rsidR="0023226C" w:rsidRDefault="0023226C" w:rsidP="0023226C">
      <w:pPr>
        <w:rPr>
          <w:rFonts w:eastAsia="MS Mincho"/>
          <w:lang w:val="en-AU"/>
        </w:rPr>
      </w:pPr>
      <w:r>
        <w:rPr>
          <w:rFonts w:eastAsia="MS Mincho"/>
          <w:lang w:val="en-AU"/>
        </w:rPr>
        <w:t xml:space="preserve">Classification used by VicRoads for hazard inspection and response are listed in </w:t>
      </w:r>
      <w:r w:rsidR="00A50C10">
        <w:rPr>
          <w:rFonts w:eastAsia="MS Mincho"/>
          <w:lang w:val="en-AU"/>
        </w:rPr>
        <w:fldChar w:fldCharType="begin"/>
      </w:r>
      <w:r w:rsidR="00A50C10">
        <w:rPr>
          <w:rFonts w:eastAsia="MS Mincho"/>
          <w:lang w:val="en-AU"/>
        </w:rPr>
        <w:instrText xml:space="preserve"> REF _Ref506890961 \h </w:instrText>
      </w:r>
      <w:r w:rsidR="00A50C10">
        <w:rPr>
          <w:rFonts w:eastAsia="MS Mincho"/>
          <w:lang w:val="en-AU"/>
        </w:rPr>
      </w:r>
      <w:r w:rsidR="00A50C10">
        <w:rPr>
          <w:rFonts w:eastAsia="MS Mincho"/>
          <w:lang w:val="en-AU"/>
        </w:rPr>
        <w:fldChar w:fldCharType="separate"/>
      </w:r>
      <w:r w:rsidR="00A83148" w:rsidRPr="009038E7">
        <w:t xml:space="preserve">Table </w:t>
      </w:r>
      <w:r w:rsidR="00A83148">
        <w:rPr>
          <w:noProof/>
        </w:rPr>
        <w:t>5</w:t>
      </w:r>
      <w:r w:rsidR="00A83148" w:rsidRPr="009038E7">
        <w:t>.</w:t>
      </w:r>
      <w:r w:rsidR="00A83148">
        <w:rPr>
          <w:noProof/>
        </w:rPr>
        <w:t>10</w:t>
      </w:r>
      <w:r w:rsidR="00A50C10">
        <w:rPr>
          <w:rFonts w:eastAsia="MS Mincho"/>
          <w:lang w:val="en-AU"/>
        </w:rPr>
        <w:fldChar w:fldCharType="end"/>
      </w:r>
      <w:r w:rsidR="00A50C10">
        <w:rPr>
          <w:rFonts w:eastAsia="MS Mincho"/>
          <w:lang w:val="en-AU"/>
        </w:rPr>
        <w:t>.</w:t>
      </w:r>
    </w:p>
    <w:p w14:paraId="55C43A07" w14:textId="31BF8EFD" w:rsidR="0023226C" w:rsidRPr="006C0BFD" w:rsidRDefault="00EA1D58" w:rsidP="00EA1D58">
      <w:pPr>
        <w:pStyle w:val="Caption"/>
      </w:pPr>
      <w:bookmarkStart w:id="126" w:name="_Ref506890961"/>
      <w:bookmarkStart w:id="127" w:name="_Toc501356738"/>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10</w:t>
      </w:r>
      <w:r>
        <w:fldChar w:fldCharType="end"/>
      </w:r>
      <w:bookmarkEnd w:id="126"/>
      <w:r w:rsidRPr="009038E7">
        <w:t xml:space="preserve"> : </w:t>
      </w:r>
      <w:r w:rsidR="0023226C">
        <w:t>Classification for hazard inspection and response</w:t>
      </w:r>
      <w:bookmarkEnd w:id="127"/>
      <w:r w:rsidR="009F523B">
        <w:t xml:space="preserve"> (VicRoads</w:t>
      </w:r>
      <w:r w:rsidR="002051B9">
        <w:t>,</w:t>
      </w:r>
      <w:r w:rsidR="009F523B">
        <w:t xml:space="preserve"> 2014)</w:t>
      </w:r>
    </w:p>
    <w:p w14:paraId="1F6E5C0A" w14:textId="77777777" w:rsidR="005E3B9B" w:rsidRDefault="00246B19" w:rsidP="0023226C">
      <w:pPr>
        <w:rPr>
          <w:rFonts w:eastAsia="MS Mincho"/>
          <w:lang w:val="en-AU"/>
        </w:rPr>
      </w:pPr>
      <w:r>
        <w:rPr>
          <w:noProof/>
          <w:lang w:val="en-AU" w:eastAsia="en-AU"/>
        </w:rPr>
        <w:drawing>
          <wp:inline distT="0" distB="0" distL="0" distR="0" wp14:anchorId="56EE90EB" wp14:editId="6A32F283">
            <wp:extent cx="5886450" cy="2108200"/>
            <wp:effectExtent l="0" t="0" r="0" b="6350"/>
            <wp:docPr id="1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6450" cy="2108200"/>
                    </a:xfrm>
                    <a:prstGeom prst="rect">
                      <a:avLst/>
                    </a:prstGeom>
                    <a:noFill/>
                    <a:ln>
                      <a:noFill/>
                    </a:ln>
                  </pic:spPr>
                </pic:pic>
              </a:graphicData>
            </a:graphic>
          </wp:inline>
        </w:drawing>
      </w:r>
    </w:p>
    <w:p w14:paraId="67CD9D02" w14:textId="77777777" w:rsidR="005E3B9B" w:rsidRDefault="00246B19" w:rsidP="0023226C">
      <w:pPr>
        <w:rPr>
          <w:rFonts w:ascii="Arial Black" w:eastAsia="MS Mincho" w:hAnsi="Arial Black"/>
          <w:sz w:val="18"/>
          <w:lang w:val="en-AU"/>
        </w:rPr>
      </w:pPr>
      <w:r>
        <w:rPr>
          <w:noProof/>
          <w:lang w:val="en-AU" w:eastAsia="en-AU"/>
        </w:rPr>
        <w:drawing>
          <wp:inline distT="0" distB="0" distL="0" distR="0" wp14:anchorId="721FEA39" wp14:editId="3F8E7769">
            <wp:extent cx="5848350" cy="209550"/>
            <wp:effectExtent l="0" t="0" r="0" b="0"/>
            <wp:docPr id="1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48350" cy="209550"/>
                    </a:xfrm>
                    <a:prstGeom prst="rect">
                      <a:avLst/>
                    </a:prstGeom>
                    <a:noFill/>
                    <a:ln>
                      <a:noFill/>
                    </a:ln>
                  </pic:spPr>
                </pic:pic>
              </a:graphicData>
            </a:graphic>
          </wp:inline>
        </w:drawing>
      </w:r>
    </w:p>
    <w:p w14:paraId="560D4A77" w14:textId="5C7DEDD5" w:rsidR="005E3B9B" w:rsidRDefault="00246B19" w:rsidP="0023226C">
      <w:pPr>
        <w:keepNext/>
        <w:widowControl w:val="0"/>
        <w:rPr>
          <w:rFonts w:ascii="Arial Black" w:eastAsia="MS Mincho" w:hAnsi="Arial Black"/>
          <w:sz w:val="18"/>
          <w:lang w:val="en-AU"/>
        </w:rPr>
      </w:pPr>
      <w:r>
        <w:rPr>
          <w:noProof/>
          <w:lang w:val="en-AU" w:eastAsia="en-AU"/>
        </w:rPr>
        <w:drawing>
          <wp:inline distT="0" distB="0" distL="0" distR="0" wp14:anchorId="63754DCE" wp14:editId="687DCCC9">
            <wp:extent cx="5886450" cy="1358900"/>
            <wp:effectExtent l="0" t="0" r="0" b="0"/>
            <wp:docPr id="106"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87191" cy="1359071"/>
                    </a:xfrm>
                    <a:prstGeom prst="rect">
                      <a:avLst/>
                    </a:prstGeom>
                    <a:noFill/>
                    <a:ln>
                      <a:noFill/>
                    </a:ln>
                  </pic:spPr>
                </pic:pic>
              </a:graphicData>
            </a:graphic>
          </wp:inline>
        </w:drawing>
      </w:r>
    </w:p>
    <w:p w14:paraId="42539233" w14:textId="77777777" w:rsidR="0023226C" w:rsidRDefault="0023226C" w:rsidP="0023226C">
      <w:pPr>
        <w:rPr>
          <w:rFonts w:eastAsia="MS Mincho"/>
          <w:sz w:val="16"/>
          <w:szCs w:val="16"/>
          <w:lang w:val="en-AU"/>
        </w:rPr>
      </w:pPr>
      <w:r>
        <w:rPr>
          <w:rFonts w:eastAsia="MS Mincho"/>
          <w:sz w:val="16"/>
          <w:szCs w:val="16"/>
          <w:lang w:val="en-AU"/>
        </w:rPr>
        <w:t>RMC = Road Maintenance Category</w:t>
      </w:r>
    </w:p>
    <w:p w14:paraId="6126C015" w14:textId="71BB4CC6" w:rsidR="005F08CA" w:rsidRPr="005F08CA" w:rsidRDefault="005F08CA" w:rsidP="005F08CA">
      <w:pPr>
        <w:rPr>
          <w:lang w:val="en-AU"/>
        </w:rPr>
      </w:pPr>
      <w:r w:rsidRPr="005F08CA">
        <w:rPr>
          <w:lang w:val="en-AU"/>
        </w:rPr>
        <w:t>It is understood that road maintenance</w:t>
      </w:r>
      <w:r w:rsidR="008F7D57">
        <w:rPr>
          <w:lang w:val="en-AU"/>
        </w:rPr>
        <w:t xml:space="preserve"> in the Latrobe Valley</w:t>
      </w:r>
      <w:r w:rsidRPr="005F08CA">
        <w:rPr>
          <w:lang w:val="en-AU"/>
        </w:rPr>
        <w:t xml:space="preserve"> is undertaken as </w:t>
      </w:r>
      <w:r w:rsidR="00553E6A">
        <w:rPr>
          <w:lang w:val="en-AU"/>
        </w:rPr>
        <w:t xml:space="preserve">is </w:t>
      </w:r>
      <w:r w:rsidRPr="005F08CA">
        <w:rPr>
          <w:lang w:val="en-AU"/>
        </w:rPr>
        <w:t>required</w:t>
      </w:r>
      <w:r w:rsidR="0036593D">
        <w:rPr>
          <w:lang w:val="en-AU"/>
        </w:rPr>
        <w:t xml:space="preserve"> under the Road Management Plan (VicRoads, 2014)</w:t>
      </w:r>
      <w:r w:rsidR="006F17B9">
        <w:rPr>
          <w:lang w:val="en-AU"/>
        </w:rPr>
        <w:t xml:space="preserve">. </w:t>
      </w:r>
      <w:r w:rsidR="00007B62">
        <w:rPr>
          <w:lang w:val="en-AU"/>
        </w:rPr>
        <w:t xml:space="preserve"> </w:t>
      </w:r>
      <w:r w:rsidR="006F17B9">
        <w:rPr>
          <w:lang w:val="en-AU"/>
        </w:rPr>
        <w:t xml:space="preserve">This includes responding within the time frames </w:t>
      </w:r>
      <w:r w:rsidR="008F7D57">
        <w:rPr>
          <w:lang w:val="en-AU"/>
        </w:rPr>
        <w:t>to different threshold events</w:t>
      </w:r>
      <w:r w:rsidRPr="005F08CA">
        <w:rPr>
          <w:lang w:val="en-AU"/>
        </w:rPr>
        <w:t xml:space="preserve"> as shown in</w:t>
      </w:r>
      <w:r w:rsidR="00AF7742">
        <w:rPr>
          <w:lang w:val="en-AU"/>
        </w:rPr>
        <w:t xml:space="preserve"> Table 5.10.</w:t>
      </w:r>
      <w:r w:rsidRPr="005F08CA">
        <w:rPr>
          <w:lang w:val="en-AU"/>
        </w:rPr>
        <w:t xml:space="preserve"> </w:t>
      </w:r>
      <w:r w:rsidR="00007B62">
        <w:rPr>
          <w:lang w:val="en-AU"/>
        </w:rPr>
        <w:t xml:space="preserve"> </w:t>
      </w:r>
      <w:r w:rsidR="00843B58">
        <w:rPr>
          <w:lang w:val="en-AU"/>
        </w:rPr>
        <w:t xml:space="preserve">Essentially this means that there will be a response within the defined timeframe for </w:t>
      </w:r>
      <w:r w:rsidR="005D47DE">
        <w:rPr>
          <w:lang w:val="en-AU"/>
        </w:rPr>
        <w:t xml:space="preserve">pavement defects.  </w:t>
      </w:r>
      <w:r w:rsidR="00564BB2">
        <w:rPr>
          <w:lang w:val="en-AU"/>
        </w:rPr>
        <w:t xml:space="preserve">As a result, it is not expected that any significant defect will persist beyond the requirement time frame outlined. </w:t>
      </w:r>
      <w:r w:rsidR="00CF554B">
        <w:rPr>
          <w:lang w:val="en-AU"/>
        </w:rPr>
        <w:t xml:space="preserve"> </w:t>
      </w:r>
      <w:r w:rsidR="00564BB2">
        <w:rPr>
          <w:lang w:val="en-AU"/>
        </w:rPr>
        <w:t xml:space="preserve">Whilst there may be a cost associated with this, any defect resulting from rehabilitation can be expected to be rectified </w:t>
      </w:r>
      <w:r w:rsidR="00E249B8">
        <w:rPr>
          <w:lang w:val="en-AU"/>
        </w:rPr>
        <w:t>under normal maintenance procedure.</w:t>
      </w:r>
    </w:p>
    <w:p w14:paraId="76594935" w14:textId="7016E7F3" w:rsidR="005F08CA" w:rsidRPr="005F08CA" w:rsidRDefault="005F08CA" w:rsidP="005F08CA">
      <w:pPr>
        <w:rPr>
          <w:lang w:val="en-AU"/>
        </w:rPr>
      </w:pPr>
      <w:r w:rsidRPr="005F08CA">
        <w:rPr>
          <w:lang w:val="en-AU"/>
        </w:rPr>
        <w:t xml:space="preserve">The Princes Freeway has subsided with regional land levels across the Latrobe Valley, due to large-scale aquifer depressurisation, at rates of up to </w:t>
      </w:r>
      <w:r w:rsidR="00364D1C">
        <w:rPr>
          <w:lang w:val="en-AU"/>
        </w:rPr>
        <w:t>50</w:t>
      </w:r>
      <w:r w:rsidRPr="005F08CA">
        <w:rPr>
          <w:lang w:val="en-AU"/>
        </w:rPr>
        <w:t xml:space="preserve"> mm/year in the Hazelwood Mine and Yallourn Mine areas and up to </w:t>
      </w:r>
      <w:r w:rsidR="004D250A">
        <w:rPr>
          <w:lang w:val="en-AU"/>
        </w:rPr>
        <w:t>18</w:t>
      </w:r>
      <w:r w:rsidRPr="005F08CA">
        <w:rPr>
          <w:lang w:val="en-AU"/>
        </w:rPr>
        <w:t xml:space="preserve"> mm/year in the Loy Yang Mine area</w:t>
      </w:r>
      <w:r w:rsidR="0027267C">
        <w:rPr>
          <w:lang w:val="en-AU"/>
        </w:rPr>
        <w:t xml:space="preserve"> (GHD, 2019).</w:t>
      </w:r>
      <w:r w:rsidR="00D07D67">
        <w:rPr>
          <w:lang w:val="en-AU"/>
        </w:rPr>
        <w:t xml:space="preserve"> </w:t>
      </w:r>
      <w:r w:rsidR="0027267C">
        <w:rPr>
          <w:lang w:val="en-AU"/>
        </w:rPr>
        <w:t xml:space="preserve"> </w:t>
      </w:r>
      <w:r w:rsidRPr="005F08CA">
        <w:rPr>
          <w:lang w:val="en-AU"/>
        </w:rPr>
        <w:t>However, no anecdotal evidence or data has been found to suggest that any significant impacts to the Princes Freeway have occurred due to regional subsidence in the Latrobe Valley.</w:t>
      </w:r>
      <w:r w:rsidR="00D07D67">
        <w:rPr>
          <w:lang w:val="en-AU"/>
        </w:rPr>
        <w:t xml:space="preserve"> </w:t>
      </w:r>
      <w:r w:rsidR="00074173">
        <w:rPr>
          <w:lang w:val="en-AU"/>
        </w:rPr>
        <w:t xml:space="preserve"> There are documented effects on the freeway</w:t>
      </w:r>
      <w:r w:rsidR="0000656B">
        <w:rPr>
          <w:lang w:val="en-AU"/>
        </w:rPr>
        <w:t>,</w:t>
      </w:r>
      <w:r w:rsidR="00074173">
        <w:rPr>
          <w:lang w:val="en-AU"/>
        </w:rPr>
        <w:t xml:space="preserve"> but these ha</w:t>
      </w:r>
      <w:r w:rsidR="0000656B">
        <w:rPr>
          <w:lang w:val="en-AU"/>
        </w:rPr>
        <w:t>v</w:t>
      </w:r>
      <w:r w:rsidR="00074173">
        <w:rPr>
          <w:lang w:val="en-AU"/>
        </w:rPr>
        <w:t>e been related to block sliding movements (</w:t>
      </w:r>
      <w:r w:rsidR="00886DE8">
        <w:rPr>
          <w:lang w:val="en-AU"/>
        </w:rPr>
        <w:t>Jacobs 2020, in prep)</w:t>
      </w:r>
      <w:r w:rsidR="0000656B">
        <w:rPr>
          <w:lang w:val="en-AU"/>
        </w:rPr>
        <w:t xml:space="preserve">. </w:t>
      </w:r>
      <w:r w:rsidR="00D07D67">
        <w:rPr>
          <w:lang w:val="en-AU"/>
        </w:rPr>
        <w:t xml:space="preserve"> </w:t>
      </w:r>
      <w:r w:rsidRPr="005F08CA">
        <w:rPr>
          <w:lang w:val="en-AU"/>
        </w:rPr>
        <w:t>In 2011, following heavy rainfall</w:t>
      </w:r>
      <w:r w:rsidR="005B7FA9">
        <w:rPr>
          <w:lang w:val="en-AU"/>
        </w:rPr>
        <w:t>,</w:t>
      </w:r>
      <w:r w:rsidRPr="005F08CA">
        <w:rPr>
          <w:lang w:val="en-AU"/>
        </w:rPr>
        <w:t xml:space="preserve"> the Princes Freeway where it bypasses Morwell was closed for approximately six months due to small but </w:t>
      </w:r>
      <w:r w:rsidRPr="005F08CA">
        <w:t>significant movement in the northern batter of the Hazelwood Mine.</w:t>
      </w:r>
      <w:r w:rsidR="002F6BDB">
        <w:t xml:space="preserve"> </w:t>
      </w:r>
      <w:r w:rsidRPr="005F08CA">
        <w:t xml:space="preserve"> The movement resulted in cracks on the surface of the freeway and the adjoining area, prompting the road’s temporary closure. Remedial works were required prior to re-opening the freeway and a targeted ground movement monitoring program is currently in place in the area of the 2011 damage.</w:t>
      </w:r>
    </w:p>
    <w:p w14:paraId="52EA4545" w14:textId="0AB540B1" w:rsidR="0023226C" w:rsidRDefault="0023226C" w:rsidP="00AB2D35">
      <w:pPr>
        <w:pStyle w:val="Heading4"/>
        <w:rPr>
          <w:lang w:val="en-AU"/>
        </w:rPr>
      </w:pPr>
      <w:bookmarkStart w:id="128" w:name="_Toc501356687"/>
      <w:r w:rsidRPr="0061134C">
        <w:t>Thresholds</w:t>
      </w:r>
      <w:r w:rsidRPr="00D20CAD">
        <w:rPr>
          <w:lang w:val="en-AU"/>
        </w:rPr>
        <w:t xml:space="preserve"> and Rationale</w:t>
      </w:r>
      <w:bookmarkEnd w:id="128"/>
      <w:r w:rsidRPr="00D20CAD">
        <w:rPr>
          <w:lang w:val="en-AU"/>
        </w:rPr>
        <w:t xml:space="preserve"> </w:t>
      </w:r>
    </w:p>
    <w:p w14:paraId="4642602A" w14:textId="10A208EF" w:rsidR="00B10720" w:rsidRDefault="005F08CA" w:rsidP="00B10720">
      <w:bookmarkStart w:id="129" w:name="_Ref506891325"/>
      <w:bookmarkStart w:id="130" w:name="_Toc501356739"/>
      <w:r>
        <w:t>The Princes Freeway and other state-maintained roads in the LVRRS inter-mine area can potentially be impacted by regional subsidence/rebound, long term stress relief, RIS and/or block sliding due to mine rehabilitation.</w:t>
      </w:r>
      <w:r w:rsidR="00F56484">
        <w:t xml:space="preserve"> </w:t>
      </w:r>
      <w:r w:rsidR="00D07D67">
        <w:t xml:space="preserve"> </w:t>
      </w:r>
      <w:r w:rsidR="00B10720">
        <w:t xml:space="preserve">The damage severity levels are classified into three categories for freeways/roads and are </w:t>
      </w:r>
      <w:r w:rsidR="00855986">
        <w:t>as described in section 5.</w:t>
      </w:r>
      <w:r w:rsidR="00A83769">
        <w:t>3</w:t>
      </w:r>
      <w:r w:rsidR="00B10720">
        <w:t xml:space="preserve">. </w:t>
      </w:r>
    </w:p>
    <w:p w14:paraId="7B6FF37C" w14:textId="785E998D" w:rsidR="00B10720" w:rsidRDefault="007F07B9" w:rsidP="00B10720">
      <w:r>
        <w:t>From this study and a</w:t>
      </w:r>
      <w:r w:rsidR="00B10720" w:rsidRPr="00B10720">
        <w:t xml:space="preserve"> survey of a wide range of sources</w:t>
      </w:r>
      <w:r w:rsidR="00C30F3E">
        <w:t>,</w:t>
      </w:r>
      <w:r w:rsidR="00B10720" w:rsidRPr="00B10720">
        <w:t xml:space="preserve"> acceptable industry standard</w:t>
      </w:r>
      <w:r w:rsidR="00A548C6">
        <w:t xml:space="preserve">s are </w:t>
      </w:r>
      <w:r w:rsidR="00B10720" w:rsidRPr="00B10720">
        <w:t xml:space="preserve">listed in </w:t>
      </w:r>
      <w:r w:rsidR="00924D54">
        <w:t xml:space="preserve">Table </w:t>
      </w:r>
      <w:r w:rsidR="000F56D8">
        <w:t>5.11</w:t>
      </w:r>
      <w:r w:rsidR="00B10720" w:rsidRPr="00B10720">
        <w:t xml:space="preserve"> and are considered appropriate to use in the context of the LVRRS</w:t>
      </w:r>
      <w:r w:rsidR="00903550">
        <w:t xml:space="preserve"> (a</w:t>
      </w:r>
      <w:r w:rsidR="003F4560">
        <w:t>s they relate to mine movements and are consistent with the Vic</w:t>
      </w:r>
      <w:r>
        <w:t>R</w:t>
      </w:r>
      <w:r w:rsidR="003F4560">
        <w:t>oads damage criteria</w:t>
      </w:r>
      <w:r w:rsidR="00903550">
        <w:t>)</w:t>
      </w:r>
      <w:r w:rsidR="003F4560">
        <w:t xml:space="preserve">. </w:t>
      </w:r>
      <w:r w:rsidR="00B10720" w:rsidRPr="00B10720">
        <w:t xml:space="preserve"> According to the damage severity</w:t>
      </w:r>
      <w:r w:rsidR="00B10720">
        <w:t xml:space="preserve"> level, a strain value of 1</w:t>
      </w:r>
      <w:r w:rsidR="00B10720" w:rsidRPr="00104A5B">
        <w:t>0 x 10</w:t>
      </w:r>
      <w:r w:rsidR="00B10720" w:rsidRPr="00104A5B">
        <w:rPr>
          <w:vertAlign w:val="superscript"/>
        </w:rPr>
        <w:t>-3</w:t>
      </w:r>
      <w:r w:rsidR="00B10720">
        <w:t xml:space="preserve"> could be expected to cause structural damage.</w:t>
      </w:r>
    </w:p>
    <w:p w14:paraId="60365347" w14:textId="2B5145BD" w:rsidR="0023226C" w:rsidRPr="00411E15" w:rsidRDefault="00EA1D58" w:rsidP="00EA1D58">
      <w:pPr>
        <w:pStyle w:val="Caption"/>
      </w:pPr>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11</w:t>
      </w:r>
      <w:r>
        <w:fldChar w:fldCharType="end"/>
      </w:r>
      <w:bookmarkEnd w:id="129"/>
      <w:r w:rsidRPr="009038E7">
        <w:t xml:space="preserve"> : </w:t>
      </w:r>
      <w:r w:rsidR="0023226C">
        <w:t>Damage Criteria for Freeway/Roads</w:t>
      </w:r>
      <w:bookmarkEnd w:id="130"/>
      <w:r w:rsidR="00CB0955">
        <w:t xml:space="preserve"> (Singh, 1986)</w:t>
      </w:r>
    </w:p>
    <w:p w14:paraId="1BBB267A" w14:textId="77777777" w:rsidR="005E3B9B" w:rsidRPr="00411E15" w:rsidRDefault="00246B19" w:rsidP="0023226C">
      <w:pPr>
        <w:rPr>
          <w:lang w:val="en-AU"/>
        </w:rPr>
      </w:pPr>
      <w:r w:rsidRPr="00924D54">
        <w:rPr>
          <w:noProof/>
          <w:lang w:val="en-AU" w:eastAsia="en-AU"/>
        </w:rPr>
        <w:drawing>
          <wp:inline distT="0" distB="0" distL="0" distR="0" wp14:anchorId="5E4513E3" wp14:editId="1299AC01">
            <wp:extent cx="5816600" cy="1695450"/>
            <wp:effectExtent l="0" t="0" r="0" b="0"/>
            <wp:docPr id="10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6600" cy="1695450"/>
                    </a:xfrm>
                    <a:prstGeom prst="rect">
                      <a:avLst/>
                    </a:prstGeom>
                    <a:noFill/>
                    <a:ln>
                      <a:noFill/>
                    </a:ln>
                  </pic:spPr>
                </pic:pic>
              </a:graphicData>
            </a:graphic>
          </wp:inline>
        </w:drawing>
      </w:r>
    </w:p>
    <w:p w14:paraId="1F25A53C" w14:textId="61EF1AF6" w:rsidR="0023226C" w:rsidRPr="00B10720" w:rsidRDefault="005E3B9B" w:rsidP="00B10720">
      <w:pPr>
        <w:spacing w:after="0" w:line="240" w:lineRule="auto"/>
      </w:pPr>
      <w:r>
        <w:br w:type="page"/>
      </w:r>
    </w:p>
    <w:p w14:paraId="05FFB933" w14:textId="40B3FC4A" w:rsidR="0023226C" w:rsidRPr="00147653" w:rsidRDefault="0023226C" w:rsidP="00AB2D35">
      <w:pPr>
        <w:pStyle w:val="Heading3"/>
      </w:pPr>
      <w:bookmarkStart w:id="131" w:name="_Toc501356688"/>
      <w:r w:rsidRPr="00147653">
        <w:t xml:space="preserve">Road – </w:t>
      </w:r>
      <w:r w:rsidR="004E7FA4">
        <w:t>l</w:t>
      </w:r>
      <w:r w:rsidRPr="00147653">
        <w:t xml:space="preserve">ocal </w:t>
      </w:r>
      <w:r w:rsidR="004D50D1">
        <w:t>Government</w:t>
      </w:r>
      <w:r w:rsidRPr="00147653">
        <w:t xml:space="preserve"> maintained</w:t>
      </w:r>
      <w:bookmarkEnd w:id="131"/>
    </w:p>
    <w:p w14:paraId="3E708464" w14:textId="1374EEAD" w:rsidR="0023226C" w:rsidRDefault="0023226C" w:rsidP="0023226C">
      <w:r>
        <w:t xml:space="preserve">The metrics and thresholds for the potential </w:t>
      </w:r>
      <w:r w:rsidR="004E0764">
        <w:t>ground movement effects on local</w:t>
      </w:r>
      <w:r w:rsidR="0086553E">
        <w:t>-</w:t>
      </w:r>
      <w:r w:rsidR="004E0764">
        <w:t xml:space="preserve">government maintained roads is provided in this section. </w:t>
      </w:r>
      <w:r w:rsidR="00C75945">
        <w:t xml:space="preserve"> </w:t>
      </w:r>
      <w:r w:rsidR="004E0764">
        <w:t>There is significant overlap with the discussion on freeways provided in the sec</w:t>
      </w:r>
      <w:r w:rsidR="0086553E">
        <w:t>t</w:t>
      </w:r>
      <w:r w:rsidR="004E0764">
        <w:t xml:space="preserve">ion above and the separation </w:t>
      </w:r>
      <w:r w:rsidR="0086553E">
        <w:t>o</w:t>
      </w:r>
      <w:r w:rsidR="004E0764">
        <w:t xml:space="preserve">f these </w:t>
      </w:r>
      <w:r w:rsidR="0086553E">
        <w:t xml:space="preserve">road classes </w:t>
      </w:r>
      <w:r w:rsidR="004E0764">
        <w:t xml:space="preserve">has been because </w:t>
      </w:r>
      <w:r w:rsidR="00C75945">
        <w:t xml:space="preserve">of </w:t>
      </w:r>
      <w:r w:rsidR="004E0764">
        <w:t>the receptor definition</w:t>
      </w:r>
      <w:r w:rsidR="0086553E">
        <w:t xml:space="preserve"> process</w:t>
      </w:r>
      <w:r w:rsidR="004E0764">
        <w:t xml:space="preserve"> rather than </w:t>
      </w:r>
      <w:r w:rsidR="0086553E">
        <w:t>resulting from</w:t>
      </w:r>
      <w:r w:rsidR="004E0764">
        <w:t xml:space="preserve"> ground movement and strain response </w:t>
      </w:r>
      <w:r w:rsidR="008C3A1E">
        <w:t>assessment</w:t>
      </w:r>
      <w:r>
        <w:t>.</w:t>
      </w:r>
      <w:r w:rsidR="008C3A1E">
        <w:t xml:space="preserve"> </w:t>
      </w:r>
      <w:r w:rsidR="00C75945">
        <w:t xml:space="preserve"> </w:t>
      </w:r>
      <w:r w:rsidR="008C3A1E">
        <w:t xml:space="preserve">From the view of geotechnical assessment, the two receptor </w:t>
      </w:r>
      <w:r w:rsidR="0079656D">
        <w:t xml:space="preserve">sub-categories </w:t>
      </w:r>
      <w:r w:rsidR="008C3A1E">
        <w:t>could be considered together.</w:t>
      </w:r>
    </w:p>
    <w:p w14:paraId="6BB195F0" w14:textId="376F9755" w:rsidR="0023226C" w:rsidRPr="009620C9" w:rsidRDefault="0023226C" w:rsidP="0023226C">
      <w:pPr>
        <w:rPr>
          <w:lang w:val="en-AU"/>
        </w:rPr>
      </w:pPr>
      <w:r w:rsidRPr="000731EF">
        <w:rPr>
          <w:lang w:val="en-AU"/>
        </w:rPr>
        <w:t xml:space="preserve">Relevant standards, guidelines and reference documents </w:t>
      </w:r>
      <w:r w:rsidR="003707B7">
        <w:rPr>
          <w:lang w:val="en-AU"/>
        </w:rPr>
        <w:t xml:space="preserve">for these roads </w:t>
      </w:r>
      <w:r w:rsidRPr="000731EF">
        <w:rPr>
          <w:lang w:val="en-AU"/>
        </w:rPr>
        <w:t>are listed in</w:t>
      </w:r>
      <w:r w:rsidR="00A31D49">
        <w:rPr>
          <w:lang w:val="en-AU"/>
        </w:rPr>
        <w:t xml:space="preserve"> </w:t>
      </w:r>
      <w:r w:rsidR="00A31D49">
        <w:rPr>
          <w:lang w:val="en-AU"/>
        </w:rPr>
        <w:fldChar w:fldCharType="begin"/>
      </w:r>
      <w:r w:rsidR="00A31D49">
        <w:rPr>
          <w:lang w:val="en-AU"/>
        </w:rPr>
        <w:instrText xml:space="preserve"> REF _Ref506895677 \h </w:instrText>
      </w:r>
      <w:r w:rsidR="00A31D49">
        <w:rPr>
          <w:lang w:val="en-AU"/>
        </w:rPr>
      </w:r>
      <w:r w:rsidR="00A31D49">
        <w:rPr>
          <w:lang w:val="en-AU"/>
        </w:rPr>
        <w:fldChar w:fldCharType="separate"/>
      </w:r>
      <w:r w:rsidR="00A83148" w:rsidRPr="009038E7">
        <w:t xml:space="preserve">Table </w:t>
      </w:r>
      <w:r w:rsidR="00A83148">
        <w:rPr>
          <w:noProof/>
        </w:rPr>
        <w:t>5</w:t>
      </w:r>
      <w:r w:rsidR="00A83148" w:rsidRPr="009038E7">
        <w:t>.</w:t>
      </w:r>
      <w:r w:rsidR="00A83148">
        <w:rPr>
          <w:noProof/>
        </w:rPr>
        <w:t>12</w:t>
      </w:r>
      <w:r w:rsidR="00A31D49">
        <w:rPr>
          <w:lang w:val="en-AU"/>
        </w:rPr>
        <w:fldChar w:fldCharType="end"/>
      </w:r>
      <w:r w:rsidRPr="000731EF">
        <w:rPr>
          <w:lang w:val="en-AU"/>
        </w:rPr>
        <w:t>.</w:t>
      </w:r>
      <w:r>
        <w:rPr>
          <w:lang w:val="en-AU"/>
        </w:rPr>
        <w:t xml:space="preserve"> </w:t>
      </w:r>
      <w:r w:rsidR="00C75945">
        <w:rPr>
          <w:lang w:val="en-AU"/>
        </w:rPr>
        <w:t xml:space="preserve"> </w:t>
      </w:r>
      <w:r w:rsidRPr="009620C9">
        <w:t xml:space="preserve">The Austroads Guide titled </w:t>
      </w:r>
      <w:r w:rsidR="000904BB">
        <w:t>‘</w:t>
      </w:r>
      <w:r w:rsidR="003707B7">
        <w:t>T</w:t>
      </w:r>
      <w:r w:rsidRPr="009620C9">
        <w:t>he Austroads</w:t>
      </w:r>
      <w:r>
        <w:t xml:space="preserve"> Guide to Road Design 1 to 8</w:t>
      </w:r>
      <w:r w:rsidR="000904BB">
        <w:t xml:space="preserve">’ </w:t>
      </w:r>
      <w:r>
        <w:t>is the</w:t>
      </w:r>
      <w:r w:rsidRPr="009620C9">
        <w:t xml:space="preserve"> over-arching</w:t>
      </w:r>
      <w:r>
        <w:t xml:space="preserve"> </w:t>
      </w:r>
      <w:r w:rsidR="00661EF6">
        <w:t xml:space="preserve">reference source </w:t>
      </w:r>
      <w:r>
        <w:t>that provide</w:t>
      </w:r>
      <w:r w:rsidR="00DB4FE2">
        <w:t>s</w:t>
      </w:r>
      <w:r>
        <w:t xml:space="preserve"> the framework for design and management of roads across Australia.</w:t>
      </w:r>
    </w:p>
    <w:p w14:paraId="3D59F4A2" w14:textId="531E0262" w:rsidR="0023226C" w:rsidRPr="00DF37A1" w:rsidRDefault="00EA1D58" w:rsidP="00EA1D58">
      <w:pPr>
        <w:pStyle w:val="Caption"/>
      </w:pPr>
      <w:bookmarkStart w:id="132" w:name="_Ref506895677"/>
      <w:bookmarkStart w:id="133" w:name="_Toc501356740"/>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12</w:t>
      </w:r>
      <w:r>
        <w:fldChar w:fldCharType="end"/>
      </w:r>
      <w:bookmarkEnd w:id="132"/>
      <w:r w:rsidRPr="009038E7">
        <w:t xml:space="preserve"> : </w:t>
      </w:r>
      <w:r w:rsidR="0023226C">
        <w:t xml:space="preserve">Roads local </w:t>
      </w:r>
      <w:bookmarkEnd w:id="133"/>
      <w:r w:rsidR="004E7FA4">
        <w:t>relevant standards and guidelines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7902"/>
      </w:tblGrid>
      <w:tr w:rsidR="004E7FA4" w:rsidRPr="00D06BB7" w14:paraId="28C746D7" w14:textId="77777777" w:rsidTr="004E7FA4">
        <w:tc>
          <w:tcPr>
            <w:tcW w:w="1987" w:type="dxa"/>
            <w:shd w:val="clear" w:color="auto" w:fill="00338D"/>
          </w:tcPr>
          <w:p w14:paraId="3F0ACEF5" w14:textId="77777777" w:rsidR="004E7FA4" w:rsidRPr="00351336" w:rsidRDefault="004E7FA4" w:rsidP="0023226C">
            <w:pPr>
              <w:keepNext/>
              <w:spacing w:before="100" w:after="100"/>
              <w:rPr>
                <w:color w:val="FFFFFF" w:themeColor="background1"/>
                <w:lang w:val="en-AU"/>
              </w:rPr>
            </w:pPr>
            <w:r w:rsidRPr="00351336">
              <w:rPr>
                <w:rFonts w:ascii="Arial Black" w:hAnsi="Arial Black"/>
                <w:b/>
                <w:color w:val="FFFFFF" w:themeColor="background1"/>
                <w:sz w:val="16"/>
              </w:rPr>
              <w:t>Value Category</w:t>
            </w:r>
          </w:p>
        </w:tc>
        <w:tc>
          <w:tcPr>
            <w:tcW w:w="7902" w:type="dxa"/>
            <w:shd w:val="clear" w:color="auto" w:fill="00338D"/>
          </w:tcPr>
          <w:p w14:paraId="013D53DF" w14:textId="77777777" w:rsidR="004E7FA4" w:rsidRPr="00351336" w:rsidRDefault="004E7FA4" w:rsidP="0023226C">
            <w:pPr>
              <w:keepNext/>
              <w:spacing w:before="100" w:after="100"/>
              <w:rPr>
                <w:rFonts w:ascii="Arial Black" w:hAnsi="Arial Black"/>
                <w:b/>
                <w:color w:val="FFFFFF" w:themeColor="background1"/>
                <w:sz w:val="16"/>
              </w:rPr>
            </w:pPr>
            <w:r w:rsidRPr="00351336">
              <w:rPr>
                <w:rFonts w:ascii="Arial Black" w:hAnsi="Arial Black"/>
                <w:b/>
                <w:color w:val="FFFFFF" w:themeColor="background1"/>
                <w:sz w:val="16"/>
              </w:rPr>
              <w:t>Standard, Guideline or Reference Documents</w:t>
            </w:r>
          </w:p>
        </w:tc>
      </w:tr>
      <w:tr w:rsidR="004E7FA4" w14:paraId="024A3E0C" w14:textId="77777777" w:rsidTr="004E7FA4">
        <w:tc>
          <w:tcPr>
            <w:tcW w:w="1987" w:type="dxa"/>
          </w:tcPr>
          <w:p w14:paraId="7FF55BC0" w14:textId="77777777" w:rsidR="004E7FA4" w:rsidRPr="0098775D" w:rsidRDefault="004E7FA4" w:rsidP="0023226C">
            <w:pPr>
              <w:spacing w:after="60"/>
              <w:rPr>
                <w:rFonts w:eastAsia="MS Mincho"/>
                <w:sz w:val="18"/>
              </w:rPr>
            </w:pPr>
            <w:r w:rsidRPr="0098775D">
              <w:rPr>
                <w:rFonts w:eastAsia="MS Mincho"/>
                <w:sz w:val="18"/>
              </w:rPr>
              <w:t>Social/Cultural</w:t>
            </w:r>
          </w:p>
        </w:tc>
        <w:tc>
          <w:tcPr>
            <w:tcW w:w="7902" w:type="dxa"/>
          </w:tcPr>
          <w:p w14:paraId="63B19701"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Road Management Act 2004</w:t>
            </w:r>
          </w:p>
          <w:p w14:paraId="2EFAF7FA" w14:textId="2B6E13BC"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 xml:space="preserve">Latrobe </w:t>
            </w:r>
            <w:r>
              <w:rPr>
                <w:rFonts w:eastAsia="Times New Roman" w:cs="Arial"/>
                <w:sz w:val="18"/>
                <w:szCs w:val="20"/>
                <w:lang w:val="en-AU"/>
              </w:rPr>
              <w:t>Cit</w:t>
            </w:r>
            <w:r w:rsidRPr="00A31D49">
              <w:rPr>
                <w:rFonts w:eastAsia="Times New Roman" w:cs="Arial"/>
                <w:sz w:val="18"/>
                <w:szCs w:val="20"/>
                <w:lang w:val="en-AU"/>
              </w:rPr>
              <w:t>y Road Management Plan V4 (2017)</w:t>
            </w:r>
          </w:p>
          <w:p w14:paraId="6D07F9E6"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Codes of Practice under the Road Management Act</w:t>
            </w:r>
          </w:p>
          <w:p w14:paraId="660AE2B7"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Road Safety Act 1986</w:t>
            </w:r>
          </w:p>
          <w:p w14:paraId="4AA8718D"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Austroads (2013) Guide to Road Design Parts 1-8</w:t>
            </w:r>
          </w:p>
          <w:p w14:paraId="3B191DB7"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DELWP (2017) Latrobe Planning Scheme</w:t>
            </w:r>
          </w:p>
          <w:p w14:paraId="4D95DA1C" w14:textId="48FA07DD"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 xml:space="preserve">Planning </w:t>
            </w:r>
            <w:r w:rsidR="000B23EE">
              <w:rPr>
                <w:rFonts w:eastAsia="Times New Roman" w:cs="Arial"/>
                <w:sz w:val="18"/>
                <w:szCs w:val="20"/>
                <w:lang w:val="en-AU"/>
              </w:rPr>
              <w:t xml:space="preserve">and </w:t>
            </w:r>
            <w:r w:rsidRPr="00A31D49">
              <w:rPr>
                <w:rFonts w:eastAsia="Times New Roman" w:cs="Arial"/>
                <w:sz w:val="18"/>
                <w:szCs w:val="20"/>
                <w:lang w:val="en-AU"/>
              </w:rPr>
              <w:t xml:space="preserve">Environment Act </w:t>
            </w:r>
            <w:r w:rsidR="000B23EE">
              <w:rPr>
                <w:rFonts w:eastAsia="Times New Roman" w:cs="Arial"/>
                <w:sz w:val="18"/>
                <w:szCs w:val="20"/>
                <w:lang w:val="en-AU"/>
              </w:rPr>
              <w:t>(</w:t>
            </w:r>
            <w:r w:rsidRPr="00A31D49">
              <w:rPr>
                <w:rFonts w:eastAsia="Times New Roman" w:cs="Arial"/>
                <w:sz w:val="18"/>
                <w:szCs w:val="20"/>
                <w:lang w:val="en-AU"/>
              </w:rPr>
              <w:t>1987)</w:t>
            </w:r>
          </w:p>
          <w:p w14:paraId="08DD3BD7"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Live Work Latrobe (Housing Strategy, Industrial Land Use and Employment Strategy and Rural Land Use Strategy) (2016)</w:t>
            </w:r>
          </w:p>
          <w:p w14:paraId="2A4D6E84"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Mine Subsidence Board (2009) Graduated Guidelines for Residential Construction (NSW) Historical and Technical Background</w:t>
            </w:r>
          </w:p>
          <w:p w14:paraId="77957566"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Harrison, J (2011) Mining Engineering Handbook, Mine Subsidence, Society for Mining, Metallurgy and Exploration</w:t>
            </w:r>
          </w:p>
          <w:p w14:paraId="3BC5B3C7"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Singh, M (1986) Mine subsidence, Society for Mining, Metallurgy and Exploration</w:t>
            </w:r>
          </w:p>
          <w:p w14:paraId="2A8EBE86"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Building Code of Australia (BCA), in the National Construction Code series, contains technical provisions for the design and construction of buildings and other structures.</w:t>
            </w:r>
          </w:p>
          <w:p w14:paraId="412FDD5E" w14:textId="391C365E" w:rsidR="004E7FA4" w:rsidRPr="00A31D49"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71" w:history="1">
              <w:r w:rsidR="004E7FA4" w:rsidRPr="00A31D49">
                <w:rPr>
                  <w:rFonts w:eastAsia="Times New Roman" w:cs="Arial"/>
                  <w:sz w:val="18"/>
                  <w:szCs w:val="20"/>
                  <w:lang w:val="en-AU"/>
                </w:rPr>
                <w:t>Standards Australia</w:t>
              </w:r>
            </w:hyperlink>
            <w:r w:rsidR="004E7FA4" w:rsidRPr="00A31D49">
              <w:rPr>
                <w:rFonts w:eastAsia="Times New Roman" w:cs="Arial"/>
                <w:sz w:val="18"/>
                <w:szCs w:val="20"/>
                <w:lang w:val="en-AU"/>
              </w:rPr>
              <w:t xml:space="preserve"> associated publications</w:t>
            </w:r>
          </w:p>
          <w:p w14:paraId="644C2BF3"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AS 2159 Design and Installation of Piles</w:t>
            </w:r>
          </w:p>
          <w:p w14:paraId="593EEA15"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AS 5100 Bridge Design (2004)</w:t>
            </w:r>
          </w:p>
          <w:p w14:paraId="5DA71B8B"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AS 3600 Concrete Structures</w:t>
            </w:r>
          </w:p>
          <w:p w14:paraId="6ED87D42"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VicRoads Supplement to the Austroads Guide to Road Design Part 5 – Drainage: General &amp; Hydrology Considerations Part 5A – Drainage: Road Surface, Networks, Basins &amp; Subsurface Part 5B – Drainage: Open Channels, Culverts &amp; Floodways</w:t>
            </w:r>
          </w:p>
        </w:tc>
      </w:tr>
      <w:tr w:rsidR="004E7FA4" w14:paraId="42C1830E" w14:textId="77777777" w:rsidTr="004E7FA4">
        <w:tc>
          <w:tcPr>
            <w:tcW w:w="1987" w:type="dxa"/>
          </w:tcPr>
          <w:p w14:paraId="753B0994" w14:textId="77777777" w:rsidR="004E7FA4" w:rsidRPr="0098775D" w:rsidRDefault="004E7FA4" w:rsidP="0023226C">
            <w:pPr>
              <w:spacing w:after="60"/>
              <w:rPr>
                <w:rFonts w:eastAsia="MS Mincho"/>
                <w:sz w:val="18"/>
              </w:rPr>
            </w:pPr>
            <w:r>
              <w:rPr>
                <w:rFonts w:eastAsia="MS Mincho"/>
                <w:sz w:val="18"/>
              </w:rPr>
              <w:t>Economic</w:t>
            </w:r>
          </w:p>
        </w:tc>
        <w:tc>
          <w:tcPr>
            <w:tcW w:w="7902" w:type="dxa"/>
          </w:tcPr>
          <w:p w14:paraId="06E5E583" w14:textId="77777777" w:rsidR="004E7FA4" w:rsidRPr="00A31D49" w:rsidRDefault="004E7FA4" w:rsidP="006F654D">
            <w:pPr>
              <w:numPr>
                <w:ilvl w:val="0"/>
                <w:numId w:val="33"/>
              </w:numPr>
              <w:spacing w:after="0" w:line="240" w:lineRule="auto"/>
              <w:ind w:left="209" w:hanging="284"/>
              <w:contextualSpacing/>
              <w:rPr>
                <w:rFonts w:eastAsia="Times New Roman" w:cs="Arial"/>
                <w:sz w:val="18"/>
                <w:szCs w:val="20"/>
                <w:lang w:val="en-AU"/>
              </w:rPr>
            </w:pPr>
            <w:r w:rsidRPr="00A31D49">
              <w:rPr>
                <w:rFonts w:eastAsia="Times New Roman" w:cs="Arial"/>
                <w:sz w:val="18"/>
                <w:szCs w:val="20"/>
                <w:lang w:val="en-AU"/>
              </w:rPr>
              <w:t>DELWP (2017) Latrobe Planning Scheme</w:t>
            </w:r>
          </w:p>
          <w:p w14:paraId="3CA28B29" w14:textId="77777777" w:rsidR="004E7FA4" w:rsidRPr="0098775D" w:rsidRDefault="004E7FA4" w:rsidP="006F654D">
            <w:pPr>
              <w:numPr>
                <w:ilvl w:val="0"/>
                <w:numId w:val="33"/>
              </w:numPr>
              <w:spacing w:after="0" w:line="240" w:lineRule="auto"/>
              <w:ind w:left="209" w:hanging="284"/>
              <w:contextualSpacing/>
              <w:rPr>
                <w:rFonts w:eastAsia="MS Mincho"/>
                <w:sz w:val="18"/>
              </w:rPr>
            </w:pPr>
            <w:r w:rsidRPr="00A31D49">
              <w:rPr>
                <w:rFonts w:eastAsia="Times New Roman" w:cs="Arial"/>
                <w:sz w:val="18"/>
                <w:szCs w:val="20"/>
                <w:lang w:val="en-AU"/>
              </w:rPr>
              <w:t>Live Work Latrobe (Housing Strategy, Industrial Land Use and Employment Strategy and Rural Land Use Strategy) (2016)</w:t>
            </w:r>
          </w:p>
        </w:tc>
      </w:tr>
    </w:tbl>
    <w:p w14:paraId="14CD7DCA" w14:textId="77777777" w:rsidR="0023226C" w:rsidRDefault="0023226C" w:rsidP="0023226C">
      <w:pPr>
        <w:rPr>
          <w:lang w:val="en-AU"/>
        </w:rPr>
      </w:pPr>
    </w:p>
    <w:p w14:paraId="05FE5462" w14:textId="3C8D8992" w:rsidR="0023226C" w:rsidRDefault="003503FA" w:rsidP="0023226C">
      <w:r>
        <w:t>Local c</w:t>
      </w:r>
      <w:r w:rsidR="0023226C">
        <w:t>ouncil</w:t>
      </w:r>
      <w:r>
        <w:t>s</w:t>
      </w:r>
      <w:r w:rsidR="0023226C">
        <w:t xml:space="preserve"> maintain the area outside the road for declared main road infrastructure belonging to VicRoads and this includes the road pavement and kerbs as shown in</w:t>
      </w:r>
      <w:r w:rsidR="00A31D49">
        <w:t xml:space="preserve"> </w:t>
      </w:r>
      <w:r w:rsidR="00A31D49">
        <w:fldChar w:fldCharType="begin"/>
      </w:r>
      <w:r w:rsidR="00A31D49">
        <w:instrText xml:space="preserve"> REF _Ref506896480 \h </w:instrText>
      </w:r>
      <w:r w:rsidR="00A31D49">
        <w:fldChar w:fldCharType="separate"/>
      </w:r>
      <w:r w:rsidR="00A83148" w:rsidRPr="009038E7">
        <w:t xml:space="preserve">Figure </w:t>
      </w:r>
      <w:r w:rsidR="00A83148">
        <w:rPr>
          <w:noProof/>
        </w:rPr>
        <w:t>5</w:t>
      </w:r>
      <w:r w:rsidR="00A83148" w:rsidRPr="009038E7">
        <w:t>.</w:t>
      </w:r>
      <w:r w:rsidR="00A83148">
        <w:rPr>
          <w:noProof/>
        </w:rPr>
        <w:t>6</w:t>
      </w:r>
      <w:r w:rsidR="00A31D49">
        <w:fldChar w:fldCharType="end"/>
      </w:r>
      <w:r w:rsidR="0023226C">
        <w:t>.</w:t>
      </w:r>
    </w:p>
    <w:p w14:paraId="20A68F64" w14:textId="77777777" w:rsidR="005E3B9B" w:rsidRDefault="00246B19" w:rsidP="0023226C">
      <w:r>
        <w:rPr>
          <w:noProof/>
          <w:lang w:val="en-AU" w:eastAsia="en-AU"/>
        </w:rPr>
        <w:drawing>
          <wp:inline distT="0" distB="0" distL="0" distR="0" wp14:anchorId="30D7A20E" wp14:editId="39EE4810">
            <wp:extent cx="5861050" cy="3886200"/>
            <wp:effectExtent l="0" t="0" r="6350" b="0"/>
            <wp:docPr id="20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61050" cy="3886200"/>
                    </a:xfrm>
                    <a:prstGeom prst="rect">
                      <a:avLst/>
                    </a:prstGeom>
                    <a:noFill/>
                    <a:ln>
                      <a:noFill/>
                    </a:ln>
                  </pic:spPr>
                </pic:pic>
              </a:graphicData>
            </a:graphic>
          </wp:inline>
        </w:drawing>
      </w:r>
    </w:p>
    <w:p w14:paraId="2C4E5A93" w14:textId="6DBD44B3" w:rsidR="0023226C" w:rsidRDefault="00EA1D58" w:rsidP="00EA1D58">
      <w:pPr>
        <w:pStyle w:val="Caption"/>
      </w:pPr>
      <w:bookmarkStart w:id="134" w:name="_Ref506896480"/>
      <w:bookmarkStart w:id="135" w:name="_Toc501356771"/>
      <w:r w:rsidRPr="009038E7">
        <w:t xml:space="preserve">Figure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Figure \* ARABIC \s 1 </w:instrText>
      </w:r>
      <w:r>
        <w:fldChar w:fldCharType="separate"/>
      </w:r>
      <w:r w:rsidR="00A83148">
        <w:rPr>
          <w:noProof/>
        </w:rPr>
        <w:t>6</w:t>
      </w:r>
      <w:r>
        <w:fldChar w:fldCharType="end"/>
      </w:r>
      <w:bookmarkEnd w:id="134"/>
      <w:r w:rsidRPr="009038E7">
        <w:t xml:space="preserve"> : </w:t>
      </w:r>
      <w:r w:rsidR="0023226C">
        <w:t xml:space="preserve">Typical cross section showing Council’s area of responsibility outside the kerbs of the </w:t>
      </w:r>
      <w:r w:rsidR="00DA3CEF">
        <w:t>VicRoads</w:t>
      </w:r>
      <w:r w:rsidR="0023226C">
        <w:t xml:space="preserve"> declared main road</w:t>
      </w:r>
      <w:bookmarkEnd w:id="135"/>
    </w:p>
    <w:p w14:paraId="67F1334D" w14:textId="337D1B55" w:rsidR="0023226C" w:rsidRDefault="0023226C" w:rsidP="0023226C">
      <w:r>
        <w:t>The Latrobe City Road Management Plan (</w:t>
      </w:r>
      <w:r w:rsidR="00D20E0F">
        <w:t xml:space="preserve">Latrobe City Council, </w:t>
      </w:r>
      <w:r>
        <w:t>2017) classified the roadways and pathways by a hierarchal system based on the function and importance of particular road or pathway which determines the metrics for the level of service required.  Council road assets include:</w:t>
      </w:r>
    </w:p>
    <w:p w14:paraId="2B4A0F3A" w14:textId="77777777" w:rsidR="0023226C" w:rsidRDefault="0023226C" w:rsidP="00A31D49">
      <w:pPr>
        <w:pStyle w:val="Para0bullet"/>
      </w:pPr>
      <w:r>
        <w:t>Link Road</w:t>
      </w:r>
    </w:p>
    <w:p w14:paraId="53370062" w14:textId="77777777" w:rsidR="0023226C" w:rsidRDefault="0023226C" w:rsidP="00A31D49">
      <w:pPr>
        <w:pStyle w:val="Para0bullet"/>
      </w:pPr>
      <w:r>
        <w:t>Collector Road</w:t>
      </w:r>
    </w:p>
    <w:p w14:paraId="0016810E" w14:textId="77777777" w:rsidR="0023226C" w:rsidRDefault="0023226C" w:rsidP="00A31D49">
      <w:pPr>
        <w:pStyle w:val="Para0bullet"/>
      </w:pPr>
      <w:r>
        <w:t>Sealed Access Road with a speed limit greater than 60 km/hr and all Unsealed Access Roads</w:t>
      </w:r>
    </w:p>
    <w:p w14:paraId="4D51BA94" w14:textId="77777777" w:rsidR="0019159A" w:rsidRDefault="0023226C" w:rsidP="00A31D49">
      <w:pPr>
        <w:pStyle w:val="Para0bullet"/>
      </w:pPr>
      <w:r>
        <w:t>Sealed Access Road with a speed limit less than or equal to 60 km/hr</w:t>
      </w:r>
    </w:p>
    <w:p w14:paraId="7A619434" w14:textId="576B50CF" w:rsidR="0023226C" w:rsidRDefault="0023226C" w:rsidP="00A31D49">
      <w:pPr>
        <w:pStyle w:val="Para0bullet"/>
      </w:pPr>
      <w:r>
        <w:t>Minor Access Road</w:t>
      </w:r>
    </w:p>
    <w:p w14:paraId="0C7F8FD9" w14:textId="1ED96028" w:rsidR="0023226C" w:rsidRDefault="0023226C" w:rsidP="00A31D49">
      <w:pPr>
        <w:pStyle w:val="Para0bullet"/>
      </w:pPr>
      <w:r>
        <w:t>Limited Access Road.</w:t>
      </w:r>
    </w:p>
    <w:p w14:paraId="074756AD" w14:textId="4FA2A19E" w:rsidR="00DA4638" w:rsidRDefault="00DA4638" w:rsidP="00AB2D35">
      <w:pPr>
        <w:pStyle w:val="Heading4"/>
      </w:pPr>
      <w:r>
        <w:t>Metrics</w:t>
      </w:r>
    </w:p>
    <w:p w14:paraId="14BE29D0" w14:textId="47CA6545" w:rsidR="0023226C" w:rsidRPr="001F5504" w:rsidRDefault="0023226C" w:rsidP="0023226C">
      <w:r w:rsidRPr="0099723F">
        <w:t>Damage to roads by ground movement or other factors are inspected and maintained</w:t>
      </w:r>
      <w:r>
        <w:rPr>
          <w:sz w:val="23"/>
          <w:szCs w:val="23"/>
        </w:rPr>
        <w:t xml:space="preserve"> </w:t>
      </w:r>
      <w:r w:rsidRPr="001F5504">
        <w:t>based on the defined metrics listed in</w:t>
      </w:r>
      <w:r w:rsidR="00C75945">
        <w:t xml:space="preserve"> Table </w:t>
      </w:r>
      <w:r w:rsidR="00656A75">
        <w:t>5.14</w:t>
      </w:r>
      <w:r w:rsidR="00C75945">
        <w:t>.</w:t>
      </w:r>
    </w:p>
    <w:p w14:paraId="5E56C9F5" w14:textId="7BB95CC6" w:rsidR="0023226C" w:rsidRDefault="0023226C" w:rsidP="0023226C">
      <w:r>
        <w:t xml:space="preserve">Council roads may also include unsealed, gravel roads which are not considered in this report as the nature of the road material </w:t>
      </w:r>
      <w:r w:rsidR="003503FA">
        <w:t xml:space="preserve">and the wide variety of </w:t>
      </w:r>
      <w:r w:rsidR="00F26CBC">
        <w:t xml:space="preserve">materials </w:t>
      </w:r>
      <w:r>
        <w:t xml:space="preserve">means </w:t>
      </w:r>
      <w:r w:rsidR="00F26CBC">
        <w:t>that a define metric will have little practical value</w:t>
      </w:r>
      <w:r>
        <w:t>.</w:t>
      </w:r>
    </w:p>
    <w:p w14:paraId="7DA8F6E6" w14:textId="48B62A45" w:rsidR="00092E4E" w:rsidRDefault="00092E4E" w:rsidP="00092E4E">
      <w:pPr>
        <w:rPr>
          <w:rFonts w:eastAsia="MS Mincho"/>
          <w:lang w:val="en-AU"/>
        </w:rPr>
      </w:pPr>
      <w:bookmarkStart w:id="136" w:name="_Ref506896557"/>
      <w:bookmarkStart w:id="137" w:name="_Toc501356741"/>
      <w:r>
        <w:rPr>
          <w:rFonts w:eastAsia="MS Mincho"/>
          <w:lang w:val="en-AU"/>
        </w:rPr>
        <w:t>The main mechanisms for ground movement damage affecting freeways and highways due to subsidence/rebound movements include (Singh</w:t>
      </w:r>
      <w:r w:rsidR="00C92F17">
        <w:rPr>
          <w:rFonts w:eastAsia="MS Mincho"/>
          <w:lang w:val="en-AU"/>
        </w:rPr>
        <w:t>,</w:t>
      </w:r>
      <w:r>
        <w:rPr>
          <w:rFonts w:eastAsia="MS Mincho"/>
          <w:lang w:val="en-AU"/>
        </w:rPr>
        <w:t xml:space="preserve"> 1986):</w:t>
      </w:r>
    </w:p>
    <w:p w14:paraId="5614E1F8" w14:textId="77777777" w:rsidR="00092E4E" w:rsidRPr="00EA1D58" w:rsidRDefault="00092E4E" w:rsidP="00092E4E">
      <w:pPr>
        <w:pStyle w:val="Para0bullet"/>
        <w:rPr>
          <w:rFonts w:eastAsia="MS Mincho"/>
          <w:lang w:val="en-AU"/>
        </w:rPr>
      </w:pPr>
      <w:r w:rsidRPr="00EA1D58">
        <w:rPr>
          <w:rFonts w:eastAsia="MS Mincho"/>
          <w:lang w:val="en-AU"/>
        </w:rPr>
        <w:t>Cracks on the road surface.</w:t>
      </w:r>
    </w:p>
    <w:p w14:paraId="7A2DD037" w14:textId="77777777" w:rsidR="00092E4E" w:rsidRPr="00EA1D58" w:rsidRDefault="00092E4E" w:rsidP="00092E4E">
      <w:pPr>
        <w:pStyle w:val="Para0bullet"/>
        <w:rPr>
          <w:rFonts w:eastAsia="MS Mincho"/>
          <w:lang w:val="en-AU"/>
        </w:rPr>
      </w:pPr>
      <w:r w:rsidRPr="00EA1D58">
        <w:rPr>
          <w:rFonts w:eastAsia="MS Mincho"/>
          <w:lang w:val="en-AU"/>
        </w:rPr>
        <w:t>Deterioration of base course and/or subgrade.</w:t>
      </w:r>
    </w:p>
    <w:p w14:paraId="4A99C81D" w14:textId="77777777" w:rsidR="00092E4E" w:rsidRPr="00EA1D58" w:rsidRDefault="00092E4E" w:rsidP="00092E4E">
      <w:pPr>
        <w:pStyle w:val="Para0bullet"/>
        <w:rPr>
          <w:rFonts w:eastAsia="MS Mincho"/>
          <w:lang w:val="en-AU"/>
        </w:rPr>
      </w:pPr>
      <w:r w:rsidRPr="00EA1D58">
        <w:rPr>
          <w:rFonts w:eastAsia="MS Mincho"/>
          <w:lang w:val="en-AU"/>
        </w:rPr>
        <w:t>Distortion of horizontal and vertical alignment.</w:t>
      </w:r>
    </w:p>
    <w:p w14:paraId="089EDD60" w14:textId="77777777" w:rsidR="00092E4E" w:rsidRPr="00EA1D58" w:rsidRDefault="00092E4E" w:rsidP="00092E4E">
      <w:pPr>
        <w:pStyle w:val="Para0bullet"/>
        <w:rPr>
          <w:rFonts w:eastAsia="MS Mincho"/>
          <w:lang w:val="en-AU"/>
        </w:rPr>
      </w:pPr>
      <w:r w:rsidRPr="00EA1D58">
        <w:rPr>
          <w:rFonts w:eastAsia="MS Mincho"/>
          <w:lang w:val="en-AU"/>
        </w:rPr>
        <w:t>Bumps or undulations on the road surface.</w:t>
      </w:r>
    </w:p>
    <w:p w14:paraId="519F6160" w14:textId="77777777" w:rsidR="00092E4E" w:rsidRPr="00EA1D58" w:rsidRDefault="00092E4E" w:rsidP="00092E4E">
      <w:pPr>
        <w:pStyle w:val="Para0bullet"/>
        <w:rPr>
          <w:rFonts w:eastAsia="MS Mincho"/>
          <w:lang w:val="en-AU"/>
        </w:rPr>
      </w:pPr>
      <w:r w:rsidRPr="00EA1D58">
        <w:rPr>
          <w:rFonts w:eastAsia="MS Mincho"/>
          <w:lang w:val="en-AU"/>
        </w:rPr>
        <w:t>Damage to ancillary works such as sidewalks, drains, fences, curbs, etc.</w:t>
      </w:r>
    </w:p>
    <w:p w14:paraId="6A676DE0" w14:textId="77777777" w:rsidR="00092E4E" w:rsidRPr="00EA1D58" w:rsidRDefault="00092E4E" w:rsidP="00092E4E">
      <w:pPr>
        <w:pStyle w:val="Para0bullet"/>
        <w:rPr>
          <w:rFonts w:eastAsia="MS Mincho"/>
          <w:lang w:val="en-AU"/>
        </w:rPr>
      </w:pPr>
      <w:r>
        <w:rPr>
          <w:rFonts w:eastAsia="MS Mincho"/>
          <w:lang w:val="en-AU"/>
        </w:rPr>
        <w:t>Altered drainage leading to flooding</w:t>
      </w:r>
      <w:r w:rsidRPr="00EA1D58">
        <w:rPr>
          <w:rFonts w:eastAsia="MS Mincho"/>
          <w:lang w:val="en-AU"/>
        </w:rPr>
        <w:t>.</w:t>
      </w:r>
    </w:p>
    <w:p w14:paraId="1CEF0797" w14:textId="3F695216" w:rsidR="00092E4E" w:rsidRDefault="00092E4E" w:rsidP="00092E4E">
      <w:pPr>
        <w:rPr>
          <w:spacing w:val="-2"/>
          <w:w w:val="105"/>
        </w:rPr>
      </w:pPr>
      <w:r>
        <w:rPr>
          <w:rFonts w:eastAsia="MS Mincho"/>
          <w:lang w:val="en-AU"/>
        </w:rPr>
        <w:t xml:space="preserve">The most common damage caused is the formation of tensile cracks on the road surface. </w:t>
      </w:r>
      <w:r w:rsidR="007D0AF5">
        <w:rPr>
          <w:rFonts w:eastAsia="MS Mincho"/>
          <w:lang w:val="en-AU"/>
        </w:rPr>
        <w:t xml:space="preserve"> </w:t>
      </w:r>
      <w:r>
        <w:rPr>
          <w:w w:val="105"/>
        </w:rPr>
        <w:t>C</w:t>
      </w:r>
      <w:r w:rsidRPr="00210538">
        <w:rPr>
          <w:w w:val="105"/>
        </w:rPr>
        <w:t xml:space="preserve">ompression ridges may </w:t>
      </w:r>
      <w:r>
        <w:rPr>
          <w:w w:val="105"/>
        </w:rPr>
        <w:t>also occur and</w:t>
      </w:r>
      <w:r w:rsidRPr="00210538">
        <w:rPr>
          <w:w w:val="105"/>
        </w:rPr>
        <w:t xml:space="preserve"> </w:t>
      </w:r>
      <w:r>
        <w:rPr>
          <w:w w:val="105"/>
        </w:rPr>
        <w:t xml:space="preserve">local changes of gradient that </w:t>
      </w:r>
      <w:r w:rsidRPr="00210538">
        <w:rPr>
          <w:w w:val="105"/>
        </w:rPr>
        <w:t xml:space="preserve">may </w:t>
      </w:r>
      <w:r w:rsidRPr="00210538">
        <w:rPr>
          <w:spacing w:val="-3"/>
          <w:w w:val="105"/>
        </w:rPr>
        <w:t xml:space="preserve">become </w:t>
      </w:r>
      <w:r w:rsidRPr="00210538">
        <w:rPr>
          <w:w w:val="105"/>
        </w:rPr>
        <w:t xml:space="preserve">a </w:t>
      </w:r>
      <w:r>
        <w:rPr>
          <w:w w:val="105"/>
        </w:rPr>
        <w:t xml:space="preserve">hazard </w:t>
      </w:r>
      <w:r w:rsidRPr="00210538">
        <w:rPr>
          <w:w w:val="105"/>
        </w:rPr>
        <w:t xml:space="preserve">for </w:t>
      </w:r>
      <w:r>
        <w:rPr>
          <w:spacing w:val="-3"/>
          <w:w w:val="105"/>
        </w:rPr>
        <w:t xml:space="preserve">high-speed traffic, especially </w:t>
      </w:r>
      <w:r w:rsidRPr="00210538">
        <w:rPr>
          <w:w w:val="105"/>
        </w:rPr>
        <w:t>if</w:t>
      </w:r>
      <w:r w:rsidRPr="00210538">
        <w:rPr>
          <w:spacing w:val="27"/>
          <w:w w:val="105"/>
        </w:rPr>
        <w:t xml:space="preserve"> </w:t>
      </w:r>
      <w:r w:rsidRPr="00210538">
        <w:rPr>
          <w:w w:val="105"/>
        </w:rPr>
        <w:t>it</w:t>
      </w:r>
      <w:r w:rsidRPr="00210538">
        <w:rPr>
          <w:spacing w:val="27"/>
          <w:w w:val="105"/>
        </w:rPr>
        <w:t xml:space="preserve"> </w:t>
      </w:r>
      <w:r w:rsidRPr="00210538">
        <w:rPr>
          <w:w w:val="105"/>
        </w:rPr>
        <w:t>causes</w:t>
      </w:r>
      <w:r w:rsidRPr="00210538">
        <w:rPr>
          <w:spacing w:val="27"/>
          <w:w w:val="105"/>
        </w:rPr>
        <w:t xml:space="preserve"> </w:t>
      </w:r>
      <w:r w:rsidRPr="00210538">
        <w:rPr>
          <w:w w:val="105"/>
        </w:rPr>
        <w:t>surface</w:t>
      </w:r>
      <w:r w:rsidRPr="00210538">
        <w:rPr>
          <w:spacing w:val="27"/>
          <w:w w:val="105"/>
        </w:rPr>
        <w:t xml:space="preserve"> </w:t>
      </w:r>
      <w:r w:rsidRPr="00210538">
        <w:rPr>
          <w:w w:val="105"/>
        </w:rPr>
        <w:t>water</w:t>
      </w:r>
      <w:r w:rsidRPr="00210538">
        <w:rPr>
          <w:spacing w:val="27"/>
          <w:w w:val="105"/>
        </w:rPr>
        <w:t xml:space="preserve"> </w:t>
      </w:r>
      <w:r w:rsidRPr="00210538">
        <w:rPr>
          <w:w w:val="105"/>
        </w:rPr>
        <w:t>to</w:t>
      </w:r>
      <w:r w:rsidRPr="00210538">
        <w:rPr>
          <w:spacing w:val="27"/>
          <w:w w:val="105"/>
        </w:rPr>
        <w:t xml:space="preserve"> </w:t>
      </w:r>
      <w:r>
        <w:rPr>
          <w:w w:val="105"/>
        </w:rPr>
        <w:t>pool</w:t>
      </w:r>
      <w:r w:rsidRPr="00210538">
        <w:rPr>
          <w:spacing w:val="27"/>
          <w:w w:val="105"/>
        </w:rPr>
        <w:t xml:space="preserve"> </w:t>
      </w:r>
      <w:r w:rsidRPr="00210538">
        <w:rPr>
          <w:w w:val="105"/>
        </w:rPr>
        <w:t>in</w:t>
      </w:r>
      <w:r w:rsidRPr="00210538">
        <w:rPr>
          <w:spacing w:val="27"/>
          <w:w w:val="105"/>
        </w:rPr>
        <w:t xml:space="preserve"> </w:t>
      </w:r>
      <w:r w:rsidRPr="00210538">
        <w:rPr>
          <w:w w:val="105"/>
        </w:rPr>
        <w:t>affected</w:t>
      </w:r>
      <w:r w:rsidRPr="00210538">
        <w:rPr>
          <w:spacing w:val="27"/>
          <w:w w:val="105"/>
        </w:rPr>
        <w:t xml:space="preserve"> </w:t>
      </w:r>
      <w:r w:rsidRPr="00210538">
        <w:rPr>
          <w:spacing w:val="-2"/>
          <w:w w:val="105"/>
        </w:rPr>
        <w:t>areas.</w:t>
      </w:r>
    </w:p>
    <w:p w14:paraId="53889309" w14:textId="77777777" w:rsidR="00B03A1D" w:rsidRDefault="00B03A1D" w:rsidP="00B03A1D">
      <w:r>
        <w:t>Council roads may also include unsealed, gravel roads which are not considered in this report as the nature of the road material and the wide variety of materials means that a define metric will have little practical value.</w:t>
      </w:r>
    </w:p>
    <w:p w14:paraId="397DA593" w14:textId="77777777" w:rsidR="00B03A1D" w:rsidRDefault="00B03A1D" w:rsidP="00B03A1D">
      <w:r>
        <w:t>The main mechanisms for ground movement damage affecting freeways and highways due to subsidence/rebound movements include (Singh, 1986):</w:t>
      </w:r>
    </w:p>
    <w:p w14:paraId="2445C20F" w14:textId="77777777" w:rsidR="00B03A1D" w:rsidRDefault="00B03A1D" w:rsidP="00B03A1D">
      <w:r>
        <w:t>•</w:t>
      </w:r>
      <w:r>
        <w:tab/>
        <w:t>Cracks on the road surface.</w:t>
      </w:r>
    </w:p>
    <w:p w14:paraId="23328222" w14:textId="77777777" w:rsidR="00B03A1D" w:rsidRDefault="00B03A1D" w:rsidP="00B03A1D">
      <w:r>
        <w:t>•</w:t>
      </w:r>
      <w:r>
        <w:tab/>
        <w:t>Deterioration of base course and/or subgrade.</w:t>
      </w:r>
    </w:p>
    <w:p w14:paraId="63B70D2B" w14:textId="77777777" w:rsidR="00B03A1D" w:rsidRDefault="00B03A1D" w:rsidP="00B03A1D">
      <w:r>
        <w:t>•</w:t>
      </w:r>
      <w:r>
        <w:tab/>
        <w:t>Distortion of horizontal and vertical alignment.</w:t>
      </w:r>
    </w:p>
    <w:p w14:paraId="00811B05" w14:textId="77777777" w:rsidR="00B03A1D" w:rsidRDefault="00B03A1D" w:rsidP="00B03A1D">
      <w:r>
        <w:t>•</w:t>
      </w:r>
      <w:r>
        <w:tab/>
        <w:t>Bumps or undulations on the road surface.</w:t>
      </w:r>
    </w:p>
    <w:p w14:paraId="73F62D9C" w14:textId="77777777" w:rsidR="00B03A1D" w:rsidRDefault="00B03A1D" w:rsidP="00B03A1D">
      <w:r>
        <w:t>•</w:t>
      </w:r>
      <w:r>
        <w:tab/>
        <w:t>Damage to ancillary works such as sidewalks, drains, fences, curbs, etc.</w:t>
      </w:r>
    </w:p>
    <w:p w14:paraId="4640AC9D" w14:textId="77777777" w:rsidR="00B03A1D" w:rsidRDefault="00B03A1D" w:rsidP="00B03A1D">
      <w:r>
        <w:t>•</w:t>
      </w:r>
      <w:r>
        <w:tab/>
        <w:t>Altered drainage leading to flooding.</w:t>
      </w:r>
    </w:p>
    <w:p w14:paraId="467EE5A4" w14:textId="3A2ADA7A" w:rsidR="00B03A1D" w:rsidRPr="00210538" w:rsidRDefault="00B03A1D" w:rsidP="00B03A1D">
      <w:r>
        <w:t>The most common damage caused is the formation of tensile cracks on the road surface.  Compression ridges may also occur and local changes of gradient that may become a hazard for high-speed traffic, especially if it causes surface water to pool in affected areas.</w:t>
      </w:r>
    </w:p>
    <w:p w14:paraId="1902DDD6" w14:textId="18D9E6D5" w:rsidR="00092E4E" w:rsidRDefault="00092E4E" w:rsidP="00092E4E">
      <w:pPr>
        <w:rPr>
          <w:rFonts w:eastAsia="MS Mincho"/>
          <w:lang w:val="en-AU"/>
        </w:rPr>
      </w:pPr>
      <w:r>
        <w:rPr>
          <w:rFonts w:eastAsia="MS Mincho"/>
          <w:lang w:val="en-AU"/>
        </w:rPr>
        <w:t xml:space="preserve">Classification used by </w:t>
      </w:r>
      <w:r w:rsidR="00E408A1">
        <w:rPr>
          <w:rFonts w:eastAsia="MS Mincho"/>
          <w:lang w:val="en-AU"/>
        </w:rPr>
        <w:t xml:space="preserve">Latrobe City Council </w:t>
      </w:r>
      <w:r>
        <w:rPr>
          <w:rFonts w:eastAsia="MS Mincho"/>
          <w:lang w:val="en-AU"/>
        </w:rPr>
        <w:t xml:space="preserve">for hazard inspection and response are listed in </w:t>
      </w:r>
      <w:r>
        <w:rPr>
          <w:rFonts w:eastAsia="MS Mincho"/>
          <w:lang w:val="en-AU"/>
        </w:rPr>
        <w:fldChar w:fldCharType="begin"/>
      </w:r>
      <w:r>
        <w:rPr>
          <w:rFonts w:eastAsia="MS Mincho"/>
          <w:lang w:val="en-AU"/>
        </w:rPr>
        <w:instrText xml:space="preserve"> REF _Ref506890961 \h </w:instrText>
      </w:r>
      <w:r>
        <w:rPr>
          <w:rFonts w:eastAsia="MS Mincho"/>
          <w:lang w:val="en-AU"/>
        </w:rPr>
      </w:r>
      <w:r>
        <w:rPr>
          <w:rFonts w:eastAsia="MS Mincho"/>
          <w:lang w:val="en-AU"/>
        </w:rPr>
        <w:fldChar w:fldCharType="separate"/>
      </w:r>
      <w:r w:rsidR="00A83148" w:rsidRPr="009038E7">
        <w:t xml:space="preserve">Table </w:t>
      </w:r>
      <w:r w:rsidR="00A83148">
        <w:rPr>
          <w:noProof/>
        </w:rPr>
        <w:t>5</w:t>
      </w:r>
      <w:r w:rsidR="00A83148" w:rsidRPr="009038E7">
        <w:t>.</w:t>
      </w:r>
      <w:r w:rsidR="00A83148">
        <w:rPr>
          <w:noProof/>
        </w:rPr>
        <w:t>10</w:t>
      </w:r>
      <w:r>
        <w:rPr>
          <w:rFonts w:eastAsia="MS Mincho"/>
          <w:lang w:val="en-AU"/>
        </w:rPr>
        <w:fldChar w:fldCharType="end"/>
      </w:r>
      <w:r>
        <w:rPr>
          <w:rFonts w:eastAsia="MS Mincho"/>
          <w:lang w:val="en-AU"/>
        </w:rPr>
        <w:t>.</w:t>
      </w:r>
      <w:r w:rsidR="00E408A1">
        <w:rPr>
          <w:rFonts w:eastAsia="MS Mincho"/>
          <w:lang w:val="en-AU"/>
        </w:rPr>
        <w:t xml:space="preserve"> and 5.15 (Latrobe </w:t>
      </w:r>
      <w:r w:rsidR="007D0AF5">
        <w:rPr>
          <w:rFonts w:eastAsia="MS Mincho"/>
          <w:lang w:val="en-AU"/>
        </w:rPr>
        <w:t>C</w:t>
      </w:r>
      <w:r w:rsidR="00E408A1">
        <w:rPr>
          <w:rFonts w:eastAsia="MS Mincho"/>
          <w:lang w:val="en-AU"/>
        </w:rPr>
        <w:t>ity</w:t>
      </w:r>
      <w:r w:rsidR="00C92F17">
        <w:rPr>
          <w:rFonts w:eastAsia="MS Mincho"/>
          <w:lang w:val="en-AU"/>
        </w:rPr>
        <w:t xml:space="preserve"> Council</w:t>
      </w:r>
      <w:r w:rsidR="00E408A1">
        <w:rPr>
          <w:rFonts w:eastAsia="MS Mincho"/>
          <w:lang w:val="en-AU"/>
        </w:rPr>
        <w:t xml:space="preserve">, 2017). </w:t>
      </w:r>
      <w:r w:rsidR="007D0AF5">
        <w:rPr>
          <w:rFonts w:eastAsia="MS Mincho"/>
          <w:lang w:val="en-AU"/>
        </w:rPr>
        <w:t xml:space="preserve"> </w:t>
      </w:r>
      <w:r w:rsidR="00E408A1">
        <w:rPr>
          <w:rFonts w:eastAsia="MS Mincho"/>
          <w:lang w:val="en-AU"/>
        </w:rPr>
        <w:t>Whilst some roads are outside of the Latrobe council jurisdiction, these metrics are considered still relevant and appropriate as there is no rationale for different damage criteria for this study.</w:t>
      </w:r>
    </w:p>
    <w:p w14:paraId="73E08816" w14:textId="1560B338" w:rsidR="0023226C" w:rsidRDefault="00EA1D58" w:rsidP="00EA1D58">
      <w:pPr>
        <w:pStyle w:val="Caption"/>
      </w:pPr>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13</w:t>
      </w:r>
      <w:r>
        <w:fldChar w:fldCharType="end"/>
      </w:r>
      <w:bookmarkEnd w:id="136"/>
      <w:r w:rsidRPr="009038E7">
        <w:t xml:space="preserve"> : </w:t>
      </w:r>
      <w:r w:rsidR="0023226C">
        <w:t>Reactive Inspection Response Timeframes for Road and Footpath Maintenance</w:t>
      </w:r>
      <w:bookmarkEnd w:id="137"/>
      <w:r w:rsidR="0011072D">
        <w:t xml:space="preserve"> (Latrobe City, 2017)</w:t>
      </w:r>
    </w:p>
    <w:p w14:paraId="114753B6" w14:textId="77777777" w:rsidR="005E3B9B" w:rsidRDefault="00246B19" w:rsidP="0023226C">
      <w:pPr>
        <w:pStyle w:val="Default"/>
        <w:rPr>
          <w:sz w:val="23"/>
          <w:szCs w:val="23"/>
        </w:rPr>
      </w:pPr>
      <w:r>
        <w:rPr>
          <w:noProof/>
        </w:rPr>
        <w:drawing>
          <wp:inline distT="0" distB="0" distL="0" distR="0" wp14:anchorId="78633798" wp14:editId="054F5D64">
            <wp:extent cx="5822950" cy="1581150"/>
            <wp:effectExtent l="0" t="0" r="6350" b="0"/>
            <wp:docPr id="20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t="24034"/>
                    <a:stretch>
                      <a:fillRect/>
                    </a:stretch>
                  </pic:blipFill>
                  <pic:spPr bwMode="auto">
                    <a:xfrm>
                      <a:off x="0" y="0"/>
                      <a:ext cx="5822950" cy="1581150"/>
                    </a:xfrm>
                    <a:prstGeom prst="rect">
                      <a:avLst/>
                    </a:prstGeom>
                    <a:noFill/>
                    <a:ln>
                      <a:noFill/>
                    </a:ln>
                  </pic:spPr>
                </pic:pic>
              </a:graphicData>
            </a:graphic>
          </wp:inline>
        </w:drawing>
      </w:r>
    </w:p>
    <w:p w14:paraId="0FECD717" w14:textId="77777777" w:rsidR="0023226C" w:rsidRDefault="0023226C" w:rsidP="0023226C">
      <w:pPr>
        <w:pStyle w:val="Default"/>
        <w:rPr>
          <w:sz w:val="23"/>
          <w:szCs w:val="23"/>
        </w:rPr>
      </w:pPr>
    </w:p>
    <w:p w14:paraId="0C044FBF" w14:textId="62F500F1" w:rsidR="0023226C" w:rsidRDefault="00EA1D58" w:rsidP="00EA1D58">
      <w:pPr>
        <w:pStyle w:val="Caption"/>
      </w:pPr>
      <w:bookmarkStart w:id="138" w:name="_Ref506896572"/>
      <w:bookmarkStart w:id="139" w:name="_Toc501356742"/>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14</w:t>
      </w:r>
      <w:r>
        <w:fldChar w:fldCharType="end"/>
      </w:r>
      <w:bookmarkEnd w:id="138"/>
      <w:r w:rsidRPr="009038E7">
        <w:t xml:space="preserve"> : </w:t>
      </w:r>
      <w:r w:rsidR="0023226C">
        <w:t>Description of Defect and Intervention Level</w:t>
      </w:r>
      <w:bookmarkEnd w:id="139"/>
      <w:r w:rsidR="0011072D">
        <w:rPr>
          <w:rStyle w:val="FootnoteReference"/>
        </w:rPr>
        <w:t xml:space="preserve"> </w:t>
      </w:r>
      <w:r w:rsidR="0011072D">
        <w:t>(Latrobe City</w:t>
      </w:r>
      <w:r w:rsidR="008205C0">
        <w:t>,</w:t>
      </w:r>
      <w:r w:rsidR="0011072D">
        <w:t xml:space="preserve"> 2017)</w:t>
      </w:r>
    </w:p>
    <w:p w14:paraId="129258BB" w14:textId="77777777" w:rsidR="005E3B9B" w:rsidRDefault="00246B19" w:rsidP="0023226C">
      <w:pPr>
        <w:pStyle w:val="Default"/>
        <w:rPr>
          <w:sz w:val="23"/>
          <w:szCs w:val="23"/>
        </w:rPr>
      </w:pPr>
      <w:r>
        <w:rPr>
          <w:noProof/>
        </w:rPr>
        <w:drawing>
          <wp:inline distT="0" distB="0" distL="0" distR="0" wp14:anchorId="1362ACB1" wp14:editId="50BE750F">
            <wp:extent cx="5842000" cy="2705100"/>
            <wp:effectExtent l="0" t="0" r="6350" b="0"/>
            <wp:docPr id="205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b="812"/>
                    <a:stretch>
                      <a:fillRect/>
                    </a:stretch>
                  </pic:blipFill>
                  <pic:spPr bwMode="auto">
                    <a:xfrm>
                      <a:off x="0" y="0"/>
                      <a:ext cx="5842000" cy="2705100"/>
                    </a:xfrm>
                    <a:prstGeom prst="rect">
                      <a:avLst/>
                    </a:prstGeom>
                    <a:noFill/>
                    <a:ln>
                      <a:noFill/>
                    </a:ln>
                  </pic:spPr>
                </pic:pic>
              </a:graphicData>
            </a:graphic>
          </wp:inline>
        </w:drawing>
      </w:r>
      <w:r>
        <w:rPr>
          <w:noProof/>
        </w:rPr>
        <w:drawing>
          <wp:inline distT="0" distB="0" distL="0" distR="0" wp14:anchorId="324F4E34" wp14:editId="359D8EFA">
            <wp:extent cx="5835650" cy="1581150"/>
            <wp:effectExtent l="0" t="0" r="0" b="0"/>
            <wp:docPr id="205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t="20459"/>
                    <a:stretch>
                      <a:fillRect/>
                    </a:stretch>
                  </pic:blipFill>
                  <pic:spPr bwMode="auto">
                    <a:xfrm>
                      <a:off x="0" y="0"/>
                      <a:ext cx="5835650" cy="1581150"/>
                    </a:xfrm>
                    <a:prstGeom prst="rect">
                      <a:avLst/>
                    </a:prstGeom>
                    <a:noFill/>
                    <a:ln>
                      <a:noFill/>
                    </a:ln>
                  </pic:spPr>
                </pic:pic>
              </a:graphicData>
            </a:graphic>
          </wp:inline>
        </w:drawing>
      </w:r>
    </w:p>
    <w:p w14:paraId="29B0055B" w14:textId="137FE2C2" w:rsidR="0023226C" w:rsidRPr="001F5504" w:rsidRDefault="0023226C" w:rsidP="0023226C">
      <w:pPr>
        <w:pStyle w:val="Default"/>
        <w:rPr>
          <w:sz w:val="16"/>
          <w:szCs w:val="16"/>
        </w:rPr>
      </w:pPr>
    </w:p>
    <w:p w14:paraId="60CA401C" w14:textId="0B2C90A0" w:rsidR="0023226C" w:rsidRDefault="0023226C" w:rsidP="00AB2D35">
      <w:pPr>
        <w:pStyle w:val="Heading4"/>
        <w:rPr>
          <w:lang w:val="en-AU"/>
        </w:rPr>
      </w:pPr>
      <w:bookmarkStart w:id="140" w:name="_Toc501356692"/>
      <w:r w:rsidRPr="0061134C">
        <w:t>Thresholds</w:t>
      </w:r>
      <w:r w:rsidRPr="00D20CAD">
        <w:rPr>
          <w:lang w:val="en-AU"/>
        </w:rPr>
        <w:t xml:space="preserve"> and Rationale</w:t>
      </w:r>
      <w:bookmarkEnd w:id="140"/>
      <w:r w:rsidRPr="00D20CAD">
        <w:rPr>
          <w:lang w:val="en-AU"/>
        </w:rPr>
        <w:t xml:space="preserve"> </w:t>
      </w:r>
    </w:p>
    <w:p w14:paraId="38D05F0E" w14:textId="333D7870" w:rsidR="00B10720" w:rsidRDefault="00B10720" w:rsidP="00B10720">
      <w:r>
        <w:t xml:space="preserve">The damage severity levels are classified into three categories for roads are </w:t>
      </w:r>
      <w:r w:rsidR="00855986">
        <w:t xml:space="preserve">as described in section </w:t>
      </w:r>
      <w:r w:rsidR="001333F3">
        <w:t>5.3</w:t>
      </w:r>
      <w:r>
        <w:t xml:space="preserve">. </w:t>
      </w:r>
    </w:p>
    <w:p w14:paraId="0A2C6895" w14:textId="073A5F1A" w:rsidR="0023226C" w:rsidRDefault="00B10720" w:rsidP="00B10720">
      <w:r>
        <w:t xml:space="preserve">In terms of damage criteria (movement limit strain values) for each damage severity level for each potential movement </w:t>
      </w:r>
      <w:r w:rsidRPr="00B10720">
        <w:t xml:space="preserve">type, currently a sufficient database does not exist to extend this nationwide for Australia. </w:t>
      </w:r>
      <w:r w:rsidR="007D0AF5">
        <w:t xml:space="preserve"> </w:t>
      </w:r>
      <w:r w:rsidRPr="00B10720">
        <w:t xml:space="preserve">However, the results of a survey of a wide range of sources, deemed an acceptable industry standard, is listed in </w:t>
      </w:r>
      <w:r w:rsidRPr="00B10720">
        <w:fldChar w:fldCharType="begin"/>
      </w:r>
      <w:r w:rsidRPr="00B10720">
        <w:instrText xml:space="preserve"> REF _Ref506897372 \h  \* MERGEFORMAT </w:instrText>
      </w:r>
      <w:r w:rsidRPr="00B10720">
        <w:fldChar w:fldCharType="separate"/>
      </w:r>
      <w:r w:rsidR="00A83148" w:rsidRPr="009038E7">
        <w:t xml:space="preserve">Table </w:t>
      </w:r>
      <w:r w:rsidR="00A83148">
        <w:rPr>
          <w:noProof/>
        </w:rPr>
        <w:t>5</w:t>
      </w:r>
      <w:r w:rsidR="00A83148" w:rsidRPr="009038E7">
        <w:rPr>
          <w:noProof/>
        </w:rPr>
        <w:t>.</w:t>
      </w:r>
      <w:r w:rsidR="00A83148">
        <w:rPr>
          <w:noProof/>
        </w:rPr>
        <w:t>15</w:t>
      </w:r>
      <w:r w:rsidRPr="00B10720">
        <w:fldChar w:fldCharType="end"/>
      </w:r>
      <w:r w:rsidRPr="00B10720">
        <w:t xml:space="preserve"> and are considered appropriate to use in the context of the LVRRS. According to the damage severity level, a strain value</w:t>
      </w:r>
      <w:r>
        <w:t xml:space="preserve"> of 1</w:t>
      </w:r>
      <w:r w:rsidRPr="00104A5B">
        <w:t>0 x 10</w:t>
      </w:r>
      <w:r w:rsidRPr="00104A5B">
        <w:rPr>
          <w:vertAlign w:val="superscript"/>
        </w:rPr>
        <w:t>-3</w:t>
      </w:r>
      <w:r>
        <w:t xml:space="preserve"> could be expected to cause structural damage. </w:t>
      </w:r>
      <w:r w:rsidR="007D0AF5">
        <w:t xml:space="preserve"> </w:t>
      </w:r>
      <w:r>
        <w:t>These criteria are the same as applied to freeways, to provide a consistent approach to considering risk to the regional road network.</w:t>
      </w:r>
    </w:p>
    <w:p w14:paraId="64B4CBC8" w14:textId="2EC44A03" w:rsidR="0023226C" w:rsidRPr="00411E15" w:rsidRDefault="0099723F" w:rsidP="0099723F">
      <w:pPr>
        <w:pStyle w:val="Caption"/>
      </w:pPr>
      <w:bookmarkStart w:id="141" w:name="_Ref506897372"/>
      <w:bookmarkStart w:id="142" w:name="_Toc501356743"/>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15</w:t>
      </w:r>
      <w:r>
        <w:fldChar w:fldCharType="end"/>
      </w:r>
      <w:bookmarkEnd w:id="141"/>
      <w:r w:rsidRPr="009038E7">
        <w:t xml:space="preserve"> :</w:t>
      </w:r>
      <w:r w:rsidR="0023226C">
        <w:t>Damage Criteria for Council Roads</w:t>
      </w:r>
      <w:bookmarkEnd w:id="142"/>
      <w:r w:rsidR="0011072D">
        <w:t xml:space="preserve"> (Singh, 1986)</w:t>
      </w:r>
    </w:p>
    <w:p w14:paraId="4153642D" w14:textId="77777777" w:rsidR="005E3B9B" w:rsidRDefault="00246B19" w:rsidP="0023226C">
      <w:pPr>
        <w:rPr>
          <w:lang w:val="en-AU"/>
        </w:rPr>
      </w:pPr>
      <w:r>
        <w:rPr>
          <w:noProof/>
          <w:lang w:val="en-AU" w:eastAsia="en-AU"/>
        </w:rPr>
        <w:drawing>
          <wp:inline distT="0" distB="0" distL="0" distR="0" wp14:anchorId="3736D81B" wp14:editId="7882CE14">
            <wp:extent cx="5816600" cy="1695450"/>
            <wp:effectExtent l="0" t="0" r="0" b="0"/>
            <wp:docPr id="206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6600" cy="1695450"/>
                    </a:xfrm>
                    <a:prstGeom prst="rect">
                      <a:avLst/>
                    </a:prstGeom>
                    <a:noFill/>
                    <a:ln>
                      <a:noFill/>
                    </a:ln>
                  </pic:spPr>
                </pic:pic>
              </a:graphicData>
            </a:graphic>
          </wp:inline>
        </w:drawing>
      </w:r>
    </w:p>
    <w:p w14:paraId="48736749" w14:textId="77777777" w:rsidR="0023226C" w:rsidRDefault="0023226C" w:rsidP="00AB2D35">
      <w:pPr>
        <w:pStyle w:val="Heading3"/>
      </w:pPr>
      <w:bookmarkStart w:id="143" w:name="_Toc501356693"/>
      <w:bookmarkStart w:id="144" w:name="_Ref505852293"/>
      <w:r w:rsidRPr="00D20CAD">
        <w:t xml:space="preserve">Gas </w:t>
      </w:r>
      <w:r w:rsidRPr="0061134C">
        <w:t>Pipelines</w:t>
      </w:r>
      <w:bookmarkEnd w:id="143"/>
      <w:bookmarkEnd w:id="144"/>
    </w:p>
    <w:p w14:paraId="0E4E416D" w14:textId="3E449312" w:rsidR="0023226C" w:rsidRDefault="0023226C" w:rsidP="0023226C">
      <w:r>
        <w:t>The metrics and thresholds for the potential damage induced by ground movement is detailed in this section.</w:t>
      </w:r>
      <w:r w:rsidR="007D0AF5">
        <w:t xml:space="preserve"> </w:t>
      </w:r>
      <w:r>
        <w:t xml:space="preserve"> </w:t>
      </w:r>
      <w:r w:rsidR="003F5485">
        <w:fldChar w:fldCharType="begin"/>
      </w:r>
      <w:r w:rsidR="003F5485">
        <w:instrText xml:space="preserve"> REF _Ref508365830 \h </w:instrText>
      </w:r>
      <w:r w:rsidR="003F5485">
        <w:fldChar w:fldCharType="separate"/>
      </w:r>
      <w:r w:rsidR="00A83148">
        <w:t xml:space="preserve">Figure </w:t>
      </w:r>
      <w:r w:rsidR="00A83148">
        <w:rPr>
          <w:noProof/>
        </w:rPr>
        <w:t>5</w:t>
      </w:r>
      <w:r w:rsidR="00A83148" w:rsidRPr="009038E7">
        <w:t>.</w:t>
      </w:r>
      <w:r w:rsidR="00A83148">
        <w:rPr>
          <w:noProof/>
        </w:rPr>
        <w:t>7</w:t>
      </w:r>
      <w:r w:rsidR="003F5485">
        <w:fldChar w:fldCharType="end"/>
      </w:r>
      <w:r w:rsidR="003F5485">
        <w:t xml:space="preserve"> </w:t>
      </w:r>
      <w:r>
        <w:t>shows the pipeline network in the Latrobe Valley region.</w:t>
      </w:r>
      <w:r w:rsidR="007D0AF5">
        <w:t xml:space="preserve"> </w:t>
      </w:r>
      <w:r w:rsidR="00D81D0B">
        <w:t xml:space="preserve"> The thresholds for this rec</w:t>
      </w:r>
      <w:r w:rsidR="00B914ED">
        <w:t>e</w:t>
      </w:r>
      <w:r w:rsidR="00D81D0B">
        <w:t>ptor class is highly com</w:t>
      </w:r>
      <w:r w:rsidR="00B914ED">
        <w:t>p</w:t>
      </w:r>
      <w:r w:rsidR="00D81D0B">
        <w:t xml:space="preserve">lex and not easily reduced to a single value. </w:t>
      </w:r>
      <w:r w:rsidR="007D0AF5">
        <w:t xml:space="preserve"> </w:t>
      </w:r>
      <w:r w:rsidR="00D81D0B">
        <w:t xml:space="preserve">In particular, the age and condition of individual pipelines and pipe segments may be important to defining the tolerance to movement. </w:t>
      </w:r>
      <w:r w:rsidR="007D0AF5">
        <w:t xml:space="preserve"> </w:t>
      </w:r>
      <w:r w:rsidR="00D81D0B">
        <w:t xml:space="preserve">In most cases, however, the pipelines are well outside the </w:t>
      </w:r>
      <w:r w:rsidR="00912B0D">
        <w:t>indicated limite</w:t>
      </w:r>
      <w:r w:rsidR="00B914ED">
        <w:t>d</w:t>
      </w:r>
      <w:r w:rsidR="00912B0D">
        <w:t xml:space="preserve"> for </w:t>
      </w:r>
      <w:r w:rsidR="00B914ED">
        <w:t>batter scale</w:t>
      </w:r>
      <w:r w:rsidR="00912B0D">
        <w:t xml:space="preserve"> movements and are most likely to subjected to subsidence/rebound effects. </w:t>
      </w:r>
      <w:r w:rsidR="007D0AF5">
        <w:t xml:space="preserve"> </w:t>
      </w:r>
      <w:r w:rsidR="00912B0D">
        <w:t xml:space="preserve">In this case there has already been </w:t>
      </w:r>
      <w:r w:rsidR="00B914ED">
        <w:t xml:space="preserve">subsidence effects felt for this receptor </w:t>
      </w:r>
      <w:r w:rsidR="00445F64">
        <w:t>sub-category</w:t>
      </w:r>
      <w:r w:rsidR="00B914ED">
        <w:t xml:space="preserve">. </w:t>
      </w:r>
    </w:p>
    <w:p w14:paraId="10F79528" w14:textId="108B36AD" w:rsidR="0023226C" w:rsidRDefault="003D4BF8" w:rsidP="004A4FF8">
      <w:pPr>
        <w:rPr>
          <w:lang w:val="en-AU"/>
        </w:rPr>
      </w:pPr>
      <w:r>
        <w:t xml:space="preserve">Through this study Jacobs/Mining One </w:t>
      </w:r>
      <w:r w:rsidR="00B37A86">
        <w:t xml:space="preserve">held a workshop with pipeline owners and key stakeholders to help determine concerns and </w:t>
      </w:r>
      <w:r w:rsidR="0009588E">
        <w:t>to identify any specific requirements for pipelines in the</w:t>
      </w:r>
      <w:r>
        <w:t xml:space="preserve"> </w:t>
      </w:r>
      <w:r w:rsidR="0009588E">
        <w:t xml:space="preserve">region. </w:t>
      </w:r>
      <w:r w:rsidR="007D0AF5">
        <w:t xml:space="preserve"> </w:t>
      </w:r>
      <w:r w:rsidR="0009588E">
        <w:t xml:space="preserve">This included consideration of possible future pipeline routes, including the </w:t>
      </w:r>
      <w:r w:rsidR="00F8553F">
        <w:t xml:space="preserve">CarbonNET project being undertaken by DJPR. </w:t>
      </w:r>
      <w:r w:rsidR="007D0AF5">
        <w:t xml:space="preserve"> </w:t>
      </w:r>
      <w:r w:rsidR="00F8553F">
        <w:t xml:space="preserve">The outcome of this workshop was that there was little </w:t>
      </w:r>
      <w:r w:rsidR="00B84689">
        <w:t xml:space="preserve">additional information that could be provided by the receptor owners and custodians that would set specific values for </w:t>
      </w:r>
      <w:r w:rsidR="001512DA">
        <w:t>thresholds. Clearly strain is a concern, but most of the pipeline network is in areas where the strain effects to date have been very small.</w:t>
      </w:r>
      <w:r w:rsidR="007D0AF5">
        <w:t xml:space="preserve"> </w:t>
      </w:r>
      <w:r w:rsidR="001512DA">
        <w:t xml:space="preserve"> </w:t>
      </w:r>
      <w:r w:rsidR="000E4CF3">
        <w:t>Figure 5.</w:t>
      </w:r>
      <w:r w:rsidR="007D0AF5">
        <w:t>7</w:t>
      </w:r>
      <w:r w:rsidR="000E4CF3">
        <w:t xml:space="preserve"> shows the location of key pipelines in the area. </w:t>
      </w:r>
      <w:r w:rsidR="00652D69">
        <w:t xml:space="preserve"> </w:t>
      </w:r>
      <w:r w:rsidR="000E4CF3">
        <w:t>The GIS database associated with this project has a full listing of the relevant features.</w:t>
      </w:r>
      <w:r w:rsidR="0023226C">
        <w:rPr>
          <w:lang w:val="en-AU"/>
        </w:rPr>
        <w:br w:type="page"/>
      </w:r>
    </w:p>
    <w:p w14:paraId="0426A0AC" w14:textId="77777777" w:rsidR="0023226C" w:rsidRDefault="0023226C" w:rsidP="0023226C">
      <w:pPr>
        <w:spacing w:after="0" w:line="240" w:lineRule="auto"/>
        <w:sectPr w:rsidR="0023226C" w:rsidSect="0023226C">
          <w:headerReference w:type="even" r:id="rId76"/>
          <w:headerReference w:type="default" r:id="rId77"/>
          <w:headerReference w:type="first" r:id="rId78"/>
          <w:footerReference w:type="first" r:id="rId79"/>
          <w:pgSz w:w="11906" w:h="16838" w:code="9"/>
          <w:pgMar w:top="1985" w:right="1298" w:bottom="851" w:left="1326" w:header="709" w:footer="477" w:gutter="0"/>
          <w:cols w:space="720"/>
          <w:titlePg/>
          <w:docGrid w:linePitch="272"/>
        </w:sectPr>
      </w:pPr>
    </w:p>
    <w:p w14:paraId="3E39D284" w14:textId="77777777" w:rsidR="005E3B9B" w:rsidRDefault="00246B19" w:rsidP="002B688A">
      <w:pPr>
        <w:spacing w:after="0"/>
        <w:rPr>
          <w:rFonts w:eastAsia="MS Mincho"/>
        </w:rPr>
      </w:pPr>
      <w:r>
        <w:rPr>
          <w:noProof/>
          <w:lang w:val="en-AU" w:eastAsia="en-AU"/>
        </w:rPr>
        <mc:AlternateContent>
          <mc:Choice Requires="wps">
            <w:drawing>
              <wp:anchor distT="0" distB="0" distL="114300" distR="114300" simplePos="0" relativeHeight="251658752" behindDoc="0" locked="0" layoutInCell="1" allowOverlap="1" wp14:anchorId="4B4DEFB0" wp14:editId="4D28DD7C">
                <wp:simplePos x="0" y="0"/>
                <wp:positionH relativeFrom="column">
                  <wp:posOffset>4349115</wp:posOffset>
                </wp:positionH>
                <wp:positionV relativeFrom="paragraph">
                  <wp:posOffset>4224655</wp:posOffset>
                </wp:positionV>
                <wp:extent cx="3817620" cy="414020"/>
                <wp:effectExtent l="5715" t="5080" r="5715" b="9525"/>
                <wp:wrapNone/>
                <wp:docPr id="20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414020"/>
                        </a:xfrm>
                        <a:prstGeom prst="rect">
                          <a:avLst/>
                        </a:prstGeom>
                        <a:solidFill>
                          <a:srgbClr val="FFFFFF"/>
                        </a:solidFill>
                        <a:ln w="6350">
                          <a:solidFill>
                            <a:srgbClr val="00338D"/>
                          </a:solidFill>
                          <a:miter lim="800000"/>
                          <a:headEnd/>
                          <a:tailEnd/>
                        </a:ln>
                      </wps:spPr>
                      <wps:txbx>
                        <w:txbxContent>
                          <w:p w14:paraId="726C93DC" w14:textId="77777777" w:rsidR="00E87437" w:rsidRDefault="00E87437" w:rsidP="0023226C">
                            <w:pPr>
                              <w:spacing w:after="0" w:line="240" w:lineRule="auto"/>
                              <w:rPr>
                                <w:sz w:val="16"/>
                                <w:szCs w:val="16"/>
                                <w:lang w:val="en-AU"/>
                              </w:rPr>
                            </w:pPr>
                            <w:r w:rsidRPr="00CA2AAB">
                              <w:rPr>
                                <w:b/>
                                <w:color w:val="FF0000"/>
                                <w:sz w:val="16"/>
                                <w:szCs w:val="16"/>
                                <w:lang w:val="en-AU"/>
                              </w:rPr>
                              <w:t xml:space="preserve">_____ </w:t>
                            </w:r>
                            <w:r>
                              <w:rPr>
                                <w:sz w:val="16"/>
                                <w:szCs w:val="16"/>
                                <w:lang w:val="en-AU"/>
                              </w:rPr>
                              <w:t>Red lines indicate pipelines</w:t>
                            </w:r>
                          </w:p>
                          <w:p w14:paraId="4A716232" w14:textId="77777777" w:rsidR="00E87437" w:rsidRPr="00F27B37" w:rsidRDefault="00E87437" w:rsidP="0023226C">
                            <w:pPr>
                              <w:spacing w:after="0" w:line="240" w:lineRule="auto"/>
                              <w:rPr>
                                <w:sz w:val="16"/>
                                <w:szCs w:val="16"/>
                                <w:lang w:val="en-AU"/>
                              </w:rPr>
                            </w:pPr>
                            <w:r w:rsidRPr="00F27B37">
                              <w:rPr>
                                <w:sz w:val="16"/>
                                <w:szCs w:val="16"/>
                                <w:lang w:val="en-AU"/>
                              </w:rPr>
                              <w:t>Source: Department of Economic Development, Jobs, Transport and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DEFB0" id="_x0000_t202" coordsize="21600,21600" o:spt="202" path="m,l,21600r21600,l21600,xe">
                <v:stroke joinstyle="miter"/>
                <v:path gradientshapeok="t" o:connecttype="rect"/>
              </v:shapetype>
              <v:shape id="Text Box 42" o:spid="_x0000_s1026" type="#_x0000_t202" style="position:absolute;margin-left:342.45pt;margin-top:332.65pt;width:300.6pt;height:3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5WLgIAAFQEAAAOAAAAZHJzL2Uyb0RvYy54bWysVNtu2zAMfR+wfxD0vthx3DQz4hRdsgwD&#10;ugvQ7gNkWbaFyaImKbGzrx8lp212exnmB4EUqUPykPT6ZuwVOQrrJOiSzmcpJUJzqKVuS/rlYf9q&#10;RYnzTNdMgRYlPQlHbzYvX6wHU4gMOlC1sARBtCsGU9LOe1MkieOd6JmbgREajQ3YnnlUbZvUlg2I&#10;3qskS9NlMoCtjQUunMPb3WSkm4jfNIL7T03jhCeqpJibj6eNZxXOZLNmRWuZ6SQ/p8H+IYueSY1B&#10;n6B2zDNysPI3qF5yCw4aP+PQJ9A0kotYA1YzT3+p5r5jRsRakBxnnmhy/w+Wfzx+tkTWJc3SZUaJ&#10;Zj126UGMnryBkeRZYGgwrkDHe4OufsR77HSs1pk74F8d0bDtmG7FrbUwdILVmOE8vEwunk44LoBU&#10;wweoMQ47eIhAY2P7QB8SQhAdO3V66k7IhePlYjW/XmZo4mjL53mKcgjBisfXxjr/TkBPglBSi92P&#10;6Ox45/zk+ugSgjlQst5LpaJi22qrLDkynJR9/M7oP7kpTYaSLhdX6UTAXyHSdLFY7f4E0UuPI69k&#10;X9JVGr7gxIpA21tdR9kzqSYZq1P6zGOgbiLRj9WIjoHcCuoTMmphGm1cRRQ6sN8pGXCsS+q+HZgV&#10;lKj3Grvyep7nYQ+ikl9dBz7tpaW6tDDNEaqknpJJ3Pppdw7GyrbDSNMcaLjFTjYykvyc1TlvHN3Y&#10;pvOahd241KPX889g8wMAAP//AwBQSwMEFAAGAAgAAAAhAJmebsPgAAAADAEAAA8AAABkcnMvZG93&#10;bnJldi54bWxMj8FOwzAMhu9IvENkJG4s2UqzrjSdEAgJLkgUpF2zxmsrEqdqsq28PdkJbrb86ff3&#10;V9vZWXbCKQyeFCwXAhhS681AnYKvz5e7AliImoy2nlDBDwbY1tdXlS6NP9MHnprYsRRCodQK+hjH&#10;kvPQ9uh0WPgRKd0OfnI6pnXquJn0OYU7y1dCSO70QOlDr0d86rH9bo5OwaZ53r1KYUPOszcj3yOu&#10;xwKVur2ZHx+ARZzjHwwX/aQOdXLa+yOZwKwCWdxvEpoGmWfALsSqkEtgewXrTOTA64r/L1H/AgAA&#10;//8DAFBLAQItABQABgAIAAAAIQC2gziS/gAAAOEBAAATAAAAAAAAAAAAAAAAAAAAAABbQ29udGVu&#10;dF9UeXBlc10ueG1sUEsBAi0AFAAGAAgAAAAhADj9If/WAAAAlAEAAAsAAAAAAAAAAAAAAAAALwEA&#10;AF9yZWxzLy5yZWxzUEsBAi0AFAAGAAgAAAAhALL1vlYuAgAAVAQAAA4AAAAAAAAAAAAAAAAALgIA&#10;AGRycy9lMm9Eb2MueG1sUEsBAi0AFAAGAAgAAAAhAJmebsPgAAAADAEAAA8AAAAAAAAAAAAAAAAA&#10;iAQAAGRycy9kb3ducmV2LnhtbFBLBQYAAAAABAAEAPMAAACVBQAAAAA=&#10;" strokecolor="#00338d" strokeweight=".5pt">
                <v:textbox>
                  <w:txbxContent>
                    <w:p w14:paraId="726C93DC" w14:textId="77777777" w:rsidR="00E87437" w:rsidRDefault="00E87437" w:rsidP="0023226C">
                      <w:pPr>
                        <w:spacing w:after="0" w:line="240" w:lineRule="auto"/>
                        <w:rPr>
                          <w:sz w:val="16"/>
                          <w:szCs w:val="16"/>
                          <w:lang w:val="en-AU"/>
                        </w:rPr>
                      </w:pPr>
                      <w:r w:rsidRPr="00CA2AAB">
                        <w:rPr>
                          <w:b/>
                          <w:color w:val="FF0000"/>
                          <w:sz w:val="16"/>
                          <w:szCs w:val="16"/>
                          <w:lang w:val="en-AU"/>
                        </w:rPr>
                        <w:t xml:space="preserve">_____ </w:t>
                      </w:r>
                      <w:r>
                        <w:rPr>
                          <w:sz w:val="16"/>
                          <w:szCs w:val="16"/>
                          <w:lang w:val="en-AU"/>
                        </w:rPr>
                        <w:t>Red lines indicate pipelines</w:t>
                      </w:r>
                    </w:p>
                    <w:p w14:paraId="4A716232" w14:textId="77777777" w:rsidR="00E87437" w:rsidRPr="00F27B37" w:rsidRDefault="00E87437" w:rsidP="0023226C">
                      <w:pPr>
                        <w:spacing w:after="0" w:line="240" w:lineRule="auto"/>
                        <w:rPr>
                          <w:sz w:val="16"/>
                          <w:szCs w:val="16"/>
                          <w:lang w:val="en-AU"/>
                        </w:rPr>
                      </w:pPr>
                      <w:r w:rsidRPr="00F27B37">
                        <w:rPr>
                          <w:sz w:val="16"/>
                          <w:szCs w:val="16"/>
                          <w:lang w:val="en-AU"/>
                        </w:rPr>
                        <w:t>Source: Department of Economic Development, Jobs, Transport and Resources</w:t>
                      </w:r>
                    </w:p>
                  </w:txbxContent>
                </v:textbox>
              </v:shape>
            </w:pict>
          </mc:Fallback>
        </mc:AlternateContent>
      </w:r>
      <w:r>
        <w:rPr>
          <w:noProof/>
          <w:lang w:val="en-AU" w:eastAsia="en-AU"/>
        </w:rPr>
        <w:drawing>
          <wp:inline distT="0" distB="0" distL="0" distR="0" wp14:anchorId="46DA1093" wp14:editId="33C5C094">
            <wp:extent cx="8115300" cy="4540250"/>
            <wp:effectExtent l="19050" t="19050" r="19050" b="1270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15300" cy="4540250"/>
                    </a:xfrm>
                    <a:prstGeom prst="rect">
                      <a:avLst/>
                    </a:prstGeom>
                    <a:noFill/>
                    <a:ln w="9525" cmpd="sng">
                      <a:solidFill>
                        <a:srgbClr val="00318D"/>
                      </a:solidFill>
                      <a:miter lim="800000"/>
                      <a:headEnd/>
                      <a:tailEnd/>
                    </a:ln>
                    <a:effectLst/>
                  </pic:spPr>
                </pic:pic>
              </a:graphicData>
            </a:graphic>
          </wp:inline>
        </w:drawing>
      </w:r>
    </w:p>
    <w:p w14:paraId="55F6D422" w14:textId="36E012A2" w:rsidR="0023226C" w:rsidRDefault="003F5485" w:rsidP="005A4C23">
      <w:pPr>
        <w:pStyle w:val="Caption"/>
        <w:spacing w:before="0" w:after="0"/>
      </w:pPr>
      <w:bookmarkStart w:id="145" w:name="_Ref508365830"/>
      <w:bookmarkStart w:id="146" w:name="_Toc501356772"/>
      <w:r>
        <w:t xml:space="preserve">Figure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Figure \* ARABIC \s 1 </w:instrText>
      </w:r>
      <w:r>
        <w:fldChar w:fldCharType="separate"/>
      </w:r>
      <w:r w:rsidR="00A83148">
        <w:rPr>
          <w:noProof/>
        </w:rPr>
        <w:t>7</w:t>
      </w:r>
      <w:r>
        <w:fldChar w:fldCharType="end"/>
      </w:r>
      <w:bookmarkEnd w:id="145"/>
      <w:r w:rsidR="005A4C23" w:rsidRPr="009038E7">
        <w:t xml:space="preserve"> : </w:t>
      </w:r>
      <w:r w:rsidR="0023226C">
        <w:t>Pipelines</w:t>
      </w:r>
      <w:bookmarkEnd w:id="146"/>
    </w:p>
    <w:p w14:paraId="7934ED92" w14:textId="77777777" w:rsidR="0023226C" w:rsidRPr="00F27B37" w:rsidRDefault="0023226C" w:rsidP="0023226C">
      <w:pPr>
        <w:spacing w:after="0" w:line="240" w:lineRule="auto"/>
        <w:rPr>
          <w:rFonts w:eastAsia="MS Mincho"/>
          <w:sz w:val="16"/>
          <w:szCs w:val="16"/>
          <w:lang w:val="en-AU"/>
        </w:rPr>
      </w:pPr>
      <w:r w:rsidRPr="00F27B37">
        <w:rPr>
          <w:rFonts w:eastAsia="MS Mincho"/>
          <w:sz w:val="16"/>
          <w:szCs w:val="16"/>
          <w:lang w:val="en-AU"/>
        </w:rPr>
        <w:t>APA VTS Australia (Operations) Pty Ltd (Pipeline licences 50, 67, 75) – pipeline used to transport natural gas</w:t>
      </w:r>
    </w:p>
    <w:p w14:paraId="7E8AF657" w14:textId="77777777" w:rsidR="0023226C" w:rsidRPr="00F27B37" w:rsidRDefault="0023226C" w:rsidP="0023226C">
      <w:pPr>
        <w:spacing w:after="0" w:line="240" w:lineRule="auto"/>
        <w:rPr>
          <w:rFonts w:eastAsia="MS Mincho"/>
          <w:sz w:val="16"/>
          <w:szCs w:val="16"/>
          <w:lang w:val="en-AU"/>
        </w:rPr>
      </w:pPr>
      <w:r w:rsidRPr="00F27B37">
        <w:rPr>
          <w:rFonts w:eastAsia="MS Mincho"/>
          <w:sz w:val="16"/>
          <w:szCs w:val="16"/>
          <w:lang w:val="en-AU"/>
        </w:rPr>
        <w:t xml:space="preserve">Australian Gas Networks (Vic) Pty Ltd (Pipeline licence 215) – pipeline used to transport natural gas </w:t>
      </w:r>
    </w:p>
    <w:p w14:paraId="341974FF" w14:textId="77777777" w:rsidR="0023226C" w:rsidRPr="00F27B37" w:rsidRDefault="0023226C" w:rsidP="0023226C">
      <w:pPr>
        <w:spacing w:after="0" w:line="240" w:lineRule="auto"/>
        <w:rPr>
          <w:rFonts w:eastAsia="MS Mincho"/>
          <w:sz w:val="16"/>
          <w:szCs w:val="16"/>
          <w:lang w:val="en-AU"/>
        </w:rPr>
      </w:pPr>
      <w:r w:rsidRPr="00F27B37">
        <w:rPr>
          <w:rFonts w:eastAsia="MS Mincho"/>
          <w:sz w:val="16"/>
          <w:szCs w:val="16"/>
          <w:lang w:val="en-AU"/>
        </w:rPr>
        <w:t>Energy Australia (Yallourn) have an application for a gas transmission line pending with the DEDJTR (Pipeline licence 272)</w:t>
      </w:r>
    </w:p>
    <w:p w14:paraId="4FAA2B2F" w14:textId="659B32BC" w:rsidR="0023226C" w:rsidRPr="00A047D0" w:rsidRDefault="0023226C" w:rsidP="0023226C">
      <w:pPr>
        <w:spacing w:after="0" w:line="240" w:lineRule="auto"/>
        <w:rPr>
          <w:rFonts w:eastAsia="MS Mincho"/>
          <w:sz w:val="16"/>
          <w:szCs w:val="16"/>
          <w:lang w:val="en-AU"/>
        </w:rPr>
      </w:pPr>
      <w:r w:rsidRPr="00F27B37">
        <w:rPr>
          <w:rFonts w:eastAsia="MS Mincho"/>
          <w:sz w:val="16"/>
          <w:szCs w:val="16"/>
          <w:lang w:val="en-AU"/>
        </w:rPr>
        <w:t>Esso Australia Resources Pty Ltd (Pipeline licence 35</w:t>
      </w:r>
      <w:r w:rsidR="00075339">
        <w:rPr>
          <w:rFonts w:eastAsia="MS Mincho"/>
          <w:sz w:val="16"/>
          <w:szCs w:val="16"/>
          <w:lang w:val="en-AU"/>
        </w:rPr>
        <w:t>, three pipelines within the one easement</w:t>
      </w:r>
      <w:r w:rsidR="001024E9">
        <w:rPr>
          <w:rFonts w:eastAsia="MS Mincho"/>
          <w:sz w:val="16"/>
          <w:szCs w:val="16"/>
          <w:lang w:val="en-AU"/>
        </w:rPr>
        <w:t>, Liquid and High Vapour Pressure Liquid</w:t>
      </w:r>
      <w:r w:rsidRPr="00F27B37">
        <w:rPr>
          <w:rFonts w:eastAsia="MS Mincho"/>
          <w:sz w:val="16"/>
          <w:szCs w:val="16"/>
          <w:lang w:val="en-AU"/>
        </w:rPr>
        <w:t>)</w:t>
      </w:r>
    </w:p>
    <w:p w14:paraId="4E478E07" w14:textId="77777777" w:rsidR="0023226C" w:rsidRDefault="0023226C" w:rsidP="0023226C">
      <w:pPr>
        <w:spacing w:after="0" w:line="240" w:lineRule="auto"/>
        <w:sectPr w:rsidR="0023226C" w:rsidSect="0023226C">
          <w:headerReference w:type="even" r:id="rId81"/>
          <w:headerReference w:type="default" r:id="rId82"/>
          <w:footerReference w:type="default" r:id="rId83"/>
          <w:headerReference w:type="first" r:id="rId84"/>
          <w:footerReference w:type="first" r:id="rId85"/>
          <w:pgSz w:w="16838" w:h="11906" w:orient="landscape" w:code="9"/>
          <w:pgMar w:top="1326" w:right="1985" w:bottom="1298" w:left="851" w:header="709" w:footer="477" w:gutter="0"/>
          <w:cols w:space="720"/>
          <w:titlePg/>
          <w:docGrid w:linePitch="299"/>
        </w:sectPr>
      </w:pPr>
    </w:p>
    <w:p w14:paraId="1EE9B7FD" w14:textId="63E3E373" w:rsidR="00E00F53" w:rsidRDefault="00E00F53" w:rsidP="00E00F53">
      <w:pPr>
        <w:rPr>
          <w:lang w:val="en-AU"/>
        </w:rPr>
      </w:pPr>
      <w:bookmarkStart w:id="147" w:name="_Ref506897522"/>
      <w:bookmarkStart w:id="148" w:name="_Toc501356744"/>
      <w:r>
        <w:rPr>
          <w:lang w:val="en-AU"/>
        </w:rPr>
        <w:t xml:space="preserve">Relevant standards, guidelines and reference documents for pipelines are listed in </w:t>
      </w:r>
      <w:r w:rsidR="007D0AF5">
        <w:rPr>
          <w:lang w:val="en-AU"/>
        </w:rPr>
        <w:t>Table 5.16.</w:t>
      </w:r>
      <w:r w:rsidR="00070F42">
        <w:rPr>
          <w:lang w:val="en-AU"/>
        </w:rPr>
        <w:t xml:space="preserve"> </w:t>
      </w:r>
    </w:p>
    <w:p w14:paraId="2A208839" w14:textId="2170433E" w:rsidR="0023226C" w:rsidRPr="00156E7C" w:rsidRDefault="005A4C23" w:rsidP="005A4C23">
      <w:pPr>
        <w:pStyle w:val="Caption"/>
      </w:pPr>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16</w:t>
      </w:r>
      <w:r>
        <w:fldChar w:fldCharType="end"/>
      </w:r>
      <w:bookmarkEnd w:id="147"/>
      <w:r w:rsidRPr="009038E7">
        <w:t xml:space="preserve"> : </w:t>
      </w:r>
      <w:r w:rsidR="0023226C">
        <w:t xml:space="preserve">Pipelines </w:t>
      </w:r>
      <w:r w:rsidR="007832B1">
        <w:t>–</w:t>
      </w:r>
      <w:r w:rsidR="0023226C">
        <w:t xml:space="preserve"> </w:t>
      </w:r>
      <w:bookmarkEnd w:id="148"/>
      <w:r w:rsidR="007832B1">
        <w:t>relevant standards and guidelines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8222"/>
      </w:tblGrid>
      <w:tr w:rsidR="007832B1" w:rsidRPr="00156E7C" w14:paraId="1B6A3502" w14:textId="77777777" w:rsidTr="007832B1">
        <w:tc>
          <w:tcPr>
            <w:tcW w:w="1809" w:type="dxa"/>
            <w:shd w:val="clear" w:color="auto" w:fill="00338D"/>
          </w:tcPr>
          <w:p w14:paraId="3D16B8D7" w14:textId="77777777" w:rsidR="007832B1" w:rsidRPr="00C854D8" w:rsidRDefault="007832B1" w:rsidP="0023226C">
            <w:pPr>
              <w:keepNext/>
              <w:spacing w:before="100" w:after="100"/>
              <w:rPr>
                <w:color w:val="FFFFFF"/>
                <w:lang w:val="en-AU"/>
              </w:rPr>
            </w:pPr>
            <w:r w:rsidRPr="00C854D8">
              <w:rPr>
                <w:rFonts w:ascii="Arial Black" w:hAnsi="Arial Black"/>
                <w:b/>
                <w:color w:val="FFFFFF"/>
                <w:sz w:val="16"/>
              </w:rPr>
              <w:t>Value Category</w:t>
            </w:r>
          </w:p>
        </w:tc>
        <w:tc>
          <w:tcPr>
            <w:tcW w:w="8222" w:type="dxa"/>
            <w:shd w:val="clear" w:color="auto" w:fill="00338D"/>
          </w:tcPr>
          <w:p w14:paraId="2FDBB98D" w14:textId="77777777" w:rsidR="007832B1" w:rsidRPr="00C854D8" w:rsidRDefault="007832B1" w:rsidP="0023226C">
            <w:pPr>
              <w:keepNext/>
              <w:spacing w:before="100" w:after="100"/>
              <w:rPr>
                <w:rFonts w:ascii="Arial Black" w:hAnsi="Arial Black"/>
                <w:b/>
                <w:color w:val="FFFFFF"/>
                <w:sz w:val="16"/>
              </w:rPr>
            </w:pPr>
            <w:r w:rsidRPr="00C854D8">
              <w:rPr>
                <w:rFonts w:ascii="Arial Black" w:hAnsi="Arial Black"/>
                <w:b/>
                <w:color w:val="FFFFFF"/>
                <w:sz w:val="16"/>
              </w:rPr>
              <w:t>Standard, Guideline or Reference Documents</w:t>
            </w:r>
          </w:p>
        </w:tc>
      </w:tr>
      <w:tr w:rsidR="007832B1" w:rsidRPr="00082907" w14:paraId="60B40FBD" w14:textId="77777777" w:rsidTr="007832B1">
        <w:tc>
          <w:tcPr>
            <w:tcW w:w="1809" w:type="dxa"/>
          </w:tcPr>
          <w:p w14:paraId="54805EF3" w14:textId="77777777" w:rsidR="007832B1" w:rsidRPr="0098775D" w:rsidRDefault="007832B1" w:rsidP="0023226C">
            <w:pPr>
              <w:spacing w:after="60"/>
              <w:rPr>
                <w:rFonts w:eastAsia="MS Mincho"/>
                <w:sz w:val="18"/>
              </w:rPr>
            </w:pPr>
            <w:r w:rsidRPr="0098775D">
              <w:rPr>
                <w:rFonts w:eastAsia="MS Mincho"/>
                <w:sz w:val="18"/>
              </w:rPr>
              <w:t>Social/Cultural</w:t>
            </w:r>
          </w:p>
        </w:tc>
        <w:tc>
          <w:tcPr>
            <w:tcW w:w="8222" w:type="dxa"/>
          </w:tcPr>
          <w:p w14:paraId="7AD3821C" w14:textId="77777777" w:rsidR="007832B1" w:rsidRPr="008A653D" w:rsidRDefault="007832B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 xml:space="preserve">Australian Pipelines and Gas Association Ltd (APGA) </w:t>
            </w:r>
          </w:p>
          <w:p w14:paraId="1F3373A5" w14:textId="77777777" w:rsidR="007832B1" w:rsidRPr="008A653D" w:rsidRDefault="007832B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 xml:space="preserve">Pipelines Act 2005 </w:t>
            </w:r>
          </w:p>
          <w:p w14:paraId="13E84401" w14:textId="77777777" w:rsidR="007832B1" w:rsidRPr="008A653D" w:rsidRDefault="007832B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Gas Industry Act 2001</w:t>
            </w:r>
          </w:p>
          <w:p w14:paraId="5085A3A4" w14:textId="77777777" w:rsidR="007832B1" w:rsidRPr="008A653D" w:rsidRDefault="007832B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Pipelines Regulations 2017</w:t>
            </w:r>
          </w:p>
          <w:p w14:paraId="31E3BD25" w14:textId="278E8B25" w:rsidR="007832B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86" w:tgtFrame="_blank" w:history="1">
              <w:r w:rsidR="007832B1" w:rsidRPr="008A653D">
                <w:rPr>
                  <w:rFonts w:eastAsia="Times New Roman" w:cs="Arial"/>
                  <w:sz w:val="18"/>
                  <w:szCs w:val="20"/>
                  <w:lang w:val="en-AU"/>
                </w:rPr>
                <w:t>Gas Safety Act 1997</w:t>
              </w:r>
            </w:hyperlink>
          </w:p>
          <w:p w14:paraId="08DC03DE" w14:textId="227CC4D0" w:rsidR="007832B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87" w:tgtFrame="_blank" w:history="1">
              <w:r w:rsidR="007832B1" w:rsidRPr="008A653D">
                <w:rPr>
                  <w:rFonts w:eastAsia="Times New Roman" w:cs="Arial"/>
                  <w:sz w:val="18"/>
                  <w:szCs w:val="20"/>
                  <w:lang w:val="en-AU"/>
                </w:rPr>
                <w:t>Gas Safety (Gas Installation) Regulations 2008</w:t>
              </w:r>
            </w:hyperlink>
          </w:p>
          <w:p w14:paraId="7B8D23CD" w14:textId="27972626" w:rsidR="007832B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88" w:tgtFrame="_blank" w:history="1">
              <w:r w:rsidR="007832B1" w:rsidRPr="008A653D">
                <w:rPr>
                  <w:rFonts w:eastAsia="Times New Roman" w:cs="Arial"/>
                  <w:sz w:val="18"/>
                  <w:szCs w:val="20"/>
                  <w:lang w:val="en-AU"/>
                </w:rPr>
                <w:t>Gas Safety (Safety Case) Regulations 2008</w:t>
              </w:r>
            </w:hyperlink>
          </w:p>
          <w:p w14:paraId="70A36C9A" w14:textId="6C9F3753" w:rsidR="007832B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89" w:tgtFrame="_blank" w:history="1">
              <w:r w:rsidR="007832B1" w:rsidRPr="008A653D">
                <w:rPr>
                  <w:rFonts w:eastAsia="Times New Roman" w:cs="Arial"/>
                  <w:sz w:val="18"/>
                  <w:szCs w:val="20"/>
                  <w:lang w:val="en-AU"/>
                </w:rPr>
                <w:t>Gas Safety (Gas Quality) Regulations 2017</w:t>
              </w:r>
            </w:hyperlink>
          </w:p>
          <w:p w14:paraId="488A36F9" w14:textId="77777777" w:rsidR="007832B1" w:rsidRPr="008A653D" w:rsidRDefault="007832B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DELWP (2017) Latrobe Planning Scheme</w:t>
            </w:r>
          </w:p>
          <w:p w14:paraId="796BBF00" w14:textId="0105709F" w:rsidR="007832B1" w:rsidRPr="008A653D" w:rsidRDefault="007832B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 xml:space="preserve">Planning </w:t>
            </w:r>
            <w:r w:rsidR="00896D1B">
              <w:rPr>
                <w:rFonts w:eastAsia="Times New Roman" w:cs="Arial"/>
                <w:sz w:val="18"/>
                <w:szCs w:val="20"/>
                <w:lang w:val="en-AU"/>
              </w:rPr>
              <w:t xml:space="preserve">and </w:t>
            </w:r>
            <w:r w:rsidRPr="008A653D">
              <w:rPr>
                <w:rFonts w:eastAsia="Times New Roman" w:cs="Arial"/>
                <w:sz w:val="18"/>
                <w:szCs w:val="20"/>
                <w:lang w:val="en-AU"/>
              </w:rPr>
              <w:t xml:space="preserve">Environment Act </w:t>
            </w:r>
            <w:r w:rsidR="00A15E90">
              <w:rPr>
                <w:rFonts w:eastAsia="Times New Roman" w:cs="Arial"/>
                <w:sz w:val="18"/>
                <w:szCs w:val="20"/>
                <w:lang w:val="en-AU"/>
              </w:rPr>
              <w:t>(</w:t>
            </w:r>
            <w:r w:rsidRPr="008A653D">
              <w:rPr>
                <w:rFonts w:eastAsia="Times New Roman" w:cs="Arial"/>
                <w:sz w:val="18"/>
                <w:szCs w:val="20"/>
                <w:lang w:val="en-AU"/>
              </w:rPr>
              <w:t>1987)</w:t>
            </w:r>
          </w:p>
          <w:p w14:paraId="358B6D52" w14:textId="77777777" w:rsidR="007832B1" w:rsidRPr="008A653D" w:rsidRDefault="007832B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Live Work Latrobe (Housing Strategy, Industrial Land Use and Employment Strategy and Rural Land Use Strategy) (2016)</w:t>
            </w:r>
          </w:p>
          <w:p w14:paraId="40EDA241" w14:textId="77777777" w:rsidR="007832B1" w:rsidRPr="008A653D" w:rsidRDefault="007832B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Harrison, J (2011) Mining Engineering Handbook, Mine Subsidence, Society for Mining, Metallurgy and Exploration</w:t>
            </w:r>
          </w:p>
          <w:p w14:paraId="77766BAE" w14:textId="77777777" w:rsidR="007832B1" w:rsidRPr="008A653D" w:rsidRDefault="007832B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Singh, M (1986) Mine subsidence, Society for Mining, Metallurgy and Exploration</w:t>
            </w:r>
          </w:p>
          <w:p w14:paraId="150DEAC6" w14:textId="331A5BD8" w:rsidR="007832B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90" w:history="1">
              <w:r w:rsidR="007832B1" w:rsidRPr="008A653D">
                <w:rPr>
                  <w:rFonts w:eastAsia="Times New Roman" w:cs="Arial"/>
                  <w:sz w:val="18"/>
                  <w:szCs w:val="20"/>
                  <w:lang w:val="en-AU"/>
                </w:rPr>
                <w:t>Standards Australia</w:t>
              </w:r>
            </w:hyperlink>
            <w:r w:rsidR="007832B1" w:rsidRPr="008A653D">
              <w:rPr>
                <w:rFonts w:eastAsia="Times New Roman" w:cs="Arial"/>
                <w:sz w:val="18"/>
                <w:szCs w:val="20"/>
                <w:lang w:val="en-AU"/>
              </w:rPr>
              <w:t xml:space="preserve"> AS 2885 pipeline Industry</w:t>
            </w:r>
          </w:p>
          <w:p w14:paraId="51F46B72" w14:textId="15424E81" w:rsidR="007832B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91" w:tgtFrame="_blank" w:history="1">
              <w:r w:rsidR="007832B1" w:rsidRPr="008A653D">
                <w:rPr>
                  <w:rFonts w:eastAsia="Times New Roman" w:cs="Arial"/>
                  <w:sz w:val="18"/>
                  <w:szCs w:val="20"/>
                  <w:lang w:val="en-AU"/>
                </w:rPr>
                <w:t>CMIT- 2005-259 Analysis of Hydrostatic Test (To be read in conjunction with the APGA Code of Environmental Practice)</w:t>
              </w:r>
            </w:hyperlink>
          </w:p>
          <w:p w14:paraId="28CAD320" w14:textId="2BCA66F5" w:rsidR="007832B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92" w:history="1">
              <w:r w:rsidR="007832B1" w:rsidRPr="008A653D">
                <w:rPr>
                  <w:rFonts w:eastAsia="Times New Roman" w:cs="Arial"/>
                  <w:sz w:val="18"/>
                  <w:szCs w:val="20"/>
                  <w:lang w:val="en-AU"/>
                </w:rPr>
                <w:t>APGA Code of Practice in the Coal Seam Gas Industry</w:t>
              </w:r>
            </w:hyperlink>
          </w:p>
          <w:p w14:paraId="08123CE2" w14:textId="0EDC9268" w:rsidR="007832B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93" w:tgtFrame="_blank" w:history="1">
              <w:r w:rsidR="007832B1" w:rsidRPr="008A653D">
                <w:rPr>
                  <w:rFonts w:eastAsia="Times New Roman" w:cs="Arial"/>
                  <w:sz w:val="18"/>
                  <w:szCs w:val="20"/>
                  <w:lang w:val="en-AU"/>
                </w:rPr>
                <w:t>APGA Guideline for investigations of land use around pipelines to guide initial location classification under AS2885</w:t>
              </w:r>
            </w:hyperlink>
          </w:p>
          <w:p w14:paraId="3EB65DCD" w14:textId="3EE96B9C" w:rsidR="007832B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94" w:tgtFrame="_blank" w:history="1">
              <w:r w:rsidR="007832B1" w:rsidRPr="008A653D">
                <w:rPr>
                  <w:rFonts w:eastAsia="Times New Roman" w:cs="Arial"/>
                  <w:sz w:val="18"/>
                  <w:szCs w:val="20"/>
                  <w:lang w:val="en-AU"/>
                </w:rPr>
                <w:t>APGA Guidelines for Management of Electrical Hazards in Pipeline Constructing</w:t>
              </w:r>
            </w:hyperlink>
          </w:p>
          <w:p w14:paraId="7539680C" w14:textId="1BD2129F" w:rsidR="007832B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95" w:tgtFrame="_blank" w:history="1">
              <w:r w:rsidR="007832B1" w:rsidRPr="008A653D">
                <w:rPr>
                  <w:rFonts w:eastAsia="Times New Roman" w:cs="Arial"/>
                  <w:sz w:val="18"/>
                  <w:szCs w:val="20"/>
                  <w:lang w:val="en-AU"/>
                </w:rPr>
                <w:t>APGA Hydrotesting Guidelines</w:t>
              </w:r>
            </w:hyperlink>
          </w:p>
          <w:p w14:paraId="365987C0" w14:textId="65211428" w:rsidR="007832B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96" w:tgtFrame="_blank" w:history="1">
              <w:r w:rsidR="007832B1" w:rsidRPr="008A653D">
                <w:rPr>
                  <w:rFonts w:eastAsia="Times New Roman" w:cs="Arial"/>
                  <w:sz w:val="18"/>
                  <w:szCs w:val="20"/>
                  <w:lang w:val="en-AU"/>
                </w:rPr>
                <w:t>APGA/VFF Easement Guidelines</w:t>
              </w:r>
            </w:hyperlink>
          </w:p>
          <w:p w14:paraId="23B9A01A" w14:textId="410F3DCA" w:rsidR="007832B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97" w:tgtFrame="_blank" w:history="1">
              <w:r w:rsidR="007832B1" w:rsidRPr="008A653D">
                <w:rPr>
                  <w:rFonts w:eastAsia="Times New Roman" w:cs="Arial"/>
                  <w:sz w:val="18"/>
                  <w:szCs w:val="20"/>
                  <w:lang w:val="en-AU"/>
                </w:rPr>
                <w:t>IECA (2008). Best Practice Erosion and Sediment Control – Appendix P Land-Based Pipeline Construction</w:t>
              </w:r>
            </w:hyperlink>
          </w:p>
          <w:p w14:paraId="233FC6A3" w14:textId="77777777" w:rsidR="007832B1" w:rsidRPr="008A653D" w:rsidRDefault="007832B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APGA CP-04-004 Design in Mine Subsidence Areas, release H1 2018</w:t>
            </w:r>
          </w:p>
        </w:tc>
      </w:tr>
      <w:tr w:rsidR="007832B1" w14:paraId="28AC2B3D" w14:textId="77777777" w:rsidTr="007832B1">
        <w:tc>
          <w:tcPr>
            <w:tcW w:w="1809" w:type="dxa"/>
          </w:tcPr>
          <w:p w14:paraId="76CCAC29" w14:textId="77777777" w:rsidR="007832B1" w:rsidRPr="00D35D43" w:rsidRDefault="007832B1" w:rsidP="0023226C">
            <w:pPr>
              <w:spacing w:after="60"/>
              <w:rPr>
                <w:rFonts w:eastAsia="MS Mincho"/>
                <w:sz w:val="18"/>
              </w:rPr>
            </w:pPr>
            <w:r w:rsidRPr="00D35D43">
              <w:rPr>
                <w:rFonts w:eastAsia="MS Mincho"/>
                <w:sz w:val="18"/>
              </w:rPr>
              <w:t>Economic</w:t>
            </w:r>
          </w:p>
        </w:tc>
        <w:tc>
          <w:tcPr>
            <w:tcW w:w="8222" w:type="dxa"/>
          </w:tcPr>
          <w:p w14:paraId="7B3B2FF8" w14:textId="77777777" w:rsidR="007832B1" w:rsidRPr="0098775D" w:rsidRDefault="007832B1" w:rsidP="006F654D">
            <w:pPr>
              <w:numPr>
                <w:ilvl w:val="0"/>
                <w:numId w:val="33"/>
              </w:numPr>
              <w:spacing w:after="0" w:line="240" w:lineRule="auto"/>
              <w:ind w:left="209" w:hanging="284"/>
              <w:contextualSpacing/>
              <w:rPr>
                <w:rFonts w:eastAsia="MS Mincho"/>
                <w:sz w:val="18"/>
              </w:rPr>
            </w:pPr>
            <w:r w:rsidRPr="008A653D">
              <w:rPr>
                <w:rFonts w:eastAsia="Times New Roman" w:cs="Arial"/>
                <w:sz w:val="18"/>
                <w:szCs w:val="20"/>
                <w:lang w:val="en-AU"/>
              </w:rPr>
              <w:t>Live Work Latrobe (Housing Strategy, Industrial Land Use and Employment Strategy and Rural Land Use Strategy) (2016)</w:t>
            </w:r>
          </w:p>
        </w:tc>
      </w:tr>
    </w:tbl>
    <w:p w14:paraId="682C99D6" w14:textId="2F180F2E" w:rsidR="008A653D" w:rsidRDefault="008A653D" w:rsidP="0023226C">
      <w:pPr>
        <w:keepNext/>
        <w:widowControl w:val="0"/>
        <w:rPr>
          <w:rFonts w:ascii="Arial Black" w:eastAsia="MS Mincho" w:hAnsi="Arial Black"/>
          <w:sz w:val="18"/>
          <w:lang w:val="en-AU"/>
        </w:rPr>
      </w:pPr>
    </w:p>
    <w:p w14:paraId="4A1A8EE5" w14:textId="3418D134" w:rsidR="00542AA0" w:rsidRDefault="00D75621" w:rsidP="00542AA0">
      <w:r>
        <w:t>Because of the degree of ground movement, including subsidence around the Hazelwood mine,</w:t>
      </w:r>
      <w:r w:rsidR="00BF491E">
        <w:t xml:space="preserve"> </w:t>
      </w:r>
      <w:r w:rsidR="00F94254">
        <w:t>several</w:t>
      </w:r>
      <w:r w:rsidR="00542AA0">
        <w:t xml:space="preserve"> gas pipeline inspections and investigations were undertaken by SECV or related parties (Inc. Gas and Fuel Corporation) over </w:t>
      </w:r>
      <w:r w:rsidR="00BF491E">
        <w:t>the</w:t>
      </w:r>
      <w:r w:rsidR="00542AA0">
        <w:t xml:space="preserve"> period </w:t>
      </w:r>
      <w:r w:rsidR="00BF491E">
        <w:t>between 1</w:t>
      </w:r>
      <w:r w:rsidR="00542AA0">
        <w:t xml:space="preserve">971 and 1983. </w:t>
      </w:r>
      <w:r w:rsidR="007D0AF5">
        <w:t xml:space="preserve"> </w:t>
      </w:r>
      <w:r w:rsidR="00542AA0">
        <w:t xml:space="preserve">This work was to understand the impact of the Hazelwood </w:t>
      </w:r>
      <w:r w:rsidR="00BA28D6">
        <w:t xml:space="preserve">mine </w:t>
      </w:r>
      <w:r w:rsidR="00542AA0">
        <w:t xml:space="preserve">operation on pipes and ascertain the impact of pipe failure or leaks (if any) on the Morwell township. </w:t>
      </w:r>
      <w:r w:rsidR="007D0AF5">
        <w:t xml:space="preserve"> </w:t>
      </w:r>
      <w:r w:rsidR="00542AA0">
        <w:t xml:space="preserve">The drivers for the work appear to stem from SECV surveillance programs and discussion from community or local government liaison. </w:t>
      </w:r>
      <w:r w:rsidR="007D0AF5">
        <w:t xml:space="preserve"> </w:t>
      </w:r>
      <w:r w:rsidR="00542AA0">
        <w:t>This includes planning and design of latter community infrastructure.</w:t>
      </w:r>
      <w:r w:rsidR="007D0AF5">
        <w:t xml:space="preserve"> </w:t>
      </w:r>
      <w:r w:rsidR="00542AA0">
        <w:t xml:space="preserve"> For the most part, the assessments aimed to understand the stress and strain along the pipe, consideration to tolerable limits and the source of the ground displacement. </w:t>
      </w:r>
      <w:r w:rsidR="007D0AF5">
        <w:t xml:space="preserve"> </w:t>
      </w:r>
      <w:r w:rsidR="00542AA0">
        <w:t>It was generally concluded there was no damage that could be directly attributed to ground movement</w:t>
      </w:r>
      <w:r w:rsidR="002B5080">
        <w:t xml:space="preserve"> (SEC, 1976). </w:t>
      </w:r>
      <w:r w:rsidR="00682499">
        <w:t xml:space="preserve"> </w:t>
      </w:r>
      <w:r w:rsidR="00542AA0">
        <w:t xml:space="preserve">No pipe in the Morwell area </w:t>
      </w:r>
      <w:r w:rsidR="002B5080">
        <w:t>was</w:t>
      </w:r>
      <w:r w:rsidR="00542AA0">
        <w:t xml:space="preserve"> considered to be overstressed as a result of earth movement</w:t>
      </w:r>
      <w:r w:rsidR="00C80DFE">
        <w:t>,</w:t>
      </w:r>
      <w:r w:rsidR="00542AA0">
        <w:t xml:space="preserve"> however</w:t>
      </w:r>
      <w:r w:rsidR="00C80DFE">
        <w:t>,</w:t>
      </w:r>
      <w:r w:rsidR="00542AA0">
        <w:t xml:space="preserve"> displacements may have occurred at certain pipe intersections.</w:t>
      </w:r>
      <w:r w:rsidR="00BA28D6">
        <w:t xml:space="preserve"> </w:t>
      </w:r>
      <w:r w:rsidR="00F43B32">
        <w:t xml:space="preserve"> </w:t>
      </w:r>
      <w:r w:rsidR="00BA28D6">
        <w:t xml:space="preserve">As this area is one with a high concentration of large movements this indicates that the pipe network may have </w:t>
      </w:r>
      <w:r w:rsidR="00F94254">
        <w:t>good tolerance also for rehabilitation derived movement.</w:t>
      </w:r>
      <w:r w:rsidR="00BA28D6">
        <w:t xml:space="preserve"> </w:t>
      </w:r>
    </w:p>
    <w:p w14:paraId="77E8C885" w14:textId="6A8C5421" w:rsidR="00542AA0" w:rsidRPr="00F80559" w:rsidRDefault="00542AA0" w:rsidP="00542AA0">
      <w:pPr>
        <w:rPr>
          <w:lang w:val="en-AU"/>
        </w:rPr>
      </w:pPr>
      <w:r>
        <w:rPr>
          <w:lang w:val="en-AU"/>
        </w:rPr>
        <w:t xml:space="preserve">Pipelines in </w:t>
      </w:r>
      <w:r w:rsidRPr="00EC1397">
        <w:rPr>
          <w:lang w:val="en-AU"/>
        </w:rPr>
        <w:t xml:space="preserve">the LVRRS </w:t>
      </w:r>
      <w:r>
        <w:rPr>
          <w:lang w:val="en-AU"/>
        </w:rPr>
        <w:t xml:space="preserve">inter-mine </w:t>
      </w:r>
      <w:r w:rsidRPr="00EC1397">
        <w:rPr>
          <w:lang w:val="en-AU"/>
        </w:rPr>
        <w:t>area</w:t>
      </w:r>
      <w:r>
        <w:rPr>
          <w:lang w:val="en-AU"/>
        </w:rPr>
        <w:t xml:space="preserve"> range in age from approximately 50 years to less than 10 years, with additional pipelines planned for construction within the next 10 years.  Stakeholder engagement meetings with the pipeline owners indicated that pipelines approaching 50 years of age will be replaced sometime within the next twenty years </w:t>
      </w:r>
      <w:r w:rsidR="000B0B30">
        <w:rPr>
          <w:lang w:val="en-AU"/>
        </w:rPr>
        <w:t>a</w:t>
      </w:r>
      <w:r>
        <w:rPr>
          <w:lang w:val="en-AU"/>
        </w:rPr>
        <w:t>nd that these older pipelines would not have been built to the current Australian Standards.</w:t>
      </w:r>
      <w:r w:rsidR="00EC1788">
        <w:rPr>
          <w:lang w:val="en-AU"/>
        </w:rPr>
        <w:t xml:space="preserve"> </w:t>
      </w:r>
      <w:r>
        <w:rPr>
          <w:lang w:val="en-AU"/>
        </w:rPr>
        <w:t xml:space="preserve"> </w:t>
      </w:r>
      <w:r w:rsidR="00743F16">
        <w:rPr>
          <w:lang w:val="en-AU"/>
        </w:rPr>
        <w:t>This is further indication of the capacity of the pip</w:t>
      </w:r>
      <w:r w:rsidR="002B5080">
        <w:rPr>
          <w:lang w:val="en-AU"/>
        </w:rPr>
        <w:t>e</w:t>
      </w:r>
      <w:r w:rsidR="00743F16">
        <w:rPr>
          <w:lang w:val="en-AU"/>
        </w:rPr>
        <w:t xml:space="preserve">lines to </w:t>
      </w:r>
      <w:r w:rsidR="000B0B30">
        <w:rPr>
          <w:lang w:val="en-AU"/>
        </w:rPr>
        <w:t>deal with rehabilitation ground movement.</w:t>
      </w:r>
    </w:p>
    <w:p w14:paraId="57C631F2" w14:textId="5B299FC8" w:rsidR="00E00F53" w:rsidRPr="00504292" w:rsidRDefault="00E00F53" w:rsidP="00AB2D35">
      <w:pPr>
        <w:pStyle w:val="Heading4"/>
        <w:rPr>
          <w:lang w:val="en-AU"/>
        </w:rPr>
      </w:pPr>
      <w:bookmarkStart w:id="149" w:name="_Ref499739672"/>
      <w:bookmarkStart w:id="150" w:name="_Toc501356696"/>
      <w:r w:rsidRPr="0061134C">
        <w:t>Metrics</w:t>
      </w:r>
      <w:bookmarkEnd w:id="149"/>
      <w:bookmarkEnd w:id="150"/>
    </w:p>
    <w:p w14:paraId="163A9032" w14:textId="35E36628" w:rsidR="00E00F53" w:rsidRDefault="00295513" w:rsidP="00E00F53">
      <w:r>
        <w:t>P</w:t>
      </w:r>
      <w:r w:rsidR="00E00F53">
        <w:t xml:space="preserve">ipelines laid below the ground are </w:t>
      </w:r>
      <w:r>
        <w:t xml:space="preserve">typically </w:t>
      </w:r>
      <w:r w:rsidR="00E00F53">
        <w:t xml:space="preserve">more susceptible to deformation than those laid above, in response to ground movements due to friction and soil pressure. </w:t>
      </w:r>
      <w:r w:rsidR="00682499">
        <w:t xml:space="preserve"> </w:t>
      </w:r>
      <w:r w:rsidR="00E00F53">
        <w:t xml:space="preserve">Pipelines will fail if the magnitude of ground movement causing strain or rotation is greater than the pipeline or its joints or couplings can accommodate.  For example, if a thin-wall steel pipe was to buckle then this could lead to interruption or loss of service. </w:t>
      </w:r>
    </w:p>
    <w:p w14:paraId="5FBA932C" w14:textId="2E4501BE" w:rsidR="00E00F53" w:rsidRPr="00C854D8" w:rsidRDefault="00E00F53" w:rsidP="00E00F53">
      <w:pPr>
        <w:rPr>
          <w:szCs w:val="20"/>
        </w:rPr>
      </w:pPr>
      <w:r>
        <w:t>The extent to which a pipeline is affected by g</w:t>
      </w:r>
      <w:r w:rsidRPr="00C854D8">
        <w:rPr>
          <w:szCs w:val="20"/>
        </w:rPr>
        <w:t>round movement is dependent on</w:t>
      </w:r>
      <w:r w:rsidR="004A212F">
        <w:rPr>
          <w:szCs w:val="20"/>
        </w:rPr>
        <w:t xml:space="preserve"> (</w:t>
      </w:r>
      <w:r w:rsidR="004A212F">
        <w:t>Trautmann, 1985)</w:t>
      </w:r>
      <w:r w:rsidR="000272A3">
        <w:t>:</w:t>
      </w:r>
    </w:p>
    <w:p w14:paraId="13ACE3FE" w14:textId="77777777" w:rsidR="00E00F53" w:rsidRPr="00C854D8" w:rsidRDefault="00E00F53" w:rsidP="00E00F53">
      <w:pPr>
        <w:pStyle w:val="Para0bullet"/>
      </w:pPr>
      <w:r w:rsidRPr="00C854D8">
        <w:t>Mechanical properties of the pipeline</w:t>
      </w:r>
    </w:p>
    <w:p w14:paraId="6AB3350D" w14:textId="77777777" w:rsidR="00E00F53" w:rsidRPr="00C854D8" w:rsidRDefault="00E00F53" w:rsidP="00E00F53">
      <w:pPr>
        <w:pStyle w:val="Para0bullet"/>
      </w:pPr>
      <w:r w:rsidRPr="00C854D8">
        <w:t>Rotation and pull-out capacity of the couplings</w:t>
      </w:r>
    </w:p>
    <w:p w14:paraId="7807333F" w14:textId="77777777" w:rsidR="00E00F53" w:rsidRPr="00C854D8" w:rsidRDefault="00E00F53" w:rsidP="00E00F53">
      <w:pPr>
        <w:pStyle w:val="Para0bullet"/>
      </w:pPr>
      <w:r w:rsidRPr="00C854D8">
        <w:t>Connection to other structural elements</w:t>
      </w:r>
    </w:p>
    <w:p w14:paraId="4745FDEF" w14:textId="77777777" w:rsidR="00E00F53" w:rsidRPr="00C854D8" w:rsidRDefault="00E00F53" w:rsidP="00E00F53">
      <w:pPr>
        <w:pStyle w:val="Para0bullet"/>
      </w:pPr>
      <w:r w:rsidRPr="00C854D8">
        <w:t>Corrosion resistance of pipe and joints</w:t>
      </w:r>
    </w:p>
    <w:p w14:paraId="632B9203" w14:textId="77777777" w:rsidR="00E00F53" w:rsidRPr="00C854D8" w:rsidRDefault="00E00F53" w:rsidP="00E00F53">
      <w:pPr>
        <w:pStyle w:val="Para0bullet"/>
      </w:pPr>
      <w:r w:rsidRPr="00C854D8">
        <w:t>State of repair</w:t>
      </w:r>
    </w:p>
    <w:p w14:paraId="198D7547" w14:textId="77777777" w:rsidR="00E00F53" w:rsidRPr="00C854D8" w:rsidRDefault="00E00F53" w:rsidP="00E00F53">
      <w:pPr>
        <w:pStyle w:val="Para0bullet"/>
      </w:pPr>
      <w:r w:rsidRPr="00C854D8">
        <w:t>Installation technique</w:t>
      </w:r>
    </w:p>
    <w:p w14:paraId="62D8E5C1" w14:textId="7A056C0F" w:rsidR="00E00F53" w:rsidRDefault="00E00F53" w:rsidP="00E00F53">
      <w:r>
        <w:rPr>
          <w:spacing w:val="-3"/>
          <w:w w:val="105"/>
        </w:rPr>
        <w:t xml:space="preserve">Damage </w:t>
      </w:r>
      <w:r>
        <w:rPr>
          <w:w w:val="105"/>
        </w:rPr>
        <w:t xml:space="preserve">may be </w:t>
      </w:r>
      <w:r>
        <w:rPr>
          <w:spacing w:val="-3"/>
          <w:w w:val="105"/>
        </w:rPr>
        <w:t xml:space="preserve">caused either </w:t>
      </w:r>
      <w:r>
        <w:rPr>
          <w:w w:val="105"/>
        </w:rPr>
        <w:t xml:space="preserve">by </w:t>
      </w:r>
      <w:r>
        <w:rPr>
          <w:spacing w:val="-3"/>
          <w:w w:val="105"/>
        </w:rPr>
        <w:t xml:space="preserve">excessive strain along pipe </w:t>
      </w:r>
      <w:r>
        <w:rPr>
          <w:w w:val="105"/>
        </w:rPr>
        <w:t>lengths or excessive distortion at the joints or both. Three basic modes of failure may be identified</w:t>
      </w:r>
      <w:r w:rsidR="004A212F">
        <w:rPr>
          <w:w w:val="105"/>
        </w:rPr>
        <w:t>:</w:t>
      </w:r>
    </w:p>
    <w:p w14:paraId="35F30976" w14:textId="77777777" w:rsidR="00E00F53" w:rsidRPr="005A4C23" w:rsidRDefault="00E00F53" w:rsidP="00E00F53">
      <w:pPr>
        <w:pStyle w:val="Para0bullet"/>
      </w:pPr>
      <w:r w:rsidRPr="005A4C23">
        <w:t>Strain in pipe material leading to rupture or intolerable deformation</w:t>
      </w:r>
    </w:p>
    <w:p w14:paraId="47BEC05E" w14:textId="77777777" w:rsidR="00E00F53" w:rsidRPr="005A4C23" w:rsidRDefault="00E00F53" w:rsidP="00E00F53">
      <w:pPr>
        <w:pStyle w:val="Para0bullet"/>
      </w:pPr>
      <w:r w:rsidRPr="005A4C23">
        <w:t>Rotation of the joints leading to leakage or loss of connectivity</w:t>
      </w:r>
    </w:p>
    <w:p w14:paraId="7BE6C171" w14:textId="77777777" w:rsidR="00E00F53" w:rsidRPr="005A4C23" w:rsidRDefault="00E00F53" w:rsidP="00E00F53">
      <w:pPr>
        <w:pStyle w:val="Para0bullet"/>
      </w:pPr>
      <w:r w:rsidRPr="005A4C23">
        <w:t>Axial slip at the joints leading to leakage or disengagement of adjacent pipe lengths</w:t>
      </w:r>
    </w:p>
    <w:p w14:paraId="5E981073" w14:textId="702424EC" w:rsidR="00E00F53" w:rsidRDefault="00E00F53" w:rsidP="00E00F53">
      <w:pPr>
        <w:rPr>
          <w:w w:val="105"/>
        </w:rPr>
      </w:pPr>
      <w:r>
        <w:rPr>
          <w:w w:val="105"/>
        </w:rPr>
        <w:t xml:space="preserve">The </w:t>
      </w:r>
      <w:r>
        <w:rPr>
          <w:spacing w:val="-3"/>
          <w:w w:val="105"/>
        </w:rPr>
        <w:t xml:space="preserve">first </w:t>
      </w:r>
      <w:r>
        <w:rPr>
          <w:w w:val="105"/>
        </w:rPr>
        <w:t xml:space="preserve">two </w:t>
      </w:r>
      <w:r>
        <w:rPr>
          <w:spacing w:val="-3"/>
          <w:w w:val="105"/>
        </w:rPr>
        <w:t xml:space="preserve">failure modes </w:t>
      </w:r>
      <w:r>
        <w:rPr>
          <w:w w:val="105"/>
        </w:rPr>
        <w:t xml:space="preserve">may be </w:t>
      </w:r>
      <w:r>
        <w:rPr>
          <w:spacing w:val="-3"/>
          <w:w w:val="105"/>
        </w:rPr>
        <w:t xml:space="preserve">caused </w:t>
      </w:r>
      <w:r>
        <w:rPr>
          <w:w w:val="105"/>
        </w:rPr>
        <w:t xml:space="preserve">by </w:t>
      </w:r>
      <w:r>
        <w:rPr>
          <w:spacing w:val="-3"/>
          <w:w w:val="105"/>
        </w:rPr>
        <w:t xml:space="preserve">differential </w:t>
      </w:r>
      <w:r>
        <w:rPr>
          <w:w w:val="105"/>
        </w:rPr>
        <w:t>settlement and the first and third by lateral</w:t>
      </w:r>
      <w:r>
        <w:rPr>
          <w:spacing w:val="7"/>
          <w:w w:val="105"/>
        </w:rPr>
        <w:t xml:space="preserve"> </w:t>
      </w:r>
      <w:r>
        <w:rPr>
          <w:w w:val="105"/>
        </w:rPr>
        <w:t>displacement.</w:t>
      </w:r>
      <w:r>
        <w:t xml:space="preserve">  </w:t>
      </w:r>
      <w:r>
        <w:rPr>
          <w:w w:val="105"/>
        </w:rPr>
        <w:t xml:space="preserve">The </w:t>
      </w:r>
      <w:r>
        <w:rPr>
          <w:spacing w:val="-3"/>
          <w:w w:val="105"/>
        </w:rPr>
        <w:t xml:space="preserve">largest percentage </w:t>
      </w:r>
      <w:r>
        <w:rPr>
          <w:w w:val="105"/>
        </w:rPr>
        <w:t xml:space="preserve">of </w:t>
      </w:r>
      <w:r>
        <w:rPr>
          <w:spacing w:val="-3"/>
          <w:w w:val="105"/>
        </w:rPr>
        <w:t xml:space="preserve">pipe failures </w:t>
      </w:r>
      <w:r>
        <w:rPr>
          <w:w w:val="105"/>
        </w:rPr>
        <w:t xml:space="preserve">are </w:t>
      </w:r>
      <w:r>
        <w:rPr>
          <w:spacing w:val="-3"/>
          <w:w w:val="105"/>
        </w:rPr>
        <w:t xml:space="preserve">caused </w:t>
      </w:r>
      <w:r>
        <w:rPr>
          <w:w w:val="105"/>
        </w:rPr>
        <w:t xml:space="preserve">by </w:t>
      </w:r>
      <w:r>
        <w:rPr>
          <w:spacing w:val="-3"/>
          <w:w w:val="105"/>
        </w:rPr>
        <w:t xml:space="preserve">compressional forces causing excessive telescoping </w:t>
      </w:r>
      <w:r>
        <w:rPr>
          <w:w w:val="105"/>
        </w:rPr>
        <w:t xml:space="preserve">at </w:t>
      </w:r>
      <w:r>
        <w:rPr>
          <w:spacing w:val="-3"/>
          <w:w w:val="105"/>
        </w:rPr>
        <w:t xml:space="preserve">joints. </w:t>
      </w:r>
      <w:r w:rsidR="007B4C64">
        <w:rPr>
          <w:spacing w:val="-3"/>
          <w:w w:val="105"/>
        </w:rPr>
        <w:t xml:space="preserve"> </w:t>
      </w:r>
      <w:r>
        <w:rPr>
          <w:spacing w:val="-3"/>
          <w:w w:val="105"/>
        </w:rPr>
        <w:t xml:space="preserve">Tensile </w:t>
      </w:r>
      <w:r>
        <w:rPr>
          <w:w w:val="105"/>
        </w:rPr>
        <w:t xml:space="preserve">failures are the next major mode, whereas failures due to </w:t>
      </w:r>
      <w:r>
        <w:rPr>
          <w:spacing w:val="-2"/>
          <w:w w:val="105"/>
        </w:rPr>
        <w:t xml:space="preserve">ending </w:t>
      </w:r>
      <w:r>
        <w:rPr>
          <w:w w:val="105"/>
        </w:rPr>
        <w:t>or shearing rarely occur</w:t>
      </w:r>
      <w:r w:rsidR="004A212F">
        <w:rPr>
          <w:w w:val="105"/>
        </w:rPr>
        <w:t xml:space="preserve"> (Trautmann, 198</w:t>
      </w:r>
      <w:r w:rsidR="002709B3">
        <w:rPr>
          <w:w w:val="105"/>
        </w:rPr>
        <w:t>5</w:t>
      </w:r>
      <w:r w:rsidR="004A212F">
        <w:rPr>
          <w:w w:val="105"/>
        </w:rPr>
        <w:t>)</w:t>
      </w:r>
      <w:r>
        <w:rPr>
          <w:w w:val="105"/>
        </w:rPr>
        <w:t>.</w:t>
      </w:r>
    </w:p>
    <w:p w14:paraId="579F4CD7" w14:textId="721EB774" w:rsidR="0063000D" w:rsidRDefault="00A22888" w:rsidP="00E00F53">
      <w:r>
        <w:rPr>
          <w:w w:val="105"/>
        </w:rPr>
        <w:t>In light of the proceeding discuss</w:t>
      </w:r>
      <w:r w:rsidR="007F39DF">
        <w:rPr>
          <w:w w:val="105"/>
        </w:rPr>
        <w:t>i</w:t>
      </w:r>
      <w:r>
        <w:rPr>
          <w:w w:val="105"/>
        </w:rPr>
        <w:t>on</w:t>
      </w:r>
      <w:r w:rsidR="0063000D">
        <w:rPr>
          <w:w w:val="105"/>
        </w:rPr>
        <w:t xml:space="preserve"> angular distortion and horizontal strain are considered as the relevant metrics for gas pipelines.</w:t>
      </w:r>
    </w:p>
    <w:p w14:paraId="5A4F8DF6" w14:textId="7408B645" w:rsidR="0023226C" w:rsidRPr="00D2783F" w:rsidRDefault="0023226C" w:rsidP="00AB2D35">
      <w:pPr>
        <w:pStyle w:val="Heading4"/>
        <w:rPr>
          <w:lang w:val="en-AU"/>
        </w:rPr>
      </w:pPr>
      <w:bookmarkStart w:id="151" w:name="_Ref499739717"/>
      <w:bookmarkStart w:id="152" w:name="_Toc501356697"/>
      <w:r w:rsidRPr="0061134C">
        <w:t>Thresholds</w:t>
      </w:r>
      <w:r w:rsidRPr="00D2783F">
        <w:rPr>
          <w:lang w:val="en-AU"/>
        </w:rPr>
        <w:t xml:space="preserve"> and Rationale</w:t>
      </w:r>
      <w:bookmarkEnd w:id="151"/>
      <w:bookmarkEnd w:id="152"/>
    </w:p>
    <w:p w14:paraId="39060A6F" w14:textId="0992DF41" w:rsidR="0023226C" w:rsidRPr="00D2783F" w:rsidRDefault="0023226C" w:rsidP="0023226C">
      <w:pPr>
        <w:rPr>
          <w:w w:val="105"/>
        </w:rPr>
      </w:pPr>
      <w:r w:rsidRPr="00D2783F">
        <w:rPr>
          <w:w w:val="105"/>
        </w:rPr>
        <w:t xml:space="preserve">The location of the joints with respect to the </w:t>
      </w:r>
      <w:r w:rsidRPr="00D2783F">
        <w:rPr>
          <w:spacing w:val="-2"/>
          <w:w w:val="105"/>
        </w:rPr>
        <w:t>subsi</w:t>
      </w:r>
      <w:r w:rsidRPr="00D2783F">
        <w:rPr>
          <w:spacing w:val="-3"/>
          <w:w w:val="105"/>
        </w:rPr>
        <w:t xml:space="preserve">dence profile </w:t>
      </w:r>
      <w:r w:rsidRPr="00D2783F">
        <w:rPr>
          <w:w w:val="105"/>
        </w:rPr>
        <w:t xml:space="preserve">and the </w:t>
      </w:r>
      <w:r w:rsidRPr="00D2783F">
        <w:rPr>
          <w:spacing w:val="-3"/>
          <w:w w:val="105"/>
        </w:rPr>
        <w:t xml:space="preserve">degree </w:t>
      </w:r>
      <w:r w:rsidRPr="00D2783F">
        <w:rPr>
          <w:w w:val="105"/>
        </w:rPr>
        <w:t xml:space="preserve">of </w:t>
      </w:r>
      <w:r w:rsidRPr="00D2783F">
        <w:rPr>
          <w:spacing w:val="-3"/>
          <w:w w:val="105"/>
        </w:rPr>
        <w:t xml:space="preserve">rigidity </w:t>
      </w:r>
      <w:r w:rsidRPr="00D2783F">
        <w:rPr>
          <w:w w:val="105"/>
        </w:rPr>
        <w:t xml:space="preserve">of the </w:t>
      </w:r>
      <w:r w:rsidRPr="00D2783F">
        <w:rPr>
          <w:spacing w:val="-3"/>
          <w:w w:val="105"/>
        </w:rPr>
        <w:t xml:space="preserve">pipeline will </w:t>
      </w:r>
      <w:r w:rsidRPr="00D2783F">
        <w:rPr>
          <w:w w:val="105"/>
        </w:rPr>
        <w:t xml:space="preserve">significantly affect the nature and extent of damage.  The weakest link in a pipeline system is generally the joints </w:t>
      </w:r>
      <w:r w:rsidRPr="00D2783F">
        <w:rPr>
          <w:spacing w:val="-2"/>
          <w:w w:val="105"/>
        </w:rPr>
        <w:t>and</w:t>
      </w:r>
      <w:r w:rsidRPr="00D2783F">
        <w:t xml:space="preserve"> these </w:t>
      </w:r>
      <w:r w:rsidRPr="00D2783F">
        <w:rPr>
          <w:w w:val="105"/>
        </w:rPr>
        <w:t>are usually affected by ground movements first.</w:t>
      </w:r>
      <w:r w:rsidR="00682499">
        <w:rPr>
          <w:w w:val="105"/>
        </w:rPr>
        <w:t xml:space="preserve"> </w:t>
      </w:r>
      <w:r w:rsidRPr="00D2783F">
        <w:t xml:space="preserve"> </w:t>
      </w:r>
      <w:r w:rsidRPr="00D2783F">
        <w:rPr>
          <w:spacing w:val="-3"/>
          <w:w w:val="105"/>
        </w:rPr>
        <w:t xml:space="preserve">Flexible couplings </w:t>
      </w:r>
      <w:r w:rsidRPr="00D2783F">
        <w:rPr>
          <w:w w:val="105"/>
        </w:rPr>
        <w:t xml:space="preserve">are </w:t>
      </w:r>
      <w:r w:rsidRPr="00D2783F">
        <w:rPr>
          <w:spacing w:val="-3"/>
          <w:w w:val="105"/>
        </w:rPr>
        <w:t xml:space="preserve">generally equipped with </w:t>
      </w:r>
      <w:r w:rsidRPr="00D2783F">
        <w:rPr>
          <w:w w:val="105"/>
        </w:rPr>
        <w:t>a gasket that is compressed to prevent leakage.</w:t>
      </w:r>
    </w:p>
    <w:p w14:paraId="37CB05AA" w14:textId="78AAE678" w:rsidR="0023226C" w:rsidRDefault="00CB5A61" w:rsidP="0023226C">
      <w:r>
        <w:rPr>
          <w:w w:val="105"/>
        </w:rPr>
        <w:t>Pipeline</w:t>
      </w:r>
      <w:r w:rsidR="0023226C" w:rsidRPr="00651410">
        <w:rPr>
          <w:w w:val="105"/>
        </w:rPr>
        <w:t xml:space="preserve"> joints </w:t>
      </w:r>
      <w:r w:rsidR="0023226C" w:rsidRPr="00651410">
        <w:rPr>
          <w:spacing w:val="-2"/>
          <w:w w:val="105"/>
        </w:rPr>
        <w:t xml:space="preserve">are </w:t>
      </w:r>
      <w:r w:rsidR="0023226C" w:rsidRPr="00651410">
        <w:rPr>
          <w:w w:val="105"/>
        </w:rPr>
        <w:t xml:space="preserve">capable of sustaining rotations that vary from 1 to 7º. </w:t>
      </w:r>
      <w:r w:rsidR="00682499">
        <w:rPr>
          <w:w w:val="105"/>
        </w:rPr>
        <w:t xml:space="preserve"> </w:t>
      </w:r>
      <w:r w:rsidR="0023226C" w:rsidRPr="00651410">
        <w:rPr>
          <w:w w:val="105"/>
        </w:rPr>
        <w:t>Mechanical joints can tolerate about 50 mm of horizontal slippage before leakage.</w:t>
      </w:r>
      <w:r w:rsidR="00682499">
        <w:rPr>
          <w:w w:val="105"/>
        </w:rPr>
        <w:t xml:space="preserve"> </w:t>
      </w:r>
      <w:r w:rsidR="0023226C" w:rsidRPr="00EC309E">
        <w:rPr>
          <w:w w:val="105"/>
        </w:rPr>
        <w:t xml:space="preserve"> When both horizontal strains and differential settlements must be sustained, pipeline joints can be designed to </w:t>
      </w:r>
      <w:r w:rsidR="0023226C" w:rsidRPr="00EC309E">
        <w:rPr>
          <w:spacing w:val="-3"/>
          <w:w w:val="105"/>
        </w:rPr>
        <w:t xml:space="preserve">rotate </w:t>
      </w:r>
      <w:r w:rsidR="0023226C" w:rsidRPr="00EC309E">
        <w:rPr>
          <w:w w:val="105"/>
        </w:rPr>
        <w:t xml:space="preserve">and </w:t>
      </w:r>
      <w:r w:rsidR="0023226C" w:rsidRPr="00EC309E">
        <w:rPr>
          <w:spacing w:val="-3"/>
          <w:w w:val="105"/>
        </w:rPr>
        <w:t xml:space="preserve">telescope. Welded pipelines </w:t>
      </w:r>
      <w:r w:rsidR="0023226C" w:rsidRPr="00EC309E">
        <w:rPr>
          <w:w w:val="105"/>
        </w:rPr>
        <w:t xml:space="preserve">are </w:t>
      </w:r>
      <w:r w:rsidR="0023226C" w:rsidRPr="00EC309E">
        <w:rPr>
          <w:spacing w:val="-3"/>
          <w:w w:val="105"/>
        </w:rPr>
        <w:t xml:space="preserve">most susceptible to </w:t>
      </w:r>
      <w:r w:rsidR="0023226C" w:rsidRPr="00EC309E">
        <w:rPr>
          <w:w w:val="105"/>
        </w:rPr>
        <w:t xml:space="preserve">damage by compression because ground movements cause local </w:t>
      </w:r>
      <w:r w:rsidR="0023226C" w:rsidRPr="00EC309E">
        <w:rPr>
          <w:spacing w:val="-3"/>
          <w:w w:val="105"/>
        </w:rPr>
        <w:t xml:space="preserve">wrinkling </w:t>
      </w:r>
      <w:r w:rsidR="0023226C" w:rsidRPr="00EC309E">
        <w:rPr>
          <w:w w:val="105"/>
        </w:rPr>
        <w:t xml:space="preserve">or </w:t>
      </w:r>
      <w:r w:rsidR="0023226C" w:rsidRPr="00EC309E">
        <w:rPr>
          <w:spacing w:val="-3"/>
          <w:w w:val="105"/>
        </w:rPr>
        <w:t xml:space="preserve">buckling </w:t>
      </w:r>
      <w:r w:rsidR="0023226C" w:rsidRPr="00EC309E">
        <w:rPr>
          <w:w w:val="105"/>
        </w:rPr>
        <w:t xml:space="preserve">of the </w:t>
      </w:r>
      <w:r w:rsidR="0023226C" w:rsidRPr="00EC309E">
        <w:rPr>
          <w:spacing w:val="-3"/>
          <w:w w:val="105"/>
        </w:rPr>
        <w:t xml:space="preserve">pipe wall. </w:t>
      </w:r>
      <w:r w:rsidR="00682499">
        <w:rPr>
          <w:spacing w:val="-3"/>
          <w:w w:val="105"/>
        </w:rPr>
        <w:t xml:space="preserve"> </w:t>
      </w:r>
      <w:r w:rsidR="0023226C" w:rsidRPr="00EC309E">
        <w:rPr>
          <w:spacing w:val="-3"/>
          <w:w w:val="105"/>
        </w:rPr>
        <w:t xml:space="preserve">Once local wrinkling has </w:t>
      </w:r>
      <w:r w:rsidR="0023226C" w:rsidRPr="00EC309E">
        <w:rPr>
          <w:w w:val="105"/>
        </w:rPr>
        <w:t xml:space="preserve">initiated, all subsequent deformations will tend to concentrate at the location of the wrinkle. </w:t>
      </w:r>
      <w:r w:rsidR="00682499">
        <w:rPr>
          <w:w w:val="105"/>
        </w:rPr>
        <w:t xml:space="preserve"> </w:t>
      </w:r>
      <w:r w:rsidR="0023226C" w:rsidRPr="00EC309E">
        <w:rPr>
          <w:w w:val="105"/>
        </w:rPr>
        <w:t xml:space="preserve">Local wrinkling may occur at compressive strains on the order of 0.4 to 0.6% (Bouwkamp </w:t>
      </w:r>
      <w:r w:rsidR="0023226C" w:rsidRPr="00EC309E">
        <w:rPr>
          <w:spacing w:val="-2"/>
          <w:w w:val="105"/>
        </w:rPr>
        <w:t xml:space="preserve">and </w:t>
      </w:r>
      <w:r w:rsidR="0023226C" w:rsidRPr="00EC309E">
        <w:rPr>
          <w:w w:val="105"/>
        </w:rPr>
        <w:t>Stephen, 1973)</w:t>
      </w:r>
      <w:r>
        <w:rPr>
          <w:w w:val="105"/>
        </w:rPr>
        <w:t xml:space="preserve">. </w:t>
      </w:r>
      <w:r w:rsidR="00682499">
        <w:rPr>
          <w:w w:val="105"/>
        </w:rPr>
        <w:t xml:space="preserve"> </w:t>
      </w:r>
      <w:r w:rsidR="0023226C" w:rsidRPr="00EC309E">
        <w:rPr>
          <w:w w:val="105"/>
        </w:rPr>
        <w:t xml:space="preserve">Butt-welded steel pipelines are most capable of sustaining the differential soil movements caused by </w:t>
      </w:r>
      <w:r w:rsidR="0023226C" w:rsidRPr="00EC309E">
        <w:rPr>
          <w:spacing w:val="-2"/>
          <w:w w:val="105"/>
        </w:rPr>
        <w:t xml:space="preserve">mining </w:t>
      </w:r>
      <w:r w:rsidR="0023226C" w:rsidRPr="00EC309E">
        <w:rPr>
          <w:w w:val="105"/>
        </w:rPr>
        <w:t>subsidence, but these must be high quality welds, free of significant corrosion</w:t>
      </w:r>
      <w:r w:rsidR="00744D07">
        <w:rPr>
          <w:w w:val="105"/>
        </w:rPr>
        <w:t xml:space="preserve"> and weld defects</w:t>
      </w:r>
      <w:r w:rsidR="0023226C">
        <w:rPr>
          <w:w w:val="105"/>
        </w:rPr>
        <w:t>.</w:t>
      </w:r>
    </w:p>
    <w:p w14:paraId="3AD9301E" w14:textId="28668CB4" w:rsidR="0023226C" w:rsidRDefault="0023226C" w:rsidP="0023226C">
      <w:pPr>
        <w:spacing w:after="0" w:line="240" w:lineRule="auto"/>
        <w:rPr>
          <w:b/>
        </w:rPr>
      </w:pPr>
      <w:r>
        <w:t xml:space="preserve">In terms of damage criteria (movement limit values) for each </w:t>
      </w:r>
      <w:r w:rsidR="0001480A">
        <w:t xml:space="preserve">type of movement </w:t>
      </w:r>
      <w:r w:rsidR="00383511">
        <w:t>(angular and horizontal movement)</w:t>
      </w:r>
      <w:r>
        <w:t>, the results of available failure data</w:t>
      </w:r>
      <w:r w:rsidR="0088689D">
        <w:t xml:space="preserve"> (Singh, 1986)</w:t>
      </w:r>
      <w:r>
        <w:t xml:space="preserve"> are presented in </w:t>
      </w:r>
      <w:r w:rsidR="008A653D">
        <w:fldChar w:fldCharType="begin"/>
      </w:r>
      <w:r w:rsidR="008A653D">
        <w:instrText xml:space="preserve"> REF _Ref506897640 \h </w:instrText>
      </w:r>
      <w:r w:rsidR="008A653D">
        <w:fldChar w:fldCharType="separate"/>
      </w:r>
      <w:r w:rsidR="00A83148" w:rsidRPr="009038E7">
        <w:t xml:space="preserve">Table </w:t>
      </w:r>
      <w:r w:rsidR="00A83148">
        <w:rPr>
          <w:noProof/>
        </w:rPr>
        <w:t>5</w:t>
      </w:r>
      <w:r w:rsidR="00A83148" w:rsidRPr="009038E7">
        <w:t>.</w:t>
      </w:r>
      <w:r w:rsidR="00A83148">
        <w:rPr>
          <w:noProof/>
        </w:rPr>
        <w:t>17</w:t>
      </w:r>
      <w:r w:rsidR="008A653D">
        <w:fldChar w:fldCharType="end"/>
      </w:r>
      <w:r w:rsidR="007E5246">
        <w:t>,</w:t>
      </w:r>
      <w:r w:rsidR="008A653D">
        <w:t xml:space="preserve"> </w:t>
      </w:r>
      <w:r>
        <w:t xml:space="preserve">and are </w:t>
      </w:r>
      <w:r w:rsidR="003B3784">
        <w:t>recommended as</w:t>
      </w:r>
      <w:r>
        <w:t xml:space="preserve"> an acceptable industry standard</w:t>
      </w:r>
      <w:r w:rsidR="007E5246">
        <w:t xml:space="preserve"> and </w:t>
      </w:r>
      <w:r w:rsidR="007E5246">
        <w:rPr>
          <w:rFonts w:cs="Arial"/>
          <w:szCs w:val="20"/>
        </w:rPr>
        <w:t>appropriate to use in the context of the LVRRS</w:t>
      </w:r>
      <w:r w:rsidR="003B3784">
        <w:rPr>
          <w:rFonts w:cs="Arial"/>
          <w:szCs w:val="20"/>
        </w:rPr>
        <w:t>, in light of the outcomes of th</w:t>
      </w:r>
      <w:r w:rsidR="00A22888">
        <w:rPr>
          <w:rFonts w:cs="Arial"/>
          <w:szCs w:val="20"/>
        </w:rPr>
        <w:t>e</w:t>
      </w:r>
      <w:r w:rsidR="003B3784">
        <w:rPr>
          <w:rFonts w:cs="Arial"/>
          <w:szCs w:val="20"/>
        </w:rPr>
        <w:t xml:space="preserve"> consultation and the available information on the </w:t>
      </w:r>
      <w:r w:rsidR="00A22888">
        <w:rPr>
          <w:rFonts w:cs="Arial"/>
          <w:szCs w:val="20"/>
        </w:rPr>
        <w:t>existing and likely future pipe network</w:t>
      </w:r>
      <w:r w:rsidR="007E5246">
        <w:t>.</w:t>
      </w:r>
      <w:bookmarkStart w:id="153" w:name="_Ref499649937"/>
      <w:r>
        <w:br w:type="page"/>
      </w:r>
    </w:p>
    <w:p w14:paraId="3917D254" w14:textId="5B7D7302" w:rsidR="0023226C" w:rsidRPr="002B0110" w:rsidRDefault="005A4C23" w:rsidP="005A4C23">
      <w:pPr>
        <w:pStyle w:val="Caption"/>
      </w:pPr>
      <w:bookmarkStart w:id="154" w:name="_Ref506897640"/>
      <w:bookmarkStart w:id="155" w:name="_Toc501356745"/>
      <w:bookmarkEnd w:id="153"/>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17</w:t>
      </w:r>
      <w:r>
        <w:fldChar w:fldCharType="end"/>
      </w:r>
      <w:bookmarkEnd w:id="154"/>
      <w:r w:rsidRPr="009038E7">
        <w:t xml:space="preserve"> : </w:t>
      </w:r>
      <w:r w:rsidR="0023226C">
        <w:t>Damage Criteria for Pipelines</w:t>
      </w:r>
      <w:bookmarkEnd w:id="155"/>
      <w:r w:rsidR="003B3784">
        <w:t xml:space="preserve"> (Singh, 1986)</w:t>
      </w:r>
    </w:p>
    <w:p w14:paraId="1AB2071B" w14:textId="77777777" w:rsidR="005E3B9B" w:rsidRPr="00BA139D" w:rsidRDefault="00246B19" w:rsidP="0023226C">
      <w:pPr>
        <w:rPr>
          <w:lang w:val="en-AU"/>
        </w:rPr>
      </w:pPr>
      <w:r>
        <w:rPr>
          <w:noProof/>
          <w:lang w:val="en-AU" w:eastAsia="en-AU"/>
        </w:rPr>
        <w:drawing>
          <wp:inline distT="0" distB="0" distL="0" distR="0" wp14:anchorId="3AC74A0F" wp14:editId="4479C223">
            <wp:extent cx="5943600" cy="1155700"/>
            <wp:effectExtent l="0" t="0" r="0" b="6350"/>
            <wp:docPr id="20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155700"/>
                    </a:xfrm>
                    <a:prstGeom prst="rect">
                      <a:avLst/>
                    </a:prstGeom>
                    <a:noFill/>
                    <a:ln>
                      <a:noFill/>
                    </a:ln>
                  </pic:spPr>
                </pic:pic>
              </a:graphicData>
            </a:graphic>
          </wp:inline>
        </w:drawing>
      </w:r>
    </w:p>
    <w:p w14:paraId="51ECA446" w14:textId="77777777" w:rsidR="0023226C" w:rsidRPr="002A5090" w:rsidRDefault="0023226C" w:rsidP="00AB2D35">
      <w:pPr>
        <w:pStyle w:val="Heading3"/>
      </w:pPr>
      <w:bookmarkStart w:id="156" w:name="_Toc501356698"/>
      <w:r w:rsidRPr="0061134C">
        <w:t>Rail</w:t>
      </w:r>
      <w:bookmarkEnd w:id="156"/>
    </w:p>
    <w:p w14:paraId="7E66E93E" w14:textId="381D4E38" w:rsidR="0023226C" w:rsidRPr="00F02A72" w:rsidRDefault="0023226C" w:rsidP="0023226C">
      <w:r w:rsidRPr="00F02A72">
        <w:t xml:space="preserve">The metrics and thresholds for the potential damage </w:t>
      </w:r>
      <w:r w:rsidR="00D1716B">
        <w:t xml:space="preserve">to rail infrastructure due to </w:t>
      </w:r>
      <w:r w:rsidRPr="00F02A72">
        <w:t>ground moveme</w:t>
      </w:r>
      <w:r w:rsidR="008A653D">
        <w:t xml:space="preserve">nt </w:t>
      </w:r>
      <w:r w:rsidRPr="00F02A72">
        <w:t xml:space="preserve">is detailed in this section. </w:t>
      </w:r>
      <w:r w:rsidR="00682499">
        <w:t xml:space="preserve"> </w:t>
      </w:r>
      <w:r w:rsidR="00A92663">
        <w:t>Rail mana</w:t>
      </w:r>
      <w:r w:rsidR="006E38FA">
        <w:t>g</w:t>
      </w:r>
      <w:r w:rsidR="00BF73D3">
        <w:t xml:space="preserve">ement and engineering design are heavily codified and subject to a large number of standards. </w:t>
      </w:r>
      <w:r w:rsidR="00682499">
        <w:t xml:space="preserve"> </w:t>
      </w:r>
      <w:r w:rsidR="00BF73D3">
        <w:t xml:space="preserve">These </w:t>
      </w:r>
      <w:r w:rsidR="00206D55">
        <w:t xml:space="preserve">generally involve the definition of movement criteria to be taken into account for design, rather than absolute limits. </w:t>
      </w:r>
      <w:r w:rsidR="00682499">
        <w:t xml:space="preserve"> </w:t>
      </w:r>
      <w:r w:rsidR="00206D55">
        <w:t xml:space="preserve">During this study we attempted to contact the rail custodians for the receptors of interest but were advised that they did not have any </w:t>
      </w:r>
      <w:r w:rsidR="00E52171">
        <w:t xml:space="preserve">relevant information to share with the project. </w:t>
      </w:r>
      <w:r w:rsidR="00682499">
        <w:t xml:space="preserve"> </w:t>
      </w:r>
      <w:r w:rsidR="00E52171">
        <w:t>Accordingly, the approach presented here is based on the literature and general theory.</w:t>
      </w:r>
    </w:p>
    <w:p w14:paraId="6551BC42" w14:textId="1936942E" w:rsidR="0023226C" w:rsidRDefault="0023226C" w:rsidP="00E52171">
      <w:pPr>
        <w:rPr>
          <w:b/>
        </w:rPr>
      </w:pPr>
      <w:r w:rsidRPr="00C640FC">
        <w:rPr>
          <w:lang w:val="en-AU"/>
        </w:rPr>
        <w:t xml:space="preserve">Relevant standards, guidelines and reference documents which </w:t>
      </w:r>
      <w:r w:rsidR="00E52171">
        <w:rPr>
          <w:lang w:val="en-AU"/>
        </w:rPr>
        <w:t>relate to rail receptors are</w:t>
      </w:r>
      <w:r w:rsidRPr="00C640FC">
        <w:rPr>
          <w:lang w:val="en-AU"/>
        </w:rPr>
        <w:t xml:space="preserve"> listed in</w:t>
      </w:r>
      <w:r>
        <w:rPr>
          <w:lang w:val="en-AU"/>
        </w:rPr>
        <w:t xml:space="preserve"> </w:t>
      </w:r>
      <w:r w:rsidR="008A653D">
        <w:rPr>
          <w:lang w:val="en-AU"/>
        </w:rPr>
        <w:fldChar w:fldCharType="begin"/>
      </w:r>
      <w:r w:rsidR="008A653D">
        <w:rPr>
          <w:lang w:val="en-AU"/>
        </w:rPr>
        <w:instrText xml:space="preserve"> REF _Ref506897766 \h </w:instrText>
      </w:r>
      <w:r w:rsidR="008A653D">
        <w:rPr>
          <w:lang w:val="en-AU"/>
        </w:rPr>
      </w:r>
      <w:r w:rsidR="008A653D">
        <w:rPr>
          <w:lang w:val="en-AU"/>
        </w:rPr>
        <w:fldChar w:fldCharType="separate"/>
      </w:r>
      <w:r w:rsidR="00A83148" w:rsidRPr="009038E7">
        <w:t xml:space="preserve">Table </w:t>
      </w:r>
      <w:r w:rsidR="00A83148">
        <w:rPr>
          <w:noProof/>
        </w:rPr>
        <w:t>5</w:t>
      </w:r>
      <w:r w:rsidR="00A83148" w:rsidRPr="009038E7">
        <w:t>.</w:t>
      </w:r>
      <w:r w:rsidR="00A83148">
        <w:rPr>
          <w:noProof/>
        </w:rPr>
        <w:t>18</w:t>
      </w:r>
      <w:r w:rsidR="008A653D">
        <w:rPr>
          <w:lang w:val="en-AU"/>
        </w:rPr>
        <w:fldChar w:fldCharType="end"/>
      </w:r>
      <w:r w:rsidR="008A653D">
        <w:rPr>
          <w:lang w:val="en-AU"/>
        </w:rPr>
        <w:t>.</w:t>
      </w:r>
    </w:p>
    <w:p w14:paraId="0BB02338" w14:textId="48319515" w:rsidR="0023226C" w:rsidRPr="002B0110" w:rsidRDefault="005A4C23" w:rsidP="005A4C23">
      <w:pPr>
        <w:pStyle w:val="Caption"/>
      </w:pPr>
      <w:bookmarkStart w:id="157" w:name="_Ref506897766"/>
      <w:bookmarkStart w:id="158" w:name="_Toc501356746"/>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18</w:t>
      </w:r>
      <w:r>
        <w:fldChar w:fldCharType="end"/>
      </w:r>
      <w:bookmarkEnd w:id="157"/>
      <w:r w:rsidRPr="009038E7">
        <w:t xml:space="preserve"> : </w:t>
      </w:r>
      <w:r w:rsidR="0023226C">
        <w:t xml:space="preserve">Rail </w:t>
      </w:r>
      <w:r w:rsidR="00E52171">
        <w:t>–</w:t>
      </w:r>
      <w:r w:rsidR="0023226C">
        <w:t xml:space="preserve"> </w:t>
      </w:r>
      <w:bookmarkEnd w:id="158"/>
      <w:r w:rsidR="00E52171">
        <w:t>relevant standards and guidelines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5"/>
        <w:gridCol w:w="7469"/>
      </w:tblGrid>
      <w:tr w:rsidR="00E52171" w:rsidRPr="00D06BB7" w14:paraId="009C9B6C" w14:textId="77777777" w:rsidTr="00E52171">
        <w:tc>
          <w:tcPr>
            <w:tcW w:w="1995" w:type="dxa"/>
            <w:shd w:val="clear" w:color="auto" w:fill="00338D"/>
          </w:tcPr>
          <w:p w14:paraId="7F43DCC1" w14:textId="77777777" w:rsidR="00E52171" w:rsidRPr="00C854D8" w:rsidRDefault="00E52171" w:rsidP="0023226C">
            <w:pPr>
              <w:keepNext/>
              <w:spacing w:before="100" w:after="100"/>
              <w:rPr>
                <w:color w:val="FFFFFF" w:themeColor="background1"/>
                <w:lang w:val="en-AU"/>
              </w:rPr>
            </w:pPr>
            <w:r w:rsidRPr="00C854D8">
              <w:rPr>
                <w:rFonts w:ascii="Arial Black" w:hAnsi="Arial Black"/>
                <w:b/>
                <w:color w:val="FFFFFF" w:themeColor="background1"/>
                <w:sz w:val="16"/>
              </w:rPr>
              <w:t>Value Category</w:t>
            </w:r>
          </w:p>
        </w:tc>
        <w:tc>
          <w:tcPr>
            <w:tcW w:w="7469" w:type="dxa"/>
            <w:shd w:val="clear" w:color="auto" w:fill="00338D"/>
          </w:tcPr>
          <w:p w14:paraId="5999E96B" w14:textId="77777777" w:rsidR="00E52171" w:rsidRPr="00C854D8" w:rsidRDefault="00E52171" w:rsidP="0023226C">
            <w:pPr>
              <w:keepNext/>
              <w:spacing w:before="100" w:after="100"/>
              <w:rPr>
                <w:rFonts w:ascii="Arial Black" w:hAnsi="Arial Black"/>
                <w:b/>
                <w:color w:val="FFFFFF" w:themeColor="background1"/>
                <w:sz w:val="16"/>
              </w:rPr>
            </w:pPr>
            <w:r w:rsidRPr="00C854D8">
              <w:rPr>
                <w:rFonts w:ascii="Arial Black" w:hAnsi="Arial Black"/>
                <w:b/>
                <w:color w:val="FFFFFF" w:themeColor="background1"/>
                <w:sz w:val="16"/>
              </w:rPr>
              <w:t>Standard, Guideline or Reference Documents</w:t>
            </w:r>
          </w:p>
        </w:tc>
      </w:tr>
      <w:tr w:rsidR="00E52171" w14:paraId="35C117FF" w14:textId="77777777" w:rsidTr="00E52171">
        <w:tc>
          <w:tcPr>
            <w:tcW w:w="1995" w:type="dxa"/>
          </w:tcPr>
          <w:p w14:paraId="130320C8" w14:textId="77777777" w:rsidR="00E52171" w:rsidRPr="0098775D" w:rsidRDefault="00E52171" w:rsidP="0023226C">
            <w:pPr>
              <w:spacing w:after="60"/>
              <w:rPr>
                <w:rFonts w:eastAsia="MS Mincho"/>
                <w:sz w:val="18"/>
              </w:rPr>
            </w:pPr>
            <w:r w:rsidRPr="0098775D">
              <w:rPr>
                <w:rFonts w:eastAsia="MS Mincho"/>
                <w:sz w:val="18"/>
              </w:rPr>
              <w:t>Social/Cultural</w:t>
            </w:r>
          </w:p>
        </w:tc>
        <w:tc>
          <w:tcPr>
            <w:tcW w:w="7469" w:type="dxa"/>
          </w:tcPr>
          <w:p w14:paraId="55EECAEA"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National Rail Corporation (Victoria) Act 1991</w:t>
            </w:r>
          </w:p>
          <w:p w14:paraId="44EB479A"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Rail Management Act 1996</w:t>
            </w:r>
          </w:p>
          <w:p w14:paraId="1126BB8F"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Rail Safety (Local Operations) Act 2006</w:t>
            </w:r>
          </w:p>
          <w:p w14:paraId="15F623E9"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Rail Safety National Law Application Act 2013</w:t>
            </w:r>
          </w:p>
          <w:p w14:paraId="1ECC55A6"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Rail Safety National Law (Victoria)</w:t>
            </w:r>
          </w:p>
          <w:p w14:paraId="1FFE7708"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Road Management Act 2004</w:t>
            </w:r>
          </w:p>
          <w:p w14:paraId="00292A74" w14:textId="39824D88" w:rsidR="00E52171" w:rsidRPr="008A653D" w:rsidRDefault="00271D37" w:rsidP="006F654D">
            <w:pPr>
              <w:numPr>
                <w:ilvl w:val="0"/>
                <w:numId w:val="33"/>
              </w:numPr>
              <w:spacing w:after="0" w:line="240" w:lineRule="auto"/>
              <w:ind w:left="209" w:hanging="284"/>
              <w:contextualSpacing/>
              <w:rPr>
                <w:rFonts w:eastAsia="Times New Roman" w:cs="Arial"/>
                <w:sz w:val="18"/>
                <w:szCs w:val="20"/>
                <w:lang w:val="en-AU"/>
              </w:rPr>
            </w:pPr>
            <w:r>
              <w:rPr>
                <w:rFonts w:eastAsia="Times New Roman" w:cs="Arial"/>
                <w:sz w:val="18"/>
                <w:szCs w:val="20"/>
                <w:lang w:val="en-AU"/>
              </w:rPr>
              <w:t>‘</w:t>
            </w:r>
            <w:r w:rsidR="00E52171" w:rsidRPr="008A653D">
              <w:rPr>
                <w:rFonts w:eastAsia="Times New Roman" w:cs="Arial"/>
                <w:sz w:val="18"/>
                <w:szCs w:val="20"/>
                <w:lang w:val="en-AU"/>
              </w:rPr>
              <w:t>Transport bodies</w:t>
            </w:r>
            <w:r>
              <w:rPr>
                <w:rFonts w:eastAsia="Times New Roman" w:cs="Arial"/>
                <w:sz w:val="18"/>
                <w:szCs w:val="20"/>
                <w:lang w:val="en-AU"/>
              </w:rPr>
              <w:t>’</w:t>
            </w:r>
            <w:r w:rsidR="00E52171" w:rsidRPr="008A653D">
              <w:rPr>
                <w:rFonts w:eastAsia="Times New Roman" w:cs="Arial"/>
                <w:sz w:val="18"/>
                <w:szCs w:val="20"/>
                <w:lang w:val="en-AU"/>
              </w:rPr>
              <w:t xml:space="preserve"> under the Transport Integration Act Codes of Practice under the Road Management Act</w:t>
            </w:r>
          </w:p>
          <w:p w14:paraId="464E4EA0"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DELWP (2017) Latrobe Planning Scheme</w:t>
            </w:r>
          </w:p>
          <w:p w14:paraId="452B2997" w14:textId="67A0B3F9"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 xml:space="preserve">Planning </w:t>
            </w:r>
            <w:r w:rsidR="008C41F7">
              <w:rPr>
                <w:rFonts w:eastAsia="Times New Roman" w:cs="Arial"/>
                <w:sz w:val="18"/>
                <w:szCs w:val="20"/>
                <w:lang w:val="en-AU"/>
              </w:rPr>
              <w:t xml:space="preserve">and </w:t>
            </w:r>
            <w:r w:rsidRPr="008A653D">
              <w:rPr>
                <w:rFonts w:eastAsia="Times New Roman" w:cs="Arial"/>
                <w:sz w:val="18"/>
                <w:szCs w:val="20"/>
                <w:lang w:val="en-AU"/>
              </w:rPr>
              <w:t xml:space="preserve">Environment Act </w:t>
            </w:r>
            <w:r w:rsidR="008C41F7">
              <w:rPr>
                <w:rFonts w:eastAsia="Times New Roman" w:cs="Arial"/>
                <w:sz w:val="18"/>
                <w:szCs w:val="20"/>
                <w:lang w:val="en-AU"/>
              </w:rPr>
              <w:t>(</w:t>
            </w:r>
            <w:r w:rsidRPr="008A653D">
              <w:rPr>
                <w:rFonts w:eastAsia="Times New Roman" w:cs="Arial"/>
                <w:sz w:val="18"/>
                <w:szCs w:val="20"/>
                <w:lang w:val="en-AU"/>
              </w:rPr>
              <w:t>1987)</w:t>
            </w:r>
          </w:p>
          <w:p w14:paraId="23E76970"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Live Work Latrobe (Housing Strategy, Industrial Land Use and Employment Strategy and Rural Land Use Strategy) (2016)</w:t>
            </w:r>
          </w:p>
          <w:p w14:paraId="7FC4B085"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Mine Subsidence Board (2009) Graduated Guidelines for Residential Construction (NSW) Historical and Technical Background</w:t>
            </w:r>
          </w:p>
          <w:p w14:paraId="37B4DF6B"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Harrison, J (2011) Mining Engineering Handbook, Mine Subsidence, Society for Mining, Metallurgy and Exploration</w:t>
            </w:r>
          </w:p>
          <w:p w14:paraId="30EBE483"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Singh, M (1986) Mine subsidence, Society for Mining, Metallurgy and Exploration</w:t>
            </w:r>
          </w:p>
          <w:p w14:paraId="64AA4ADB" w14:textId="3647F6B3" w:rsidR="00E52171" w:rsidRPr="008A653D"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99" w:history="1">
              <w:r w:rsidR="00E52171" w:rsidRPr="008A653D">
                <w:rPr>
                  <w:rFonts w:eastAsia="Times New Roman" w:cs="Arial"/>
                  <w:sz w:val="18"/>
                  <w:szCs w:val="20"/>
                  <w:lang w:val="en-AU"/>
                </w:rPr>
                <w:t>Standards Australia</w:t>
              </w:r>
            </w:hyperlink>
            <w:r w:rsidR="00E52171" w:rsidRPr="008A653D">
              <w:rPr>
                <w:rFonts w:eastAsia="Times New Roman" w:cs="Arial"/>
                <w:sz w:val="18"/>
                <w:szCs w:val="20"/>
                <w:lang w:val="en-AU"/>
              </w:rPr>
              <w:t xml:space="preserve"> associated publications</w:t>
            </w:r>
          </w:p>
          <w:p w14:paraId="7406A885"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AS 4292.2—2006 Railway safety management</w:t>
            </w:r>
          </w:p>
          <w:p w14:paraId="3E7BE4E9"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AS 7508 Track Forces and Stresses</w:t>
            </w:r>
          </w:p>
          <w:p w14:paraId="32099C62"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AS 7454 Management of Network Route Competence</w:t>
            </w:r>
          </w:p>
        </w:tc>
      </w:tr>
      <w:tr w:rsidR="00E52171" w14:paraId="634D9441" w14:textId="77777777" w:rsidTr="00E52171">
        <w:tc>
          <w:tcPr>
            <w:tcW w:w="1995" w:type="dxa"/>
          </w:tcPr>
          <w:p w14:paraId="4BC2548C" w14:textId="77777777" w:rsidR="00E52171" w:rsidRPr="0098775D" w:rsidRDefault="00E52171" w:rsidP="0023226C">
            <w:pPr>
              <w:spacing w:after="60"/>
              <w:rPr>
                <w:rFonts w:eastAsia="MS Mincho"/>
                <w:sz w:val="18"/>
              </w:rPr>
            </w:pPr>
            <w:r>
              <w:rPr>
                <w:rFonts w:eastAsia="MS Mincho"/>
                <w:sz w:val="18"/>
              </w:rPr>
              <w:t>Economic</w:t>
            </w:r>
          </w:p>
        </w:tc>
        <w:tc>
          <w:tcPr>
            <w:tcW w:w="7469" w:type="dxa"/>
          </w:tcPr>
          <w:p w14:paraId="1CAF6F1F" w14:textId="77777777" w:rsidR="00E52171" w:rsidRPr="008A653D" w:rsidRDefault="00E52171" w:rsidP="006F654D">
            <w:pPr>
              <w:numPr>
                <w:ilvl w:val="0"/>
                <w:numId w:val="33"/>
              </w:numPr>
              <w:spacing w:after="0" w:line="240" w:lineRule="auto"/>
              <w:ind w:left="209" w:hanging="284"/>
              <w:contextualSpacing/>
              <w:rPr>
                <w:rFonts w:eastAsia="Times New Roman" w:cs="Arial"/>
                <w:sz w:val="18"/>
                <w:szCs w:val="20"/>
                <w:lang w:val="en-AU"/>
              </w:rPr>
            </w:pPr>
            <w:r w:rsidRPr="008A653D">
              <w:rPr>
                <w:rFonts w:eastAsia="Times New Roman" w:cs="Arial"/>
                <w:sz w:val="18"/>
                <w:szCs w:val="20"/>
                <w:lang w:val="en-AU"/>
              </w:rPr>
              <w:t>DELWP (2017) Latrobe Planning Scheme</w:t>
            </w:r>
          </w:p>
          <w:p w14:paraId="1146C704" w14:textId="77777777" w:rsidR="00E52171" w:rsidRPr="0098775D" w:rsidRDefault="00E52171" w:rsidP="006F654D">
            <w:pPr>
              <w:numPr>
                <w:ilvl w:val="0"/>
                <w:numId w:val="33"/>
              </w:numPr>
              <w:spacing w:after="0" w:line="240" w:lineRule="auto"/>
              <w:ind w:left="209" w:hanging="284"/>
              <w:contextualSpacing/>
              <w:rPr>
                <w:rFonts w:eastAsia="MS Mincho"/>
                <w:sz w:val="18"/>
              </w:rPr>
            </w:pPr>
            <w:r w:rsidRPr="008A653D">
              <w:rPr>
                <w:rFonts w:eastAsia="Times New Roman" w:cs="Arial"/>
                <w:sz w:val="18"/>
                <w:szCs w:val="20"/>
                <w:lang w:val="en-AU"/>
              </w:rPr>
              <w:t>Live Work Latrobe (Housing Strategy, Industrial Land Use and Employment Strategy and Rural Land Use Strategy) (2016)</w:t>
            </w:r>
          </w:p>
        </w:tc>
      </w:tr>
    </w:tbl>
    <w:p w14:paraId="323D7D79" w14:textId="77777777" w:rsidR="0023226C" w:rsidRPr="002C4A0D" w:rsidRDefault="0023226C" w:rsidP="0023226C">
      <w:pPr>
        <w:rPr>
          <w:lang w:val="en-AU"/>
        </w:rPr>
      </w:pPr>
    </w:p>
    <w:p w14:paraId="7C034818" w14:textId="25371A96" w:rsidR="0023226C" w:rsidRDefault="0023226C" w:rsidP="00AB2D35">
      <w:pPr>
        <w:pStyle w:val="Heading4"/>
        <w:rPr>
          <w:lang w:val="en-AU"/>
        </w:rPr>
      </w:pPr>
      <w:bookmarkStart w:id="159" w:name="_Toc501356700"/>
      <w:r w:rsidRPr="00D20CAD">
        <w:rPr>
          <w:lang w:val="en-AU"/>
        </w:rPr>
        <w:t>Metrics</w:t>
      </w:r>
      <w:bookmarkEnd w:id="159"/>
    </w:p>
    <w:p w14:paraId="24F1C951" w14:textId="7D947F8E" w:rsidR="0023226C" w:rsidRDefault="0023226C" w:rsidP="0023226C">
      <w:r w:rsidRPr="00046459">
        <w:t xml:space="preserve">Ground movement by subsidence or rebound </w:t>
      </w:r>
      <w:r>
        <w:t xml:space="preserve">on railway tracks </w:t>
      </w:r>
      <w:r w:rsidRPr="00046459">
        <w:t xml:space="preserve">first </w:t>
      </w:r>
      <w:r w:rsidR="00065A91">
        <w:t>a</w:t>
      </w:r>
      <w:r w:rsidRPr="00046459">
        <w:t xml:space="preserve">ffects </w:t>
      </w:r>
      <w:r>
        <w:t xml:space="preserve">the </w:t>
      </w:r>
      <w:r w:rsidRPr="008A653D">
        <w:t xml:space="preserve">rider discomfort often by bumps </w:t>
      </w:r>
      <w:r w:rsidR="004A0672" w:rsidRPr="008A653D">
        <w:t>which in turn can</w:t>
      </w:r>
      <w:r w:rsidRPr="008A653D">
        <w:t xml:space="preserve"> </w:t>
      </w:r>
      <w:r w:rsidR="004A0672" w:rsidRPr="008A653D">
        <w:t xml:space="preserve">then </w:t>
      </w:r>
      <w:r w:rsidRPr="008A653D">
        <w:t>require the reduction of maximum permissible speeds.  At higher levels of ground strain</w:t>
      </w:r>
      <w:r w:rsidR="004A0672" w:rsidRPr="008A653D">
        <w:t xml:space="preserve"> such as stress relief and subsidence/rebound</w:t>
      </w:r>
      <w:r w:rsidRPr="008A653D">
        <w:t xml:space="preserve">, rail tracks </w:t>
      </w:r>
      <w:r w:rsidR="00162FEF" w:rsidRPr="008A653D">
        <w:t>tend to</w:t>
      </w:r>
      <w:r w:rsidRPr="008A653D">
        <w:t xml:space="preserve"> “snake” or bend, and in more extreme cases, entire rails may be forced out of the track. </w:t>
      </w:r>
      <w:r w:rsidR="00682499">
        <w:t xml:space="preserve"> </w:t>
      </w:r>
      <w:r w:rsidRPr="008A653D">
        <w:t>Changes in ground slope may adversely affect track performance by formation of locali</w:t>
      </w:r>
      <w:r w:rsidR="00682499">
        <w:t>s</w:t>
      </w:r>
      <w:r w:rsidRPr="008A653D">
        <w:t>ed depressions or creating gradients greater than permissible for a given type of train.</w:t>
      </w:r>
    </w:p>
    <w:p w14:paraId="6AC4E0FF" w14:textId="77777777" w:rsidR="0023226C" w:rsidRDefault="0023226C" w:rsidP="0023226C">
      <w:r w:rsidRPr="008A653D">
        <w:t>The extent to which a railway line is affected by ground movements is related to:</w:t>
      </w:r>
    </w:p>
    <w:p w14:paraId="1DF875CC" w14:textId="77777777" w:rsidR="0023226C" w:rsidRPr="008A653D" w:rsidRDefault="0023226C" w:rsidP="008A653D">
      <w:pPr>
        <w:pStyle w:val="Para0bullet"/>
      </w:pPr>
      <w:r w:rsidRPr="008A653D">
        <w:t>Types of traffic involved</w:t>
      </w:r>
    </w:p>
    <w:p w14:paraId="5FCBE0F5" w14:textId="77777777" w:rsidR="0023226C" w:rsidRPr="008A653D" w:rsidRDefault="0023226C" w:rsidP="008A653D">
      <w:pPr>
        <w:pStyle w:val="Para0bullet"/>
      </w:pPr>
      <w:r w:rsidRPr="008A653D">
        <w:t>Speed limits</w:t>
      </w:r>
    </w:p>
    <w:p w14:paraId="2B820CA5" w14:textId="77777777" w:rsidR="0023226C" w:rsidRPr="008A653D" w:rsidRDefault="0023226C" w:rsidP="008A653D">
      <w:pPr>
        <w:pStyle w:val="Para0bullet"/>
      </w:pPr>
      <w:r w:rsidRPr="008A653D">
        <w:t>Types and construction of track</w:t>
      </w:r>
    </w:p>
    <w:p w14:paraId="372BD029" w14:textId="77777777" w:rsidR="0023226C" w:rsidRPr="008A653D" w:rsidRDefault="0023226C" w:rsidP="008A653D">
      <w:pPr>
        <w:pStyle w:val="Para0bullet"/>
      </w:pPr>
      <w:r w:rsidRPr="008A653D">
        <w:t>Preventive and remedial works</w:t>
      </w:r>
    </w:p>
    <w:p w14:paraId="26DD93E8" w14:textId="2645D272" w:rsidR="0023226C" w:rsidRDefault="0023226C" w:rsidP="008A653D">
      <w:pPr>
        <w:pStyle w:val="Para0bullet"/>
      </w:pPr>
      <w:r w:rsidRPr="008A653D">
        <w:t>Nature and magnitude of ground movements.</w:t>
      </w:r>
    </w:p>
    <w:p w14:paraId="5FA71702" w14:textId="64DC0C37" w:rsidR="00162FEF" w:rsidRPr="008A653D" w:rsidRDefault="00162FEF" w:rsidP="00162FEF">
      <w:pPr>
        <w:pStyle w:val="Para0bullet"/>
        <w:numPr>
          <w:ilvl w:val="0"/>
          <w:numId w:val="0"/>
        </w:numPr>
      </w:pPr>
      <w:r>
        <w:t xml:space="preserve">In light of these considerations, the relevant metrics are horizontal strain and </w:t>
      </w:r>
      <w:r w:rsidR="00B023F1">
        <w:t>slope changes in track.</w:t>
      </w:r>
    </w:p>
    <w:p w14:paraId="1D7FEB0C" w14:textId="03DB0D19" w:rsidR="0023226C" w:rsidRDefault="0023226C" w:rsidP="00AB2D35">
      <w:pPr>
        <w:pStyle w:val="Heading4"/>
        <w:rPr>
          <w:lang w:val="en-AU"/>
        </w:rPr>
      </w:pPr>
      <w:r w:rsidRPr="00D20CAD">
        <w:rPr>
          <w:lang w:val="en-AU"/>
        </w:rPr>
        <w:t>Thresholds and Rationale</w:t>
      </w:r>
    </w:p>
    <w:p w14:paraId="4F68F4F0" w14:textId="4C40A4D1" w:rsidR="0023226C" w:rsidRDefault="0023226C" w:rsidP="0023226C">
      <w:pPr>
        <w:rPr>
          <w:spacing w:val="34"/>
          <w:w w:val="105"/>
        </w:rPr>
      </w:pPr>
      <w:r w:rsidRPr="00334C93">
        <w:t>The threshold for damage to rail</w:t>
      </w:r>
      <w:r w:rsidR="009F0CD9">
        <w:t xml:space="preserve"> should be set to avoid undue disruption to train operations. </w:t>
      </w:r>
      <w:r w:rsidR="00682499">
        <w:t xml:space="preserve"> </w:t>
      </w:r>
      <w:r w:rsidR="009F0CD9">
        <w:t xml:space="preserve">In the absence of specific data from the region, general literature values have been adopted as a recommended first </w:t>
      </w:r>
      <w:r w:rsidR="002829C5">
        <w:t>stage</w:t>
      </w:r>
      <w:r w:rsidRPr="008A653D">
        <w:t>.  Quantitative limits are difficult to assign due to the many variables involved.  A railroad track may be deemed to have failed if the deformations are of such magnitude that it is incapable of sustaining traffic due to risk of derailment</w:t>
      </w:r>
      <w:r w:rsidR="002829C5">
        <w:t xml:space="preserve"> (Singh, 1986)</w:t>
      </w:r>
      <w:r w:rsidR="002829C5">
        <w:rPr>
          <w:w w:val="105"/>
        </w:rPr>
        <w:t>.</w:t>
      </w:r>
    </w:p>
    <w:p w14:paraId="08898344" w14:textId="4DAC2776" w:rsidR="0023226C" w:rsidRPr="004D1495" w:rsidRDefault="0023226C" w:rsidP="0023226C">
      <w:pPr>
        <w:rPr>
          <w:w w:val="105"/>
        </w:rPr>
      </w:pPr>
      <w:r w:rsidRPr="00651410">
        <w:t>The damage criteria (movement limit values) for each damage severity level</w:t>
      </w:r>
      <w:r w:rsidR="00B96C51">
        <w:t xml:space="preserve"> defined from published reviews of available limits (Singh, 1986) is presented in </w:t>
      </w:r>
      <w:r w:rsidR="00EC5F9A">
        <w:t>T</w:t>
      </w:r>
      <w:r w:rsidR="00B96C51">
        <w:t>able 5.</w:t>
      </w:r>
      <w:r w:rsidR="00682499">
        <w:t>19</w:t>
      </w:r>
      <w:r w:rsidR="008E6674">
        <w:t>.</w:t>
      </w:r>
      <w:r w:rsidR="0046529B">
        <w:t xml:space="preserve"> </w:t>
      </w:r>
      <w:r w:rsidR="00991DDC">
        <w:t xml:space="preserve"> </w:t>
      </w:r>
      <w:r w:rsidR="0046529B">
        <w:t xml:space="preserve">We have recommended that </w:t>
      </w:r>
      <w:r w:rsidR="00643DEF">
        <w:t>the horizontal strain threshold of</w:t>
      </w:r>
      <w:r w:rsidR="00AC540E">
        <w:t xml:space="preserve"> 2.0x10</w:t>
      </w:r>
      <w:r w:rsidR="00AC540E" w:rsidRPr="00C20A4D">
        <w:rPr>
          <w:vertAlign w:val="superscript"/>
        </w:rPr>
        <w:t>-3</w:t>
      </w:r>
      <w:r w:rsidR="00AC540E">
        <w:t xml:space="preserve"> be adopted and also the maximum slop</w:t>
      </w:r>
      <w:r w:rsidR="00463234">
        <w:t>e</w:t>
      </w:r>
      <w:r w:rsidR="00AC540E">
        <w:t xml:space="preserve"> </w:t>
      </w:r>
      <w:r w:rsidR="00C20A4D">
        <w:t>strain of 10 x 10</w:t>
      </w:r>
      <w:r w:rsidR="00C20A4D" w:rsidRPr="00C20A4D">
        <w:rPr>
          <w:vertAlign w:val="superscript"/>
        </w:rPr>
        <w:t>-3</w:t>
      </w:r>
      <w:r w:rsidR="00991DDC">
        <w:t>.</w:t>
      </w:r>
    </w:p>
    <w:p w14:paraId="50A33198" w14:textId="14AB07A2" w:rsidR="0023226C" w:rsidRPr="002B0110" w:rsidRDefault="005A4C23" w:rsidP="005A4C23">
      <w:pPr>
        <w:pStyle w:val="Caption"/>
      </w:pPr>
      <w:bookmarkStart w:id="160" w:name="_Ref506897862"/>
      <w:bookmarkStart w:id="161" w:name="_Toc501356747"/>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19</w:t>
      </w:r>
      <w:r>
        <w:fldChar w:fldCharType="end"/>
      </w:r>
      <w:bookmarkEnd w:id="160"/>
      <w:r w:rsidRPr="009038E7">
        <w:t xml:space="preserve"> : </w:t>
      </w:r>
      <w:r w:rsidR="00463234">
        <w:t xml:space="preserve">Recommended </w:t>
      </w:r>
      <w:r w:rsidR="0023226C">
        <w:t>Damage Criteria for Railroads</w:t>
      </w:r>
      <w:bookmarkEnd w:id="161"/>
      <w:r w:rsidR="00BE6AC8">
        <w:t xml:space="preserve"> (Singh, 1986)</w:t>
      </w:r>
      <w:r w:rsidR="00463234">
        <w:t>, in the suggested value column</w:t>
      </w:r>
      <w:r w:rsidR="00BE6AC8">
        <w:rPr>
          <w:rStyle w:val="FootnoteReference"/>
        </w:rPr>
        <w:t xml:space="preserve"> </w:t>
      </w:r>
    </w:p>
    <w:p w14:paraId="4A60C66B" w14:textId="77777777" w:rsidR="005E3B9B" w:rsidRDefault="00246B19" w:rsidP="0023226C">
      <w:pPr>
        <w:rPr>
          <w:lang w:val="en-AU"/>
        </w:rPr>
      </w:pPr>
      <w:r>
        <w:rPr>
          <w:noProof/>
          <w:lang w:val="en-AU" w:eastAsia="en-AU"/>
        </w:rPr>
        <w:drawing>
          <wp:inline distT="0" distB="0" distL="0" distR="0" wp14:anchorId="7DA8CD2F" wp14:editId="0E19806D">
            <wp:extent cx="5892800" cy="1270000"/>
            <wp:effectExtent l="0" t="0" r="0" b="6350"/>
            <wp:docPr id="20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92800" cy="1270000"/>
                    </a:xfrm>
                    <a:prstGeom prst="rect">
                      <a:avLst/>
                    </a:prstGeom>
                    <a:noFill/>
                    <a:ln>
                      <a:noFill/>
                    </a:ln>
                  </pic:spPr>
                </pic:pic>
              </a:graphicData>
            </a:graphic>
          </wp:inline>
        </w:drawing>
      </w:r>
    </w:p>
    <w:p w14:paraId="5076475E" w14:textId="77777777" w:rsidR="0023226C" w:rsidRPr="00FE2DEE" w:rsidRDefault="0023226C" w:rsidP="004C3AFA">
      <w:pPr>
        <w:pStyle w:val="Heading3"/>
      </w:pPr>
      <w:bookmarkStart w:id="162" w:name="_Toc501356701"/>
      <w:r w:rsidRPr="0061134C">
        <w:t>Telecommunications</w:t>
      </w:r>
      <w:bookmarkEnd w:id="162"/>
    </w:p>
    <w:p w14:paraId="649CD36A" w14:textId="7FDA4E3B" w:rsidR="0023226C" w:rsidRDefault="0023226C" w:rsidP="0023226C">
      <w:r w:rsidRPr="00E97C64">
        <w:t xml:space="preserve">The metrics and thresholds for the potential damage </w:t>
      </w:r>
      <w:r w:rsidR="00D1716B">
        <w:t xml:space="preserve">to </w:t>
      </w:r>
      <w:r w:rsidRPr="006917B3">
        <w:t xml:space="preserve">telecommunications </w:t>
      </w:r>
      <w:r w:rsidR="00D1716B">
        <w:t xml:space="preserve">infrastructure due to ground movement is </w:t>
      </w:r>
      <w:r w:rsidRPr="006917B3">
        <w:t>detailed in this section.</w:t>
      </w:r>
      <w:r w:rsidR="00682499">
        <w:t xml:space="preserve"> </w:t>
      </w:r>
      <w:r w:rsidRPr="006917B3">
        <w:t xml:space="preserve"> </w:t>
      </w:r>
      <w:r w:rsidR="00DA067B">
        <w:t>For the LVRRS study the recognised rec</w:t>
      </w:r>
      <w:r w:rsidR="00C13DA9">
        <w:t>e</w:t>
      </w:r>
      <w:r w:rsidR="00DA067B">
        <w:t xml:space="preserve">ptor are the main telecommunication </w:t>
      </w:r>
      <w:r w:rsidR="002F6839">
        <w:t xml:space="preserve">trunk systems, such as primary towers or main communication cables. </w:t>
      </w:r>
      <w:r w:rsidR="00682499">
        <w:t xml:space="preserve"> </w:t>
      </w:r>
      <w:r w:rsidR="002F6839">
        <w:t xml:space="preserve">Individual telephone lines or </w:t>
      </w:r>
      <w:r w:rsidR="00C13DA9">
        <w:t xml:space="preserve">broadband connections are not considered. </w:t>
      </w:r>
      <w:r w:rsidR="00682499">
        <w:t xml:space="preserve"> </w:t>
      </w:r>
      <w:r w:rsidR="00C13DA9">
        <w:t>These rec</w:t>
      </w:r>
      <w:r w:rsidR="00AE5CB4">
        <w:t>e</w:t>
      </w:r>
      <w:r w:rsidR="00C13DA9">
        <w:t>ptors are detailed in the GIS database of receptors that accompanie</w:t>
      </w:r>
      <w:r w:rsidR="00AE5CB4">
        <w:t xml:space="preserve">s the LVRRS. </w:t>
      </w:r>
      <w:r w:rsidR="00682499">
        <w:t xml:space="preserve"> </w:t>
      </w:r>
      <w:r w:rsidR="00C36B00">
        <w:t>During</w:t>
      </w:r>
      <w:r w:rsidR="00AE5CB4">
        <w:t xml:space="preserve"> the study </w:t>
      </w:r>
      <w:r w:rsidR="00AB176F">
        <w:t xml:space="preserve">requests were sent to telecommunications providers of trunk infrastructure in the Latrobe Valley to gather pertinent local information. </w:t>
      </w:r>
      <w:r w:rsidR="00682499">
        <w:t xml:space="preserve"> </w:t>
      </w:r>
      <w:r w:rsidR="00AB176F">
        <w:t xml:space="preserve">No response was received from theses providers despite </w:t>
      </w:r>
      <w:r w:rsidR="00C36B00">
        <w:t>several</w:t>
      </w:r>
      <w:r w:rsidR="00AB176F">
        <w:t xml:space="preserve"> approaches. In light of this, literature-derived values have been adopted and are recommended as starting values</w:t>
      </w:r>
      <w:r w:rsidR="00C36B00">
        <w:t>.</w:t>
      </w:r>
    </w:p>
    <w:p w14:paraId="1FE00EDF" w14:textId="6C926D77" w:rsidR="00E22BE8" w:rsidRDefault="00EC0B76" w:rsidP="00E22BE8">
      <w:r>
        <w:t>I</w:t>
      </w:r>
      <w:r w:rsidR="00E22BE8">
        <w:t>n the Latrobe Valley, telecommunications services include</w:t>
      </w:r>
      <w:r>
        <w:t xml:space="preserve"> </w:t>
      </w:r>
      <w:r w:rsidR="00E22BE8">
        <w:t>VicTrack telecommunications associated with the railway corridor.</w:t>
      </w:r>
      <w:r w:rsidR="00682499">
        <w:t xml:space="preserve"> </w:t>
      </w:r>
      <w:r>
        <w:t xml:space="preserve"> This carries government </w:t>
      </w:r>
      <w:r w:rsidR="006D6132">
        <w:t xml:space="preserve">communications </w:t>
      </w:r>
      <w:r>
        <w:t>traffic</w:t>
      </w:r>
      <w:r w:rsidR="006D6132">
        <w:t xml:space="preserve"> in addition to rail operations.</w:t>
      </w:r>
      <w:r>
        <w:t xml:space="preserve"> </w:t>
      </w:r>
    </w:p>
    <w:p w14:paraId="113F5A91" w14:textId="3215B297" w:rsidR="0023226C" w:rsidRPr="00570768" w:rsidRDefault="0023226C" w:rsidP="0023226C">
      <w:pPr>
        <w:rPr>
          <w:shd w:val="clear" w:color="auto" w:fill="FFFFFF"/>
        </w:rPr>
      </w:pPr>
      <w:r>
        <w:rPr>
          <w:shd w:val="clear" w:color="auto" w:fill="FFFFFF"/>
        </w:rPr>
        <w:t xml:space="preserve">The Australian Communications and Media Authority (ACMA) under authority of the </w:t>
      </w:r>
      <w:r w:rsidR="00682499">
        <w:rPr>
          <w:shd w:val="clear" w:color="auto" w:fill="FFFFFF"/>
        </w:rPr>
        <w:t>C</w:t>
      </w:r>
      <w:r w:rsidR="00C36B00">
        <w:rPr>
          <w:shd w:val="clear" w:color="auto" w:fill="FFFFFF"/>
        </w:rPr>
        <w:t xml:space="preserve">ommonwealth </w:t>
      </w:r>
      <w:r w:rsidR="00682499">
        <w:rPr>
          <w:shd w:val="clear" w:color="auto" w:fill="FFFFFF"/>
        </w:rPr>
        <w:t>A</w:t>
      </w:r>
      <w:r>
        <w:rPr>
          <w:shd w:val="clear" w:color="auto" w:fill="FFFFFF"/>
        </w:rPr>
        <w:t>ct provide technical standards that address issues related to protecting personal health and safety, protecting the integrity of telecommunications networks, ensuring the supply of a standard telephone service and ensuring access to emergency call services.</w:t>
      </w:r>
    </w:p>
    <w:p w14:paraId="6FF6E21B" w14:textId="099FBF2E" w:rsidR="0023226C" w:rsidRDefault="0023226C" w:rsidP="006D6132">
      <w:pPr>
        <w:rPr>
          <w:b/>
        </w:rPr>
      </w:pPr>
      <w:r w:rsidRPr="00570768">
        <w:rPr>
          <w:lang w:val="en-AU"/>
        </w:rPr>
        <w:t xml:space="preserve">Relevant standards, guidelines and reference documents </w:t>
      </w:r>
      <w:r w:rsidR="004940CF">
        <w:rPr>
          <w:lang w:val="en-AU"/>
        </w:rPr>
        <w:t>for telecommunications</w:t>
      </w:r>
      <w:r w:rsidRPr="00570768">
        <w:rPr>
          <w:lang w:val="en-AU"/>
        </w:rPr>
        <w:t xml:space="preserve"> are listed in</w:t>
      </w:r>
      <w:r w:rsidR="002B33B8">
        <w:rPr>
          <w:lang w:val="en-AU"/>
        </w:rPr>
        <w:t xml:space="preserve"> </w:t>
      </w:r>
      <w:r w:rsidR="002B33B8">
        <w:rPr>
          <w:lang w:val="en-AU"/>
        </w:rPr>
        <w:fldChar w:fldCharType="begin"/>
      </w:r>
      <w:r w:rsidR="002B33B8">
        <w:rPr>
          <w:lang w:val="en-AU"/>
        </w:rPr>
        <w:instrText xml:space="preserve"> REF _Ref506897964 \h </w:instrText>
      </w:r>
      <w:r w:rsidR="002B33B8">
        <w:rPr>
          <w:lang w:val="en-AU"/>
        </w:rPr>
      </w:r>
      <w:r w:rsidR="002B33B8">
        <w:rPr>
          <w:lang w:val="en-AU"/>
        </w:rPr>
        <w:fldChar w:fldCharType="separate"/>
      </w:r>
      <w:r w:rsidR="00A83148" w:rsidRPr="009038E7">
        <w:t xml:space="preserve">Table </w:t>
      </w:r>
      <w:r w:rsidR="00A83148">
        <w:rPr>
          <w:noProof/>
        </w:rPr>
        <w:t>5</w:t>
      </w:r>
      <w:r w:rsidR="00A83148" w:rsidRPr="009038E7">
        <w:t>.</w:t>
      </w:r>
      <w:r w:rsidR="00A83148">
        <w:rPr>
          <w:noProof/>
        </w:rPr>
        <w:t>20</w:t>
      </w:r>
      <w:r w:rsidR="002B33B8">
        <w:rPr>
          <w:lang w:val="en-AU"/>
        </w:rPr>
        <w:fldChar w:fldCharType="end"/>
      </w:r>
      <w:r w:rsidRPr="00570768">
        <w:rPr>
          <w:lang w:val="en-AU"/>
        </w:rPr>
        <w:t>.</w:t>
      </w:r>
      <w:bookmarkStart w:id="163" w:name="_Ref499734398"/>
      <w:r w:rsidR="00991DDC">
        <w:rPr>
          <w:lang w:val="en-AU"/>
        </w:rPr>
        <w:t xml:space="preserve"> </w:t>
      </w:r>
    </w:p>
    <w:p w14:paraId="6D4D179F" w14:textId="634BFEA9" w:rsidR="0023226C" w:rsidRPr="00570768" w:rsidRDefault="005A4C23" w:rsidP="005A4C23">
      <w:pPr>
        <w:pStyle w:val="Caption"/>
      </w:pPr>
      <w:bookmarkStart w:id="164" w:name="_Ref506897964"/>
      <w:bookmarkStart w:id="165" w:name="_Toc501356748"/>
      <w:bookmarkEnd w:id="163"/>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20</w:t>
      </w:r>
      <w:r>
        <w:fldChar w:fldCharType="end"/>
      </w:r>
      <w:bookmarkEnd w:id="164"/>
      <w:r w:rsidRPr="009038E7">
        <w:t xml:space="preserve"> : </w:t>
      </w:r>
      <w:r w:rsidR="0023226C" w:rsidRPr="00570768">
        <w:t>Telecommunications Network</w:t>
      </w:r>
      <w:r w:rsidR="0023226C">
        <w:t xml:space="preserve"> </w:t>
      </w:r>
      <w:r w:rsidR="004940CF">
        <w:t>–</w:t>
      </w:r>
      <w:r w:rsidR="0023226C">
        <w:t xml:space="preserve"> </w:t>
      </w:r>
      <w:r w:rsidR="004940CF">
        <w:t>relevant standards and guidelines</w:t>
      </w:r>
      <w:bookmarkEnd w:id="165"/>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8222"/>
      </w:tblGrid>
      <w:tr w:rsidR="004940CF" w:rsidRPr="00570768" w14:paraId="696CBF64" w14:textId="77777777" w:rsidTr="004940CF">
        <w:tc>
          <w:tcPr>
            <w:tcW w:w="1809" w:type="dxa"/>
            <w:shd w:val="clear" w:color="auto" w:fill="00338D"/>
          </w:tcPr>
          <w:p w14:paraId="41902BAB" w14:textId="77777777" w:rsidR="004940CF" w:rsidRPr="005D75F0" w:rsidRDefault="004940CF" w:rsidP="0023226C">
            <w:pPr>
              <w:keepNext/>
              <w:spacing w:before="100" w:after="100"/>
              <w:rPr>
                <w:color w:val="FFFFFF"/>
                <w:lang w:val="en-AU"/>
              </w:rPr>
            </w:pPr>
            <w:r w:rsidRPr="005D75F0">
              <w:rPr>
                <w:rFonts w:ascii="Arial Black" w:hAnsi="Arial Black"/>
                <w:b/>
                <w:color w:val="FFFFFF"/>
                <w:sz w:val="16"/>
              </w:rPr>
              <w:t>Value Category</w:t>
            </w:r>
          </w:p>
        </w:tc>
        <w:tc>
          <w:tcPr>
            <w:tcW w:w="8222" w:type="dxa"/>
            <w:shd w:val="clear" w:color="auto" w:fill="00338D"/>
          </w:tcPr>
          <w:p w14:paraId="2BE7747E" w14:textId="77777777" w:rsidR="004940CF" w:rsidRPr="005D75F0" w:rsidRDefault="004940CF" w:rsidP="0023226C">
            <w:pPr>
              <w:keepNext/>
              <w:spacing w:before="100" w:after="100"/>
              <w:rPr>
                <w:rFonts w:ascii="Arial Black" w:hAnsi="Arial Black"/>
                <w:b/>
                <w:color w:val="FFFFFF"/>
                <w:sz w:val="16"/>
              </w:rPr>
            </w:pPr>
            <w:r w:rsidRPr="005D75F0">
              <w:rPr>
                <w:rFonts w:ascii="Arial Black" w:hAnsi="Arial Black"/>
                <w:b/>
                <w:color w:val="FFFFFF"/>
                <w:sz w:val="16"/>
              </w:rPr>
              <w:t>Standard, Guideline or Reference Documents</w:t>
            </w:r>
          </w:p>
        </w:tc>
      </w:tr>
      <w:tr w:rsidR="004940CF" w:rsidRPr="00E97C64" w14:paraId="1A7AC324" w14:textId="77777777" w:rsidTr="004940CF">
        <w:tc>
          <w:tcPr>
            <w:tcW w:w="1809" w:type="dxa"/>
          </w:tcPr>
          <w:p w14:paraId="0BF75352" w14:textId="77777777" w:rsidR="004940CF" w:rsidRPr="0055660D" w:rsidRDefault="004940CF" w:rsidP="0023226C">
            <w:pPr>
              <w:spacing w:after="60"/>
              <w:rPr>
                <w:rFonts w:eastAsia="MS Mincho"/>
                <w:sz w:val="18"/>
              </w:rPr>
            </w:pPr>
            <w:r w:rsidRPr="0055660D">
              <w:rPr>
                <w:rFonts w:eastAsia="MS Mincho"/>
                <w:sz w:val="18"/>
              </w:rPr>
              <w:t>Social/Cultural</w:t>
            </w:r>
          </w:p>
        </w:tc>
        <w:tc>
          <w:tcPr>
            <w:tcW w:w="8222" w:type="dxa"/>
          </w:tcPr>
          <w:p w14:paraId="58254834" w14:textId="77777777" w:rsidR="004940CF" w:rsidRPr="003D485C" w:rsidRDefault="004940CF" w:rsidP="006F654D">
            <w:pPr>
              <w:numPr>
                <w:ilvl w:val="0"/>
                <w:numId w:val="33"/>
              </w:numPr>
              <w:spacing w:after="0" w:line="240" w:lineRule="auto"/>
              <w:ind w:left="209" w:hanging="284"/>
              <w:contextualSpacing/>
              <w:rPr>
                <w:rFonts w:eastAsia="Times New Roman" w:cs="Arial"/>
                <w:sz w:val="18"/>
                <w:szCs w:val="20"/>
                <w:lang w:val="en-AU"/>
              </w:rPr>
            </w:pPr>
            <w:r w:rsidRPr="003D485C">
              <w:rPr>
                <w:rFonts w:eastAsia="Times New Roman" w:cs="Arial"/>
                <w:sz w:val="18"/>
                <w:szCs w:val="20"/>
                <w:lang w:val="en-AU"/>
              </w:rPr>
              <w:t>Telecommunications Act 1997</w:t>
            </w:r>
          </w:p>
          <w:p w14:paraId="294FE396" w14:textId="77777777" w:rsidR="004940CF" w:rsidRPr="003D485C" w:rsidRDefault="004940CF" w:rsidP="006F654D">
            <w:pPr>
              <w:numPr>
                <w:ilvl w:val="0"/>
                <w:numId w:val="33"/>
              </w:numPr>
              <w:spacing w:after="0" w:line="240" w:lineRule="auto"/>
              <w:ind w:left="209" w:hanging="284"/>
              <w:contextualSpacing/>
              <w:rPr>
                <w:rFonts w:eastAsia="Times New Roman" w:cs="Arial"/>
                <w:sz w:val="18"/>
                <w:szCs w:val="20"/>
                <w:lang w:val="en-AU"/>
              </w:rPr>
            </w:pPr>
            <w:r w:rsidRPr="003D485C">
              <w:rPr>
                <w:rFonts w:eastAsia="Times New Roman" w:cs="Arial"/>
                <w:sz w:val="18"/>
                <w:szCs w:val="20"/>
                <w:lang w:val="en-AU"/>
              </w:rPr>
              <w:t>Telecommunications and Other Legislation Amendment Act 2017</w:t>
            </w:r>
          </w:p>
          <w:p w14:paraId="78DAAC28" w14:textId="77777777" w:rsidR="004940CF" w:rsidRPr="003D485C" w:rsidRDefault="004940CF" w:rsidP="006F654D">
            <w:pPr>
              <w:numPr>
                <w:ilvl w:val="0"/>
                <w:numId w:val="33"/>
              </w:numPr>
              <w:spacing w:after="0" w:line="240" w:lineRule="auto"/>
              <w:ind w:left="209" w:hanging="284"/>
              <w:contextualSpacing/>
              <w:rPr>
                <w:rFonts w:eastAsia="Times New Roman" w:cs="Arial"/>
                <w:sz w:val="18"/>
                <w:szCs w:val="20"/>
                <w:lang w:val="en-AU"/>
              </w:rPr>
            </w:pPr>
            <w:r w:rsidRPr="003D485C">
              <w:rPr>
                <w:rFonts w:eastAsia="Times New Roman" w:cs="Arial"/>
                <w:sz w:val="18"/>
                <w:szCs w:val="20"/>
                <w:lang w:val="en-AU"/>
              </w:rPr>
              <w:t>Australian Communications and Media Authority (ACMA), Commonwealth</w:t>
            </w:r>
          </w:p>
          <w:p w14:paraId="780B8359" w14:textId="77777777" w:rsidR="004940CF" w:rsidRPr="003D485C" w:rsidRDefault="004940CF" w:rsidP="006F654D">
            <w:pPr>
              <w:numPr>
                <w:ilvl w:val="0"/>
                <w:numId w:val="33"/>
              </w:numPr>
              <w:spacing w:after="0" w:line="240" w:lineRule="auto"/>
              <w:ind w:left="209" w:hanging="284"/>
              <w:contextualSpacing/>
              <w:rPr>
                <w:rFonts w:eastAsia="Times New Roman" w:cs="Arial"/>
                <w:sz w:val="18"/>
                <w:szCs w:val="20"/>
                <w:lang w:val="en-AU"/>
              </w:rPr>
            </w:pPr>
            <w:r w:rsidRPr="003D485C">
              <w:rPr>
                <w:rFonts w:eastAsia="Times New Roman" w:cs="Arial"/>
                <w:sz w:val="18"/>
                <w:szCs w:val="20"/>
                <w:lang w:val="en-AU"/>
              </w:rPr>
              <w:t>DELWP (2017) Latrobe Planning Scheme</w:t>
            </w:r>
          </w:p>
          <w:p w14:paraId="6CBAE13E" w14:textId="7C86EDA9" w:rsidR="004940CF" w:rsidRPr="003D485C" w:rsidRDefault="004940CF" w:rsidP="006F654D">
            <w:pPr>
              <w:numPr>
                <w:ilvl w:val="0"/>
                <w:numId w:val="33"/>
              </w:numPr>
              <w:spacing w:after="0" w:line="240" w:lineRule="auto"/>
              <w:ind w:left="209" w:hanging="284"/>
              <w:contextualSpacing/>
              <w:rPr>
                <w:rFonts w:eastAsia="Times New Roman" w:cs="Arial"/>
                <w:sz w:val="18"/>
                <w:szCs w:val="20"/>
                <w:lang w:val="en-AU"/>
              </w:rPr>
            </w:pPr>
            <w:r w:rsidRPr="003D485C">
              <w:rPr>
                <w:rFonts w:eastAsia="Times New Roman" w:cs="Arial"/>
                <w:sz w:val="18"/>
                <w:szCs w:val="20"/>
                <w:lang w:val="en-AU"/>
              </w:rPr>
              <w:t xml:space="preserve">Planning </w:t>
            </w:r>
            <w:r w:rsidR="004756D3">
              <w:rPr>
                <w:rFonts w:eastAsia="Times New Roman" w:cs="Arial"/>
                <w:sz w:val="18"/>
                <w:szCs w:val="20"/>
                <w:lang w:val="en-AU"/>
              </w:rPr>
              <w:t xml:space="preserve">and </w:t>
            </w:r>
            <w:r w:rsidRPr="003D485C">
              <w:rPr>
                <w:rFonts w:eastAsia="Times New Roman" w:cs="Arial"/>
                <w:sz w:val="18"/>
                <w:szCs w:val="20"/>
                <w:lang w:val="en-AU"/>
              </w:rPr>
              <w:t xml:space="preserve">Environment Act </w:t>
            </w:r>
            <w:r w:rsidR="004756D3">
              <w:rPr>
                <w:rFonts w:eastAsia="Times New Roman" w:cs="Arial"/>
                <w:sz w:val="18"/>
                <w:szCs w:val="20"/>
                <w:lang w:val="en-AU"/>
              </w:rPr>
              <w:t>(</w:t>
            </w:r>
            <w:r w:rsidRPr="003D485C">
              <w:rPr>
                <w:rFonts w:eastAsia="Times New Roman" w:cs="Arial"/>
                <w:sz w:val="18"/>
                <w:szCs w:val="20"/>
                <w:lang w:val="en-AU"/>
              </w:rPr>
              <w:t>1987)</w:t>
            </w:r>
          </w:p>
          <w:p w14:paraId="586007B9" w14:textId="77777777" w:rsidR="004940CF" w:rsidRPr="003D485C" w:rsidRDefault="004940CF" w:rsidP="006F654D">
            <w:pPr>
              <w:numPr>
                <w:ilvl w:val="0"/>
                <w:numId w:val="33"/>
              </w:numPr>
              <w:spacing w:after="0" w:line="240" w:lineRule="auto"/>
              <w:ind w:left="209" w:hanging="284"/>
              <w:contextualSpacing/>
              <w:rPr>
                <w:rFonts w:eastAsia="Times New Roman" w:cs="Arial"/>
                <w:sz w:val="18"/>
                <w:szCs w:val="20"/>
                <w:lang w:val="en-AU"/>
              </w:rPr>
            </w:pPr>
            <w:r w:rsidRPr="003D485C">
              <w:rPr>
                <w:rFonts w:eastAsia="Times New Roman" w:cs="Arial"/>
                <w:sz w:val="18"/>
                <w:szCs w:val="20"/>
                <w:lang w:val="en-AU"/>
              </w:rPr>
              <w:t>Live Work Latrobe (Housing Strategy, Industrial Land Use and Employment Strategy and Rural Land Use Strategy) (2016)</w:t>
            </w:r>
          </w:p>
          <w:p w14:paraId="77153C50" w14:textId="77777777" w:rsidR="004940CF" w:rsidRPr="003D485C" w:rsidRDefault="004940CF" w:rsidP="006F654D">
            <w:pPr>
              <w:numPr>
                <w:ilvl w:val="0"/>
                <w:numId w:val="33"/>
              </w:numPr>
              <w:spacing w:after="0" w:line="240" w:lineRule="auto"/>
              <w:ind w:left="209" w:hanging="284"/>
              <w:contextualSpacing/>
              <w:rPr>
                <w:rFonts w:eastAsia="Times New Roman" w:cs="Arial"/>
                <w:sz w:val="18"/>
                <w:szCs w:val="20"/>
                <w:lang w:val="en-AU"/>
              </w:rPr>
            </w:pPr>
            <w:r w:rsidRPr="003D485C">
              <w:rPr>
                <w:rFonts w:eastAsia="Times New Roman" w:cs="Arial"/>
                <w:sz w:val="18"/>
                <w:szCs w:val="20"/>
                <w:lang w:val="en-AU"/>
              </w:rPr>
              <w:t>Harrison, J (2011) Mining Engineering Handbook, Mine Subsidence, Society for Mining, Metallurgy and Exploration</w:t>
            </w:r>
          </w:p>
          <w:p w14:paraId="04B7CFCA" w14:textId="77777777" w:rsidR="004940CF" w:rsidRPr="003D485C" w:rsidRDefault="004940CF" w:rsidP="006F654D">
            <w:pPr>
              <w:numPr>
                <w:ilvl w:val="0"/>
                <w:numId w:val="33"/>
              </w:numPr>
              <w:spacing w:after="0" w:line="240" w:lineRule="auto"/>
              <w:ind w:left="209" w:hanging="284"/>
              <w:contextualSpacing/>
              <w:rPr>
                <w:rFonts w:eastAsia="Times New Roman" w:cs="Arial"/>
                <w:sz w:val="18"/>
                <w:szCs w:val="20"/>
                <w:lang w:val="en-AU"/>
              </w:rPr>
            </w:pPr>
            <w:r w:rsidRPr="003D485C">
              <w:rPr>
                <w:rFonts w:eastAsia="Times New Roman" w:cs="Arial"/>
                <w:sz w:val="18"/>
                <w:szCs w:val="20"/>
                <w:lang w:val="en-AU"/>
              </w:rPr>
              <w:t>Singh, M (1986) Mine subsidence, Society for Mining, Metallurgy and Exploration</w:t>
            </w:r>
          </w:p>
          <w:p w14:paraId="1AAB1C47" w14:textId="77777777" w:rsidR="004940CF" w:rsidRPr="003D485C" w:rsidRDefault="004940CF" w:rsidP="006F654D">
            <w:pPr>
              <w:numPr>
                <w:ilvl w:val="0"/>
                <w:numId w:val="33"/>
              </w:numPr>
              <w:spacing w:after="0" w:line="240" w:lineRule="auto"/>
              <w:ind w:left="209" w:hanging="284"/>
              <w:contextualSpacing/>
              <w:rPr>
                <w:rFonts w:eastAsia="Times New Roman" w:cs="Arial"/>
                <w:sz w:val="18"/>
                <w:szCs w:val="20"/>
                <w:lang w:val="en-AU"/>
              </w:rPr>
            </w:pPr>
            <w:r w:rsidRPr="003D485C">
              <w:rPr>
                <w:rFonts w:eastAsia="Times New Roman" w:cs="Arial"/>
                <w:sz w:val="18"/>
                <w:szCs w:val="20"/>
                <w:lang w:val="en-AU"/>
              </w:rPr>
              <w:t>AS/CA S009:2013 Installation requirements for customer cabling (wiring rules)</w:t>
            </w:r>
          </w:p>
          <w:p w14:paraId="3168837F" w14:textId="77777777" w:rsidR="004940CF" w:rsidRPr="003D485C" w:rsidRDefault="004940CF" w:rsidP="006F654D">
            <w:pPr>
              <w:numPr>
                <w:ilvl w:val="0"/>
                <w:numId w:val="33"/>
              </w:numPr>
              <w:spacing w:after="0" w:line="240" w:lineRule="auto"/>
              <w:ind w:left="209" w:hanging="284"/>
              <w:contextualSpacing/>
              <w:rPr>
                <w:rFonts w:eastAsia="Times New Roman" w:cs="Arial"/>
                <w:sz w:val="18"/>
                <w:szCs w:val="20"/>
                <w:lang w:val="en-AU"/>
              </w:rPr>
            </w:pPr>
            <w:r w:rsidRPr="003D485C">
              <w:rPr>
                <w:rFonts w:eastAsia="Times New Roman" w:cs="Arial"/>
                <w:sz w:val="18"/>
                <w:szCs w:val="20"/>
                <w:lang w:val="en-AU"/>
              </w:rPr>
              <w:t>Telecommunications Technical Standard (Requirements for customer cabling products – AS/CA S008) 2015</w:t>
            </w:r>
          </w:p>
          <w:p w14:paraId="11895F5A" w14:textId="77777777" w:rsidR="004940CF" w:rsidRPr="003D485C" w:rsidRDefault="004940CF" w:rsidP="006F654D">
            <w:pPr>
              <w:numPr>
                <w:ilvl w:val="0"/>
                <w:numId w:val="33"/>
              </w:numPr>
              <w:spacing w:after="0" w:line="240" w:lineRule="auto"/>
              <w:ind w:left="209" w:hanging="284"/>
              <w:contextualSpacing/>
              <w:rPr>
                <w:rFonts w:eastAsia="Times New Roman" w:cs="Arial"/>
                <w:sz w:val="18"/>
                <w:szCs w:val="20"/>
                <w:lang w:val="en-AU"/>
              </w:rPr>
            </w:pPr>
            <w:r w:rsidRPr="003D485C">
              <w:rPr>
                <w:rFonts w:eastAsia="Times New Roman" w:cs="Arial"/>
                <w:sz w:val="18"/>
                <w:szCs w:val="20"/>
                <w:lang w:val="en-AU"/>
              </w:rPr>
              <w:t>Telecommunications Technical Standard (Requirements for Customer Equipment for connection to a metallic local loop interface of a Telecommunications Network – AS/CA S043) 2015</w:t>
            </w:r>
          </w:p>
          <w:p w14:paraId="5E1BCCB8" w14:textId="77777777" w:rsidR="004940CF" w:rsidRPr="003D485C" w:rsidRDefault="004940CF" w:rsidP="006F654D">
            <w:pPr>
              <w:numPr>
                <w:ilvl w:val="0"/>
                <w:numId w:val="33"/>
              </w:numPr>
              <w:spacing w:after="0" w:line="240" w:lineRule="auto"/>
              <w:ind w:left="209" w:hanging="284"/>
              <w:contextualSpacing/>
              <w:rPr>
                <w:rFonts w:eastAsia="Times New Roman" w:cs="Arial"/>
                <w:sz w:val="18"/>
                <w:szCs w:val="20"/>
                <w:lang w:val="en-AU"/>
              </w:rPr>
            </w:pPr>
            <w:r w:rsidRPr="003D485C">
              <w:rPr>
                <w:rFonts w:eastAsia="Times New Roman" w:cs="Arial"/>
                <w:sz w:val="18"/>
                <w:szCs w:val="20"/>
                <w:lang w:val="en-AU"/>
              </w:rPr>
              <w:t>Telecommunications Technical Standard (Surge Protective Devices for Telecommunication Applications – AS/NZS 4117) 2015</w:t>
            </w:r>
          </w:p>
          <w:p w14:paraId="6B89A48E" w14:textId="77777777" w:rsidR="004940CF" w:rsidRPr="00570768" w:rsidRDefault="004940CF" w:rsidP="006F654D">
            <w:pPr>
              <w:numPr>
                <w:ilvl w:val="0"/>
                <w:numId w:val="33"/>
              </w:numPr>
              <w:spacing w:after="0" w:line="240" w:lineRule="auto"/>
              <w:ind w:left="209" w:hanging="284"/>
              <w:contextualSpacing/>
              <w:rPr>
                <w:rFonts w:eastAsia="MS Mincho"/>
                <w:sz w:val="18"/>
                <w:szCs w:val="18"/>
              </w:rPr>
            </w:pPr>
            <w:r w:rsidRPr="003D485C">
              <w:rPr>
                <w:rFonts w:eastAsia="Times New Roman" w:cs="Arial"/>
                <w:sz w:val="18"/>
                <w:szCs w:val="20"/>
                <w:lang w:val="en-AU"/>
              </w:rPr>
              <w:t>Telecommunications Technical Standard (Information Technology Equipment – Safety, Part 1: General Requirements – AS/NZS 60950.1:2011) 2011</w:t>
            </w:r>
          </w:p>
        </w:tc>
      </w:tr>
      <w:tr w:rsidR="004940CF" w14:paraId="7D399C5B" w14:textId="77777777" w:rsidTr="004940CF">
        <w:tc>
          <w:tcPr>
            <w:tcW w:w="1809" w:type="dxa"/>
          </w:tcPr>
          <w:p w14:paraId="729CF0C0" w14:textId="77777777" w:rsidR="004940CF" w:rsidRPr="0055660D" w:rsidRDefault="004940CF" w:rsidP="0023226C">
            <w:pPr>
              <w:spacing w:after="60"/>
              <w:rPr>
                <w:rFonts w:eastAsia="MS Mincho"/>
                <w:sz w:val="18"/>
              </w:rPr>
            </w:pPr>
            <w:r w:rsidRPr="0055660D">
              <w:rPr>
                <w:rFonts w:eastAsia="MS Mincho"/>
                <w:sz w:val="18"/>
              </w:rPr>
              <w:t>Economic</w:t>
            </w:r>
          </w:p>
        </w:tc>
        <w:tc>
          <w:tcPr>
            <w:tcW w:w="8222" w:type="dxa"/>
          </w:tcPr>
          <w:p w14:paraId="154117C5" w14:textId="77777777" w:rsidR="004940CF" w:rsidRPr="0055660D" w:rsidRDefault="004940CF" w:rsidP="006F654D">
            <w:pPr>
              <w:numPr>
                <w:ilvl w:val="0"/>
                <w:numId w:val="33"/>
              </w:numPr>
              <w:spacing w:after="0" w:line="240" w:lineRule="auto"/>
              <w:ind w:left="209" w:hanging="284"/>
              <w:contextualSpacing/>
              <w:rPr>
                <w:rFonts w:eastAsia="MS Mincho"/>
                <w:sz w:val="18"/>
              </w:rPr>
            </w:pPr>
            <w:r w:rsidRPr="003D485C">
              <w:rPr>
                <w:rFonts w:eastAsia="Times New Roman" w:cs="Arial"/>
                <w:sz w:val="18"/>
                <w:szCs w:val="20"/>
                <w:lang w:val="en-AU"/>
              </w:rPr>
              <w:t>Live Work Latrobe (Housing Strategy, Industrial Land Use and Employment Strategy and Rural Land Use Strategy) (2016)</w:t>
            </w:r>
          </w:p>
        </w:tc>
      </w:tr>
    </w:tbl>
    <w:p w14:paraId="667F6A01" w14:textId="0ED078C0" w:rsidR="0023226C" w:rsidRDefault="0023226C" w:rsidP="004C3AFA">
      <w:pPr>
        <w:pStyle w:val="Heading4"/>
        <w:rPr>
          <w:lang w:val="en-AU"/>
        </w:rPr>
      </w:pPr>
      <w:bookmarkStart w:id="166" w:name="_Toc501356704"/>
      <w:r w:rsidRPr="0061134C">
        <w:t>Metrics</w:t>
      </w:r>
      <w:bookmarkEnd w:id="166"/>
    </w:p>
    <w:p w14:paraId="0CC00372" w14:textId="7F3AEC15" w:rsidR="009F159F" w:rsidRDefault="00BD0ED3" w:rsidP="0023226C">
      <w:r>
        <w:t>T</w:t>
      </w:r>
      <w:r w:rsidR="0023226C">
        <w:t xml:space="preserve">elecommunications laid below the ground are </w:t>
      </w:r>
      <w:r>
        <w:t xml:space="preserve">considered to be </w:t>
      </w:r>
      <w:r w:rsidR="0023226C">
        <w:t>more susceptible to deformation than those laid above in response to ground movements due to friction and soil pressure.</w:t>
      </w:r>
      <w:r w:rsidR="008E5CCD">
        <w:t xml:space="preserve"> </w:t>
      </w:r>
      <w:r w:rsidR="00682499">
        <w:t xml:space="preserve"> </w:t>
      </w:r>
      <w:r w:rsidR="008E5CCD">
        <w:t xml:space="preserve">Telecommunications above ground are subject to movement stresses that are considered </w:t>
      </w:r>
      <w:r w:rsidR="009F159F">
        <w:t>like</w:t>
      </w:r>
      <w:r w:rsidR="008E5CCD">
        <w:t xml:space="preserve"> those described for transmission </w:t>
      </w:r>
      <w:r w:rsidR="009F159F">
        <w:t>towers in preceding sections.</w:t>
      </w:r>
    </w:p>
    <w:p w14:paraId="010AF4AF" w14:textId="33BF7EDC" w:rsidR="0023226C" w:rsidRDefault="00422FB1" w:rsidP="0023226C">
      <w:r>
        <w:t>The relevant metric</w:t>
      </w:r>
      <w:r w:rsidR="001F1A41">
        <w:t>s</w:t>
      </w:r>
      <w:r>
        <w:t xml:space="preserve"> for telecommunication has thus been determined to be angular </w:t>
      </w:r>
      <w:r w:rsidR="001F1A41">
        <w:t>distortion and horizontal strain.</w:t>
      </w:r>
    </w:p>
    <w:p w14:paraId="32387BBE" w14:textId="0AEF5A61" w:rsidR="0023226C" w:rsidRPr="00AF12F7" w:rsidRDefault="0023226C" w:rsidP="004C3AFA">
      <w:pPr>
        <w:pStyle w:val="Heading4"/>
        <w:rPr>
          <w:lang w:val="en-AU"/>
        </w:rPr>
      </w:pPr>
      <w:r w:rsidRPr="0061134C">
        <w:t>Thresholds</w:t>
      </w:r>
      <w:r w:rsidRPr="00AF12F7">
        <w:rPr>
          <w:lang w:val="en-AU"/>
        </w:rPr>
        <w:t xml:space="preserve"> and Rationale </w:t>
      </w:r>
    </w:p>
    <w:p w14:paraId="67661B6F" w14:textId="0F756DE2" w:rsidR="00651410" w:rsidRPr="00AF12F7" w:rsidRDefault="005744A1" w:rsidP="00651410">
      <w:bookmarkStart w:id="167" w:name="_Toc501356705"/>
      <w:r>
        <w:t xml:space="preserve">The proposed thresholds for </w:t>
      </w:r>
      <w:r w:rsidR="008D111D">
        <w:t>telecommunications</w:t>
      </w:r>
      <w:r w:rsidR="003F1D90">
        <w:t xml:space="preserve"> </w:t>
      </w:r>
      <w:r w:rsidR="00E03DC3">
        <w:t xml:space="preserve">are recommended to be the same as those recommended for </w:t>
      </w:r>
      <w:r w:rsidR="00772255">
        <w:t>pipelines</w:t>
      </w:r>
      <w:r w:rsidR="00E03DC3">
        <w:t xml:space="preserve"> and </w:t>
      </w:r>
      <w:r w:rsidR="008D111D">
        <w:t>electricity</w:t>
      </w:r>
      <w:r w:rsidR="00E03DC3">
        <w:t xml:space="preserve"> transmission</w:t>
      </w:r>
      <w:r w:rsidR="008D111D">
        <w:t xml:space="preserve"> towers.</w:t>
      </w:r>
      <w:r w:rsidR="00E03DC3">
        <w:t xml:space="preserve"> </w:t>
      </w:r>
    </w:p>
    <w:p w14:paraId="3BE525F9" w14:textId="77777777" w:rsidR="0023226C" w:rsidRDefault="0023226C" w:rsidP="004C3AFA">
      <w:pPr>
        <w:pStyle w:val="Heading3"/>
      </w:pPr>
      <w:r w:rsidRPr="0061134C">
        <w:t>Bridges</w:t>
      </w:r>
      <w:bookmarkEnd w:id="167"/>
    </w:p>
    <w:p w14:paraId="60EE88B7" w14:textId="6260E860" w:rsidR="0023226C" w:rsidRDefault="0023226C" w:rsidP="0023226C">
      <w:r>
        <w:t xml:space="preserve">The metrics and thresholds for the potential damage </w:t>
      </w:r>
      <w:r w:rsidR="00D1716B">
        <w:t xml:space="preserve">to bridges due to </w:t>
      </w:r>
      <w:r>
        <w:t xml:space="preserve">ground movement is detailed in this section. </w:t>
      </w:r>
    </w:p>
    <w:p w14:paraId="085F3CDE" w14:textId="4D1A44DA" w:rsidR="0023226C" w:rsidRPr="009620C9" w:rsidRDefault="0023226C" w:rsidP="002F04FD">
      <w:pPr>
        <w:pStyle w:val="Para0"/>
      </w:pPr>
      <w:r w:rsidRPr="009620C9">
        <w:rPr>
          <w:lang w:val="en-AU"/>
        </w:rPr>
        <w:t xml:space="preserve">Relevant standards, guidelines and reference documents </w:t>
      </w:r>
      <w:r w:rsidR="00CF30A4">
        <w:rPr>
          <w:lang w:val="en-AU"/>
        </w:rPr>
        <w:t xml:space="preserve">for bridges </w:t>
      </w:r>
      <w:r w:rsidRPr="009620C9">
        <w:rPr>
          <w:lang w:val="en-AU"/>
        </w:rPr>
        <w:t>are listed in</w:t>
      </w:r>
      <w:r w:rsidR="00CD7700">
        <w:rPr>
          <w:lang w:val="en-AU"/>
        </w:rPr>
        <w:t xml:space="preserve"> </w:t>
      </w:r>
      <w:r w:rsidR="00CD7700">
        <w:rPr>
          <w:lang w:val="en-AU"/>
        </w:rPr>
        <w:fldChar w:fldCharType="begin"/>
      </w:r>
      <w:r w:rsidR="00CD7700">
        <w:rPr>
          <w:lang w:val="en-AU"/>
        </w:rPr>
        <w:instrText xml:space="preserve"> REF _Ref506900209 \h </w:instrText>
      </w:r>
      <w:r w:rsidR="00CD7700">
        <w:rPr>
          <w:lang w:val="en-AU"/>
        </w:rPr>
      </w:r>
      <w:r w:rsidR="00CD7700">
        <w:rPr>
          <w:lang w:val="en-AU"/>
        </w:rPr>
        <w:fldChar w:fldCharType="separate"/>
      </w:r>
      <w:r w:rsidR="00A83148" w:rsidRPr="009038E7">
        <w:t xml:space="preserve">Table </w:t>
      </w:r>
      <w:r w:rsidR="00A83148">
        <w:rPr>
          <w:noProof/>
        </w:rPr>
        <w:t>5</w:t>
      </w:r>
      <w:r w:rsidR="00A83148" w:rsidRPr="009038E7">
        <w:t>.</w:t>
      </w:r>
      <w:r w:rsidR="00A83148">
        <w:rPr>
          <w:noProof/>
        </w:rPr>
        <w:t>21</w:t>
      </w:r>
      <w:r w:rsidR="00CD7700">
        <w:rPr>
          <w:lang w:val="en-AU"/>
        </w:rPr>
        <w:fldChar w:fldCharType="end"/>
      </w:r>
      <w:r w:rsidRPr="009620C9">
        <w:rPr>
          <w:lang w:val="en-AU"/>
        </w:rPr>
        <w:t xml:space="preserve">. </w:t>
      </w:r>
      <w:r w:rsidR="00682499">
        <w:rPr>
          <w:lang w:val="en-AU"/>
        </w:rPr>
        <w:t xml:space="preserve"> </w:t>
      </w:r>
      <w:r w:rsidRPr="009620C9">
        <w:rPr>
          <w:lang w:val="en-AU"/>
        </w:rPr>
        <w:t xml:space="preserve">The </w:t>
      </w:r>
      <w:r w:rsidRPr="009620C9">
        <w:t xml:space="preserve">Austroads Guide titled </w:t>
      </w:r>
      <w:r w:rsidR="00425A8E">
        <w:t>‘</w:t>
      </w:r>
      <w:r w:rsidR="00435509">
        <w:t>T</w:t>
      </w:r>
      <w:r w:rsidRPr="009620C9">
        <w:t xml:space="preserve">he Austroads Guide to </w:t>
      </w:r>
      <w:r>
        <w:t xml:space="preserve">Bridge Technology Parts 1 to </w:t>
      </w:r>
      <w:r w:rsidR="00435509">
        <w:t>8</w:t>
      </w:r>
      <w:r w:rsidR="00425A8E">
        <w:t>’</w:t>
      </w:r>
      <w:r>
        <w:t xml:space="preserve"> are</w:t>
      </w:r>
      <w:r w:rsidRPr="009620C9">
        <w:t xml:space="preserve"> </w:t>
      </w:r>
      <w:r w:rsidR="008B339A">
        <w:t xml:space="preserve">the </w:t>
      </w:r>
      <w:r w:rsidRPr="009620C9">
        <w:t xml:space="preserve">over-arching documents </w:t>
      </w:r>
      <w:r>
        <w:t xml:space="preserve">that </w:t>
      </w:r>
      <w:r w:rsidRPr="009620C9">
        <w:t xml:space="preserve">provide the framework for design and management of the </w:t>
      </w:r>
      <w:r>
        <w:t>bridges (and other highway structures) across Australia.</w:t>
      </w:r>
      <w:r w:rsidR="00435509">
        <w:t xml:space="preserve"> </w:t>
      </w:r>
    </w:p>
    <w:p w14:paraId="48AEC686" w14:textId="0795F032" w:rsidR="0023226C" w:rsidRPr="002F04FD" w:rsidRDefault="00435509" w:rsidP="002F04FD">
      <w:pPr>
        <w:pStyle w:val="Para0"/>
      </w:pPr>
      <w:bookmarkStart w:id="168" w:name="_Ref499204173"/>
      <w:r w:rsidRPr="002F04FD">
        <w:t xml:space="preserve">There is little difference in the overall approach to design and operations standards for </w:t>
      </w:r>
      <w:r w:rsidR="001A585C" w:rsidRPr="002F04FD">
        <w:t xml:space="preserve">road bridges and roads themselves. </w:t>
      </w:r>
      <w:r w:rsidR="00682499">
        <w:t xml:space="preserve"> </w:t>
      </w:r>
      <w:r w:rsidR="001A585C" w:rsidRPr="002F04FD">
        <w:t xml:space="preserve">Similarly, the standards of </w:t>
      </w:r>
      <w:r w:rsidR="00E9627A" w:rsidRPr="002F04FD">
        <w:t>rail bridges are fundamentally defined by the track standards for rail that have been discussed previously.</w:t>
      </w:r>
      <w:r w:rsidR="002E23CA" w:rsidRPr="002F04FD">
        <w:t xml:space="preserve"> </w:t>
      </w:r>
      <w:r w:rsidR="00682499">
        <w:t xml:space="preserve"> </w:t>
      </w:r>
      <w:r w:rsidR="002E23CA" w:rsidRPr="002F04FD">
        <w:t xml:space="preserve">Through this study </w:t>
      </w:r>
      <w:r w:rsidR="002E23CA" w:rsidRPr="00070F42">
        <w:t>we have</w:t>
      </w:r>
      <w:r w:rsidR="002E23CA" w:rsidRPr="002F04FD">
        <w:t xml:space="preserve"> been unable to identify thresholds that are markedly different for bridges than </w:t>
      </w:r>
      <w:r w:rsidR="00843A3C" w:rsidRPr="002F04FD">
        <w:t xml:space="preserve">apply to roads and rail. </w:t>
      </w:r>
      <w:r w:rsidR="00376A3A">
        <w:t xml:space="preserve"> </w:t>
      </w:r>
      <w:r w:rsidR="00843A3C" w:rsidRPr="002F04FD">
        <w:t xml:space="preserve">Accordingly, these values are recommended as a starting point. </w:t>
      </w:r>
      <w:r w:rsidR="00682499">
        <w:t xml:space="preserve"> </w:t>
      </w:r>
      <w:r w:rsidR="00843A3C" w:rsidRPr="002F04FD">
        <w:t xml:space="preserve">At later stages in the LVRRS if ground movement is seen as a significant issue for a particular structure, then </w:t>
      </w:r>
      <w:r w:rsidR="002F04FD" w:rsidRPr="002F04FD">
        <w:t>additional data on particular structures should be sought.</w:t>
      </w:r>
      <w:r w:rsidR="002E23CA" w:rsidRPr="002F04FD">
        <w:t xml:space="preserve"> </w:t>
      </w:r>
      <w:r w:rsidR="00E9627A" w:rsidRPr="002F04FD">
        <w:t xml:space="preserve"> </w:t>
      </w:r>
    </w:p>
    <w:p w14:paraId="7402CD28" w14:textId="27368BC7" w:rsidR="0023226C" w:rsidRPr="002B0110" w:rsidRDefault="005A4C23" w:rsidP="005A4C23">
      <w:pPr>
        <w:pStyle w:val="Caption"/>
      </w:pPr>
      <w:bookmarkStart w:id="169" w:name="_Ref506900209"/>
      <w:bookmarkStart w:id="170" w:name="_Toc501356749"/>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21</w:t>
      </w:r>
      <w:r>
        <w:fldChar w:fldCharType="end"/>
      </w:r>
      <w:bookmarkEnd w:id="169"/>
      <w:r w:rsidRPr="009038E7">
        <w:t xml:space="preserve"> : </w:t>
      </w:r>
      <w:bookmarkEnd w:id="168"/>
      <w:r w:rsidR="0023226C">
        <w:t xml:space="preserve">Bridges </w:t>
      </w:r>
      <w:r w:rsidR="008276B9">
        <w:t>–</w:t>
      </w:r>
      <w:r w:rsidR="0023226C">
        <w:t xml:space="preserve"> </w:t>
      </w:r>
      <w:bookmarkEnd w:id="170"/>
      <w:r w:rsidR="008276B9">
        <w:t>key design standards and gu</w:t>
      </w:r>
      <w:r w:rsidR="00682499">
        <w:t>i</w:t>
      </w:r>
      <w:r w:rsidR="008276B9">
        <w:t>de</w:t>
      </w:r>
      <w:r w:rsidR="00682499">
        <w:t>l</w:t>
      </w:r>
      <w:r w:rsidR="008276B9">
        <w:t>ines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5"/>
        <w:gridCol w:w="7894"/>
      </w:tblGrid>
      <w:tr w:rsidR="008276B9" w:rsidRPr="00D06BB7" w14:paraId="67FDCD86" w14:textId="77777777" w:rsidTr="008276B9">
        <w:tc>
          <w:tcPr>
            <w:tcW w:w="1995" w:type="dxa"/>
            <w:shd w:val="clear" w:color="auto" w:fill="00338D"/>
          </w:tcPr>
          <w:p w14:paraId="2A856680" w14:textId="77777777" w:rsidR="008276B9" w:rsidRPr="00DB324B" w:rsidRDefault="008276B9" w:rsidP="0023226C">
            <w:pPr>
              <w:keepNext/>
              <w:spacing w:before="100" w:after="100"/>
              <w:rPr>
                <w:color w:val="FFFFFF" w:themeColor="background1"/>
                <w:lang w:val="en-AU"/>
              </w:rPr>
            </w:pPr>
            <w:r w:rsidRPr="00DB324B">
              <w:rPr>
                <w:rFonts w:ascii="Arial Black" w:hAnsi="Arial Black"/>
                <w:b/>
                <w:color w:val="FFFFFF" w:themeColor="background1"/>
                <w:sz w:val="16"/>
              </w:rPr>
              <w:t>Value Category</w:t>
            </w:r>
          </w:p>
        </w:tc>
        <w:tc>
          <w:tcPr>
            <w:tcW w:w="7894" w:type="dxa"/>
            <w:shd w:val="clear" w:color="auto" w:fill="00338D"/>
          </w:tcPr>
          <w:p w14:paraId="30091881" w14:textId="77777777" w:rsidR="008276B9" w:rsidRPr="00DB324B" w:rsidRDefault="008276B9" w:rsidP="0023226C">
            <w:pPr>
              <w:keepNext/>
              <w:spacing w:before="100" w:after="100"/>
              <w:rPr>
                <w:rFonts w:ascii="Arial Black" w:hAnsi="Arial Black"/>
                <w:b/>
                <w:color w:val="FFFFFF" w:themeColor="background1"/>
                <w:sz w:val="16"/>
              </w:rPr>
            </w:pPr>
            <w:r w:rsidRPr="00DB324B">
              <w:rPr>
                <w:rFonts w:ascii="Arial Black" w:hAnsi="Arial Black"/>
                <w:b/>
                <w:color w:val="FFFFFF" w:themeColor="background1"/>
                <w:sz w:val="16"/>
              </w:rPr>
              <w:t>Standard, Guideline or Reference Documents</w:t>
            </w:r>
          </w:p>
        </w:tc>
      </w:tr>
      <w:tr w:rsidR="008276B9" w14:paraId="625C01B1" w14:textId="77777777" w:rsidTr="008276B9">
        <w:tc>
          <w:tcPr>
            <w:tcW w:w="1995" w:type="dxa"/>
          </w:tcPr>
          <w:p w14:paraId="0EC28485" w14:textId="77777777" w:rsidR="008276B9" w:rsidRPr="0098775D" w:rsidRDefault="008276B9" w:rsidP="0023226C">
            <w:pPr>
              <w:spacing w:after="60"/>
              <w:rPr>
                <w:rFonts w:eastAsia="MS Mincho"/>
                <w:sz w:val="18"/>
              </w:rPr>
            </w:pPr>
            <w:r w:rsidRPr="0098775D">
              <w:rPr>
                <w:rFonts w:eastAsia="MS Mincho"/>
                <w:sz w:val="18"/>
              </w:rPr>
              <w:t>Social/Cultural</w:t>
            </w:r>
          </w:p>
        </w:tc>
        <w:tc>
          <w:tcPr>
            <w:tcW w:w="7894" w:type="dxa"/>
          </w:tcPr>
          <w:p w14:paraId="14F6E929"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Road Management Act 2004</w:t>
            </w:r>
          </w:p>
          <w:p w14:paraId="5F5B7BCC"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Codes of Practice under the Road Management Act</w:t>
            </w:r>
          </w:p>
          <w:p w14:paraId="53A919E6"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Road Safety Act 1986</w:t>
            </w:r>
          </w:p>
          <w:p w14:paraId="19536FC3"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Austroads (2013) Guide to Bridge Technology</w:t>
            </w:r>
          </w:p>
          <w:p w14:paraId="30F35233"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Austroads (2012) Bridge Design Guidelines for Earthquakes</w:t>
            </w:r>
          </w:p>
          <w:p w14:paraId="01A53783"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DELWP (2017) Latrobe Planning Scheme</w:t>
            </w:r>
          </w:p>
          <w:p w14:paraId="3A4F4CEB" w14:textId="03EA94A9"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 xml:space="preserve">Planning </w:t>
            </w:r>
            <w:r w:rsidR="00995342">
              <w:rPr>
                <w:rFonts w:eastAsia="Times New Roman" w:cs="Arial"/>
                <w:sz w:val="18"/>
                <w:szCs w:val="20"/>
                <w:lang w:val="en-AU"/>
              </w:rPr>
              <w:t xml:space="preserve">and </w:t>
            </w:r>
            <w:r w:rsidRPr="00CD7700">
              <w:rPr>
                <w:rFonts w:eastAsia="Times New Roman" w:cs="Arial"/>
                <w:sz w:val="18"/>
                <w:szCs w:val="20"/>
                <w:lang w:val="en-AU"/>
              </w:rPr>
              <w:t xml:space="preserve">Environment Act </w:t>
            </w:r>
            <w:r w:rsidR="00995342">
              <w:rPr>
                <w:rFonts w:eastAsia="Times New Roman" w:cs="Arial"/>
                <w:sz w:val="18"/>
                <w:szCs w:val="20"/>
                <w:lang w:val="en-AU"/>
              </w:rPr>
              <w:t>(</w:t>
            </w:r>
            <w:r w:rsidRPr="00CD7700">
              <w:rPr>
                <w:rFonts w:eastAsia="Times New Roman" w:cs="Arial"/>
                <w:sz w:val="18"/>
                <w:szCs w:val="20"/>
                <w:lang w:val="en-AU"/>
              </w:rPr>
              <w:t>1987)</w:t>
            </w:r>
          </w:p>
          <w:p w14:paraId="0F46B349"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Live Work Latrobe (Housing Strategy, Industrial Land Use and Employment Strategy and Rural Land Use Strategy) (2016)</w:t>
            </w:r>
          </w:p>
          <w:p w14:paraId="2658A348"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Mine Subsidence Board (2009) Graduated Guidelines for Residential Construction (NSW) Historical and Technical Background</w:t>
            </w:r>
          </w:p>
          <w:p w14:paraId="317CB7A1"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Harrison, J (2011) Mining Engineering Handbook, Mine Subsidence, Society for Mining, Metallurgy and Exploration</w:t>
            </w:r>
          </w:p>
          <w:p w14:paraId="189D775A"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Singh, M (1986) Mine subsidence, Society for Mining, Metallurgy and Exploration</w:t>
            </w:r>
          </w:p>
          <w:p w14:paraId="6BF885B1"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Building Code of Australia (BCA), in the National Construction Code series, contains technical provisions for the design and construction of buildings and other structures.</w:t>
            </w:r>
          </w:p>
          <w:p w14:paraId="382DDAE0" w14:textId="5BEE7195" w:rsidR="008276B9" w:rsidRPr="00CD7700"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101" w:history="1">
              <w:r w:rsidR="008276B9" w:rsidRPr="00CD7700">
                <w:rPr>
                  <w:rFonts w:eastAsia="Times New Roman" w:cs="Arial"/>
                  <w:sz w:val="18"/>
                  <w:szCs w:val="20"/>
                  <w:lang w:val="en-AU"/>
                </w:rPr>
                <w:t>Standards Australia</w:t>
              </w:r>
            </w:hyperlink>
            <w:r w:rsidR="008276B9" w:rsidRPr="00CD7700">
              <w:rPr>
                <w:rFonts w:eastAsia="Times New Roman" w:cs="Arial"/>
                <w:sz w:val="18"/>
                <w:szCs w:val="20"/>
                <w:lang w:val="en-AU"/>
              </w:rPr>
              <w:t xml:space="preserve"> associated publications</w:t>
            </w:r>
          </w:p>
          <w:p w14:paraId="52329BB7"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AS 2159 Design and Installation of Piles</w:t>
            </w:r>
          </w:p>
          <w:p w14:paraId="7A8C9B3C"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AS 5100 Bridge Design (2004)</w:t>
            </w:r>
          </w:p>
          <w:p w14:paraId="7F2C523E"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AS 5100.2 Section 14 Earthquake design for bridges</w:t>
            </w:r>
          </w:p>
        </w:tc>
      </w:tr>
      <w:tr w:rsidR="008276B9" w14:paraId="0D6A3256" w14:textId="77777777" w:rsidTr="008276B9">
        <w:tc>
          <w:tcPr>
            <w:tcW w:w="1995" w:type="dxa"/>
          </w:tcPr>
          <w:p w14:paraId="7EB9D62A" w14:textId="77777777" w:rsidR="008276B9" w:rsidRPr="0098775D" w:rsidRDefault="008276B9" w:rsidP="0023226C">
            <w:pPr>
              <w:spacing w:after="60"/>
              <w:rPr>
                <w:rFonts w:eastAsia="MS Mincho"/>
                <w:sz w:val="18"/>
              </w:rPr>
            </w:pPr>
            <w:r>
              <w:rPr>
                <w:rFonts w:eastAsia="MS Mincho"/>
                <w:sz w:val="18"/>
              </w:rPr>
              <w:t>Economic</w:t>
            </w:r>
          </w:p>
        </w:tc>
        <w:tc>
          <w:tcPr>
            <w:tcW w:w="7894" w:type="dxa"/>
          </w:tcPr>
          <w:p w14:paraId="2807C99F"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DELWP (2017) Latrobe Planning Scheme</w:t>
            </w:r>
          </w:p>
          <w:p w14:paraId="4DCEB107" w14:textId="77777777" w:rsidR="008276B9" w:rsidRPr="00CD7700" w:rsidRDefault="008276B9" w:rsidP="006F654D">
            <w:pPr>
              <w:numPr>
                <w:ilvl w:val="0"/>
                <w:numId w:val="33"/>
              </w:numPr>
              <w:spacing w:after="0" w:line="240" w:lineRule="auto"/>
              <w:ind w:left="209" w:hanging="284"/>
              <w:contextualSpacing/>
              <w:rPr>
                <w:rFonts w:eastAsia="Times New Roman" w:cs="Arial"/>
                <w:sz w:val="18"/>
                <w:szCs w:val="20"/>
                <w:lang w:val="en-AU"/>
              </w:rPr>
            </w:pPr>
            <w:r w:rsidRPr="00CD7700">
              <w:rPr>
                <w:rFonts w:eastAsia="Times New Roman" w:cs="Arial"/>
                <w:sz w:val="18"/>
                <w:szCs w:val="20"/>
                <w:lang w:val="en-AU"/>
              </w:rPr>
              <w:t>Live Work Latrobe (Housing Strategy, Industrial Land Use and Employment Strategy and Rural Land Use Strategy) (2016)</w:t>
            </w:r>
          </w:p>
        </w:tc>
      </w:tr>
    </w:tbl>
    <w:p w14:paraId="7E6A7459" w14:textId="17893FEF" w:rsidR="0023226C" w:rsidRDefault="0023226C" w:rsidP="004C3AFA">
      <w:pPr>
        <w:pStyle w:val="Heading4"/>
        <w:rPr>
          <w:lang w:val="en-AU"/>
        </w:rPr>
      </w:pPr>
      <w:bookmarkStart w:id="171" w:name="_Toc501356708"/>
      <w:r w:rsidRPr="0061134C">
        <w:t>Metrics</w:t>
      </w:r>
      <w:bookmarkEnd w:id="171"/>
    </w:p>
    <w:p w14:paraId="3F28E8B1" w14:textId="2668BBB1" w:rsidR="0023226C" w:rsidRPr="006649FF" w:rsidRDefault="0023226C" w:rsidP="0023226C">
      <w:r w:rsidRPr="00CD7700">
        <w:t>Ground movement may cause damage to bridges by horizontal ground strain resulting in the movement of the supports of piers either towards or away from one another.  Differential vertical settlement or distortions in the horizontal plane may bring about</w:t>
      </w:r>
      <w:r w:rsidRPr="00AD62D6">
        <w:t xml:space="preserve"> </w:t>
      </w:r>
      <w:r w:rsidRPr="00CD7700">
        <w:t>complex and often serious effects on the decking and arches</w:t>
      </w:r>
      <w:r w:rsidR="00135851">
        <w:t xml:space="preserve"> (Anon, 1975a)</w:t>
      </w:r>
      <w:r w:rsidR="00135851">
        <w:rPr>
          <w:spacing w:val="-2"/>
          <w:w w:val="105"/>
        </w:rPr>
        <w:t>.</w:t>
      </w:r>
    </w:p>
    <w:p w14:paraId="1F7395C9" w14:textId="6C7A98CE" w:rsidR="0023226C" w:rsidRDefault="0023226C" w:rsidP="0023226C">
      <w:pPr>
        <w:rPr>
          <w:spacing w:val="31"/>
          <w:w w:val="105"/>
        </w:rPr>
      </w:pPr>
      <w:r w:rsidRPr="00CD7700">
        <w:t>Damage by ground movement can often be the result of compressive damage which can lead to crushing and spalling of concrete decks and plaster or a combination of compression and extension due to bending which may cause opening and closing of construction joints in abutments and plaster cracking.  At the higher end of the scale, damage is characteri</w:t>
      </w:r>
      <w:r w:rsidR="00682499">
        <w:t>s</w:t>
      </w:r>
      <w:r w:rsidRPr="00CD7700">
        <w:t>ed by distress in the superstructure, inward horizontal movement of abutments, jamming of beams and girders against the back wall of the abutments, and serious damage to the bearings</w:t>
      </w:r>
      <w:r w:rsidR="00135851">
        <w:t xml:space="preserve"> (Moulton </w:t>
      </w:r>
      <w:r w:rsidR="00135851" w:rsidRPr="00135851">
        <w:rPr>
          <w:i/>
        </w:rPr>
        <w:t>et al.</w:t>
      </w:r>
      <w:r w:rsidR="00135851">
        <w:t xml:space="preserve"> 1982)</w:t>
      </w:r>
      <w:r w:rsidR="00135851">
        <w:rPr>
          <w:w w:val="105"/>
        </w:rPr>
        <w:t>.</w:t>
      </w:r>
    </w:p>
    <w:p w14:paraId="083ECDEE" w14:textId="50E55CB2" w:rsidR="0023226C" w:rsidRPr="002F262B" w:rsidRDefault="0023226C" w:rsidP="0023226C">
      <w:r>
        <w:t xml:space="preserve">In event of a large earthquake, the performance of bridges during and after earthquakes is essential in ensuring </w:t>
      </w:r>
      <w:r w:rsidR="00866B14">
        <w:t>transport</w:t>
      </w:r>
      <w:r>
        <w:t xml:space="preserve"> networks remain open</w:t>
      </w:r>
      <w:r w:rsidRPr="002F262B">
        <w:t xml:space="preserve">.  The current Australian design guideline and international seismic design practices formulates new force-based and displacement-based code provisions for the design of bridges to earthquake loads suitable for inclusion in current Australian design codes. </w:t>
      </w:r>
      <w:r w:rsidR="00682499">
        <w:t xml:space="preserve"> </w:t>
      </w:r>
      <w:r w:rsidRPr="002F262B">
        <w:t xml:space="preserve">In Australia, bridges are designed to prevent collapse while allowing some damage to be sustained. </w:t>
      </w:r>
      <w:r w:rsidR="00682499">
        <w:t xml:space="preserve"> </w:t>
      </w:r>
      <w:r w:rsidRPr="002F262B">
        <w:t>The level of damage depends on the function and importance of the structure as determined by a number of Australian Standards</w:t>
      </w:r>
      <w:r w:rsidR="00866B14">
        <w:t xml:space="preserve"> (Austroads, 2012)</w:t>
      </w:r>
      <w:r w:rsidR="00866B14">
        <w:rPr>
          <w:rStyle w:val="FootnoteReference"/>
        </w:rPr>
        <w:t>,</w:t>
      </w:r>
      <w:r w:rsidRPr="002F262B">
        <w:t xml:space="preserve"> such as AS 5100.2:2004 Bridge design – Part 2. Design loads</w:t>
      </w:r>
      <w:r w:rsidR="00902D62">
        <w:t xml:space="preserve"> should </w:t>
      </w:r>
      <w:r w:rsidRPr="002F262B">
        <w:t>ensure compatibility with AS 1170.4:2007 Minimum design loads on structures – Part 4: Earthquake loads.</w:t>
      </w:r>
    </w:p>
    <w:p w14:paraId="6C6EE2A0" w14:textId="77777777" w:rsidR="0023226C" w:rsidRDefault="0023226C" w:rsidP="0023226C">
      <w:r>
        <w:t>Based on the AS 5100.2:2004 and AS 1170.4:2007 the general overview for design with respect to earthquakes includes:</w:t>
      </w:r>
    </w:p>
    <w:p w14:paraId="74F8F2AE" w14:textId="2CA41B40" w:rsidR="0023226C" w:rsidRPr="005A4C23" w:rsidRDefault="0023226C" w:rsidP="00CD7700">
      <w:pPr>
        <w:pStyle w:val="Para0bullet"/>
      </w:pPr>
      <w:r w:rsidRPr="005A4C23">
        <w:t xml:space="preserve">Determine bridge importance level </w:t>
      </w:r>
    </w:p>
    <w:p w14:paraId="0D830668" w14:textId="533B8A59" w:rsidR="0023226C" w:rsidRPr="005A4C23" w:rsidRDefault="0023226C" w:rsidP="00CD7700">
      <w:pPr>
        <w:pStyle w:val="Para0bullet"/>
      </w:pPr>
      <w:r w:rsidRPr="005A4C23">
        <w:t>Determine probability factor</w:t>
      </w:r>
    </w:p>
    <w:p w14:paraId="76998DBC" w14:textId="2D34B0F1" w:rsidR="0023226C" w:rsidRPr="005A4C23" w:rsidRDefault="0023226C" w:rsidP="00CD7700">
      <w:pPr>
        <w:pStyle w:val="Para0bullet"/>
      </w:pPr>
      <w:r w:rsidRPr="005A4C23">
        <w:t>Determine site hazard factor</w:t>
      </w:r>
    </w:p>
    <w:p w14:paraId="7BDF49D9" w14:textId="22D4768E" w:rsidR="0023226C" w:rsidRPr="005A4C23" w:rsidRDefault="0023226C" w:rsidP="00CD7700">
      <w:pPr>
        <w:pStyle w:val="Para0bullet"/>
      </w:pPr>
      <w:r w:rsidRPr="005A4C23">
        <w:t>Determine site subsoil class</w:t>
      </w:r>
    </w:p>
    <w:p w14:paraId="4021010B" w14:textId="7165C866" w:rsidR="0023226C" w:rsidRPr="005A4C23" w:rsidRDefault="0023226C" w:rsidP="00CD7700">
      <w:pPr>
        <w:pStyle w:val="Para0bullet"/>
      </w:pPr>
      <w:r w:rsidRPr="005A4C23">
        <w:t xml:space="preserve">Using the outcomes of steps 1, 2 and 3, determine bridge earthquake design category (BEDC) </w:t>
      </w:r>
    </w:p>
    <w:p w14:paraId="4D31DC89" w14:textId="427C3328" w:rsidR="0023226C" w:rsidRPr="005A4C23" w:rsidRDefault="0023226C" w:rsidP="00CD7700">
      <w:pPr>
        <w:pStyle w:val="Para0bullet"/>
      </w:pPr>
      <w:r w:rsidRPr="005A4C23">
        <w:t>Based on the BEDC, determine the required analysis effort</w:t>
      </w:r>
    </w:p>
    <w:p w14:paraId="0CE64FEF" w14:textId="08467605" w:rsidR="0023226C" w:rsidRPr="005A4C23" w:rsidRDefault="0023226C" w:rsidP="00CD7700">
      <w:pPr>
        <w:pStyle w:val="Para0bullet"/>
      </w:pPr>
      <w:r w:rsidRPr="005A4C23">
        <w:t xml:space="preserve">Determine equivalent horizontal and/or vertical design earthquake force (either by static or dynamic analysis) </w:t>
      </w:r>
    </w:p>
    <w:p w14:paraId="7A954755" w14:textId="4BF87522" w:rsidR="0023226C" w:rsidRPr="005A4C23" w:rsidRDefault="0023226C" w:rsidP="00CD7700">
      <w:pPr>
        <w:pStyle w:val="Para0bullet"/>
      </w:pPr>
      <w:r w:rsidRPr="005A4C23">
        <w:t xml:space="preserve">Detail the structural members, restraining devices, bearings and deck joints. This is the force-based approach </w:t>
      </w:r>
    </w:p>
    <w:p w14:paraId="4BDE7AF8" w14:textId="2ED96DC5" w:rsidR="0023226C" w:rsidRPr="00D877B5" w:rsidRDefault="0023226C" w:rsidP="0023226C">
      <w:pPr>
        <w:spacing w:after="60"/>
        <w:rPr>
          <w:rFonts w:eastAsia="MS Mincho"/>
        </w:rPr>
      </w:pPr>
      <w:r>
        <w:t xml:space="preserve">AS 1170.4:2007 allows for an alternative displacement-based approach to be used. </w:t>
      </w:r>
      <w:r w:rsidRPr="00D877B5">
        <w:rPr>
          <w:rFonts w:eastAsia="MS Mincho"/>
        </w:rPr>
        <w:t xml:space="preserve">Austroads (2012) </w:t>
      </w:r>
      <w:r w:rsidR="006F7B54">
        <w:rPr>
          <w:rFonts w:eastAsia="MS Mincho"/>
        </w:rPr>
        <w:t xml:space="preserve">provides further guidance for </w:t>
      </w:r>
      <w:r w:rsidRPr="00D877B5">
        <w:rPr>
          <w:rFonts w:eastAsia="MS Mincho"/>
        </w:rPr>
        <w:t>Bridge Design Guidelines for Earthquakes</w:t>
      </w:r>
      <w:r>
        <w:rPr>
          <w:rFonts w:eastAsia="MS Mincho"/>
        </w:rPr>
        <w:t xml:space="preserve"> </w:t>
      </w:r>
      <w:r w:rsidR="0004677C">
        <w:rPr>
          <w:rFonts w:eastAsia="MS Mincho"/>
        </w:rPr>
        <w:t xml:space="preserve">and </w:t>
      </w:r>
      <w:r>
        <w:t>includes an alternative displacement-based design with the design procedure as follows:</w:t>
      </w:r>
    </w:p>
    <w:p w14:paraId="312055EF" w14:textId="430690E3" w:rsidR="0023226C" w:rsidRPr="005A4C23" w:rsidRDefault="0023226C" w:rsidP="007423E2">
      <w:pPr>
        <w:pStyle w:val="Para0bullet"/>
        <w:numPr>
          <w:ilvl w:val="0"/>
          <w:numId w:val="38"/>
        </w:numPr>
      </w:pPr>
      <w:r w:rsidRPr="005A4C23">
        <w:t xml:space="preserve">Determine the site seismicity in terms of the elastic design displacement spectrum </w:t>
      </w:r>
    </w:p>
    <w:p w14:paraId="408D837F" w14:textId="1FCEC918" w:rsidR="0023226C" w:rsidRPr="005A4C23" w:rsidRDefault="0023226C" w:rsidP="007423E2">
      <w:pPr>
        <w:pStyle w:val="Para0bullet"/>
        <w:numPr>
          <w:ilvl w:val="0"/>
          <w:numId w:val="38"/>
        </w:numPr>
      </w:pPr>
      <w:r w:rsidRPr="005A4C23">
        <w:t xml:space="preserve">Determine the risk of yield displacements of internal piers </w:t>
      </w:r>
    </w:p>
    <w:p w14:paraId="0FFA7888" w14:textId="77777777" w:rsidR="0023226C" w:rsidRPr="005A4C23" w:rsidRDefault="0023226C" w:rsidP="007423E2">
      <w:pPr>
        <w:pStyle w:val="Para0bullet"/>
        <w:numPr>
          <w:ilvl w:val="0"/>
          <w:numId w:val="38"/>
        </w:numPr>
      </w:pPr>
      <w:r w:rsidRPr="005A4C23">
        <w:t xml:space="preserve">Check whether yield displacements exceed the elastic corner-period displacement. If so, no further earthquake design is needed. </w:t>
      </w:r>
    </w:p>
    <w:p w14:paraId="16EEA145" w14:textId="77777777" w:rsidR="0023226C" w:rsidRPr="005A4C23" w:rsidRDefault="0023226C" w:rsidP="007423E2">
      <w:pPr>
        <w:pStyle w:val="Para0bullet"/>
        <w:numPr>
          <w:ilvl w:val="0"/>
          <w:numId w:val="38"/>
        </w:numPr>
      </w:pPr>
      <w:r w:rsidRPr="005A4C23">
        <w:t xml:space="preserve">If the check in step 3 fails, determine the fundamental period of the bridge in the direction considered. </w:t>
      </w:r>
    </w:p>
    <w:p w14:paraId="5BAD9FD1" w14:textId="77777777" w:rsidR="0023226C" w:rsidRPr="005A4C23" w:rsidRDefault="0023226C" w:rsidP="007423E2">
      <w:pPr>
        <w:pStyle w:val="Para0bullet"/>
        <w:numPr>
          <w:ilvl w:val="0"/>
          <w:numId w:val="38"/>
        </w:numPr>
      </w:pPr>
      <w:r w:rsidRPr="005A4C23">
        <w:t xml:space="preserve">Determine the elastic displacement response of the fundamental period. </w:t>
      </w:r>
    </w:p>
    <w:p w14:paraId="2ED90745" w14:textId="77777777" w:rsidR="0023226C" w:rsidRPr="005A4C23" w:rsidRDefault="0023226C" w:rsidP="007423E2">
      <w:pPr>
        <w:pStyle w:val="Para0bullet"/>
        <w:numPr>
          <w:ilvl w:val="0"/>
          <w:numId w:val="38"/>
        </w:numPr>
      </w:pPr>
      <w:r w:rsidRPr="005A4C23">
        <w:t xml:space="preserve">Check whether yield displacements exceed elastic displacements for fundamental period. If so, no further earthquake design is needed. </w:t>
      </w:r>
    </w:p>
    <w:p w14:paraId="1A9BFB04" w14:textId="11D4B8E0" w:rsidR="0023226C" w:rsidRDefault="0023226C" w:rsidP="0023226C">
      <w:r>
        <w:t xml:space="preserve">If ductile earthquake design is indicated by the above steps, carry out </w:t>
      </w:r>
      <w:r w:rsidR="005D75F0">
        <w:t>a</w:t>
      </w:r>
      <w:r>
        <w:t xml:space="preserve"> displacement-based earthquake design </w:t>
      </w:r>
      <w:r w:rsidR="005D75F0">
        <w:t xml:space="preserve">and </w:t>
      </w:r>
      <w:r>
        <w:t>then determined if ductile earthquake is required for lateral strength of piers and abutments.</w:t>
      </w:r>
    </w:p>
    <w:p w14:paraId="6CF977BB" w14:textId="4376C039" w:rsidR="0023226C" w:rsidRPr="00685103" w:rsidRDefault="0023226C" w:rsidP="0023226C">
      <w:r>
        <w:t>The general requirement for analysis</w:t>
      </w:r>
      <w:r w:rsidR="00393B11">
        <w:t>,</w:t>
      </w:r>
      <w:r>
        <w:t xml:space="preserve"> in accordance to AS 5100.2 when determining earthquake forces on bridges</w:t>
      </w:r>
      <w:r w:rsidR="00393B11">
        <w:t>,</w:t>
      </w:r>
      <w:r>
        <w:t xml:space="preserve"> is summarised in </w:t>
      </w:r>
      <w:r w:rsidR="00CD7700">
        <w:fldChar w:fldCharType="begin"/>
      </w:r>
      <w:r w:rsidR="00CD7700">
        <w:instrText xml:space="preserve"> REF _Ref506900345 \h </w:instrText>
      </w:r>
      <w:r w:rsidR="00CD7700">
        <w:fldChar w:fldCharType="separate"/>
      </w:r>
      <w:r w:rsidR="00A83148" w:rsidRPr="009038E7">
        <w:t xml:space="preserve">Table </w:t>
      </w:r>
      <w:r w:rsidR="00A83148">
        <w:rPr>
          <w:noProof/>
        </w:rPr>
        <w:t>5</w:t>
      </w:r>
      <w:r w:rsidR="00A83148" w:rsidRPr="009038E7">
        <w:t>.</w:t>
      </w:r>
      <w:r w:rsidR="00A83148">
        <w:rPr>
          <w:noProof/>
        </w:rPr>
        <w:t>22</w:t>
      </w:r>
      <w:r w:rsidR="00CD7700">
        <w:fldChar w:fldCharType="end"/>
      </w:r>
      <w:r w:rsidR="00CD7700">
        <w:t xml:space="preserve"> </w:t>
      </w:r>
      <w:r>
        <w:t>for either static or dynamic analysis.</w:t>
      </w:r>
    </w:p>
    <w:p w14:paraId="39733260" w14:textId="769A58DF" w:rsidR="0023226C" w:rsidRDefault="005A4C23" w:rsidP="005A4C23">
      <w:pPr>
        <w:pStyle w:val="Caption"/>
      </w:pPr>
      <w:bookmarkStart w:id="172" w:name="_Ref506900345"/>
      <w:bookmarkStart w:id="173" w:name="_Toc501356750"/>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22</w:t>
      </w:r>
      <w:r>
        <w:fldChar w:fldCharType="end"/>
      </w:r>
      <w:bookmarkEnd w:id="172"/>
      <w:r w:rsidRPr="009038E7">
        <w:t xml:space="preserve"> : </w:t>
      </w:r>
      <w:r w:rsidR="0023226C">
        <w:t>Bridge Design Actions for Earthquakes in AS 5100.2</w:t>
      </w:r>
      <w:bookmarkEnd w:id="173"/>
    </w:p>
    <w:p w14:paraId="028FF018" w14:textId="77777777" w:rsidR="005E3B9B" w:rsidRDefault="00246B19" w:rsidP="0023226C">
      <w:pPr>
        <w:rPr>
          <w:lang w:val="en-AU"/>
        </w:rPr>
      </w:pPr>
      <w:r>
        <w:rPr>
          <w:noProof/>
          <w:lang w:val="en-AU" w:eastAsia="en-AU"/>
        </w:rPr>
        <w:drawing>
          <wp:inline distT="0" distB="0" distL="0" distR="0" wp14:anchorId="66FA7167" wp14:editId="0360828F">
            <wp:extent cx="5873750" cy="3111500"/>
            <wp:effectExtent l="0" t="0" r="0" b="0"/>
            <wp:docPr id="20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a:extLst>
                        <a:ext uri="{28A0092B-C50C-407E-A947-70E740481C1C}">
                          <a14:useLocalDpi xmlns:a14="http://schemas.microsoft.com/office/drawing/2010/main" val="0"/>
                        </a:ext>
                      </a:extLst>
                    </a:blip>
                    <a:srcRect t="6273"/>
                    <a:stretch>
                      <a:fillRect/>
                    </a:stretch>
                  </pic:blipFill>
                  <pic:spPr bwMode="auto">
                    <a:xfrm>
                      <a:off x="0" y="0"/>
                      <a:ext cx="5873750" cy="3111500"/>
                    </a:xfrm>
                    <a:prstGeom prst="rect">
                      <a:avLst/>
                    </a:prstGeom>
                    <a:noFill/>
                    <a:ln>
                      <a:noFill/>
                    </a:ln>
                  </pic:spPr>
                </pic:pic>
              </a:graphicData>
            </a:graphic>
          </wp:inline>
        </w:drawing>
      </w:r>
    </w:p>
    <w:p w14:paraId="26FCF51F" w14:textId="013A99D1" w:rsidR="0023226C" w:rsidRDefault="0023226C" w:rsidP="0023226C">
      <w:pPr>
        <w:spacing w:after="0" w:line="240" w:lineRule="auto"/>
        <w:rPr>
          <w:b/>
        </w:rPr>
      </w:pPr>
      <w:r>
        <w:rPr>
          <w:lang w:val="en-AU"/>
        </w:rPr>
        <w:t xml:space="preserve">The proposed </w:t>
      </w:r>
      <w:r w:rsidR="00D1716B">
        <w:rPr>
          <w:lang w:val="en-AU"/>
        </w:rPr>
        <w:t xml:space="preserve">method to assess the potential for RIS-induced damage to bridges as part of the </w:t>
      </w:r>
      <w:r w:rsidR="002F3D19">
        <w:rPr>
          <w:lang w:val="en-AU"/>
        </w:rPr>
        <w:t xml:space="preserve">LVRRS </w:t>
      </w:r>
      <w:r w:rsidR="00D1716B">
        <w:rPr>
          <w:lang w:val="en-AU"/>
        </w:rPr>
        <w:t xml:space="preserve">is presented in </w:t>
      </w:r>
      <w:r w:rsidR="00CD7700">
        <w:rPr>
          <w:lang w:val="en-AU"/>
        </w:rPr>
        <w:fldChar w:fldCharType="begin"/>
      </w:r>
      <w:r w:rsidR="00CD7700">
        <w:rPr>
          <w:lang w:val="en-AU"/>
        </w:rPr>
        <w:instrText xml:space="preserve"> REF _Ref506900345 \h </w:instrText>
      </w:r>
      <w:r w:rsidR="00CD7700">
        <w:rPr>
          <w:lang w:val="en-AU"/>
        </w:rPr>
      </w:r>
      <w:r w:rsidR="00CD7700">
        <w:rPr>
          <w:lang w:val="en-AU"/>
        </w:rPr>
        <w:fldChar w:fldCharType="separate"/>
      </w:r>
      <w:r w:rsidR="00A83148" w:rsidRPr="009038E7">
        <w:t xml:space="preserve">Table </w:t>
      </w:r>
      <w:r w:rsidR="00A83148">
        <w:rPr>
          <w:noProof/>
        </w:rPr>
        <w:t>5</w:t>
      </w:r>
      <w:r w:rsidR="00A83148" w:rsidRPr="009038E7">
        <w:t>.</w:t>
      </w:r>
      <w:r w:rsidR="00A83148">
        <w:rPr>
          <w:noProof/>
        </w:rPr>
        <w:t>22</w:t>
      </w:r>
      <w:r w:rsidR="00CD7700">
        <w:rPr>
          <w:lang w:val="en-AU"/>
        </w:rPr>
        <w:fldChar w:fldCharType="end"/>
      </w:r>
      <w:r>
        <w:rPr>
          <w:lang w:val="en-AU"/>
        </w:rPr>
        <w:t>.</w:t>
      </w:r>
      <w:bookmarkStart w:id="174" w:name="_Ref499726342"/>
      <w:r w:rsidR="00387081">
        <w:rPr>
          <w:lang w:val="en-AU"/>
        </w:rPr>
        <w:t xml:space="preserve"> </w:t>
      </w:r>
      <w:r w:rsidR="00AC36FC">
        <w:rPr>
          <w:lang w:val="en-AU"/>
        </w:rPr>
        <w:t xml:space="preserve"> It may not be practical for high level design dynamic assessments to be made as part of the LVRRS, so discussion would be needed if these higher risk events are identified, such as more detailed discussion with receptors owners and custodians.</w:t>
      </w:r>
      <w:r w:rsidR="00387081">
        <w:rPr>
          <w:lang w:val="en-AU"/>
        </w:rPr>
        <w:t xml:space="preserve"> </w:t>
      </w:r>
      <w:r w:rsidR="00AC36FC">
        <w:rPr>
          <w:lang w:val="en-AU"/>
        </w:rPr>
        <w:t xml:space="preserve"> In such a heavily codified area of design, it is </w:t>
      </w:r>
      <w:r w:rsidR="007F040B">
        <w:rPr>
          <w:lang w:val="en-AU"/>
        </w:rPr>
        <w:t>n</w:t>
      </w:r>
      <w:r w:rsidR="00AC36FC">
        <w:rPr>
          <w:lang w:val="en-AU"/>
        </w:rPr>
        <w:t>ot considered appro</w:t>
      </w:r>
      <w:r w:rsidR="007F040B">
        <w:rPr>
          <w:lang w:val="en-AU"/>
        </w:rPr>
        <w:t>p</w:t>
      </w:r>
      <w:r w:rsidR="00AC36FC">
        <w:rPr>
          <w:lang w:val="en-AU"/>
        </w:rPr>
        <w:t>r</w:t>
      </w:r>
      <w:r w:rsidR="007F040B">
        <w:rPr>
          <w:lang w:val="en-AU"/>
        </w:rPr>
        <w:t>i</w:t>
      </w:r>
      <w:r w:rsidR="00AC36FC">
        <w:rPr>
          <w:lang w:val="en-AU"/>
        </w:rPr>
        <w:t xml:space="preserve">ate for this study to recommend a simplified approach. </w:t>
      </w:r>
      <w:r w:rsidR="00387081">
        <w:rPr>
          <w:lang w:val="en-AU"/>
        </w:rPr>
        <w:t xml:space="preserve"> </w:t>
      </w:r>
      <w:r w:rsidR="00AC36FC">
        <w:rPr>
          <w:lang w:val="en-AU"/>
        </w:rPr>
        <w:t xml:space="preserve">Should </w:t>
      </w:r>
      <w:r w:rsidR="007F040B">
        <w:rPr>
          <w:lang w:val="en-AU"/>
        </w:rPr>
        <w:t>significant earthquake forces be forecast as a result of rehabilitation then further consultation with bridge owners is likely to be needed to define the best course of action.</w:t>
      </w:r>
    </w:p>
    <w:p w14:paraId="5154760F" w14:textId="2465D9B5" w:rsidR="0023226C" w:rsidRDefault="005A4C23" w:rsidP="005A4C23">
      <w:pPr>
        <w:pStyle w:val="Caption"/>
      </w:pPr>
      <w:bookmarkStart w:id="175" w:name="_Toc501356751"/>
      <w:bookmarkEnd w:id="174"/>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23</w:t>
      </w:r>
      <w:r>
        <w:fldChar w:fldCharType="end"/>
      </w:r>
      <w:r w:rsidRPr="009038E7">
        <w:t xml:space="preserve"> : </w:t>
      </w:r>
      <w:r w:rsidR="0023226C">
        <w:t>Bridge analysis requirement</w:t>
      </w:r>
      <w:bookmarkEnd w:id="175"/>
      <w:r w:rsidR="000A6D26">
        <w:t xml:space="preserve"> (Austroads</w:t>
      </w:r>
      <w:r w:rsidR="00164D32">
        <w:t>,</w:t>
      </w:r>
      <w:r w:rsidR="000A6D26">
        <w:t xml:space="preserve"> 2012) See also discussion in text regarding applicability</w:t>
      </w:r>
    </w:p>
    <w:p w14:paraId="39E380E1" w14:textId="77777777" w:rsidR="005E3B9B" w:rsidRDefault="00246B19" w:rsidP="0023226C">
      <w:pPr>
        <w:jc w:val="right"/>
        <w:rPr>
          <w:sz w:val="16"/>
          <w:szCs w:val="16"/>
          <w:lang w:val="en-AU"/>
        </w:rPr>
      </w:pPr>
      <w:r>
        <w:rPr>
          <w:noProof/>
          <w:lang w:val="en-AU" w:eastAsia="en-AU"/>
        </w:rPr>
        <w:drawing>
          <wp:inline distT="0" distB="0" distL="0" distR="0" wp14:anchorId="67D413AC" wp14:editId="287D5AD4">
            <wp:extent cx="5480050" cy="1638300"/>
            <wp:effectExtent l="0" t="0" r="6350" b="0"/>
            <wp:docPr id="20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a:extLst>
                        <a:ext uri="{28A0092B-C50C-407E-A947-70E740481C1C}">
                          <a14:useLocalDpi xmlns:a14="http://schemas.microsoft.com/office/drawing/2010/main" val="0"/>
                        </a:ext>
                      </a:extLst>
                    </a:blip>
                    <a:srcRect l="3851" t="28853" r="1027"/>
                    <a:stretch>
                      <a:fillRect/>
                    </a:stretch>
                  </pic:blipFill>
                  <pic:spPr bwMode="auto">
                    <a:xfrm>
                      <a:off x="0" y="0"/>
                      <a:ext cx="5480050" cy="1638300"/>
                    </a:xfrm>
                    <a:prstGeom prst="rect">
                      <a:avLst/>
                    </a:prstGeom>
                    <a:noFill/>
                    <a:ln>
                      <a:noFill/>
                    </a:ln>
                  </pic:spPr>
                </pic:pic>
              </a:graphicData>
            </a:graphic>
          </wp:inline>
        </w:drawing>
      </w:r>
    </w:p>
    <w:p w14:paraId="046410F1" w14:textId="24823042" w:rsidR="0023226C" w:rsidRDefault="0023226C" w:rsidP="00B8201A">
      <w:pPr>
        <w:pStyle w:val="Heading4"/>
        <w:rPr>
          <w:lang w:val="en-AU"/>
        </w:rPr>
      </w:pPr>
      <w:bookmarkStart w:id="176" w:name="_Toc501356709"/>
      <w:r w:rsidRPr="0061134C">
        <w:t>Thresholds</w:t>
      </w:r>
      <w:r w:rsidRPr="00EE470C">
        <w:rPr>
          <w:lang w:val="en-AU"/>
        </w:rPr>
        <w:t xml:space="preserve"> and Rationale</w:t>
      </w:r>
      <w:bookmarkEnd w:id="176"/>
      <w:r w:rsidRPr="00EE470C">
        <w:rPr>
          <w:lang w:val="en-AU"/>
        </w:rPr>
        <w:t xml:space="preserve"> </w:t>
      </w:r>
    </w:p>
    <w:p w14:paraId="0DEA9EA2" w14:textId="62CE2698" w:rsidR="0023226C" w:rsidRDefault="0023226C" w:rsidP="0023226C">
      <w:r>
        <w:t xml:space="preserve">The damage severity levels are classified into three categories for bridges and are </w:t>
      </w:r>
      <w:r w:rsidR="00855986">
        <w:t xml:space="preserve">as described in section </w:t>
      </w:r>
      <w:r w:rsidR="001333F3">
        <w:t>5.3</w:t>
      </w:r>
      <w:r w:rsidR="00ED2CE3">
        <w:t>.</w:t>
      </w:r>
    </w:p>
    <w:p w14:paraId="7CD45F5A" w14:textId="5B87E3D0" w:rsidR="0023226C" w:rsidRDefault="00C21086" w:rsidP="0023226C">
      <w:r>
        <w:t xml:space="preserve">As per the discussion on metrics </w:t>
      </w:r>
      <w:r w:rsidR="00683CDA">
        <w:t xml:space="preserve">above, a simple single threshold is unlikely to be universally applicable to all structures.  However, a value of ground movement effect that </w:t>
      </w:r>
      <w:r w:rsidR="00E21F28">
        <w:t xml:space="preserve">could be used </w:t>
      </w:r>
      <w:r w:rsidR="002734B9">
        <w:t xml:space="preserve">as </w:t>
      </w:r>
      <w:r w:rsidR="00E21F28">
        <w:t>a trigger to undertake further assessment and discussions with bridge owners is needed.</w:t>
      </w:r>
      <w:r w:rsidR="00387081">
        <w:t xml:space="preserve"> </w:t>
      </w:r>
      <w:r w:rsidR="00E21F28">
        <w:t xml:space="preserve"> </w:t>
      </w:r>
      <w:r w:rsidR="00B964D4">
        <w:t>For this purpose</w:t>
      </w:r>
      <w:r w:rsidR="00351B09">
        <w:t>,</w:t>
      </w:r>
      <w:r w:rsidR="00B964D4">
        <w:t xml:space="preserve"> </w:t>
      </w:r>
      <w:r w:rsidR="00B964D4" w:rsidRPr="00F612B0">
        <w:t>we have</w:t>
      </w:r>
      <w:r w:rsidR="00B964D4">
        <w:t xml:space="preserve"> reviewed the available literature and recommend the thresholds identified by Singh (1986) for highway bridges to apply to all bridges.</w:t>
      </w:r>
      <w:r w:rsidR="00351B09">
        <w:t xml:space="preserve"> </w:t>
      </w:r>
      <w:r w:rsidR="00387081">
        <w:t xml:space="preserve"> </w:t>
      </w:r>
      <w:r w:rsidR="00351B09">
        <w:t>These are outlined in table 5.2</w:t>
      </w:r>
      <w:r w:rsidR="00387081">
        <w:t>4</w:t>
      </w:r>
      <w:r w:rsidR="00351B09">
        <w:t>.</w:t>
      </w:r>
      <w:r w:rsidR="00CC2EFA">
        <w:t xml:space="preserve"> </w:t>
      </w:r>
      <w:r w:rsidR="00991DDC">
        <w:t xml:space="preserve"> </w:t>
      </w:r>
      <w:r w:rsidR="00CC2EFA">
        <w:t>We suggest that for the purposes of further assessment that the architectural value be adopted as a threshold, in the abse</w:t>
      </w:r>
      <w:r w:rsidR="00CC35EA">
        <w:t xml:space="preserve">nce of any clear structure specific value. </w:t>
      </w:r>
      <w:r w:rsidR="00991DDC">
        <w:t xml:space="preserve"> </w:t>
      </w:r>
      <w:r w:rsidR="00CC35EA">
        <w:t xml:space="preserve">It may be that, with further assessment, specific thresholds for </w:t>
      </w:r>
      <w:r w:rsidR="00F95D74">
        <w:t>key structures may be able to be define. If this is important in later studies.</w:t>
      </w:r>
    </w:p>
    <w:p w14:paraId="7A5AE9DE" w14:textId="4F3E04CE" w:rsidR="0023226C" w:rsidRDefault="005A4C23" w:rsidP="005A4C23">
      <w:pPr>
        <w:pStyle w:val="Caption"/>
      </w:pPr>
      <w:bookmarkStart w:id="177" w:name="_Ref506900462"/>
      <w:bookmarkStart w:id="178" w:name="_Toc501356752"/>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24</w:t>
      </w:r>
      <w:r>
        <w:fldChar w:fldCharType="end"/>
      </w:r>
      <w:bookmarkEnd w:id="177"/>
      <w:r w:rsidRPr="009038E7">
        <w:t xml:space="preserve"> : </w:t>
      </w:r>
      <w:r w:rsidR="0023226C">
        <w:t>Damage Criteria for Highway Bridges</w:t>
      </w:r>
      <w:bookmarkEnd w:id="178"/>
      <w:r w:rsidR="00351B09">
        <w:t xml:space="preserve"> (</w:t>
      </w:r>
      <w:r w:rsidR="00E63D5F">
        <w:t>S</w:t>
      </w:r>
      <w:r w:rsidR="00351B09">
        <w:t>ing</w:t>
      </w:r>
      <w:r w:rsidR="00E63D5F">
        <w:t>h</w:t>
      </w:r>
      <w:r w:rsidR="00351B09">
        <w:t>, 1986)</w:t>
      </w:r>
    </w:p>
    <w:p w14:paraId="7D703303" w14:textId="77777777" w:rsidR="005E3B9B" w:rsidRDefault="00246B19" w:rsidP="0023226C">
      <w:pPr>
        <w:rPr>
          <w:lang w:val="en-AU"/>
        </w:rPr>
      </w:pPr>
      <w:r>
        <w:rPr>
          <w:noProof/>
          <w:lang w:val="en-AU" w:eastAsia="en-AU"/>
        </w:rPr>
        <w:drawing>
          <wp:inline distT="0" distB="0" distL="0" distR="0" wp14:anchorId="5461F92B" wp14:editId="6C12374D">
            <wp:extent cx="5835650" cy="2336800"/>
            <wp:effectExtent l="0" t="0" r="0" b="6350"/>
            <wp:docPr id="20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35650" cy="2336800"/>
                    </a:xfrm>
                    <a:prstGeom prst="rect">
                      <a:avLst/>
                    </a:prstGeom>
                    <a:noFill/>
                    <a:ln>
                      <a:noFill/>
                    </a:ln>
                  </pic:spPr>
                </pic:pic>
              </a:graphicData>
            </a:graphic>
          </wp:inline>
        </w:drawing>
      </w:r>
    </w:p>
    <w:p w14:paraId="50DF50AF" w14:textId="45E0C1B9" w:rsidR="0023226C" w:rsidRPr="00C15D43" w:rsidRDefault="00DA3CEF" w:rsidP="00B8201A">
      <w:pPr>
        <w:pStyle w:val="Heading2"/>
        <w:rPr>
          <w:lang w:val="en-AU"/>
        </w:rPr>
      </w:pPr>
      <w:bookmarkStart w:id="179" w:name="_Toc57907090"/>
      <w:r>
        <w:rPr>
          <w:lang w:val="en-AU"/>
        </w:rPr>
        <w:t xml:space="preserve">Quantitative </w:t>
      </w:r>
      <w:r w:rsidR="00E17764">
        <w:rPr>
          <w:lang w:val="en-AU"/>
        </w:rPr>
        <w:t>Metrics and Thresholds – Land</w:t>
      </w:r>
      <w:bookmarkEnd w:id="179"/>
    </w:p>
    <w:p w14:paraId="22271C5F" w14:textId="77777777" w:rsidR="0023226C" w:rsidRDefault="0023226C" w:rsidP="00B8201A">
      <w:pPr>
        <w:pStyle w:val="Heading3"/>
      </w:pPr>
      <w:bookmarkStart w:id="180" w:name="_Toc501356711"/>
      <w:r w:rsidRPr="0061134C">
        <w:t>Towns</w:t>
      </w:r>
      <w:bookmarkEnd w:id="180"/>
    </w:p>
    <w:p w14:paraId="06F4499D" w14:textId="60FC45B2" w:rsidR="0023226C" w:rsidRDefault="0023226C" w:rsidP="0023226C">
      <w:pPr>
        <w:rPr>
          <w:lang w:val="en-AU"/>
        </w:rPr>
      </w:pPr>
      <w:r>
        <w:t xml:space="preserve">The metrics and thresholds for potential </w:t>
      </w:r>
      <w:r w:rsidR="00B95CA7">
        <w:t xml:space="preserve">impacts </w:t>
      </w:r>
      <w:r>
        <w:t xml:space="preserve">induced by subsidence / rebound or sub-base ground movement to towns </w:t>
      </w:r>
      <w:r w:rsidR="003A239D">
        <w:t>(</w:t>
      </w:r>
      <w:r w:rsidR="00C46807">
        <w:t>c</w:t>
      </w:r>
      <w:r w:rsidR="00FB7F99">
        <w:t>ommercial</w:t>
      </w:r>
      <w:r w:rsidR="003A239D">
        <w:t xml:space="preserve"> and residential land including </w:t>
      </w:r>
      <w:r>
        <w:t xml:space="preserve">buildings and structures) is detailed in this section. </w:t>
      </w:r>
      <w:r w:rsidR="001F4A3E">
        <w:t xml:space="preserve"> </w:t>
      </w:r>
      <w:r>
        <w:rPr>
          <w:lang w:val="en-AU"/>
        </w:rPr>
        <w:t xml:space="preserve">Relevant standards, guidelines and reference documents </w:t>
      </w:r>
      <w:r w:rsidR="007B1825">
        <w:rPr>
          <w:lang w:val="en-AU"/>
        </w:rPr>
        <w:t>for buildings and land</w:t>
      </w:r>
      <w:r>
        <w:rPr>
          <w:lang w:val="en-AU"/>
        </w:rPr>
        <w:t xml:space="preserve"> are listed in</w:t>
      </w:r>
      <w:r w:rsidR="00310326">
        <w:rPr>
          <w:lang w:val="en-AU"/>
        </w:rPr>
        <w:t xml:space="preserve"> </w:t>
      </w:r>
      <w:r w:rsidR="00310326">
        <w:rPr>
          <w:lang w:val="en-AU"/>
        </w:rPr>
        <w:fldChar w:fldCharType="begin"/>
      </w:r>
      <w:r w:rsidR="00310326">
        <w:rPr>
          <w:lang w:val="en-AU"/>
        </w:rPr>
        <w:instrText xml:space="preserve"> REF _Ref506900860 \h </w:instrText>
      </w:r>
      <w:r w:rsidR="00310326">
        <w:rPr>
          <w:lang w:val="en-AU"/>
        </w:rPr>
      </w:r>
      <w:r w:rsidR="00310326">
        <w:rPr>
          <w:lang w:val="en-AU"/>
        </w:rPr>
        <w:fldChar w:fldCharType="separate"/>
      </w:r>
      <w:r w:rsidR="00A83148" w:rsidRPr="009038E7">
        <w:t xml:space="preserve">Table </w:t>
      </w:r>
      <w:r w:rsidR="00A83148">
        <w:rPr>
          <w:noProof/>
        </w:rPr>
        <w:t>5</w:t>
      </w:r>
      <w:r w:rsidR="00A83148" w:rsidRPr="009038E7">
        <w:t>.</w:t>
      </w:r>
      <w:r w:rsidR="00A83148">
        <w:rPr>
          <w:noProof/>
        </w:rPr>
        <w:t>25</w:t>
      </w:r>
      <w:r w:rsidR="00310326">
        <w:rPr>
          <w:lang w:val="en-AU"/>
        </w:rPr>
        <w:fldChar w:fldCharType="end"/>
      </w:r>
      <w:r>
        <w:rPr>
          <w:lang w:val="en-AU"/>
        </w:rPr>
        <w:t>.</w:t>
      </w:r>
    </w:p>
    <w:p w14:paraId="64B8C98D" w14:textId="58DCF5CA" w:rsidR="0023226C" w:rsidRPr="002B0110" w:rsidRDefault="00E17764" w:rsidP="00DC6693">
      <w:pPr>
        <w:pStyle w:val="Caption"/>
      </w:pPr>
      <w:bookmarkStart w:id="181" w:name="_Ref506900860"/>
      <w:bookmarkStart w:id="182" w:name="_Ref499127997"/>
      <w:bookmarkStart w:id="183" w:name="_Toc501356753"/>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25</w:t>
      </w:r>
      <w:r>
        <w:fldChar w:fldCharType="end"/>
      </w:r>
      <w:bookmarkEnd w:id="181"/>
      <w:r w:rsidRPr="009038E7">
        <w:t xml:space="preserve"> : </w:t>
      </w:r>
      <w:r w:rsidR="0023226C">
        <w:t xml:space="preserve">Towns – </w:t>
      </w:r>
      <w:bookmarkEnd w:id="182"/>
      <w:bookmarkEnd w:id="183"/>
      <w:r w:rsidR="007B1825">
        <w:t>relevant guidelines and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5"/>
        <w:gridCol w:w="7469"/>
      </w:tblGrid>
      <w:tr w:rsidR="007B1825" w:rsidRPr="00011720" w14:paraId="2247193F" w14:textId="77777777" w:rsidTr="007B1825">
        <w:tc>
          <w:tcPr>
            <w:tcW w:w="1995" w:type="dxa"/>
            <w:shd w:val="clear" w:color="auto" w:fill="00338D"/>
          </w:tcPr>
          <w:p w14:paraId="201904EF" w14:textId="77777777" w:rsidR="007B1825" w:rsidRPr="009C279E" w:rsidRDefault="007B1825" w:rsidP="0023226C">
            <w:pPr>
              <w:keepNext/>
              <w:spacing w:before="100" w:after="100"/>
              <w:rPr>
                <w:color w:val="FFFFFF" w:themeColor="background1"/>
                <w:lang w:val="en-AU"/>
              </w:rPr>
            </w:pPr>
            <w:r w:rsidRPr="009C279E">
              <w:rPr>
                <w:rFonts w:ascii="Arial Black" w:hAnsi="Arial Black"/>
                <w:b/>
                <w:color w:val="FFFFFF" w:themeColor="background1"/>
                <w:sz w:val="16"/>
              </w:rPr>
              <w:t>Value Category</w:t>
            </w:r>
          </w:p>
        </w:tc>
        <w:tc>
          <w:tcPr>
            <w:tcW w:w="7469" w:type="dxa"/>
            <w:shd w:val="clear" w:color="auto" w:fill="00338D"/>
          </w:tcPr>
          <w:p w14:paraId="5A524C54" w14:textId="77777777" w:rsidR="007B1825" w:rsidRPr="009C279E" w:rsidRDefault="007B1825" w:rsidP="0023226C">
            <w:pPr>
              <w:keepNext/>
              <w:spacing w:before="100" w:after="100"/>
              <w:rPr>
                <w:rFonts w:ascii="Arial Black" w:hAnsi="Arial Black"/>
                <w:b/>
                <w:color w:val="FFFFFF" w:themeColor="background1"/>
                <w:sz w:val="16"/>
              </w:rPr>
            </w:pPr>
            <w:r w:rsidRPr="009C279E">
              <w:rPr>
                <w:rFonts w:ascii="Arial Black" w:hAnsi="Arial Black"/>
                <w:b/>
                <w:color w:val="FFFFFF" w:themeColor="background1"/>
                <w:sz w:val="16"/>
              </w:rPr>
              <w:t>Standard, Guideline or Reference Documents</w:t>
            </w:r>
          </w:p>
        </w:tc>
      </w:tr>
      <w:tr w:rsidR="007B1825" w14:paraId="2BAB201C" w14:textId="77777777" w:rsidTr="007B1825">
        <w:tc>
          <w:tcPr>
            <w:tcW w:w="1995" w:type="dxa"/>
          </w:tcPr>
          <w:p w14:paraId="1CA03A7D" w14:textId="77777777" w:rsidR="007B1825" w:rsidRPr="0098775D" w:rsidRDefault="007B1825" w:rsidP="0023226C">
            <w:pPr>
              <w:spacing w:after="60"/>
              <w:rPr>
                <w:rFonts w:eastAsia="MS Mincho"/>
                <w:sz w:val="18"/>
              </w:rPr>
            </w:pPr>
            <w:r w:rsidRPr="0098775D">
              <w:rPr>
                <w:rFonts w:eastAsia="MS Mincho"/>
                <w:sz w:val="18"/>
              </w:rPr>
              <w:t>Social/Cultural</w:t>
            </w:r>
          </w:p>
        </w:tc>
        <w:tc>
          <w:tcPr>
            <w:tcW w:w="7469" w:type="dxa"/>
          </w:tcPr>
          <w:p w14:paraId="673EB575" w14:textId="77777777" w:rsidR="007B1825" w:rsidRPr="00310326" w:rsidRDefault="007B1825"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Water for Victoria (2016) Recognising and Managing Aboriginal Values.</w:t>
            </w:r>
          </w:p>
          <w:p w14:paraId="6BC42D28" w14:textId="77777777" w:rsidR="007B1825" w:rsidRPr="00310326" w:rsidRDefault="007B1825"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DELWP (2017) Latrobe Planning Scheme</w:t>
            </w:r>
          </w:p>
          <w:p w14:paraId="600547B3" w14:textId="29A581F6" w:rsidR="007B1825" w:rsidRPr="00310326" w:rsidRDefault="007B1825"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 xml:space="preserve">Planning </w:t>
            </w:r>
            <w:r w:rsidR="001F4A3E">
              <w:rPr>
                <w:rFonts w:eastAsia="Times New Roman" w:cs="Arial"/>
                <w:sz w:val="18"/>
                <w:szCs w:val="20"/>
                <w:lang w:val="en-AU"/>
              </w:rPr>
              <w:t xml:space="preserve">and </w:t>
            </w:r>
            <w:r w:rsidRPr="00310326">
              <w:rPr>
                <w:rFonts w:eastAsia="Times New Roman" w:cs="Arial"/>
                <w:sz w:val="18"/>
                <w:szCs w:val="20"/>
                <w:lang w:val="en-AU"/>
              </w:rPr>
              <w:t xml:space="preserve">Environment Act </w:t>
            </w:r>
            <w:r w:rsidR="001F4A3E">
              <w:rPr>
                <w:rFonts w:eastAsia="Times New Roman" w:cs="Arial"/>
                <w:sz w:val="18"/>
                <w:szCs w:val="20"/>
                <w:lang w:val="en-AU"/>
              </w:rPr>
              <w:t>(</w:t>
            </w:r>
            <w:r w:rsidRPr="00310326">
              <w:rPr>
                <w:rFonts w:eastAsia="Times New Roman" w:cs="Arial"/>
                <w:sz w:val="18"/>
                <w:szCs w:val="20"/>
                <w:lang w:val="en-AU"/>
              </w:rPr>
              <w:t>1987)</w:t>
            </w:r>
          </w:p>
          <w:p w14:paraId="459C74B8" w14:textId="77777777" w:rsidR="007B1825" w:rsidRPr="00310326" w:rsidRDefault="007B1825"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Live Work Latrobe (Housing Strategy, Industrial Land Use and Employment Strategy and Rural Land Use Strategy) (2016)</w:t>
            </w:r>
          </w:p>
          <w:p w14:paraId="1E3696C1" w14:textId="77777777" w:rsidR="007B1825" w:rsidRPr="00310326" w:rsidRDefault="007B1825"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Mine Subsidence Board (2009) Graduated Guidelines for Residential Construction (NSW) Historical and Technical Background</w:t>
            </w:r>
          </w:p>
          <w:p w14:paraId="2F4230C6" w14:textId="77777777" w:rsidR="007B1825" w:rsidRPr="00310326" w:rsidRDefault="007B1825"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Harrison, J (2011) Mining Engineering Handbook, Mine Subsidence, Society for Mining, Metallurgy and Exploration</w:t>
            </w:r>
          </w:p>
          <w:p w14:paraId="1955DA6C" w14:textId="77777777" w:rsidR="007B1825" w:rsidRPr="00310326" w:rsidRDefault="007B1825"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Singh, M (1986) Mine subsidence, Society for Mining, Metallurgy and Exploration</w:t>
            </w:r>
          </w:p>
          <w:p w14:paraId="0DA92772" w14:textId="77777777" w:rsidR="007B1825" w:rsidRPr="00310326" w:rsidRDefault="007B1825"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Building Code of Australia (BCA), in the National Construction Code series, contains technical provisions for the design and construction of buildings and other structures.</w:t>
            </w:r>
          </w:p>
          <w:p w14:paraId="2D5AFB76" w14:textId="5A746C5F" w:rsidR="007B1825" w:rsidRPr="00310326" w:rsidRDefault="00E97F02" w:rsidP="006F654D">
            <w:pPr>
              <w:numPr>
                <w:ilvl w:val="0"/>
                <w:numId w:val="33"/>
              </w:numPr>
              <w:spacing w:after="0" w:line="240" w:lineRule="auto"/>
              <w:ind w:left="209" w:hanging="284"/>
              <w:contextualSpacing/>
              <w:rPr>
                <w:rFonts w:eastAsia="Times New Roman" w:cs="Arial"/>
                <w:sz w:val="18"/>
                <w:szCs w:val="20"/>
                <w:lang w:val="en-AU"/>
              </w:rPr>
            </w:pPr>
            <w:hyperlink r:id="rId105" w:history="1">
              <w:r w:rsidR="007B1825" w:rsidRPr="00310326">
                <w:rPr>
                  <w:rFonts w:eastAsia="Times New Roman" w:cs="Arial"/>
                  <w:sz w:val="18"/>
                  <w:szCs w:val="20"/>
                  <w:lang w:val="en-AU"/>
                </w:rPr>
                <w:t>Standards Australia</w:t>
              </w:r>
            </w:hyperlink>
            <w:r w:rsidR="007B1825" w:rsidRPr="00310326">
              <w:rPr>
                <w:rFonts w:eastAsia="Times New Roman" w:cs="Arial"/>
                <w:sz w:val="18"/>
                <w:szCs w:val="20"/>
                <w:lang w:val="en-AU"/>
              </w:rPr>
              <w:t xml:space="preserve"> associated publications</w:t>
            </w:r>
          </w:p>
          <w:p w14:paraId="166D9671" w14:textId="77777777" w:rsidR="007B1825" w:rsidRPr="00310326" w:rsidRDefault="007B1825"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AS 3600 Concrete Structures</w:t>
            </w:r>
          </w:p>
          <w:p w14:paraId="053125DA" w14:textId="77777777" w:rsidR="007B1825" w:rsidRPr="00310326" w:rsidRDefault="007B1825"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AS 2870 Residential Slabs and Footings</w:t>
            </w:r>
          </w:p>
          <w:p w14:paraId="4985C388" w14:textId="064028CB" w:rsidR="007B1825" w:rsidRPr="00310326" w:rsidRDefault="007B1825"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AS 3700 Masonry Structures</w:t>
            </w:r>
          </w:p>
        </w:tc>
      </w:tr>
      <w:tr w:rsidR="007B1825" w14:paraId="23DD56E5" w14:textId="77777777" w:rsidTr="007B1825">
        <w:tc>
          <w:tcPr>
            <w:tcW w:w="1995" w:type="dxa"/>
          </w:tcPr>
          <w:p w14:paraId="5EFB94A2" w14:textId="77777777" w:rsidR="007B1825" w:rsidRPr="00D35D43" w:rsidRDefault="007B1825" w:rsidP="0023226C">
            <w:pPr>
              <w:spacing w:after="60"/>
              <w:rPr>
                <w:rFonts w:eastAsia="MS Mincho"/>
                <w:sz w:val="18"/>
              </w:rPr>
            </w:pPr>
            <w:r w:rsidRPr="00D35D43">
              <w:rPr>
                <w:rFonts w:eastAsia="MS Mincho"/>
                <w:sz w:val="18"/>
              </w:rPr>
              <w:t>Economic</w:t>
            </w:r>
          </w:p>
        </w:tc>
        <w:tc>
          <w:tcPr>
            <w:tcW w:w="7469" w:type="dxa"/>
          </w:tcPr>
          <w:p w14:paraId="34F13079" w14:textId="77777777" w:rsidR="007B1825" w:rsidRPr="0098775D" w:rsidRDefault="007B1825" w:rsidP="006F654D">
            <w:pPr>
              <w:numPr>
                <w:ilvl w:val="0"/>
                <w:numId w:val="33"/>
              </w:numPr>
              <w:spacing w:after="0" w:line="240" w:lineRule="auto"/>
              <w:ind w:left="209" w:hanging="284"/>
              <w:contextualSpacing/>
              <w:rPr>
                <w:rFonts w:eastAsia="MS Mincho"/>
                <w:sz w:val="18"/>
              </w:rPr>
            </w:pPr>
            <w:r w:rsidRPr="00310326">
              <w:rPr>
                <w:rFonts w:eastAsia="Times New Roman" w:cs="Arial"/>
                <w:sz w:val="18"/>
                <w:szCs w:val="20"/>
                <w:lang w:val="en-AU"/>
              </w:rPr>
              <w:t>Live Work Latrobe (Housing Strategy, Industrial Land Use and Employment Strategy and Rural Land Use Strategy) (2016)</w:t>
            </w:r>
          </w:p>
        </w:tc>
      </w:tr>
    </w:tbl>
    <w:p w14:paraId="43352774" w14:textId="77777777" w:rsidR="00A96236" w:rsidRDefault="00A96236" w:rsidP="00184318">
      <w:pPr>
        <w:rPr>
          <w:lang w:val="en-AU"/>
        </w:rPr>
      </w:pPr>
    </w:p>
    <w:p w14:paraId="31BA648D" w14:textId="456EF50F" w:rsidR="0023226C" w:rsidRDefault="00A96236" w:rsidP="00877BC5">
      <w:pPr>
        <w:rPr>
          <w:rFonts w:ascii="Arial Bold" w:hAnsi="Arial Bold"/>
          <w:b/>
          <w:lang w:val="en-AU"/>
        </w:rPr>
      </w:pPr>
      <w:r>
        <w:rPr>
          <w:lang w:val="en-AU"/>
        </w:rPr>
        <w:t>B</w:t>
      </w:r>
      <w:r w:rsidR="00184318" w:rsidRPr="00184318">
        <w:rPr>
          <w:lang w:val="en-AU"/>
        </w:rPr>
        <w:t>uildings and structure</w:t>
      </w:r>
      <w:r w:rsidR="003D118F">
        <w:rPr>
          <w:lang w:val="en-AU"/>
        </w:rPr>
        <w:t>s</w:t>
      </w:r>
      <w:r w:rsidR="00184318" w:rsidRPr="00184318">
        <w:rPr>
          <w:lang w:val="en-AU"/>
        </w:rPr>
        <w:t xml:space="preserve"> in the inter-mine scale of the LVRRS project area can be observed to range in age from the early 1900s through to recent. </w:t>
      </w:r>
      <w:r w:rsidR="00387081">
        <w:rPr>
          <w:lang w:val="en-AU"/>
        </w:rPr>
        <w:t xml:space="preserve"> </w:t>
      </w:r>
      <w:r w:rsidR="00184318" w:rsidRPr="00184318">
        <w:rPr>
          <w:lang w:val="en-AU"/>
        </w:rPr>
        <w:t xml:space="preserve">Ground movement historical records date back some forty years in the Morwell area. </w:t>
      </w:r>
      <w:r w:rsidR="00387081">
        <w:rPr>
          <w:lang w:val="en-AU"/>
        </w:rPr>
        <w:t xml:space="preserve"> </w:t>
      </w:r>
      <w:r w:rsidR="00184318" w:rsidRPr="00184318">
        <w:rPr>
          <w:lang w:val="en-AU"/>
        </w:rPr>
        <w:t xml:space="preserve">Recently, </w:t>
      </w:r>
      <w:r w:rsidR="00CC67A9">
        <w:rPr>
          <w:lang w:val="en-AU"/>
        </w:rPr>
        <w:t xml:space="preserve">a </w:t>
      </w:r>
      <w:r w:rsidR="00184318" w:rsidRPr="00184318">
        <w:rPr>
          <w:lang w:val="en-AU"/>
        </w:rPr>
        <w:t>Morwell Land Movement Survey</w:t>
      </w:r>
      <w:r w:rsidR="00CC67A9">
        <w:rPr>
          <w:lang w:val="en-AU"/>
        </w:rPr>
        <w:t xml:space="preserve"> was also </w:t>
      </w:r>
      <w:r w:rsidR="00387081">
        <w:rPr>
          <w:lang w:val="en-AU"/>
        </w:rPr>
        <w:t xml:space="preserve">undertaken </w:t>
      </w:r>
      <w:r w:rsidR="00184318" w:rsidRPr="00184318">
        <w:rPr>
          <w:lang w:val="en-AU"/>
        </w:rPr>
        <w:t>to survey cracks in an area to the south of the Morwell township, closest to the Hazelwood Mine.</w:t>
      </w:r>
      <w:r w:rsidR="004B1CEB" w:rsidRPr="004B1CEB">
        <w:t xml:space="preserve"> </w:t>
      </w:r>
      <w:r w:rsidR="001C1637">
        <w:t xml:space="preserve"> </w:t>
      </w:r>
      <w:r w:rsidR="004B1CEB" w:rsidRPr="004B1CEB">
        <w:rPr>
          <w:lang w:val="en-AU"/>
        </w:rPr>
        <w:t>This survey was commissioned as a reference survey that will be used for comparison in future, so that any changes in the cracking can be tracked.</w:t>
      </w:r>
    </w:p>
    <w:p w14:paraId="56B04E29" w14:textId="147D13C8" w:rsidR="0023226C" w:rsidRPr="00D20CAD" w:rsidRDefault="0023226C" w:rsidP="00FB7F99">
      <w:pPr>
        <w:pStyle w:val="Heading4"/>
        <w:rPr>
          <w:lang w:val="en-AU"/>
        </w:rPr>
      </w:pPr>
      <w:bookmarkStart w:id="184" w:name="_Toc501356713"/>
      <w:r w:rsidRPr="0061134C">
        <w:t>Metrics</w:t>
      </w:r>
      <w:bookmarkEnd w:id="184"/>
    </w:p>
    <w:p w14:paraId="535944DC" w14:textId="6164904A" w:rsidR="00273CEF" w:rsidRPr="00450446" w:rsidRDefault="0032430F" w:rsidP="00273CEF">
      <w:r>
        <w:t>D</w:t>
      </w:r>
      <w:r w:rsidR="00273CEF" w:rsidRPr="00450446">
        <w:t xml:space="preserve">amage to surface structures such as buildings, is mainly caused by tilt, angular distortion, bending, and horizontal strain. </w:t>
      </w:r>
      <w:r w:rsidR="00387081">
        <w:t xml:space="preserve"> </w:t>
      </w:r>
      <w:r w:rsidR="003B46D3">
        <w:t xml:space="preserve">Direct settlement that does not cause strain across a building is not regarded as high risk. </w:t>
      </w:r>
      <w:r w:rsidR="00387081">
        <w:t xml:space="preserve"> </w:t>
      </w:r>
      <w:r w:rsidR="003B46D3">
        <w:t>This is in keeping with the observation in the Latrobe Valley to date</w:t>
      </w:r>
      <w:r w:rsidR="00AB10F0">
        <w:t xml:space="preserve">, based on mining related settlement that has already occurred (DJPR, 2019). </w:t>
      </w:r>
      <w:r w:rsidR="00387081">
        <w:t xml:space="preserve"> </w:t>
      </w:r>
      <w:r w:rsidR="00273CEF" w:rsidRPr="00450446">
        <w:t xml:space="preserve">Several distinct types of damage are evident as manifestations of tension, compression, angular distortion, shear, bending, and rigid body rotation and/or translation of the structure. </w:t>
      </w:r>
      <w:r w:rsidR="00387081">
        <w:t xml:space="preserve"> </w:t>
      </w:r>
      <w:r w:rsidR="00273CEF">
        <w:t>Structure</w:t>
      </w:r>
      <w:r w:rsidR="00273CEF" w:rsidRPr="00450446">
        <w:t xml:space="preserve"> deformations from ground movements usually begin at foundation level and propagate upward through the basement to the superstructure [Anon., 1975a</w:t>
      </w:r>
      <w:r w:rsidR="005F3DF8">
        <w:t>,</w:t>
      </w:r>
      <w:r w:rsidR="00273CEF" w:rsidRPr="00450446">
        <w:t xml:space="preserve"> Bruhn </w:t>
      </w:r>
      <w:r w:rsidR="00273CEF" w:rsidRPr="00BE198C">
        <w:rPr>
          <w:i/>
        </w:rPr>
        <w:t>et al.</w:t>
      </w:r>
      <w:r w:rsidR="00273CEF" w:rsidRPr="00450446">
        <w:t xml:space="preserve">, 1982]. </w:t>
      </w:r>
      <w:r w:rsidR="00387081">
        <w:t xml:space="preserve"> </w:t>
      </w:r>
      <w:r w:rsidR="00273CEF" w:rsidRPr="00450446">
        <w:t>The transmission of the deformations from the foundation to the superstructure depends on the nature and condition of the structure</w:t>
      </w:r>
      <w:r w:rsidR="003528D2" w:rsidRPr="00450446">
        <w:t xml:space="preserve"> its</w:t>
      </w:r>
      <w:r w:rsidR="00273CEF" w:rsidRPr="00450446">
        <w:t xml:space="preserve"> continuity and attachment.</w:t>
      </w:r>
    </w:p>
    <w:p w14:paraId="22B38CBB" w14:textId="12041438" w:rsidR="00273CEF" w:rsidRPr="00450446" w:rsidRDefault="00273CEF" w:rsidP="00273CEF">
      <w:r w:rsidRPr="00450446">
        <w:t>In actual practice, several different forces (i.e.</w:t>
      </w:r>
      <w:r w:rsidR="008262BD">
        <w:t>,</w:t>
      </w:r>
      <w:r w:rsidRPr="00450446">
        <w:t xml:space="preserve"> horizontal/vertical movements, angular distortion, differential tilting) may occur together and produce a complex pattern of cracking and distortion in various locations and directions</w:t>
      </w:r>
      <w:r w:rsidR="008C5F2C">
        <w:t xml:space="preserve"> see Figure 5.8</w:t>
      </w:r>
      <w:r w:rsidRPr="00450446">
        <w:t>.</w:t>
      </w:r>
    </w:p>
    <w:p w14:paraId="5D2AAF7C" w14:textId="31CF8FE2" w:rsidR="00273CEF" w:rsidRPr="00450446" w:rsidRDefault="00273CEF" w:rsidP="00273CEF">
      <w:r w:rsidRPr="00450446">
        <w:t>In addition, the length of the structure has a major influence on the relative severity of the resulting damage (</w:t>
      </w:r>
      <w:r w:rsidR="00884D7A">
        <w:t>Figure 5.9</w:t>
      </w:r>
      <w:r w:rsidRPr="00450446">
        <w:t xml:space="preserve">). </w:t>
      </w:r>
      <w:r w:rsidR="005C01DD">
        <w:t xml:space="preserve"> </w:t>
      </w:r>
      <w:r w:rsidRPr="00450446">
        <w:t>Studies have indicated that the longer the structure, the greater the damage severity (Anon.,1975).</w:t>
      </w:r>
    </w:p>
    <w:p w14:paraId="499B01D0" w14:textId="2F795608" w:rsidR="00273CEF" w:rsidRDefault="007F6634" w:rsidP="00273CEF">
      <w:r w:rsidRPr="00450446">
        <w:t>A few</w:t>
      </w:r>
      <w:r w:rsidR="00273CEF" w:rsidRPr="00450446">
        <w:t xml:space="preserve"> damage classifications </w:t>
      </w:r>
      <w:r w:rsidR="00273CEF">
        <w:t xml:space="preserve">and limits </w:t>
      </w:r>
      <w:r w:rsidR="00273CEF" w:rsidRPr="00450446">
        <w:t>have been developed which correlate building damage to ground movements.</w:t>
      </w:r>
      <w:r w:rsidR="00387081">
        <w:t xml:space="preserve"> </w:t>
      </w:r>
      <w:r w:rsidR="00273CEF" w:rsidRPr="00450446">
        <w:t xml:space="preserve"> The scheme developed by the National Coal Board</w:t>
      </w:r>
      <w:r w:rsidR="0070708B">
        <w:t xml:space="preserve"> (Anon, 1975)</w:t>
      </w:r>
      <w:r w:rsidR="00273CEF" w:rsidRPr="00450446">
        <w:t xml:space="preserve"> </w:t>
      </w:r>
      <w:r w:rsidRPr="00450446">
        <w:t>based on</w:t>
      </w:r>
      <w:r w:rsidR="00273CEF" w:rsidRPr="00450446">
        <w:t xml:space="preserve"> direct observations of </w:t>
      </w:r>
      <w:r w:rsidR="00273CEF">
        <w:t>structure/</w:t>
      </w:r>
      <w:r w:rsidR="00273CEF" w:rsidRPr="00450446">
        <w:t xml:space="preserve">building damage in the United Kingdom is probably the best known to determine the intended class of damage. </w:t>
      </w:r>
      <w:r w:rsidR="00387081">
        <w:t xml:space="preserve"> </w:t>
      </w:r>
      <w:r w:rsidR="00273CEF" w:rsidRPr="00450446">
        <w:t xml:space="preserve">This has been classified to </w:t>
      </w:r>
      <w:r w:rsidR="0097687C">
        <w:t>‘</w:t>
      </w:r>
      <w:r w:rsidR="00273CEF" w:rsidRPr="00450446">
        <w:t>Negligible or Very slight</w:t>
      </w:r>
      <w:r w:rsidR="0097687C">
        <w:t>’</w:t>
      </w:r>
      <w:r w:rsidR="00273CEF" w:rsidRPr="00450446">
        <w:t xml:space="preserve"> damage, </w:t>
      </w:r>
      <w:r w:rsidR="0097687C">
        <w:t>‘</w:t>
      </w:r>
      <w:r w:rsidR="00273CEF" w:rsidRPr="00450446">
        <w:t>Slight” damage</w:t>
      </w:r>
      <w:r w:rsidR="0097687C">
        <w:t>’</w:t>
      </w:r>
      <w:r w:rsidR="00273CEF" w:rsidRPr="00450446">
        <w:t xml:space="preserve">, </w:t>
      </w:r>
      <w:r w:rsidR="0097687C">
        <w:t>‘</w:t>
      </w:r>
      <w:r w:rsidR="00273CEF" w:rsidRPr="00450446">
        <w:t>Appreciable</w:t>
      </w:r>
      <w:r w:rsidR="0097687C">
        <w:t>’</w:t>
      </w:r>
      <w:r w:rsidR="00273CEF" w:rsidRPr="00450446">
        <w:t xml:space="preserve"> damage, </w:t>
      </w:r>
      <w:r w:rsidR="0097687C">
        <w:t>‘</w:t>
      </w:r>
      <w:r w:rsidR="00273CEF" w:rsidRPr="00450446">
        <w:t>Severe</w:t>
      </w:r>
      <w:r w:rsidR="009B00DD">
        <w:t>’</w:t>
      </w:r>
      <w:r w:rsidR="00273CEF" w:rsidRPr="00450446">
        <w:t xml:space="preserve"> damage and </w:t>
      </w:r>
      <w:r w:rsidR="009B00DD">
        <w:t>‘</w:t>
      </w:r>
      <w:r w:rsidR="00273CEF" w:rsidRPr="00450446">
        <w:t>“Very severe</w:t>
      </w:r>
      <w:r w:rsidR="009B00DD">
        <w:t>’</w:t>
      </w:r>
      <w:r w:rsidR="00273CEF" w:rsidRPr="00450446">
        <w:t xml:space="preserve">” damage. </w:t>
      </w:r>
    </w:p>
    <w:p w14:paraId="5AA15344" w14:textId="3F5E061C" w:rsidR="00273CEF" w:rsidRDefault="00273CEF" w:rsidP="00273CEF">
      <w:r>
        <w:t xml:space="preserve">Table </w:t>
      </w:r>
      <w:r w:rsidR="00E80576">
        <w:t>5.26</w:t>
      </w:r>
      <w:r>
        <w:t xml:space="preserve"> </w:t>
      </w:r>
      <w:r w:rsidRPr="00450446">
        <w:t>below (extracted from Singh, M., 1986) describe</w:t>
      </w:r>
      <w:r>
        <w:t>s</w:t>
      </w:r>
      <w:r w:rsidRPr="00450446">
        <w:t xml:space="preserve"> each damage classification.</w:t>
      </w:r>
    </w:p>
    <w:p w14:paraId="63887785" w14:textId="77777777" w:rsidR="00273CEF" w:rsidRDefault="00273CEF" w:rsidP="00273CEF">
      <w:pPr>
        <w:pStyle w:val="Para0"/>
      </w:pPr>
      <w:r>
        <w:rPr>
          <w:noProof/>
          <w:lang w:val="en-AU" w:eastAsia="en-AU"/>
        </w:rPr>
        <w:drawing>
          <wp:inline distT="0" distB="0" distL="0" distR="0" wp14:anchorId="61EA359F" wp14:editId="711801EE">
            <wp:extent cx="5911850" cy="3225800"/>
            <wp:effectExtent l="0" t="0" r="0" b="0"/>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11850" cy="3225800"/>
                    </a:xfrm>
                    <a:prstGeom prst="rect">
                      <a:avLst/>
                    </a:prstGeom>
                    <a:noFill/>
                    <a:ln>
                      <a:noFill/>
                    </a:ln>
                  </pic:spPr>
                </pic:pic>
              </a:graphicData>
            </a:graphic>
          </wp:inline>
        </w:drawing>
      </w:r>
    </w:p>
    <w:p w14:paraId="055E251A" w14:textId="38D378AD" w:rsidR="00273CEF" w:rsidRPr="00BE7775" w:rsidRDefault="00BE7775" w:rsidP="00BE7775">
      <w:pPr>
        <w:pStyle w:val="Caption"/>
        <w:keepNext w:val="0"/>
      </w:pPr>
      <w:r w:rsidRPr="009038E7">
        <w:t xml:space="preserve">Figure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Figure \* ARABIC \s 1 </w:instrText>
      </w:r>
      <w:r>
        <w:fldChar w:fldCharType="separate"/>
      </w:r>
      <w:r w:rsidR="00A83148">
        <w:rPr>
          <w:noProof/>
        </w:rPr>
        <w:t>8</w:t>
      </w:r>
      <w:r>
        <w:rPr>
          <w:noProof/>
        </w:rPr>
        <w:fldChar w:fldCharType="end"/>
      </w:r>
      <w:r w:rsidRPr="009038E7">
        <w:t xml:space="preserve">: </w:t>
      </w:r>
      <w:r w:rsidR="00273CEF">
        <w:t>Building damage in terms of angular distortion and horizontal strain</w:t>
      </w:r>
      <w:r w:rsidR="00786F3C">
        <w:t xml:space="preserve"> (</w:t>
      </w:r>
      <w:r w:rsidR="006D0122">
        <w:t>a</w:t>
      </w:r>
      <w:r w:rsidR="00786F3C">
        <w:t>fter Singh, 198</w:t>
      </w:r>
      <w:r w:rsidR="00E64A63">
        <w:t>6</w:t>
      </w:r>
      <w:r w:rsidR="00786F3C">
        <w:t>)</w:t>
      </w:r>
    </w:p>
    <w:p w14:paraId="07C20C9F" w14:textId="77777777" w:rsidR="00273CEF" w:rsidRDefault="00273CEF" w:rsidP="00273CEF">
      <w:pPr>
        <w:pStyle w:val="Para0"/>
      </w:pPr>
      <w:r>
        <w:rPr>
          <w:noProof/>
          <w:lang w:val="en-AU" w:eastAsia="en-AU"/>
        </w:rPr>
        <w:drawing>
          <wp:inline distT="0" distB="0" distL="0" distR="0" wp14:anchorId="410EFA40" wp14:editId="76A34D93">
            <wp:extent cx="4133850" cy="34607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33850" cy="3460750"/>
                    </a:xfrm>
                    <a:prstGeom prst="rect">
                      <a:avLst/>
                    </a:prstGeom>
                    <a:noFill/>
                    <a:ln>
                      <a:noFill/>
                    </a:ln>
                  </pic:spPr>
                </pic:pic>
              </a:graphicData>
            </a:graphic>
          </wp:inline>
        </w:drawing>
      </w:r>
    </w:p>
    <w:p w14:paraId="3A6AEFC0" w14:textId="613FCCF8" w:rsidR="00273CEF" w:rsidRDefault="00273CEF" w:rsidP="00273CEF">
      <w:pPr>
        <w:pStyle w:val="Caption"/>
        <w:ind w:left="360"/>
      </w:pPr>
      <w:r>
        <w:t xml:space="preserve">Figure </w:t>
      </w:r>
      <w:r w:rsidR="00387081">
        <w:t>5.9</w:t>
      </w:r>
      <w:r>
        <w:t>:</w:t>
      </w:r>
      <w:r>
        <w:tab/>
        <w:t>Structural damage in terms of length of structure and horizontal strain</w:t>
      </w:r>
      <w:r w:rsidR="00786F3C">
        <w:t xml:space="preserve"> (after Singh, 198</w:t>
      </w:r>
      <w:r w:rsidR="00E64A63">
        <w:t>6</w:t>
      </w:r>
      <w:r w:rsidR="00786F3C">
        <w:t>)</w:t>
      </w:r>
    </w:p>
    <w:p w14:paraId="2E1F2300" w14:textId="4CCDC30B" w:rsidR="00273CEF" w:rsidRPr="002B0110" w:rsidRDefault="00B33874" w:rsidP="00B33874">
      <w:pPr>
        <w:pStyle w:val="Caption"/>
        <w:keepNext w:val="0"/>
      </w:pPr>
      <w:r w:rsidRPr="009038E7">
        <w:t>Table</w:t>
      </w:r>
      <w:r>
        <w:t xml:space="preserve"> </w:t>
      </w:r>
      <w:r>
        <w:fldChar w:fldCharType="begin"/>
      </w:r>
      <w:r>
        <w:instrText xml:space="preserve"> STYLEREF 1 \s </w:instrText>
      </w:r>
      <w:r>
        <w:fldChar w:fldCharType="separate"/>
      </w:r>
      <w:r w:rsidR="00A83148">
        <w:rPr>
          <w:noProof/>
        </w:rPr>
        <w:t>5</w:t>
      </w:r>
      <w:r>
        <w:rPr>
          <w:noProof/>
        </w:rPr>
        <w:fldChar w:fldCharType="end"/>
      </w:r>
      <w:r>
        <w:t>.</w:t>
      </w:r>
      <w:r>
        <w:fldChar w:fldCharType="begin"/>
      </w:r>
      <w:r>
        <w:instrText xml:space="preserve"> SEQ Table \* ARABIC \s 1 </w:instrText>
      </w:r>
      <w:r>
        <w:fldChar w:fldCharType="separate"/>
      </w:r>
      <w:r w:rsidR="00A83148">
        <w:rPr>
          <w:noProof/>
        </w:rPr>
        <w:t>26</w:t>
      </w:r>
      <w:r>
        <w:rPr>
          <w:noProof/>
        </w:rPr>
        <w:fldChar w:fldCharType="end"/>
      </w:r>
      <w:r w:rsidRPr="009038E7">
        <w:t xml:space="preserve">: </w:t>
      </w:r>
      <w:r w:rsidR="00273CEF">
        <w:t>Classification of Subsidence Damage</w:t>
      </w:r>
    </w:p>
    <w:p w14:paraId="7B8E7291" w14:textId="77777777" w:rsidR="00273CEF" w:rsidRDefault="00273CEF" w:rsidP="00273CEF">
      <w:pPr>
        <w:pStyle w:val="Para0"/>
      </w:pPr>
      <w:r>
        <w:rPr>
          <w:noProof/>
          <w:lang w:val="en-AU" w:eastAsia="en-AU"/>
        </w:rPr>
        <w:drawing>
          <wp:inline distT="0" distB="0" distL="0" distR="0" wp14:anchorId="617E1F40" wp14:editId="3E81D0C9">
            <wp:extent cx="5937250" cy="2393950"/>
            <wp:effectExtent l="0" t="0" r="6350" b="6350"/>
            <wp:docPr id="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a:extLst>
                        <a:ext uri="{28A0092B-C50C-407E-A947-70E740481C1C}">
                          <a14:useLocalDpi xmlns:a14="http://schemas.microsoft.com/office/drawing/2010/main" val="0"/>
                        </a:ext>
                      </a:extLst>
                    </a:blip>
                    <a:srcRect t="5823"/>
                    <a:stretch>
                      <a:fillRect/>
                    </a:stretch>
                  </pic:blipFill>
                  <pic:spPr bwMode="auto">
                    <a:xfrm>
                      <a:off x="0" y="0"/>
                      <a:ext cx="5937250" cy="2393950"/>
                    </a:xfrm>
                    <a:prstGeom prst="rect">
                      <a:avLst/>
                    </a:prstGeom>
                    <a:noFill/>
                    <a:ln>
                      <a:noFill/>
                    </a:ln>
                  </pic:spPr>
                </pic:pic>
              </a:graphicData>
            </a:graphic>
          </wp:inline>
        </w:drawing>
      </w:r>
    </w:p>
    <w:p w14:paraId="2F199257" w14:textId="28F0801D" w:rsidR="0023226C" w:rsidRPr="00D20CAD" w:rsidRDefault="0023226C" w:rsidP="00B9745D">
      <w:pPr>
        <w:pStyle w:val="Heading4"/>
        <w:rPr>
          <w:lang w:val="en-AU"/>
        </w:rPr>
      </w:pPr>
      <w:bookmarkStart w:id="185" w:name="_Toc501356714"/>
      <w:r w:rsidRPr="0061134C">
        <w:t>Thresholds</w:t>
      </w:r>
      <w:r w:rsidRPr="00D20CAD">
        <w:rPr>
          <w:lang w:val="en-AU"/>
        </w:rPr>
        <w:t xml:space="preserve"> and Rationale</w:t>
      </w:r>
      <w:bookmarkEnd w:id="185"/>
      <w:r w:rsidRPr="00D20CAD">
        <w:rPr>
          <w:lang w:val="en-AU"/>
        </w:rPr>
        <w:t xml:space="preserve"> </w:t>
      </w:r>
    </w:p>
    <w:p w14:paraId="030FD087" w14:textId="19AB9101" w:rsidR="0023226C" w:rsidRDefault="0023226C" w:rsidP="0023226C">
      <w:r>
        <w:t xml:space="preserve">The damage severity levels are classified into three categories for buildings and are </w:t>
      </w:r>
      <w:r w:rsidR="00855986">
        <w:t xml:space="preserve">as described in </w:t>
      </w:r>
      <w:r w:rsidR="00387081">
        <w:t>S</w:t>
      </w:r>
      <w:r w:rsidR="00855986">
        <w:t>ection 5.</w:t>
      </w:r>
      <w:r w:rsidR="00C33BCE">
        <w:t>3</w:t>
      </w:r>
      <w:r w:rsidR="00855986">
        <w:t>.</w:t>
      </w:r>
    </w:p>
    <w:p w14:paraId="6AE3178F" w14:textId="151B7F7F" w:rsidR="0023226C" w:rsidRDefault="0023226C" w:rsidP="00704D26">
      <w:pPr>
        <w:spacing w:after="0" w:line="240" w:lineRule="auto"/>
      </w:pPr>
      <w:r>
        <w:t>In terms of damage criteria (movement limit values) for each damage severity level</w:t>
      </w:r>
      <w:r w:rsidR="00F70FBB">
        <w:t xml:space="preserve"> </w:t>
      </w:r>
      <w:r>
        <w:t>the results of a survey of a wide range of sources are presented in</w:t>
      </w:r>
      <w:r w:rsidR="00F70FBB">
        <w:t xml:space="preserve"> Table 5.</w:t>
      </w:r>
      <w:r w:rsidR="00B96A28">
        <w:t>6, 5.</w:t>
      </w:r>
      <w:r w:rsidR="00F70FBB">
        <w:t>7 and 5.8</w:t>
      </w:r>
      <w:r w:rsidR="00387081">
        <w:t xml:space="preserve">. </w:t>
      </w:r>
      <w:r>
        <w:t xml:space="preserve"> </w:t>
      </w:r>
      <w:r w:rsidR="003C26EA">
        <w:t xml:space="preserve">These are recommended for use as a starting point in the LVRRS as they are based </w:t>
      </w:r>
      <w:r w:rsidR="009B00DD">
        <w:t xml:space="preserve">on </w:t>
      </w:r>
      <w:r w:rsidR="003C26EA">
        <w:t xml:space="preserve">a </w:t>
      </w:r>
      <w:r w:rsidR="005D3091">
        <w:t>well-accepted</w:t>
      </w:r>
      <w:r w:rsidR="003C26EA">
        <w:t xml:space="preserve"> literature review study and </w:t>
      </w:r>
      <w:r w:rsidR="005D3091">
        <w:t>can be applied in the Latrobe Valley.</w:t>
      </w:r>
      <w:r w:rsidR="00704D26">
        <w:t xml:space="preserve"> </w:t>
      </w:r>
      <w:r w:rsidR="00044E63">
        <w:t xml:space="preserve"> Note that </w:t>
      </w:r>
      <w:r w:rsidR="00704D26">
        <w:t>T</w:t>
      </w:r>
      <w:r w:rsidR="00044E63">
        <w:t xml:space="preserve">able 5.8 </w:t>
      </w:r>
      <w:r w:rsidR="00CA35A8">
        <w:t xml:space="preserve">presents the </w:t>
      </w:r>
      <w:r w:rsidR="00B4040E">
        <w:t>earthquake intensity scale.</w:t>
      </w:r>
      <w:r w:rsidR="00704D26">
        <w:t xml:space="preserve"> </w:t>
      </w:r>
      <w:r w:rsidR="00B4040E">
        <w:t xml:space="preserve"> For RIS, the</w:t>
      </w:r>
      <w:r w:rsidR="00F910B0">
        <w:t xml:space="preserve"> recommended threshold is intensity VI – slight non</w:t>
      </w:r>
      <w:r w:rsidR="00722707">
        <w:t>-</w:t>
      </w:r>
      <w:r w:rsidR="00F910B0">
        <w:t xml:space="preserve">structural damage - in keeping with the </w:t>
      </w:r>
      <w:r w:rsidR="00733426">
        <w:t>strain related thresholds given above.</w:t>
      </w:r>
    </w:p>
    <w:p w14:paraId="250BC2A2" w14:textId="77777777" w:rsidR="002B688A" w:rsidRDefault="002B688A" w:rsidP="0023226C">
      <w:pPr>
        <w:spacing w:after="0" w:line="240" w:lineRule="auto"/>
        <w:sectPr w:rsidR="002B688A" w:rsidSect="0023226C">
          <w:headerReference w:type="even" r:id="rId109"/>
          <w:headerReference w:type="default" r:id="rId110"/>
          <w:headerReference w:type="first" r:id="rId111"/>
          <w:footerReference w:type="first" r:id="rId112"/>
          <w:pgSz w:w="11906" w:h="16838" w:code="9"/>
          <w:pgMar w:top="1985" w:right="1134" w:bottom="1418" w:left="1418" w:header="709" w:footer="709" w:gutter="0"/>
          <w:cols w:space="720"/>
        </w:sectPr>
      </w:pPr>
    </w:p>
    <w:p w14:paraId="34E8F85C" w14:textId="2C15D17F" w:rsidR="00D056F7" w:rsidRDefault="00DA3CEF" w:rsidP="00B951C1">
      <w:pPr>
        <w:pStyle w:val="Heading2"/>
        <w:rPr>
          <w:lang w:val="en-AU"/>
        </w:rPr>
      </w:pPr>
      <w:bookmarkStart w:id="186" w:name="_Toc57907091"/>
      <w:bookmarkStart w:id="187" w:name="_Toc501356715"/>
      <w:r>
        <w:rPr>
          <w:lang w:val="en-AU"/>
        </w:rPr>
        <w:t xml:space="preserve">Quantitative </w:t>
      </w:r>
      <w:r w:rsidR="00E17764">
        <w:rPr>
          <w:lang w:val="en-AU"/>
        </w:rPr>
        <w:t>Metrics and Thresholds – Water</w:t>
      </w:r>
      <w:bookmarkEnd w:id="186"/>
    </w:p>
    <w:p w14:paraId="2DC05A9C" w14:textId="09E3BEBA" w:rsidR="00066869" w:rsidRDefault="00E17764" w:rsidP="00B951C1">
      <w:pPr>
        <w:pStyle w:val="Heading3"/>
        <w:rPr>
          <w:rFonts w:eastAsia="Times New Roman"/>
        </w:rPr>
      </w:pPr>
      <w:r>
        <w:rPr>
          <w:rFonts w:eastAsia="Times New Roman"/>
        </w:rPr>
        <w:t>Dams, artificial lakes and r</w:t>
      </w:r>
      <w:r w:rsidR="00066869">
        <w:rPr>
          <w:rFonts w:eastAsia="Times New Roman"/>
        </w:rPr>
        <w:t>eservoirs</w:t>
      </w:r>
    </w:p>
    <w:p w14:paraId="5C121E6B" w14:textId="2971AEF2" w:rsidR="00066869" w:rsidRDefault="00066869" w:rsidP="00066869">
      <w:r>
        <w:t>The metrics and thresholds for the potential damage induced by ground movement due to subsidence / rebound or sub-base ground movement and RIS to the water infrastructure (</w:t>
      </w:r>
      <w:r w:rsidR="000C1254">
        <w:t xml:space="preserve">such as </w:t>
      </w:r>
      <w:r>
        <w:t>dams, artificial lakes and reservoirs)</w:t>
      </w:r>
      <w:r w:rsidR="00BC7952">
        <w:t xml:space="preserve"> </w:t>
      </w:r>
      <w:r w:rsidR="000C1254">
        <w:t xml:space="preserve">is described </w:t>
      </w:r>
      <w:r>
        <w:t>in this section.</w:t>
      </w:r>
    </w:p>
    <w:p w14:paraId="297508BE" w14:textId="23A9D7FE" w:rsidR="00BC7952" w:rsidRPr="009620C9" w:rsidRDefault="00BC7952" w:rsidP="00BC7952">
      <w:r w:rsidRPr="009620C9">
        <w:rPr>
          <w:lang w:val="en-AU"/>
        </w:rPr>
        <w:t>Relevant standards, guidelines and reference documents which maintain value are listed in</w:t>
      </w:r>
      <w:r>
        <w:rPr>
          <w:lang w:val="en-AU"/>
        </w:rPr>
        <w:t xml:space="preserve"> </w:t>
      </w:r>
      <w:r w:rsidR="00310326">
        <w:rPr>
          <w:lang w:val="en-AU"/>
        </w:rPr>
        <w:fldChar w:fldCharType="begin"/>
      </w:r>
      <w:r w:rsidR="00310326">
        <w:rPr>
          <w:lang w:val="en-AU"/>
        </w:rPr>
        <w:instrText xml:space="preserve"> REF _Ref506901173 \h </w:instrText>
      </w:r>
      <w:r w:rsidR="00310326">
        <w:rPr>
          <w:lang w:val="en-AU"/>
        </w:rPr>
      </w:r>
      <w:r w:rsidR="00310326">
        <w:rPr>
          <w:lang w:val="en-AU"/>
        </w:rPr>
        <w:fldChar w:fldCharType="separate"/>
      </w:r>
      <w:r w:rsidR="00A83148" w:rsidRPr="009038E7">
        <w:t xml:space="preserve">Table </w:t>
      </w:r>
      <w:r w:rsidR="00A83148">
        <w:rPr>
          <w:noProof/>
        </w:rPr>
        <w:t>5</w:t>
      </w:r>
      <w:r w:rsidR="00A83148" w:rsidRPr="009038E7">
        <w:t>.</w:t>
      </w:r>
      <w:r w:rsidR="00A83148">
        <w:rPr>
          <w:noProof/>
        </w:rPr>
        <w:t>27</w:t>
      </w:r>
      <w:r w:rsidR="00310326">
        <w:rPr>
          <w:lang w:val="en-AU"/>
        </w:rPr>
        <w:fldChar w:fldCharType="end"/>
      </w:r>
      <w:r w:rsidR="00310326">
        <w:rPr>
          <w:lang w:val="en-AU"/>
        </w:rPr>
        <w:t xml:space="preserve"> </w:t>
      </w:r>
      <w:r>
        <w:rPr>
          <w:lang w:val="en-AU"/>
        </w:rPr>
        <w:t>including t</w:t>
      </w:r>
      <w:r w:rsidRPr="009620C9">
        <w:rPr>
          <w:lang w:val="en-AU"/>
        </w:rPr>
        <w:t xml:space="preserve">he </w:t>
      </w:r>
      <w:r w:rsidRPr="00BC7952">
        <w:t>Australian National Committee on Large Dams (ANCOLD) Guidelines</w:t>
      </w:r>
      <w:r>
        <w:t>.</w:t>
      </w:r>
    </w:p>
    <w:p w14:paraId="03716DA5" w14:textId="5DA44AC5" w:rsidR="00066869" w:rsidRPr="002B0110" w:rsidRDefault="00E17764" w:rsidP="00E17764">
      <w:pPr>
        <w:pStyle w:val="Caption"/>
      </w:pPr>
      <w:bookmarkStart w:id="188" w:name="_Ref506901173"/>
      <w:r w:rsidRPr="009038E7">
        <w:t xml:space="preserve">Table </w:t>
      </w:r>
      <w:r>
        <w:fldChar w:fldCharType="begin"/>
      </w:r>
      <w:r>
        <w:instrText xml:space="preserve"> STYLEREF 1 \s </w:instrText>
      </w:r>
      <w:r>
        <w:fldChar w:fldCharType="separate"/>
      </w:r>
      <w:r w:rsidR="00A83148">
        <w:rPr>
          <w:noProof/>
        </w:rPr>
        <w:t>5</w:t>
      </w:r>
      <w:r>
        <w:fldChar w:fldCharType="end"/>
      </w:r>
      <w:r w:rsidRPr="009038E7">
        <w:t>.</w:t>
      </w:r>
      <w:r>
        <w:fldChar w:fldCharType="begin"/>
      </w:r>
      <w:r>
        <w:instrText xml:space="preserve"> SEQ Table \* ARABIC \s 1 </w:instrText>
      </w:r>
      <w:r>
        <w:fldChar w:fldCharType="separate"/>
      </w:r>
      <w:r w:rsidR="00A83148">
        <w:rPr>
          <w:noProof/>
        </w:rPr>
        <w:t>27</w:t>
      </w:r>
      <w:r>
        <w:fldChar w:fldCharType="end"/>
      </w:r>
      <w:bookmarkEnd w:id="188"/>
      <w:r w:rsidRPr="009038E7">
        <w:t xml:space="preserve"> : </w:t>
      </w:r>
      <w:r w:rsidR="00BC7952">
        <w:t>Water</w:t>
      </w:r>
      <w:r w:rsidR="00066869">
        <w:t xml:space="preserve"> </w:t>
      </w:r>
      <w:r w:rsidR="00B951C1">
        <w:t>– key guidelines and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5"/>
        <w:gridCol w:w="7469"/>
      </w:tblGrid>
      <w:tr w:rsidR="00B951C1" w:rsidRPr="00011720" w14:paraId="184FD692" w14:textId="77777777" w:rsidTr="00B951C1">
        <w:tc>
          <w:tcPr>
            <w:tcW w:w="1995" w:type="dxa"/>
            <w:shd w:val="clear" w:color="auto" w:fill="00338D"/>
          </w:tcPr>
          <w:p w14:paraId="3188134E" w14:textId="77777777" w:rsidR="00B951C1" w:rsidRPr="009C279E" w:rsidRDefault="00B951C1" w:rsidP="00134183">
            <w:pPr>
              <w:keepNext/>
              <w:spacing w:before="100" w:after="100"/>
              <w:rPr>
                <w:color w:val="FFFFFF" w:themeColor="background1"/>
                <w:lang w:val="en-AU"/>
              </w:rPr>
            </w:pPr>
            <w:r w:rsidRPr="009C279E">
              <w:rPr>
                <w:rFonts w:ascii="Arial Black" w:hAnsi="Arial Black"/>
                <w:b/>
                <w:color w:val="FFFFFF" w:themeColor="background1"/>
                <w:sz w:val="16"/>
              </w:rPr>
              <w:t>Value Category</w:t>
            </w:r>
          </w:p>
        </w:tc>
        <w:tc>
          <w:tcPr>
            <w:tcW w:w="7469" w:type="dxa"/>
            <w:shd w:val="clear" w:color="auto" w:fill="00338D"/>
          </w:tcPr>
          <w:p w14:paraId="1E82BB15" w14:textId="77777777" w:rsidR="00B951C1" w:rsidRPr="009C279E" w:rsidRDefault="00B951C1" w:rsidP="00134183">
            <w:pPr>
              <w:keepNext/>
              <w:spacing w:before="100" w:after="100"/>
              <w:rPr>
                <w:rFonts w:ascii="Arial Black" w:hAnsi="Arial Black"/>
                <w:b/>
                <w:color w:val="FFFFFF" w:themeColor="background1"/>
                <w:sz w:val="16"/>
              </w:rPr>
            </w:pPr>
            <w:r w:rsidRPr="009C279E">
              <w:rPr>
                <w:rFonts w:ascii="Arial Black" w:hAnsi="Arial Black"/>
                <w:b/>
                <w:color w:val="FFFFFF" w:themeColor="background1"/>
                <w:sz w:val="16"/>
              </w:rPr>
              <w:t>Standard, Guideline or Reference Documents</w:t>
            </w:r>
          </w:p>
        </w:tc>
      </w:tr>
      <w:tr w:rsidR="00B951C1" w14:paraId="4BA371D6" w14:textId="77777777" w:rsidTr="00B951C1">
        <w:tc>
          <w:tcPr>
            <w:tcW w:w="1995" w:type="dxa"/>
          </w:tcPr>
          <w:p w14:paraId="49E74C85" w14:textId="77777777" w:rsidR="00B951C1" w:rsidRPr="0098775D" w:rsidRDefault="00B951C1" w:rsidP="00134183">
            <w:pPr>
              <w:spacing w:after="60"/>
              <w:rPr>
                <w:rFonts w:eastAsia="MS Mincho"/>
                <w:sz w:val="18"/>
              </w:rPr>
            </w:pPr>
            <w:r w:rsidRPr="0098775D">
              <w:rPr>
                <w:rFonts w:eastAsia="MS Mincho"/>
                <w:sz w:val="18"/>
              </w:rPr>
              <w:t>Social/Cultural</w:t>
            </w:r>
          </w:p>
        </w:tc>
        <w:tc>
          <w:tcPr>
            <w:tcW w:w="7469" w:type="dxa"/>
          </w:tcPr>
          <w:p w14:paraId="2B1BE7F5" w14:textId="77777777" w:rsidR="00B951C1" w:rsidRPr="00310326" w:rsidRDefault="00B951C1"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Water for Victoria (2016) Recognising and Managing Aboriginal Values.</w:t>
            </w:r>
          </w:p>
          <w:p w14:paraId="689E7AF1" w14:textId="77777777" w:rsidR="00B951C1" w:rsidRPr="00310326" w:rsidRDefault="00B951C1"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DELWP (2017) Latrobe Planning Scheme</w:t>
            </w:r>
          </w:p>
          <w:p w14:paraId="22DF60B2" w14:textId="79B7AFA2" w:rsidR="00B951C1" w:rsidRPr="00310326" w:rsidRDefault="00B951C1"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 xml:space="preserve">Planning </w:t>
            </w:r>
            <w:r w:rsidR="0002169C">
              <w:rPr>
                <w:rFonts w:eastAsia="Times New Roman" w:cs="Arial"/>
                <w:sz w:val="18"/>
                <w:szCs w:val="20"/>
                <w:lang w:val="en-AU"/>
              </w:rPr>
              <w:t xml:space="preserve">and </w:t>
            </w:r>
            <w:r w:rsidRPr="00310326">
              <w:rPr>
                <w:rFonts w:eastAsia="Times New Roman" w:cs="Arial"/>
                <w:sz w:val="18"/>
                <w:szCs w:val="20"/>
                <w:lang w:val="en-AU"/>
              </w:rPr>
              <w:t xml:space="preserve">Environment Act </w:t>
            </w:r>
            <w:r w:rsidR="0002169C">
              <w:rPr>
                <w:rFonts w:eastAsia="Times New Roman" w:cs="Arial"/>
                <w:sz w:val="18"/>
                <w:szCs w:val="20"/>
                <w:lang w:val="en-AU"/>
              </w:rPr>
              <w:t>(</w:t>
            </w:r>
            <w:r w:rsidRPr="00310326">
              <w:rPr>
                <w:rFonts w:eastAsia="Times New Roman" w:cs="Arial"/>
                <w:sz w:val="18"/>
                <w:szCs w:val="20"/>
                <w:lang w:val="en-AU"/>
              </w:rPr>
              <w:t>1987)</w:t>
            </w:r>
          </w:p>
          <w:p w14:paraId="6E8D4AC7" w14:textId="77777777" w:rsidR="00B951C1" w:rsidRPr="00310326" w:rsidRDefault="00B951C1"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Live Work Latrobe (Housing Strategy, Industrial Land Use and Employment Strategy and Rural Land Use Strategy) (2016)</w:t>
            </w:r>
          </w:p>
          <w:p w14:paraId="3D7AA463" w14:textId="77777777" w:rsidR="00B951C1" w:rsidRPr="00310326" w:rsidRDefault="00B951C1"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Mine Subsidence Board (2009) Graduated Guidelines for Residential Construction (NSW) Historical and Technical Background</w:t>
            </w:r>
          </w:p>
          <w:p w14:paraId="2501399E" w14:textId="77777777" w:rsidR="00B951C1" w:rsidRPr="00310326" w:rsidRDefault="00B951C1"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Harrison, J (2011) Mining Engineering Handbook, Mine Subsidence, Society for Mining, Metallurgy and Exploration</w:t>
            </w:r>
          </w:p>
          <w:p w14:paraId="3B0C1919" w14:textId="77777777" w:rsidR="00B951C1" w:rsidRPr="00310326" w:rsidRDefault="00B951C1" w:rsidP="006F654D">
            <w:pPr>
              <w:numPr>
                <w:ilvl w:val="0"/>
                <w:numId w:val="33"/>
              </w:numPr>
              <w:spacing w:after="0" w:line="240" w:lineRule="auto"/>
              <w:ind w:left="209" w:hanging="284"/>
              <w:contextualSpacing/>
              <w:rPr>
                <w:rFonts w:eastAsia="Times New Roman" w:cs="Arial"/>
                <w:sz w:val="18"/>
                <w:szCs w:val="20"/>
                <w:lang w:val="en-AU"/>
              </w:rPr>
            </w:pPr>
            <w:r w:rsidRPr="00310326">
              <w:rPr>
                <w:rFonts w:eastAsia="Times New Roman" w:cs="Arial"/>
                <w:sz w:val="18"/>
                <w:szCs w:val="20"/>
                <w:lang w:val="en-AU"/>
              </w:rPr>
              <w:t>Singh, M (1986) Mine subsidence, Society for Mining, Metallurgy and Exploration</w:t>
            </w:r>
          </w:p>
          <w:p w14:paraId="4F09F25B" w14:textId="3D0507D0" w:rsidR="00B951C1" w:rsidRPr="0098775D" w:rsidRDefault="00B951C1" w:rsidP="006F654D">
            <w:pPr>
              <w:numPr>
                <w:ilvl w:val="0"/>
                <w:numId w:val="33"/>
              </w:numPr>
              <w:spacing w:after="0" w:line="240" w:lineRule="auto"/>
              <w:ind w:left="209" w:hanging="284"/>
              <w:contextualSpacing/>
              <w:rPr>
                <w:rFonts w:eastAsia="MS Mincho"/>
                <w:sz w:val="18"/>
              </w:rPr>
            </w:pPr>
            <w:r w:rsidRPr="00310326">
              <w:rPr>
                <w:rFonts w:eastAsia="Times New Roman" w:cs="Arial"/>
                <w:sz w:val="18"/>
                <w:szCs w:val="20"/>
                <w:lang w:val="en-AU"/>
              </w:rPr>
              <w:t>ANCOLD Guidelines</w:t>
            </w:r>
            <w:r w:rsidR="00810DCB">
              <w:rPr>
                <w:rFonts w:eastAsia="Times New Roman" w:cs="Arial"/>
                <w:sz w:val="18"/>
                <w:szCs w:val="20"/>
                <w:lang w:val="en-AU"/>
              </w:rPr>
              <w:t xml:space="preserve"> (2012)</w:t>
            </w:r>
          </w:p>
        </w:tc>
      </w:tr>
      <w:tr w:rsidR="00B951C1" w14:paraId="03D9485B" w14:textId="77777777" w:rsidTr="00B951C1">
        <w:tc>
          <w:tcPr>
            <w:tcW w:w="1995" w:type="dxa"/>
          </w:tcPr>
          <w:p w14:paraId="58530458" w14:textId="77777777" w:rsidR="00B951C1" w:rsidRPr="00D35D43" w:rsidRDefault="00B951C1" w:rsidP="00134183">
            <w:pPr>
              <w:spacing w:after="60"/>
              <w:rPr>
                <w:rFonts w:eastAsia="MS Mincho"/>
                <w:sz w:val="18"/>
              </w:rPr>
            </w:pPr>
            <w:r w:rsidRPr="00D35D43">
              <w:rPr>
                <w:rFonts w:eastAsia="MS Mincho"/>
                <w:sz w:val="18"/>
              </w:rPr>
              <w:t>Economic</w:t>
            </w:r>
          </w:p>
        </w:tc>
        <w:tc>
          <w:tcPr>
            <w:tcW w:w="7469" w:type="dxa"/>
          </w:tcPr>
          <w:p w14:paraId="469CAE58" w14:textId="77777777" w:rsidR="00B951C1" w:rsidRPr="0098775D" w:rsidRDefault="00B951C1" w:rsidP="006F654D">
            <w:pPr>
              <w:numPr>
                <w:ilvl w:val="0"/>
                <w:numId w:val="33"/>
              </w:numPr>
              <w:spacing w:after="0" w:line="240" w:lineRule="auto"/>
              <w:ind w:left="209" w:hanging="284"/>
              <w:contextualSpacing/>
              <w:rPr>
                <w:rFonts w:eastAsia="MS Mincho"/>
                <w:sz w:val="18"/>
              </w:rPr>
            </w:pPr>
            <w:r w:rsidRPr="00310326">
              <w:rPr>
                <w:rFonts w:eastAsia="Times New Roman" w:cs="Arial"/>
                <w:sz w:val="18"/>
                <w:szCs w:val="20"/>
                <w:lang w:val="en-AU"/>
              </w:rPr>
              <w:t>Live Work Latrobe (Housing Strategy, Industrial Land Use and Employment Strategy and Rural Land Use Strategy) (2016)</w:t>
            </w:r>
          </w:p>
        </w:tc>
      </w:tr>
    </w:tbl>
    <w:p w14:paraId="65DA7C6F" w14:textId="77777777" w:rsidR="006E167C" w:rsidRDefault="006E167C" w:rsidP="00842066">
      <w:pPr>
        <w:pStyle w:val="Heading4"/>
      </w:pPr>
      <w:r>
        <w:t>Buckley’s Hill Reservoir</w:t>
      </w:r>
    </w:p>
    <w:p w14:paraId="09E49A73" w14:textId="066862CA" w:rsidR="006E167C" w:rsidRDefault="006E167C" w:rsidP="006E167C">
      <w:pPr>
        <w:spacing w:before="240" w:after="120"/>
        <w:rPr>
          <w:rFonts w:ascii="Calibri" w:hAnsi="Calibri"/>
          <w:lang w:val="en-AU"/>
        </w:rPr>
      </w:pPr>
      <w:r>
        <w:t xml:space="preserve">The Buckley’s Hill Reservoir provides treated water to the Morwell and Churchill communities as well as raw water to the power industry. </w:t>
      </w:r>
      <w:r w:rsidR="00387081">
        <w:t xml:space="preserve"> </w:t>
      </w:r>
      <w:r>
        <w:t xml:space="preserve">The raw water source for the Buckley’s Hill Reservoir is the Moondarra Reservoir on the Tyers River for which Gippsland Water holds a Bulk Entitlement of 62,000 ML/y on average. </w:t>
      </w:r>
      <w:r w:rsidR="00387081">
        <w:t xml:space="preserve"> </w:t>
      </w:r>
      <w:r>
        <w:t>Water is piped from Moondarra Reservoir to the Buckley’s Hill storage.</w:t>
      </w:r>
    </w:p>
    <w:p w14:paraId="2205E560" w14:textId="09F890C7" w:rsidR="006E167C" w:rsidRDefault="006E167C" w:rsidP="006E167C">
      <w:pPr>
        <w:pStyle w:val="Para0"/>
      </w:pPr>
      <w:r>
        <w:t xml:space="preserve">The original Buckley’s Hill storage was built in the early 1960s and embankment works and other maintenance were performed most recently in 2015 and 2017 </w:t>
      </w:r>
      <w:r w:rsidR="006A0624">
        <w:t xml:space="preserve">respectively </w:t>
      </w:r>
      <w:r>
        <w:t xml:space="preserve">to ensure ongoing compliance with modern design standards and to extend the life of the facility. </w:t>
      </w:r>
      <w:r w:rsidR="00387081">
        <w:t xml:space="preserve"> </w:t>
      </w:r>
      <w:r>
        <w:t xml:space="preserve">For example, to ensure the future integrity of the structure, extra material was added to the northern walls of the reservoir which has been subject to some minor movements over many years. </w:t>
      </w:r>
      <w:r w:rsidR="009B49F1">
        <w:t xml:space="preserve"> </w:t>
      </w:r>
      <w:r>
        <w:t>The reservoir is likely to be outside of the area of influence most affected by ground movement.</w:t>
      </w:r>
      <w:r w:rsidR="009B49F1">
        <w:t xml:space="preserve"> </w:t>
      </w:r>
      <w:r w:rsidR="00842066">
        <w:t xml:space="preserve"> Nevertheless</w:t>
      </w:r>
      <w:r w:rsidR="00387081">
        <w:t>,</w:t>
      </w:r>
      <w:r w:rsidR="00842066">
        <w:t xml:space="preserve"> it is recommended that the general metrics and thresholds for dams as described below be applied.</w:t>
      </w:r>
    </w:p>
    <w:p w14:paraId="2BCCFB9F" w14:textId="77777777" w:rsidR="00126C81" w:rsidRDefault="00126C81" w:rsidP="003B5918">
      <w:pPr>
        <w:pStyle w:val="Heading4"/>
        <w:rPr>
          <w:lang w:val="en-AU"/>
        </w:rPr>
      </w:pPr>
      <w:r w:rsidRPr="00D20CAD">
        <w:rPr>
          <w:lang w:val="en-AU"/>
        </w:rPr>
        <w:t xml:space="preserve">Defined </w:t>
      </w:r>
      <w:r w:rsidRPr="0061134C">
        <w:t>Metrics</w:t>
      </w:r>
    </w:p>
    <w:p w14:paraId="446B9EF3" w14:textId="0538AC83" w:rsidR="00126C81" w:rsidRDefault="00126C81" w:rsidP="00126C81">
      <w:r>
        <w:t>Ground movement may cause d</w:t>
      </w:r>
      <w:r w:rsidRPr="00017F99">
        <w:t xml:space="preserve">amage </w:t>
      </w:r>
      <w:r>
        <w:t xml:space="preserve">to dams or reservoirs </w:t>
      </w:r>
      <w:r w:rsidRPr="00AD62D6">
        <w:rPr>
          <w:w w:val="105"/>
        </w:rPr>
        <w:t xml:space="preserve">by </w:t>
      </w:r>
      <w:r w:rsidRPr="00AD62D6">
        <w:rPr>
          <w:spacing w:val="-3"/>
          <w:w w:val="105"/>
        </w:rPr>
        <w:t xml:space="preserve">horizontal </w:t>
      </w:r>
      <w:r w:rsidRPr="00AD62D6">
        <w:rPr>
          <w:w w:val="105"/>
        </w:rPr>
        <w:t>ground strain</w:t>
      </w:r>
      <w:r w:rsidR="00135FA7">
        <w:rPr>
          <w:w w:val="105"/>
        </w:rPr>
        <w:t>, subsidence or rebound</w:t>
      </w:r>
      <w:r w:rsidRPr="00AD62D6">
        <w:rPr>
          <w:w w:val="105"/>
        </w:rPr>
        <w:t xml:space="preserve"> resulting in the movement</w:t>
      </w:r>
      <w:r>
        <w:rPr>
          <w:w w:val="105"/>
        </w:rPr>
        <w:t xml:space="preserve"> in the foundation or embankment.</w:t>
      </w:r>
      <w:r w:rsidR="00387081">
        <w:rPr>
          <w:w w:val="105"/>
        </w:rPr>
        <w:t xml:space="preserve"> </w:t>
      </w:r>
      <w:r>
        <w:rPr>
          <w:w w:val="105"/>
        </w:rPr>
        <w:t xml:space="preserve"> For RIS, </w:t>
      </w:r>
      <w:r>
        <w:t xml:space="preserve">the performance of dams during and after earthquakes is essential </w:t>
      </w:r>
      <w:r w:rsidR="00135FA7">
        <w:t>to</w:t>
      </w:r>
      <w:r>
        <w:t xml:space="preserve"> ensur</w:t>
      </w:r>
      <w:r w:rsidR="00135FA7">
        <w:t>e</w:t>
      </w:r>
      <w:r>
        <w:t xml:space="preserve"> that water </w:t>
      </w:r>
      <w:r w:rsidR="0087664E">
        <w:t xml:space="preserve">or tailings </w:t>
      </w:r>
      <w:r>
        <w:t>is contained</w:t>
      </w:r>
      <w:r w:rsidRPr="002F262B">
        <w:t xml:space="preserve">.  </w:t>
      </w:r>
      <w:r>
        <w:t xml:space="preserve">ANCOLD provides guidelines with </w:t>
      </w:r>
      <w:r w:rsidR="00135FA7">
        <w:t>respect to seismicity, assessment of the consequence of dam failure, dam safety management and risk assessment to name a few.</w:t>
      </w:r>
      <w:r w:rsidR="00387081">
        <w:t xml:space="preserve"> </w:t>
      </w:r>
      <w:r w:rsidR="00135FA7">
        <w:t xml:space="preserve"> </w:t>
      </w:r>
      <w:r w:rsidR="0087664E">
        <w:t>These factors are included in dam design and approval prior to construction.</w:t>
      </w:r>
    </w:p>
    <w:p w14:paraId="56F58438" w14:textId="56A77259" w:rsidR="00651410" w:rsidRDefault="00651410" w:rsidP="00222DC1">
      <w:pPr>
        <w:pStyle w:val="Para0"/>
        <w:rPr>
          <w:rFonts w:cs="Arial"/>
          <w:color w:val="000000"/>
          <w:sz w:val="22"/>
          <w:szCs w:val="22"/>
          <w:lang w:val="en-AU"/>
        </w:rPr>
      </w:pPr>
      <w:r w:rsidRPr="00594538">
        <w:t xml:space="preserve">Subsidence can change the elevation of an area which may lead to increased exposure to flooding. Lowering of the ground level may lead to </w:t>
      </w:r>
      <w:r w:rsidR="00D47F4E">
        <w:t xml:space="preserve">low level dam walls </w:t>
      </w:r>
      <w:r w:rsidRPr="00594538">
        <w:t>overflowing, especially in low lying regions</w:t>
      </w:r>
      <w:r w:rsidR="00D47F4E">
        <w:t xml:space="preserve"> (IESC</w:t>
      </w:r>
      <w:r w:rsidR="00222DC1">
        <w:t>, 2014)</w:t>
      </w:r>
      <w:r w:rsidR="00222DC1">
        <w:rPr>
          <w:rFonts w:cs="Arial"/>
          <w:color w:val="000000"/>
          <w:sz w:val="22"/>
          <w:szCs w:val="22"/>
          <w:lang w:val="en-AU"/>
        </w:rPr>
        <w:t>.</w:t>
      </w:r>
    </w:p>
    <w:p w14:paraId="2A2B9C08" w14:textId="0BF9982B" w:rsidR="003A3E95" w:rsidRPr="00355DCD" w:rsidRDefault="003A3E95" w:rsidP="00222DC1">
      <w:pPr>
        <w:pStyle w:val="Para0"/>
        <w:rPr>
          <w:lang w:val="en-AU"/>
        </w:rPr>
      </w:pPr>
      <w:r>
        <w:rPr>
          <w:lang w:val="en-AU"/>
        </w:rPr>
        <w:t xml:space="preserve">For this study the measure of horizontal ground strain is recommended </w:t>
      </w:r>
      <w:r w:rsidR="00EA5537">
        <w:rPr>
          <w:lang w:val="en-AU"/>
        </w:rPr>
        <w:t xml:space="preserve">to be the basis of a metric, which could form the basis of a trigger for further investigation. </w:t>
      </w:r>
      <w:r w:rsidR="00B63CC2">
        <w:rPr>
          <w:lang w:val="en-AU"/>
        </w:rPr>
        <w:t xml:space="preserve"> </w:t>
      </w:r>
      <w:r w:rsidR="00EA5537">
        <w:rPr>
          <w:lang w:val="en-AU"/>
        </w:rPr>
        <w:t>This is recommended at the starting point.</w:t>
      </w:r>
    </w:p>
    <w:p w14:paraId="18CD3EEF" w14:textId="1A5B58E2" w:rsidR="00135FA7" w:rsidRPr="00017F99" w:rsidRDefault="00135FA7" w:rsidP="0035469C">
      <w:pPr>
        <w:pStyle w:val="Heading4"/>
        <w:rPr>
          <w:lang w:val="en-AU"/>
        </w:rPr>
      </w:pPr>
      <w:r w:rsidRPr="00017F99">
        <w:rPr>
          <w:lang w:val="en-AU"/>
        </w:rPr>
        <w:t xml:space="preserve">Thresholds and Rationale </w:t>
      </w:r>
    </w:p>
    <w:p w14:paraId="7460D96E" w14:textId="0037D2A5" w:rsidR="00135FA7" w:rsidRPr="00017F99" w:rsidRDefault="00135FA7" w:rsidP="00135FA7">
      <w:r w:rsidRPr="00017F99">
        <w:t xml:space="preserve">In terms of damage criteria (movement limit values) </w:t>
      </w:r>
      <w:r w:rsidR="0087664E">
        <w:t xml:space="preserve">for dams and reservoirs, very limited data is available on these structures. </w:t>
      </w:r>
      <w:r w:rsidR="00387081">
        <w:t xml:space="preserve"> </w:t>
      </w:r>
      <w:r w:rsidR="0087664E">
        <w:t>C</w:t>
      </w:r>
      <w:r w:rsidRPr="00017F99">
        <w:t xml:space="preserve">onsensus </w:t>
      </w:r>
      <w:r w:rsidR="003D006F">
        <w:t>in the literature appears t</w:t>
      </w:r>
      <w:r w:rsidRPr="00017F99">
        <w:t>o conver</w:t>
      </w:r>
      <w:r w:rsidR="003D006F">
        <w:t>ge</w:t>
      </w:r>
      <w:r w:rsidRPr="00017F99">
        <w:t xml:space="preserve"> on a </w:t>
      </w:r>
      <w:r w:rsidRPr="00651410">
        <w:t>strain value of 1.0 x 10</w:t>
      </w:r>
      <w:r w:rsidRPr="00651410">
        <w:rPr>
          <w:vertAlign w:val="superscript"/>
        </w:rPr>
        <w:t>-3</w:t>
      </w:r>
      <w:r w:rsidRPr="00651410">
        <w:t xml:space="preserve"> for</w:t>
      </w:r>
      <w:r w:rsidRPr="00017F99">
        <w:t xml:space="preserve"> tolerable horizontal strain (see, for example Nishida and Goto 1970</w:t>
      </w:r>
      <w:r w:rsidR="00EB0508">
        <w:t>;</w:t>
      </w:r>
      <w:r w:rsidR="0087664E">
        <w:t xml:space="preserve"> Lee 1986</w:t>
      </w:r>
      <w:r w:rsidRPr="00017F99">
        <w:t>; Lackington and Robinson 1973)</w:t>
      </w:r>
      <w:r w:rsidR="00412BE6">
        <w:t>.</w:t>
      </w:r>
      <w:r w:rsidR="00B63CC2">
        <w:t xml:space="preserve"> </w:t>
      </w:r>
      <w:r w:rsidR="00412BE6">
        <w:t xml:space="preserve"> This value is recommended as the trigger value for further assessment for LVRRS.</w:t>
      </w:r>
    </w:p>
    <w:p w14:paraId="27010D09" w14:textId="4CFE1CE1" w:rsidR="00FC0694" w:rsidRDefault="00A65D4D" w:rsidP="0035469C">
      <w:pPr>
        <w:pStyle w:val="Heading3"/>
      </w:pPr>
      <w:r>
        <w:t>Drains</w:t>
      </w:r>
    </w:p>
    <w:p w14:paraId="18C312A3" w14:textId="0D97DB58" w:rsidR="00D056F7" w:rsidRPr="00D056F7" w:rsidRDefault="00FC0694" w:rsidP="00704D26">
      <w:r>
        <w:t xml:space="preserve">The metrics and </w:t>
      </w:r>
      <w:r w:rsidR="00A65D4D">
        <w:t>t</w:t>
      </w:r>
      <w:r>
        <w:t xml:space="preserve">hresholds for the potential damage induced by ground movement due to </w:t>
      </w:r>
      <w:r w:rsidR="008071FB">
        <w:t>d</w:t>
      </w:r>
      <w:r>
        <w:t>rain</w:t>
      </w:r>
      <w:r w:rsidR="008071FB">
        <w:t>s</w:t>
      </w:r>
      <w:r>
        <w:t xml:space="preserve"> (</w:t>
      </w:r>
      <w:r w:rsidR="008071FB">
        <w:t>including the distal parts of the Morwell Main Drain)</w:t>
      </w:r>
      <w:r>
        <w:t xml:space="preserve"> are in line with the defined metrics and thresholds for </w:t>
      </w:r>
      <w:r w:rsidR="008071FB">
        <w:t>reservoirs</w:t>
      </w:r>
      <w:r>
        <w:t xml:space="preserve"> discussed </w:t>
      </w:r>
      <w:r w:rsidR="00627B32">
        <w:t xml:space="preserve">earlier. </w:t>
      </w:r>
      <w:r w:rsidR="00387081">
        <w:t xml:space="preserve"> </w:t>
      </w:r>
      <w:r w:rsidR="00627B32">
        <w:t xml:space="preserve">It is arguable that the </w:t>
      </w:r>
      <w:r w:rsidR="00A65D4D">
        <w:t>focus of the lower part of the drain is closely aligned with Hazelwood mine activities and so a regional threshold is not appropriate.</w:t>
      </w:r>
      <w:r>
        <w:t xml:space="preserve"> </w:t>
      </w:r>
      <w:r w:rsidR="00387081">
        <w:t xml:space="preserve"> </w:t>
      </w:r>
      <w:r>
        <w:t>The MMD is a lined drain for several hundreds of metres in vicinity of Hazelwood Mine and an earthen structure near the Morwell township and the out flow.</w:t>
      </w:r>
      <w:r w:rsidR="00597717">
        <w:t xml:space="preserve"> </w:t>
      </w:r>
      <w:r>
        <w:t xml:space="preserve"> The section of the MMD likely to be most affected by ground movement is closest to Hazelwood Mine.</w:t>
      </w:r>
      <w:r w:rsidR="008071FB">
        <w:t xml:space="preserve"> </w:t>
      </w:r>
      <w:r w:rsidR="00387081">
        <w:t xml:space="preserve"> </w:t>
      </w:r>
      <w:r w:rsidR="008071FB">
        <w:t>Thus</w:t>
      </w:r>
      <w:r w:rsidR="002D3CD9">
        <w:t>,</w:t>
      </w:r>
      <w:r w:rsidR="008071FB">
        <w:t xml:space="preserve"> this may not be a regional receptor, rather </w:t>
      </w:r>
      <w:r w:rsidR="00F20E6C">
        <w:t xml:space="preserve">its design performance </w:t>
      </w:r>
      <w:r w:rsidR="008071FB">
        <w:t xml:space="preserve">is subject to </w:t>
      </w:r>
      <w:r w:rsidR="006E167C">
        <w:t xml:space="preserve">controls associated with </w:t>
      </w:r>
      <w:r w:rsidR="00FA1549">
        <w:t xml:space="preserve">the </w:t>
      </w:r>
      <w:r w:rsidR="006E167C">
        <w:t>mine.</w:t>
      </w:r>
    </w:p>
    <w:p w14:paraId="55A99112" w14:textId="77777777" w:rsidR="00BC7952" w:rsidRDefault="00BC7952">
      <w:pPr>
        <w:spacing w:after="0" w:line="240" w:lineRule="auto"/>
        <w:rPr>
          <w:rFonts w:eastAsiaTheme="majorEastAsia" w:cstheme="majorBidi"/>
          <w:b/>
          <w:bCs/>
          <w:color w:val="00338D"/>
          <w:sz w:val="32"/>
          <w:szCs w:val="32"/>
        </w:rPr>
      </w:pPr>
      <w:r>
        <w:br w:type="page"/>
      </w:r>
    </w:p>
    <w:p w14:paraId="4F369A17" w14:textId="09FF6846" w:rsidR="0023226C" w:rsidRPr="0004151F" w:rsidRDefault="009D66C1" w:rsidP="0061134C">
      <w:pPr>
        <w:pStyle w:val="Heading1"/>
        <w:rPr>
          <w:lang w:val="en-AU"/>
        </w:rPr>
      </w:pPr>
      <w:bookmarkStart w:id="189" w:name="_Toc57907092"/>
      <w:bookmarkEnd w:id="187"/>
      <w:r>
        <w:t>Conclusions</w:t>
      </w:r>
      <w:bookmarkEnd w:id="189"/>
    </w:p>
    <w:p w14:paraId="0A6F666E" w14:textId="0ADA72F1" w:rsidR="00924D54" w:rsidRDefault="008B1BD7" w:rsidP="00267CF9">
      <w:r>
        <w:t>M</w:t>
      </w:r>
      <w:r w:rsidR="00C53A78">
        <w:t xml:space="preserve">etrics and threshold </w:t>
      </w:r>
      <w:r w:rsidR="009D66C1">
        <w:t>recommendations</w:t>
      </w:r>
      <w:r w:rsidR="00C53A78">
        <w:t xml:space="preserve"> that can be used to </w:t>
      </w:r>
      <w:r w:rsidR="003C1FDB">
        <w:t xml:space="preserve">assess </w:t>
      </w:r>
      <w:r w:rsidR="009D66C1">
        <w:t xml:space="preserve">regional ground movement effects </w:t>
      </w:r>
      <w:r w:rsidR="00C53A78">
        <w:t xml:space="preserve">of rehabilitation scenarios on recognised </w:t>
      </w:r>
      <w:r w:rsidR="00C53A78" w:rsidRPr="00BC5572">
        <w:t>receptors</w:t>
      </w:r>
      <w:r>
        <w:t xml:space="preserve"> have been defined</w:t>
      </w:r>
      <w:r w:rsidR="00C53A78">
        <w:t>.</w:t>
      </w:r>
    </w:p>
    <w:p w14:paraId="5659121B" w14:textId="77777777" w:rsidR="00816BE3" w:rsidRDefault="00924D54" w:rsidP="00816BE3">
      <w:pPr>
        <w:pStyle w:val="Para0"/>
      </w:pPr>
      <w:r>
        <w:t xml:space="preserve">Metrics and thresholds have </w:t>
      </w:r>
      <w:r w:rsidR="0072397A">
        <w:t>been recommended</w:t>
      </w:r>
      <w:r>
        <w:t xml:space="preserve"> for each receptor potentially effected by ground movement (geotechnical processes) </w:t>
      </w:r>
      <w:r w:rsidR="0072397A">
        <w:t xml:space="preserve">and are </w:t>
      </w:r>
      <w:r w:rsidR="00974AF0">
        <w:t xml:space="preserve">compiled in </w:t>
      </w:r>
      <w:r w:rsidR="00630AB2">
        <w:t>T</w:t>
      </w:r>
      <w:r w:rsidR="00974AF0">
        <w:t>able 6.1</w:t>
      </w:r>
      <w:r>
        <w:t>.</w:t>
      </w:r>
      <w:r w:rsidR="00816BE3">
        <w:t xml:space="preserve"> All receptors except for intangible Aboriginal and non-aboriginal cultural heritage and some water and land use type related receptors have been allocated a metric. Where a recognised receptor does not have a clear metric, further assessment by the LVRRS and receptor custodians may be required if quantitative effects are to be evaluated. This is beyond the scope of this study.</w:t>
      </w:r>
    </w:p>
    <w:p w14:paraId="27A23575" w14:textId="6C55A2CF" w:rsidR="007E5246" w:rsidRPr="00B23ED5" w:rsidRDefault="00974AF0" w:rsidP="00F33369">
      <w:pPr>
        <w:pStyle w:val="Para0"/>
      </w:pPr>
      <w:r>
        <w:t>T</w:t>
      </w:r>
      <w:r w:rsidR="007E5246" w:rsidRPr="00B23ED5">
        <w:t xml:space="preserve">he </w:t>
      </w:r>
      <w:r>
        <w:t xml:space="preserve">recommended </w:t>
      </w:r>
      <w:r w:rsidR="007E5246" w:rsidRPr="00B23ED5">
        <w:t>metric</w:t>
      </w:r>
      <w:r w:rsidR="003C1681">
        <w:t>s</w:t>
      </w:r>
      <w:r w:rsidR="007E5246" w:rsidRPr="00B23ED5">
        <w:t xml:space="preserve"> and threshold</w:t>
      </w:r>
      <w:r>
        <w:t>s</w:t>
      </w:r>
      <w:r w:rsidR="007E5246" w:rsidRPr="00B23ED5">
        <w:t xml:space="preserve"> identified ha</w:t>
      </w:r>
      <w:r>
        <w:t>ve</w:t>
      </w:r>
      <w:r w:rsidR="007E5246" w:rsidRPr="00B23ED5">
        <w:t xml:space="preserve"> been sourced from:</w:t>
      </w:r>
    </w:p>
    <w:p w14:paraId="14E987FF" w14:textId="55037516" w:rsidR="007E5246" w:rsidRPr="00B23ED5" w:rsidRDefault="007E5246" w:rsidP="00974AF0">
      <w:pPr>
        <w:pStyle w:val="Para0bullet"/>
        <w:rPr>
          <w:rFonts w:eastAsia="MS Mincho"/>
          <w:lang w:val="en-AU"/>
        </w:rPr>
      </w:pPr>
      <w:r>
        <w:rPr>
          <w:rFonts w:eastAsia="MS Mincho"/>
          <w:lang w:val="en-AU"/>
        </w:rPr>
        <w:t>Standards</w:t>
      </w:r>
      <w:r w:rsidR="00974AF0">
        <w:rPr>
          <w:rFonts w:eastAsia="MS Mincho"/>
          <w:lang w:val="en-AU"/>
        </w:rPr>
        <w:t>;</w:t>
      </w:r>
    </w:p>
    <w:p w14:paraId="5E1307D8" w14:textId="0A5DA3CD" w:rsidR="007E5246" w:rsidRPr="00B23ED5" w:rsidRDefault="007E5246" w:rsidP="00974AF0">
      <w:pPr>
        <w:pStyle w:val="Para0bullet"/>
        <w:rPr>
          <w:rFonts w:eastAsia="MS Mincho"/>
          <w:lang w:val="en-AU"/>
        </w:rPr>
      </w:pPr>
      <w:r>
        <w:rPr>
          <w:rFonts w:eastAsia="MS Mincho"/>
          <w:lang w:val="en-AU"/>
        </w:rPr>
        <w:t>Guidelines</w:t>
      </w:r>
      <w:r w:rsidR="00974AF0">
        <w:rPr>
          <w:rFonts w:eastAsia="MS Mincho"/>
          <w:lang w:val="en-AU"/>
        </w:rPr>
        <w:t>; and,</w:t>
      </w:r>
    </w:p>
    <w:p w14:paraId="1B20CAE1" w14:textId="77777777" w:rsidR="007E5246" w:rsidRPr="00B23ED5" w:rsidRDefault="007E5246" w:rsidP="00974AF0">
      <w:pPr>
        <w:pStyle w:val="Para0bullet"/>
        <w:rPr>
          <w:rFonts w:eastAsia="MS Mincho"/>
          <w:lang w:val="en-AU"/>
        </w:rPr>
      </w:pPr>
      <w:r w:rsidRPr="00B23ED5">
        <w:rPr>
          <w:rFonts w:eastAsia="MS Mincho"/>
          <w:lang w:val="en-AU"/>
        </w:rPr>
        <w:t>Reference Documents.</w:t>
      </w:r>
    </w:p>
    <w:p w14:paraId="5413D24F" w14:textId="68AF7077" w:rsidR="007E5246" w:rsidRPr="00B23ED5" w:rsidRDefault="00324288" w:rsidP="007E5246">
      <w:pPr>
        <w:rPr>
          <w:lang w:val="en-AU"/>
        </w:rPr>
      </w:pPr>
      <w:r w:rsidRPr="00B23ED5">
        <w:t>Recognised</w:t>
      </w:r>
      <w:r>
        <w:t xml:space="preserve"> industry</w:t>
      </w:r>
      <w:r w:rsidRPr="00B23ED5">
        <w:t xml:space="preserve"> standards</w:t>
      </w:r>
      <w:r w:rsidR="00630AB2">
        <w:t xml:space="preserve"> </w:t>
      </w:r>
      <w:r>
        <w:t>/</w:t>
      </w:r>
      <w:r w:rsidR="00630AB2">
        <w:t xml:space="preserve"> </w:t>
      </w:r>
      <w:r>
        <w:t>guidelines</w:t>
      </w:r>
      <w:r w:rsidR="00630AB2">
        <w:t xml:space="preserve"> </w:t>
      </w:r>
      <w:r>
        <w:t>/</w:t>
      </w:r>
      <w:r w:rsidR="00630AB2">
        <w:t xml:space="preserve"> </w:t>
      </w:r>
      <w:r>
        <w:t>technical publications,</w:t>
      </w:r>
      <w:r w:rsidRPr="00B23ED5">
        <w:t xml:space="preserve"> </w:t>
      </w:r>
      <w:r>
        <w:t>including</w:t>
      </w:r>
      <w:r w:rsidRPr="00B23ED5">
        <w:t xml:space="preserve"> those from Standards Australia and stakeholders such as VicRoads</w:t>
      </w:r>
      <w:r>
        <w:t xml:space="preserve">, have been sourced. </w:t>
      </w:r>
      <w:r w:rsidR="0084653C">
        <w:t xml:space="preserve"> </w:t>
      </w:r>
      <w:r w:rsidRPr="00B23ED5">
        <w:t xml:space="preserve">These provide a framework for </w:t>
      </w:r>
      <w:r>
        <w:t xml:space="preserve">the </w:t>
      </w:r>
      <w:r w:rsidRPr="00B23ED5">
        <w:t>design, management and monitoring</w:t>
      </w:r>
      <w:r>
        <w:t xml:space="preserve"> of relevant receptor metrics (with defined thresholds)</w:t>
      </w:r>
      <w:r w:rsidRPr="00B23ED5">
        <w:t xml:space="preserve">. </w:t>
      </w:r>
      <w:r w:rsidR="0084653C">
        <w:t xml:space="preserve"> </w:t>
      </w:r>
      <w:r>
        <w:t>Furthermore, all</w:t>
      </w:r>
      <w:r w:rsidRPr="00B23ED5">
        <w:t xml:space="preserve"> reference</w:t>
      </w:r>
      <w:r>
        <w:t xml:space="preserve"> material has been cited within the text of</w:t>
      </w:r>
      <w:r w:rsidRPr="00B23ED5">
        <w:t xml:space="preserve"> each geotechnical receptor section and </w:t>
      </w:r>
      <w:r>
        <w:t>is</w:t>
      </w:r>
      <w:r w:rsidRPr="00B23ED5">
        <w:t xml:space="preserve"> </w:t>
      </w:r>
      <w:r>
        <w:t>publicly accessible.</w:t>
      </w:r>
    </w:p>
    <w:p w14:paraId="730A66EB" w14:textId="5C14E239" w:rsidR="005C2308" w:rsidRDefault="005C2308" w:rsidP="00F33369">
      <w:pPr>
        <w:pStyle w:val="Para0"/>
      </w:pPr>
      <w:r>
        <w:t>Ground movement in the Latrobe Valley is currently monitored using the following instruments:</w:t>
      </w:r>
    </w:p>
    <w:p w14:paraId="711B3A8E" w14:textId="77777777" w:rsidR="005C2308" w:rsidRPr="0020468C" w:rsidRDefault="005C2308" w:rsidP="0020468C">
      <w:pPr>
        <w:pStyle w:val="Para0bullet"/>
        <w:rPr>
          <w:rFonts w:eastAsia="MS Mincho"/>
          <w:lang w:val="en-AU"/>
        </w:rPr>
      </w:pPr>
      <w:r w:rsidRPr="0020468C">
        <w:rPr>
          <w:rFonts w:eastAsia="MS Mincho"/>
          <w:lang w:val="en-AU"/>
        </w:rPr>
        <w:t>Prisms to monitor ground movement</w:t>
      </w:r>
    </w:p>
    <w:p w14:paraId="3CA25D16" w14:textId="77777777" w:rsidR="005C2308" w:rsidRPr="0020468C" w:rsidRDefault="005C2308" w:rsidP="0020468C">
      <w:pPr>
        <w:pStyle w:val="Para0bullet"/>
        <w:rPr>
          <w:rFonts w:eastAsia="MS Mincho"/>
          <w:lang w:val="en-AU"/>
        </w:rPr>
      </w:pPr>
      <w:r w:rsidRPr="0020468C">
        <w:rPr>
          <w:rFonts w:eastAsia="MS Mincho"/>
          <w:lang w:val="en-AU"/>
        </w:rPr>
        <w:t>Extensometers to monitor subsurface ground movement</w:t>
      </w:r>
    </w:p>
    <w:p w14:paraId="3BD9E671" w14:textId="77777777" w:rsidR="005C2308" w:rsidRPr="0020468C" w:rsidRDefault="005C2308" w:rsidP="0020468C">
      <w:pPr>
        <w:pStyle w:val="Para0bullet"/>
        <w:rPr>
          <w:rFonts w:eastAsia="MS Mincho"/>
          <w:lang w:val="en-AU"/>
        </w:rPr>
      </w:pPr>
      <w:r w:rsidRPr="0020468C">
        <w:rPr>
          <w:rFonts w:eastAsia="MS Mincho"/>
          <w:lang w:val="en-AU"/>
        </w:rPr>
        <w:t>Inclinometers to monitor lateral ground movement</w:t>
      </w:r>
    </w:p>
    <w:p w14:paraId="316A4189" w14:textId="77777777" w:rsidR="005C2308" w:rsidRPr="0020468C" w:rsidRDefault="005C2308" w:rsidP="0020468C">
      <w:pPr>
        <w:pStyle w:val="Para0bullet"/>
        <w:rPr>
          <w:rFonts w:eastAsia="MS Mincho"/>
          <w:lang w:val="en-AU"/>
        </w:rPr>
      </w:pPr>
      <w:r w:rsidRPr="0020468C">
        <w:rPr>
          <w:rFonts w:eastAsia="MS Mincho"/>
          <w:lang w:val="en-AU"/>
        </w:rPr>
        <w:t>Survey Pins to monitor ground settlement</w:t>
      </w:r>
    </w:p>
    <w:p w14:paraId="5460FF5B" w14:textId="77777777" w:rsidR="005C2308" w:rsidRPr="0020468C" w:rsidRDefault="005C2308" w:rsidP="0020468C">
      <w:pPr>
        <w:pStyle w:val="Para0bullet"/>
        <w:rPr>
          <w:rFonts w:eastAsia="MS Mincho"/>
          <w:lang w:val="en-AU"/>
        </w:rPr>
      </w:pPr>
      <w:r w:rsidRPr="0020468C">
        <w:rPr>
          <w:rFonts w:eastAsia="MS Mincho"/>
          <w:lang w:val="en-AU"/>
        </w:rPr>
        <w:t>Piezometers to measure ground water behaviour and pore water pressures that can influence ground movement</w:t>
      </w:r>
    </w:p>
    <w:p w14:paraId="2831370D" w14:textId="77777777" w:rsidR="005C2308" w:rsidRPr="0020468C" w:rsidRDefault="005C2308" w:rsidP="0020468C">
      <w:pPr>
        <w:pStyle w:val="Para0bullet"/>
        <w:rPr>
          <w:rFonts w:eastAsia="MS Mincho"/>
          <w:lang w:val="en-AU"/>
        </w:rPr>
      </w:pPr>
      <w:r w:rsidRPr="0020468C">
        <w:rPr>
          <w:rFonts w:eastAsia="MS Mincho"/>
          <w:lang w:val="en-AU"/>
        </w:rPr>
        <w:t>Tiltmeters to monitor change in tilt of existing structures</w:t>
      </w:r>
    </w:p>
    <w:p w14:paraId="0319C445" w14:textId="77777777" w:rsidR="005C2308" w:rsidRPr="00C618F4" w:rsidRDefault="005C2308" w:rsidP="005C2308">
      <w:pPr>
        <w:pStyle w:val="Para0bullet"/>
        <w:numPr>
          <w:ilvl w:val="0"/>
          <w:numId w:val="0"/>
        </w:numPr>
        <w:spacing w:after="0"/>
        <w:ind w:left="425"/>
      </w:pPr>
    </w:p>
    <w:p w14:paraId="6EFA5A88" w14:textId="0B6845A1" w:rsidR="00A701D1" w:rsidRDefault="005C2308" w:rsidP="00A701D1">
      <w:r>
        <w:t xml:space="preserve">Each mine site currently undertakes a monitoring program in line with the </w:t>
      </w:r>
      <w:r w:rsidR="002606DF">
        <w:t xml:space="preserve">respective </w:t>
      </w:r>
      <w:r>
        <w:t xml:space="preserve">site Work Plan and Ground Control Management Plan (GCMP). </w:t>
      </w:r>
      <w:r w:rsidR="0084653C">
        <w:t xml:space="preserve"> </w:t>
      </w:r>
      <w:r>
        <w:t xml:space="preserve">The GCMP for each site outlines the frequency and level of monitoring required for each. </w:t>
      </w:r>
      <w:r w:rsidR="00C6638A">
        <w:t xml:space="preserve"> </w:t>
      </w:r>
      <w:r w:rsidR="00A701D1">
        <w:t xml:space="preserve">The requirements for regional ground movement monitoring as the mines shift from operational to rehabilitation and ultimately post-closure phases will need to be considered. </w:t>
      </w:r>
      <w:r w:rsidR="00C23C48">
        <w:t xml:space="preserve"> </w:t>
      </w:r>
      <w:r w:rsidR="00A701D1">
        <w:t xml:space="preserve">The </w:t>
      </w:r>
      <w:r w:rsidR="00A701D1" w:rsidRPr="007C007C">
        <w:t xml:space="preserve">intention </w:t>
      </w:r>
      <w:r w:rsidR="00A701D1">
        <w:t>sh</w:t>
      </w:r>
      <w:r w:rsidR="00A701D1" w:rsidRPr="007C007C">
        <w:t xml:space="preserve">ould be to </w:t>
      </w:r>
      <w:r w:rsidR="00A701D1">
        <w:t xml:space="preserve">utilise the </w:t>
      </w:r>
      <w:r w:rsidR="00A701D1" w:rsidRPr="007C007C">
        <w:t xml:space="preserve">existing monitoring </w:t>
      </w:r>
      <w:r w:rsidR="00A701D1">
        <w:t>network as far as possible, and</w:t>
      </w:r>
      <w:r w:rsidR="00A701D1" w:rsidRPr="007C007C">
        <w:t xml:space="preserve"> to examine efficient, cost effective solutions</w:t>
      </w:r>
      <w:r w:rsidR="00A701D1">
        <w:t xml:space="preserve"> to address any additional requirements,</w:t>
      </w:r>
      <w:r w:rsidR="00A701D1" w:rsidRPr="007C007C">
        <w:t xml:space="preserve"> particularly </w:t>
      </w:r>
      <w:r w:rsidR="00A701D1">
        <w:t>at the</w:t>
      </w:r>
      <w:r w:rsidR="00A701D1" w:rsidRPr="007C007C">
        <w:t xml:space="preserve"> </w:t>
      </w:r>
      <w:r w:rsidR="00A701D1">
        <w:t xml:space="preserve">inter-mine and </w:t>
      </w:r>
      <w:r w:rsidR="00A701D1" w:rsidRPr="007C007C">
        <w:t>regional scale</w:t>
      </w:r>
      <w:r w:rsidR="00A701D1">
        <w:t>s.</w:t>
      </w:r>
    </w:p>
    <w:p w14:paraId="565C4819" w14:textId="147FAE72" w:rsidR="007E5246" w:rsidRDefault="00197BE3" w:rsidP="007E5246">
      <w:r>
        <w:t>This monitoring data will be key to determining whether specific thresholds have been exceeded.</w:t>
      </w:r>
    </w:p>
    <w:p w14:paraId="37986DBF" w14:textId="7A711A0F" w:rsidR="00324288" w:rsidRPr="00324288" w:rsidRDefault="001716D9" w:rsidP="0086768F">
      <w:pPr>
        <w:pStyle w:val="Para0"/>
        <w:sectPr w:rsidR="00324288" w:rsidRPr="00324288" w:rsidSect="0023226C">
          <w:pgSz w:w="11906" w:h="16838" w:code="9"/>
          <w:pgMar w:top="1985" w:right="1134" w:bottom="1418" w:left="1418" w:header="709" w:footer="709" w:gutter="0"/>
          <w:cols w:space="720"/>
        </w:sectPr>
      </w:pPr>
      <w:r>
        <w:t xml:space="preserve"> </w:t>
      </w:r>
    </w:p>
    <w:p w14:paraId="6963084D" w14:textId="72C72382" w:rsidR="002154C6" w:rsidRDefault="0073488A" w:rsidP="006E56BF">
      <w:pPr>
        <w:pStyle w:val="Caption"/>
        <w:spacing w:before="0"/>
      </w:pPr>
      <w:r w:rsidRPr="009038E7">
        <w:t xml:space="preserve">Table </w:t>
      </w:r>
      <w:r>
        <w:fldChar w:fldCharType="begin"/>
      </w:r>
      <w:r>
        <w:instrText xml:space="preserve"> STYLEREF 1 \s </w:instrText>
      </w:r>
      <w:r>
        <w:fldChar w:fldCharType="separate"/>
      </w:r>
      <w:r w:rsidR="00A83148">
        <w:rPr>
          <w:noProof/>
        </w:rPr>
        <w:t>6</w:t>
      </w:r>
      <w:r>
        <w:fldChar w:fldCharType="end"/>
      </w:r>
      <w:r w:rsidRPr="009038E7">
        <w:t>.</w:t>
      </w:r>
      <w:r>
        <w:fldChar w:fldCharType="begin"/>
      </w:r>
      <w:r>
        <w:instrText xml:space="preserve"> SEQ Table \* ARABIC \s 1 </w:instrText>
      </w:r>
      <w:r>
        <w:fldChar w:fldCharType="separate"/>
      </w:r>
      <w:r w:rsidR="00A83148">
        <w:rPr>
          <w:noProof/>
        </w:rPr>
        <w:t>1</w:t>
      </w:r>
      <w:r>
        <w:fldChar w:fldCharType="end"/>
      </w:r>
      <w:r>
        <w:t>:</w:t>
      </w:r>
      <w:r>
        <w:tab/>
      </w:r>
      <w:r w:rsidR="002154C6">
        <w:fldChar w:fldCharType="begin">
          <w:ffData>
            <w:name w:val=""/>
            <w:enabled/>
            <w:calcOnExit w:val="0"/>
            <w:textInput>
              <w:default w:val="Ground movement metrics and thresholds determined by this study for agreed receptor groups for the LVRRS"/>
            </w:textInput>
          </w:ffData>
        </w:fldChar>
      </w:r>
      <w:r w:rsidR="002154C6">
        <w:instrText xml:space="preserve"> FORMTEXT </w:instrText>
      </w:r>
      <w:r w:rsidR="002154C6">
        <w:fldChar w:fldCharType="separate"/>
      </w:r>
      <w:r w:rsidR="006A02BD">
        <w:rPr>
          <w:noProof/>
        </w:rPr>
        <w:t>Ground movement metrics and thresholds determined by this study for agreed receptor groups for the LVRRS</w:t>
      </w:r>
      <w:r w:rsidR="002154C6">
        <w:fldChar w:fldCharType="end"/>
      </w:r>
    </w:p>
    <w:tbl>
      <w:tblPr>
        <w:tblStyle w:val="TableGrid"/>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701"/>
        <w:gridCol w:w="2412"/>
        <w:gridCol w:w="2266"/>
        <w:gridCol w:w="2269"/>
        <w:gridCol w:w="1983"/>
        <w:gridCol w:w="2860"/>
      </w:tblGrid>
      <w:tr w:rsidR="00223C9C" w14:paraId="63D8C81D" w14:textId="77777777" w:rsidTr="00223C9C">
        <w:trPr>
          <w:tblHeader/>
        </w:trPr>
        <w:tc>
          <w:tcPr>
            <w:tcW w:w="630" w:type="pct"/>
            <w:tcBorders>
              <w:right w:val="single" w:sz="4" w:space="0" w:color="FFFFFF" w:themeColor="background1"/>
            </w:tcBorders>
            <w:shd w:val="clear" w:color="auto" w:fill="00338D"/>
          </w:tcPr>
          <w:p w14:paraId="174257BA" w14:textId="77777777" w:rsidR="002154C6" w:rsidRDefault="002154C6" w:rsidP="00BD37EA">
            <w:pPr>
              <w:pStyle w:val="Tablesmallheading"/>
            </w:pPr>
            <w:r>
              <w:t>Receptor Category</w:t>
            </w:r>
          </w:p>
        </w:tc>
        <w:tc>
          <w:tcPr>
            <w:tcW w:w="894" w:type="pct"/>
            <w:tcBorders>
              <w:left w:val="single" w:sz="4" w:space="0" w:color="FFFFFF" w:themeColor="background1"/>
              <w:right w:val="single" w:sz="4" w:space="0" w:color="FFFFFF" w:themeColor="background1"/>
            </w:tcBorders>
            <w:shd w:val="clear" w:color="auto" w:fill="00338D"/>
          </w:tcPr>
          <w:p w14:paraId="672C47AB" w14:textId="77777777" w:rsidR="002154C6" w:rsidRDefault="002154C6" w:rsidP="00BD37EA">
            <w:pPr>
              <w:pStyle w:val="Tablesmallheading"/>
            </w:pPr>
            <w:r>
              <w:t>Receptor Sub-Category</w:t>
            </w:r>
          </w:p>
        </w:tc>
        <w:tc>
          <w:tcPr>
            <w:tcW w:w="840" w:type="pct"/>
            <w:tcBorders>
              <w:left w:val="single" w:sz="4" w:space="0" w:color="FFFFFF" w:themeColor="background1"/>
              <w:right w:val="single" w:sz="4" w:space="0" w:color="FFFFFF" w:themeColor="background1"/>
            </w:tcBorders>
            <w:shd w:val="clear" w:color="auto" w:fill="00338D"/>
          </w:tcPr>
          <w:p w14:paraId="28C667CE" w14:textId="77777777" w:rsidR="002154C6" w:rsidRDefault="002154C6" w:rsidP="00BD37EA">
            <w:pPr>
              <w:pStyle w:val="Tablesmallheading"/>
            </w:pPr>
            <w:r>
              <w:t>Metric</w:t>
            </w:r>
          </w:p>
        </w:tc>
        <w:tc>
          <w:tcPr>
            <w:tcW w:w="841" w:type="pct"/>
            <w:tcBorders>
              <w:left w:val="single" w:sz="4" w:space="0" w:color="FFFFFF" w:themeColor="background1"/>
              <w:right w:val="single" w:sz="4" w:space="0" w:color="FFFFFF" w:themeColor="background1"/>
            </w:tcBorders>
            <w:shd w:val="clear" w:color="auto" w:fill="00338D"/>
          </w:tcPr>
          <w:p w14:paraId="5E8906E7" w14:textId="77777777" w:rsidR="002154C6" w:rsidRDefault="002154C6" w:rsidP="00BD37EA">
            <w:pPr>
              <w:pStyle w:val="Tablesmallheading"/>
            </w:pPr>
            <w:r>
              <w:t>Threshold (may be indicative or firm, see comments)</w:t>
            </w:r>
          </w:p>
        </w:tc>
        <w:tc>
          <w:tcPr>
            <w:tcW w:w="735" w:type="pct"/>
            <w:tcBorders>
              <w:left w:val="single" w:sz="4" w:space="0" w:color="FFFFFF" w:themeColor="background1"/>
              <w:right w:val="single" w:sz="4" w:space="0" w:color="FFFFFF" w:themeColor="background1"/>
            </w:tcBorders>
            <w:shd w:val="clear" w:color="auto" w:fill="00338D"/>
          </w:tcPr>
          <w:p w14:paraId="49DAA72E" w14:textId="77777777" w:rsidR="002154C6" w:rsidRDefault="002154C6" w:rsidP="00BD37EA">
            <w:pPr>
              <w:pStyle w:val="Tablesmallheading"/>
            </w:pPr>
            <w:r>
              <w:t>Comment</w:t>
            </w:r>
          </w:p>
        </w:tc>
        <w:tc>
          <w:tcPr>
            <w:tcW w:w="1060" w:type="pct"/>
            <w:tcBorders>
              <w:left w:val="single" w:sz="4" w:space="0" w:color="FFFFFF" w:themeColor="background1"/>
            </w:tcBorders>
            <w:shd w:val="clear" w:color="auto" w:fill="00338D"/>
          </w:tcPr>
          <w:p w14:paraId="644C72B0" w14:textId="77777777" w:rsidR="002154C6" w:rsidRDefault="002154C6" w:rsidP="00BD37EA">
            <w:pPr>
              <w:pStyle w:val="Tablesmallheading"/>
            </w:pPr>
            <w:r>
              <w:t>Reference</w:t>
            </w:r>
          </w:p>
        </w:tc>
      </w:tr>
      <w:tr w:rsidR="002154C6" w14:paraId="34A80886" w14:textId="77777777" w:rsidTr="00223C9C">
        <w:tc>
          <w:tcPr>
            <w:tcW w:w="630" w:type="pct"/>
            <w:vMerge w:val="restart"/>
          </w:tcPr>
          <w:p w14:paraId="0E81FC3F" w14:textId="3F411914" w:rsidR="002154C6" w:rsidRPr="007A4113" w:rsidRDefault="002154C6" w:rsidP="00BD37EA">
            <w:pPr>
              <w:pStyle w:val="Tablesmalltext"/>
            </w:pPr>
            <w:r w:rsidRPr="007A4113">
              <w:t xml:space="preserve">Aboriginal and </w:t>
            </w:r>
            <w:r w:rsidR="00E83654">
              <w:t>Non-aboriginal</w:t>
            </w:r>
            <w:r w:rsidRPr="007A4113">
              <w:t xml:space="preserve"> cultural heritage</w:t>
            </w:r>
          </w:p>
        </w:tc>
        <w:tc>
          <w:tcPr>
            <w:tcW w:w="894" w:type="pct"/>
          </w:tcPr>
          <w:p w14:paraId="2BB6AC18" w14:textId="77777777" w:rsidR="002154C6" w:rsidRDefault="002154C6" w:rsidP="00BD37EA">
            <w:pPr>
              <w:pStyle w:val="Tablesmalltext"/>
            </w:pPr>
            <w:r w:rsidRPr="007A4113">
              <w:t>Aboriginal cultural heritage</w:t>
            </w:r>
          </w:p>
          <w:p w14:paraId="19F4D8D5" w14:textId="77777777" w:rsidR="002154C6" w:rsidRPr="007A4113" w:rsidRDefault="002154C6" w:rsidP="00BD37EA">
            <w:pPr>
              <w:pStyle w:val="Tablesmalltext"/>
            </w:pPr>
            <w:r>
              <w:t>(Includes tangible heritage such as artefacts, sites and landscape features)</w:t>
            </w:r>
          </w:p>
        </w:tc>
        <w:tc>
          <w:tcPr>
            <w:tcW w:w="840" w:type="pct"/>
          </w:tcPr>
          <w:p w14:paraId="612F1B20" w14:textId="77777777" w:rsidR="002154C6" w:rsidRPr="007A4113" w:rsidRDefault="002154C6" w:rsidP="00BD37EA">
            <w:pPr>
              <w:pStyle w:val="Tablesmalltext"/>
            </w:pPr>
            <w:r w:rsidRPr="007A4113">
              <w:t xml:space="preserve">Horizontal and vertical strain </w:t>
            </w:r>
          </w:p>
        </w:tc>
        <w:tc>
          <w:tcPr>
            <w:tcW w:w="841" w:type="pct"/>
          </w:tcPr>
          <w:p w14:paraId="673079DB" w14:textId="2267DF2E" w:rsidR="002154C6" w:rsidRPr="007A4113" w:rsidRDefault="002154C6" w:rsidP="00BD37EA">
            <w:pPr>
              <w:pStyle w:val="Tablesmalltext"/>
            </w:pPr>
            <w:r w:rsidRPr="007A4113">
              <w:t>Horizontal strain value of</w:t>
            </w:r>
            <w:r w:rsidR="000948B2">
              <w:br/>
            </w:r>
            <w:r w:rsidRPr="007A4113">
              <w:t>1.0 x 10</w:t>
            </w:r>
            <w:r w:rsidRPr="007A4113">
              <w:rPr>
                <w:vertAlign w:val="superscript"/>
              </w:rPr>
              <w:t>-3</w:t>
            </w:r>
          </w:p>
        </w:tc>
        <w:tc>
          <w:tcPr>
            <w:tcW w:w="735" w:type="pct"/>
          </w:tcPr>
          <w:p w14:paraId="49BFC197" w14:textId="4BF149C1" w:rsidR="002154C6" w:rsidRPr="007A4113" w:rsidRDefault="002154C6" w:rsidP="00BD37EA">
            <w:pPr>
              <w:pStyle w:val="Tablesmalltext"/>
            </w:pPr>
            <w:r w:rsidRPr="007A4113">
              <w:t xml:space="preserve">Sites are undisclosed however understood to likely be near water ways. Metric for embankments, canals and miscellaneous structures used as </w:t>
            </w:r>
            <w:r w:rsidR="00B80F16">
              <w:t xml:space="preserve">a </w:t>
            </w:r>
            <w:r w:rsidRPr="007A4113">
              <w:t>guideline.</w:t>
            </w:r>
          </w:p>
        </w:tc>
        <w:tc>
          <w:tcPr>
            <w:tcW w:w="1060" w:type="pct"/>
          </w:tcPr>
          <w:p w14:paraId="5C72A16F" w14:textId="77777777" w:rsidR="002154C6" w:rsidRPr="007A4113" w:rsidRDefault="002154C6" w:rsidP="00BD37EA">
            <w:pPr>
              <w:pStyle w:val="Tablesmalltext"/>
            </w:pPr>
            <w:r w:rsidRPr="007A4113">
              <w:t>Singh, M (1986) Mining Engineering Handbook. Chapter 3 Mine subsidence, Society for Mining, Metallurgy and Exploration</w:t>
            </w:r>
          </w:p>
        </w:tc>
      </w:tr>
      <w:tr w:rsidR="002154C6" w14:paraId="75747982" w14:textId="77777777" w:rsidTr="00223C9C">
        <w:tc>
          <w:tcPr>
            <w:tcW w:w="630" w:type="pct"/>
            <w:vMerge/>
          </w:tcPr>
          <w:p w14:paraId="2D5BD76B" w14:textId="77777777" w:rsidR="002154C6" w:rsidRPr="007A4113" w:rsidRDefault="002154C6" w:rsidP="00BD37EA">
            <w:pPr>
              <w:pStyle w:val="Tablesmalltext"/>
            </w:pPr>
          </w:p>
        </w:tc>
        <w:tc>
          <w:tcPr>
            <w:tcW w:w="894" w:type="pct"/>
          </w:tcPr>
          <w:p w14:paraId="3763FC70" w14:textId="2689A369" w:rsidR="002154C6" w:rsidRDefault="00E83654" w:rsidP="00BD37EA">
            <w:pPr>
              <w:pStyle w:val="Tablesmalltext"/>
            </w:pPr>
            <w:r>
              <w:t>Non-aboriginal</w:t>
            </w:r>
            <w:r w:rsidR="002154C6" w:rsidRPr="007A4113">
              <w:t xml:space="preserve"> cultural heritage</w:t>
            </w:r>
          </w:p>
          <w:p w14:paraId="11D822FE" w14:textId="77777777" w:rsidR="002154C6" w:rsidRDefault="002154C6" w:rsidP="00BD37EA">
            <w:pPr>
              <w:pStyle w:val="Tablesmalltext"/>
            </w:pPr>
          </w:p>
          <w:p w14:paraId="2BC316A2" w14:textId="77777777" w:rsidR="002154C6" w:rsidRPr="007A4113" w:rsidRDefault="002154C6" w:rsidP="00BD37EA">
            <w:pPr>
              <w:pStyle w:val="Tablesmalltext"/>
            </w:pPr>
            <w:r>
              <w:t>(including historical open cuts and buildings/structures)</w:t>
            </w:r>
          </w:p>
        </w:tc>
        <w:tc>
          <w:tcPr>
            <w:tcW w:w="840" w:type="pct"/>
          </w:tcPr>
          <w:p w14:paraId="76480CB4" w14:textId="77777777" w:rsidR="002154C6" w:rsidRPr="007A4113" w:rsidRDefault="002154C6" w:rsidP="00BD37EA">
            <w:pPr>
              <w:pStyle w:val="Tablesmalltext"/>
            </w:pPr>
            <w:r w:rsidRPr="007A4113">
              <w:t>Resisting and driving force of open cut slopes and earthquake loading</w:t>
            </w:r>
          </w:p>
          <w:p w14:paraId="451C5D03" w14:textId="20D02BA1" w:rsidR="002154C6" w:rsidRPr="007A4113" w:rsidRDefault="002154C6" w:rsidP="00BD37EA">
            <w:pPr>
              <w:pStyle w:val="Tablesmalltext"/>
            </w:pPr>
            <w:r w:rsidRPr="007A4113">
              <w:t xml:space="preserve">Horizonal and vertical strain </w:t>
            </w:r>
          </w:p>
        </w:tc>
        <w:tc>
          <w:tcPr>
            <w:tcW w:w="841" w:type="pct"/>
          </w:tcPr>
          <w:p w14:paraId="6C290D3C" w14:textId="193B96FC" w:rsidR="002154C6" w:rsidRPr="007A4113" w:rsidRDefault="002154C6" w:rsidP="00BD37EA">
            <w:pPr>
              <w:pStyle w:val="Tablesmalltext"/>
            </w:pPr>
            <w:r w:rsidRPr="007A4113">
              <w:t xml:space="preserve">Open Cuts see Section </w:t>
            </w:r>
            <w:r w:rsidR="00613C68">
              <w:t>5</w:t>
            </w:r>
            <w:r w:rsidRPr="007A4113">
              <w:t xml:space="preserve">.3, </w:t>
            </w:r>
            <w:r>
              <w:t>F</w:t>
            </w:r>
            <w:r w:rsidRPr="007A4113">
              <w:t xml:space="preserve">actor of </w:t>
            </w:r>
            <w:r>
              <w:t>S</w:t>
            </w:r>
            <w:r w:rsidRPr="007A4113">
              <w:t xml:space="preserve">afety </w:t>
            </w:r>
            <w:r>
              <w:t xml:space="preserve">(FOS) </w:t>
            </w:r>
            <w:r w:rsidRPr="007A4113">
              <w:t xml:space="preserve">and </w:t>
            </w:r>
            <w:r>
              <w:t>P</w:t>
            </w:r>
            <w:r w:rsidRPr="007A4113">
              <w:t xml:space="preserve">robability of </w:t>
            </w:r>
            <w:r>
              <w:t>F</w:t>
            </w:r>
            <w:r w:rsidRPr="007A4113">
              <w:t>ailure</w:t>
            </w:r>
            <w:r>
              <w:t xml:space="preserve"> (POF)</w:t>
            </w:r>
            <w:r w:rsidRPr="007A4113">
              <w:t>.</w:t>
            </w:r>
          </w:p>
          <w:p w14:paraId="7DEDAC22" w14:textId="2D6AD148" w:rsidR="002154C6" w:rsidRPr="007A4113" w:rsidRDefault="002154C6" w:rsidP="00BD37EA">
            <w:pPr>
              <w:pStyle w:val="Tablesmalltext"/>
            </w:pPr>
            <w:r w:rsidRPr="007A4113">
              <w:t xml:space="preserve">Dependant on Heritage structure type. See damage criteria for buildings and structure Tables </w:t>
            </w:r>
            <w:r w:rsidR="00613C68">
              <w:t>5</w:t>
            </w:r>
            <w:r w:rsidRPr="007A4113">
              <w:t xml:space="preserve">.7 and </w:t>
            </w:r>
            <w:r w:rsidR="00613C68">
              <w:t>5</w:t>
            </w:r>
            <w:r w:rsidRPr="007A4113">
              <w:t>.8.</w:t>
            </w:r>
            <w:r>
              <w:t xml:space="preserve"> Actual threshold varies by the construction of the receptor and is not a single value for the receptor category</w:t>
            </w:r>
          </w:p>
        </w:tc>
        <w:tc>
          <w:tcPr>
            <w:tcW w:w="735" w:type="pct"/>
          </w:tcPr>
          <w:p w14:paraId="21F17F93" w14:textId="77777777" w:rsidR="002154C6" w:rsidRPr="007A4113" w:rsidRDefault="002154C6" w:rsidP="00BD37EA">
            <w:pPr>
              <w:pStyle w:val="Tablesmalltext"/>
            </w:pPr>
            <w:r w:rsidRPr="007A4113">
              <w:t>Infrastructure thresholds are a guideline due to unknown construction and age of heritage buildings and structures, i</w:t>
            </w:r>
            <w:r>
              <w:t>.</w:t>
            </w:r>
            <w:r w:rsidRPr="007A4113">
              <w:t>e</w:t>
            </w:r>
            <w:r>
              <w:t>.</w:t>
            </w:r>
            <w:r w:rsidRPr="007A4113">
              <w:t xml:space="preserve"> these may not conform to current Australian building standards.</w:t>
            </w:r>
          </w:p>
        </w:tc>
        <w:tc>
          <w:tcPr>
            <w:tcW w:w="1060" w:type="pct"/>
          </w:tcPr>
          <w:p w14:paraId="48B8018B" w14:textId="77777777" w:rsidR="002154C6" w:rsidRPr="007A4113" w:rsidRDefault="002154C6" w:rsidP="00BD37EA">
            <w:pPr>
              <w:pStyle w:val="Tablesmalltext"/>
            </w:pPr>
            <w:r w:rsidRPr="007A4113">
              <w:t>Read, J., and Stacey, P. (2009) Guidelines for Open Pit Slope Design. CSIRO 2009</w:t>
            </w:r>
          </w:p>
          <w:p w14:paraId="562014DA" w14:textId="5D36C490" w:rsidR="002154C6" w:rsidRPr="007A4113" w:rsidRDefault="002154C6" w:rsidP="00BD37EA">
            <w:pPr>
              <w:pStyle w:val="Tablesmalltext"/>
            </w:pPr>
            <w:r w:rsidRPr="007A4113">
              <w:t xml:space="preserve">Earth Resources </w:t>
            </w:r>
            <w:r w:rsidR="00A22A68">
              <w:t xml:space="preserve">Regulation </w:t>
            </w:r>
            <w:r w:rsidRPr="007A4113">
              <w:t>(2015) Guidance Material for the Assessment of Geotechnical Risks in Open Pit Mines and Quarries</w:t>
            </w:r>
          </w:p>
          <w:p w14:paraId="27CCC37E" w14:textId="77777777" w:rsidR="002154C6" w:rsidRPr="007A4113" w:rsidRDefault="002154C6" w:rsidP="00BD37EA">
            <w:pPr>
              <w:pStyle w:val="Tablesmalltext"/>
            </w:pPr>
            <w:r w:rsidRPr="007A4113">
              <w:t>Singh, M (1986) Mining Engineering Handbook. Chapter 3 Mine subsidence, Society for Mining, Metallurgy and Exploration</w:t>
            </w:r>
          </w:p>
        </w:tc>
      </w:tr>
      <w:tr w:rsidR="002154C6" w14:paraId="3D2B5AEA" w14:textId="77777777" w:rsidTr="00223C9C">
        <w:tc>
          <w:tcPr>
            <w:tcW w:w="630" w:type="pct"/>
          </w:tcPr>
          <w:p w14:paraId="10666E09" w14:textId="77777777" w:rsidR="002154C6" w:rsidRPr="007A4113" w:rsidRDefault="002154C6" w:rsidP="00BD37EA">
            <w:pPr>
              <w:pStyle w:val="Tablesmalltext"/>
            </w:pPr>
            <w:r w:rsidRPr="007A4113">
              <w:t>Environment</w:t>
            </w:r>
          </w:p>
        </w:tc>
        <w:tc>
          <w:tcPr>
            <w:tcW w:w="894" w:type="pct"/>
          </w:tcPr>
          <w:p w14:paraId="449801D9" w14:textId="77777777" w:rsidR="002154C6" w:rsidRPr="007A4113" w:rsidRDefault="002154C6" w:rsidP="00BD37EA">
            <w:pPr>
              <w:pStyle w:val="Tablesmalltext"/>
            </w:pPr>
            <w:r w:rsidRPr="007A4113">
              <w:t>Rivers, waterways and natural lakes</w:t>
            </w:r>
          </w:p>
        </w:tc>
        <w:tc>
          <w:tcPr>
            <w:tcW w:w="840" w:type="pct"/>
          </w:tcPr>
          <w:p w14:paraId="168BAC9D" w14:textId="77777777" w:rsidR="002154C6" w:rsidRPr="007A4113" w:rsidRDefault="002154C6" w:rsidP="00BD37EA">
            <w:pPr>
              <w:pStyle w:val="Tablesmalltext"/>
            </w:pPr>
            <w:r w:rsidRPr="007A4113">
              <w:t>Horizontal and vertical strain</w:t>
            </w:r>
          </w:p>
        </w:tc>
        <w:tc>
          <w:tcPr>
            <w:tcW w:w="841" w:type="pct"/>
          </w:tcPr>
          <w:p w14:paraId="0769C128" w14:textId="1D7290C2" w:rsidR="002154C6" w:rsidRPr="007A4113" w:rsidRDefault="002154C6" w:rsidP="00BD37EA">
            <w:pPr>
              <w:pStyle w:val="Tablesmalltext"/>
            </w:pPr>
            <w:r w:rsidRPr="007A4113">
              <w:t>Horizontal strain value of</w:t>
            </w:r>
            <w:r w:rsidR="000948B2">
              <w:br/>
            </w:r>
            <w:r w:rsidRPr="007A4113">
              <w:t>1.0 x 10</w:t>
            </w:r>
            <w:r w:rsidRPr="007A4113">
              <w:rPr>
                <w:vertAlign w:val="superscript"/>
              </w:rPr>
              <w:t>-3</w:t>
            </w:r>
          </w:p>
        </w:tc>
        <w:tc>
          <w:tcPr>
            <w:tcW w:w="735" w:type="pct"/>
          </w:tcPr>
          <w:p w14:paraId="7F23BEE5" w14:textId="77777777" w:rsidR="002154C6" w:rsidRPr="007A4113" w:rsidRDefault="002154C6" w:rsidP="00BD37EA">
            <w:pPr>
              <w:pStyle w:val="Tablesmalltext"/>
            </w:pPr>
            <w:r w:rsidRPr="007A4113">
              <w:t>Limited data available for this receptor. Metric for embankments, canals and miscellaneous structures used as guideline.</w:t>
            </w:r>
          </w:p>
          <w:p w14:paraId="195F4D35" w14:textId="77777777" w:rsidR="002154C6" w:rsidRPr="007A4113" w:rsidRDefault="002154C6" w:rsidP="00BD37EA">
            <w:pPr>
              <w:pStyle w:val="Tablesmalltext"/>
            </w:pPr>
            <w:r w:rsidRPr="007A4113">
              <w:t>Unknown geotechnical related magnitudes for different flow components (low flows, freshes, high flows, overbank flows), sediment transport, changes in gradient and the timing, frequency and duration of various components unknown.</w:t>
            </w:r>
          </w:p>
        </w:tc>
        <w:tc>
          <w:tcPr>
            <w:tcW w:w="1060" w:type="pct"/>
          </w:tcPr>
          <w:p w14:paraId="7821A106" w14:textId="77777777" w:rsidR="002154C6" w:rsidRPr="007A4113" w:rsidRDefault="002154C6" w:rsidP="00BD37EA">
            <w:pPr>
              <w:pStyle w:val="Tablesmalltext"/>
            </w:pPr>
            <w:r w:rsidRPr="007A4113">
              <w:t>Singh, M (1986) Mining Engineering Handbook. Chapter 3 Mine subsidence, Society for Mining, Metallurgy and Exploration</w:t>
            </w:r>
          </w:p>
        </w:tc>
      </w:tr>
      <w:tr w:rsidR="002154C6" w14:paraId="30A549A4" w14:textId="77777777" w:rsidTr="00223C9C">
        <w:tc>
          <w:tcPr>
            <w:tcW w:w="630" w:type="pct"/>
          </w:tcPr>
          <w:p w14:paraId="434BA70A" w14:textId="77777777" w:rsidR="002154C6" w:rsidRPr="007A4113" w:rsidRDefault="002154C6" w:rsidP="00BD37EA">
            <w:pPr>
              <w:pStyle w:val="Tablesmalltext"/>
            </w:pPr>
          </w:p>
        </w:tc>
        <w:tc>
          <w:tcPr>
            <w:tcW w:w="894" w:type="pct"/>
          </w:tcPr>
          <w:p w14:paraId="4853F0EA" w14:textId="77777777" w:rsidR="002154C6" w:rsidRPr="007A4113" w:rsidRDefault="002154C6" w:rsidP="00BD37EA">
            <w:pPr>
              <w:pStyle w:val="Tablesmalltext"/>
            </w:pPr>
            <w:r w:rsidRPr="007A4113">
              <w:t>Wetlands</w:t>
            </w:r>
          </w:p>
        </w:tc>
        <w:tc>
          <w:tcPr>
            <w:tcW w:w="840" w:type="pct"/>
          </w:tcPr>
          <w:p w14:paraId="574E2962" w14:textId="77777777" w:rsidR="002154C6" w:rsidRPr="007A4113" w:rsidRDefault="002154C6" w:rsidP="00BD37EA">
            <w:pPr>
              <w:pStyle w:val="Tablesmalltext"/>
            </w:pPr>
            <w:r w:rsidRPr="007A4113">
              <w:t>Horizontal and vertical strain</w:t>
            </w:r>
          </w:p>
        </w:tc>
        <w:tc>
          <w:tcPr>
            <w:tcW w:w="841" w:type="pct"/>
          </w:tcPr>
          <w:p w14:paraId="6C966F6A" w14:textId="28C5F781" w:rsidR="002154C6" w:rsidRPr="007A4113" w:rsidRDefault="002154C6" w:rsidP="00BD37EA">
            <w:pPr>
              <w:pStyle w:val="Tablesmalltext"/>
            </w:pPr>
            <w:r w:rsidRPr="007A4113">
              <w:t>Horizontal strain value of</w:t>
            </w:r>
            <w:r w:rsidR="00A5739A">
              <w:br/>
            </w:r>
            <w:r w:rsidRPr="007A4113">
              <w:t>1.0 x 10</w:t>
            </w:r>
            <w:r w:rsidRPr="007A4113">
              <w:rPr>
                <w:vertAlign w:val="superscript"/>
              </w:rPr>
              <w:t>-3</w:t>
            </w:r>
          </w:p>
        </w:tc>
        <w:tc>
          <w:tcPr>
            <w:tcW w:w="735" w:type="pct"/>
          </w:tcPr>
          <w:p w14:paraId="623D150A" w14:textId="1C0D3459" w:rsidR="002154C6" w:rsidRPr="007A4113" w:rsidRDefault="002154C6" w:rsidP="00BD37EA">
            <w:pPr>
              <w:pStyle w:val="Tablesmalltext"/>
            </w:pPr>
            <w:r w:rsidRPr="007A4113">
              <w:t xml:space="preserve">Limited data available for this receptor. Metric for embankments, canals and miscellaneous structures used as </w:t>
            </w:r>
            <w:r w:rsidR="00B80F16">
              <w:t xml:space="preserve">a </w:t>
            </w:r>
            <w:r w:rsidRPr="007A4113">
              <w:t>guideline.</w:t>
            </w:r>
          </w:p>
          <w:p w14:paraId="5C5D1140" w14:textId="77777777" w:rsidR="002154C6" w:rsidRPr="007A4113" w:rsidRDefault="002154C6" w:rsidP="00BD37EA">
            <w:pPr>
              <w:pStyle w:val="Tablesmalltext"/>
            </w:pPr>
            <w:r w:rsidRPr="007A4113">
              <w:t>Unknown geotechnical related magnitudes for different flow components (low flows, freshes, high flows, overbank flows), sediment transport, changes in gradient and the timing, frequency and duration of various components unknown.</w:t>
            </w:r>
          </w:p>
        </w:tc>
        <w:tc>
          <w:tcPr>
            <w:tcW w:w="1060" w:type="pct"/>
          </w:tcPr>
          <w:p w14:paraId="796B9E50" w14:textId="77777777" w:rsidR="002154C6" w:rsidRPr="007A4113" w:rsidRDefault="002154C6" w:rsidP="00BD37EA">
            <w:pPr>
              <w:pStyle w:val="Tablesmalltext"/>
            </w:pPr>
            <w:r w:rsidRPr="007A4113">
              <w:t>Singh, M (1986) Mining Engineering Handbook. Chapter 3 Mine subsidence, Society for Mining, Metallurgy and Exploration</w:t>
            </w:r>
          </w:p>
        </w:tc>
      </w:tr>
      <w:tr w:rsidR="002154C6" w14:paraId="25F6499F" w14:textId="77777777" w:rsidTr="00223C9C">
        <w:tc>
          <w:tcPr>
            <w:tcW w:w="630" w:type="pct"/>
            <w:vMerge w:val="restart"/>
          </w:tcPr>
          <w:p w14:paraId="5006E5AE" w14:textId="77777777" w:rsidR="002154C6" w:rsidRPr="007A4113" w:rsidRDefault="002154C6" w:rsidP="00BD37EA">
            <w:pPr>
              <w:pStyle w:val="Tablesmalltext"/>
            </w:pPr>
            <w:r w:rsidRPr="007A4113">
              <w:t>Infrastructure</w:t>
            </w:r>
          </w:p>
        </w:tc>
        <w:tc>
          <w:tcPr>
            <w:tcW w:w="894" w:type="pct"/>
          </w:tcPr>
          <w:p w14:paraId="33A61A88" w14:textId="77777777" w:rsidR="002154C6" w:rsidRPr="007A4113" w:rsidRDefault="002154C6" w:rsidP="00BD37EA">
            <w:pPr>
              <w:pStyle w:val="Tablesmalltext"/>
            </w:pPr>
            <w:r w:rsidRPr="007A4113">
              <w:t>Extractive Industry</w:t>
            </w:r>
          </w:p>
        </w:tc>
        <w:tc>
          <w:tcPr>
            <w:tcW w:w="840" w:type="pct"/>
          </w:tcPr>
          <w:p w14:paraId="0654907A" w14:textId="77777777" w:rsidR="002154C6" w:rsidRPr="007A4113" w:rsidRDefault="002154C6" w:rsidP="00BD37EA">
            <w:pPr>
              <w:pStyle w:val="Tablesmalltext"/>
            </w:pPr>
            <w:r w:rsidRPr="007A4113">
              <w:t>Resisting and driving force of open cut slopes and earthquake loading</w:t>
            </w:r>
            <w:r>
              <w:t xml:space="preserve"> including mine batter stability generally</w:t>
            </w:r>
          </w:p>
          <w:p w14:paraId="75374D37" w14:textId="77777777" w:rsidR="002154C6" w:rsidRPr="007A4113" w:rsidRDefault="002154C6" w:rsidP="00BD37EA">
            <w:pPr>
              <w:pStyle w:val="Tablesmalltext"/>
            </w:pPr>
          </w:p>
        </w:tc>
        <w:tc>
          <w:tcPr>
            <w:tcW w:w="841" w:type="pct"/>
          </w:tcPr>
          <w:p w14:paraId="659A4052" w14:textId="5665E9A0" w:rsidR="002154C6" w:rsidRPr="007A4113" w:rsidRDefault="002154C6" w:rsidP="00BD37EA">
            <w:pPr>
              <w:pStyle w:val="Tablesmalltext"/>
            </w:pPr>
            <w:r w:rsidRPr="007A4113">
              <w:t xml:space="preserve">Open Cuts see Section </w:t>
            </w:r>
            <w:r w:rsidR="00864149">
              <w:t>5</w:t>
            </w:r>
            <w:r w:rsidRPr="007A4113">
              <w:t xml:space="preserve">.3, </w:t>
            </w:r>
            <w:r>
              <w:t>F</w:t>
            </w:r>
            <w:r w:rsidRPr="007A4113">
              <w:t xml:space="preserve">actor of </w:t>
            </w:r>
            <w:r>
              <w:t>S</w:t>
            </w:r>
            <w:r w:rsidRPr="007A4113">
              <w:t xml:space="preserve">afety </w:t>
            </w:r>
            <w:r>
              <w:t xml:space="preserve">(FOS) </w:t>
            </w:r>
            <w:r w:rsidRPr="007A4113">
              <w:t xml:space="preserve">and </w:t>
            </w:r>
            <w:r>
              <w:t>P</w:t>
            </w:r>
            <w:r w:rsidRPr="007A4113">
              <w:t xml:space="preserve">robability of </w:t>
            </w:r>
            <w:r>
              <w:t>F</w:t>
            </w:r>
            <w:r w:rsidRPr="007A4113">
              <w:t>ailure</w:t>
            </w:r>
            <w:r>
              <w:t xml:space="preserve"> (POF)</w:t>
            </w:r>
            <w:r w:rsidRPr="007A4113">
              <w:t>.</w:t>
            </w:r>
          </w:p>
          <w:p w14:paraId="69A2880A" w14:textId="77777777" w:rsidR="002154C6" w:rsidRPr="007A4113" w:rsidRDefault="002154C6" w:rsidP="00BD37EA">
            <w:pPr>
              <w:pStyle w:val="Tablesmalltext"/>
            </w:pPr>
          </w:p>
        </w:tc>
        <w:tc>
          <w:tcPr>
            <w:tcW w:w="735" w:type="pct"/>
          </w:tcPr>
          <w:p w14:paraId="1B49EA4F" w14:textId="77777777" w:rsidR="002154C6" w:rsidRPr="007A4113" w:rsidRDefault="002154C6" w:rsidP="00BD37EA">
            <w:pPr>
              <w:pStyle w:val="Tablesmalltext"/>
            </w:pPr>
            <w:r w:rsidRPr="007A4113">
              <w:t>Overseen by mine operators and regulated by Earth Resources Regulations</w:t>
            </w:r>
          </w:p>
        </w:tc>
        <w:tc>
          <w:tcPr>
            <w:tcW w:w="1060" w:type="pct"/>
          </w:tcPr>
          <w:p w14:paraId="7DAEAA25" w14:textId="77777777" w:rsidR="002154C6" w:rsidRPr="007A4113" w:rsidRDefault="002154C6" w:rsidP="00BD37EA">
            <w:pPr>
              <w:pStyle w:val="Tablesmalltext"/>
            </w:pPr>
            <w:r w:rsidRPr="007A4113">
              <w:t>Read, J., and Stacey, P. (2009) Guidelines for Open Pit Slope Design. CSIRO 2009</w:t>
            </w:r>
          </w:p>
          <w:p w14:paraId="30C2384A" w14:textId="0262A9AE" w:rsidR="002154C6" w:rsidRPr="007A4113" w:rsidRDefault="002154C6" w:rsidP="00BD37EA">
            <w:pPr>
              <w:pStyle w:val="Tablesmalltext"/>
            </w:pPr>
            <w:r w:rsidRPr="007A4113">
              <w:t>Earth Resources</w:t>
            </w:r>
            <w:r w:rsidR="006A4852">
              <w:t xml:space="preserve"> Regulation</w:t>
            </w:r>
            <w:r w:rsidRPr="007A4113">
              <w:t xml:space="preserve"> (2015) Guidance Material for the Assessment of Geotechnical Risks in Open Pit Mines and Quarries</w:t>
            </w:r>
          </w:p>
        </w:tc>
      </w:tr>
      <w:tr w:rsidR="002154C6" w14:paraId="6A854B26" w14:textId="77777777" w:rsidTr="00223C9C">
        <w:tc>
          <w:tcPr>
            <w:tcW w:w="630" w:type="pct"/>
            <w:vMerge/>
          </w:tcPr>
          <w:p w14:paraId="74733153" w14:textId="77777777" w:rsidR="002154C6" w:rsidRPr="007A4113" w:rsidRDefault="002154C6" w:rsidP="00BD37EA">
            <w:pPr>
              <w:pStyle w:val="Tablesmalltext"/>
            </w:pPr>
          </w:p>
        </w:tc>
        <w:tc>
          <w:tcPr>
            <w:tcW w:w="894" w:type="pct"/>
          </w:tcPr>
          <w:p w14:paraId="023831D2" w14:textId="77777777" w:rsidR="002154C6" w:rsidRPr="007A4113" w:rsidRDefault="002154C6" w:rsidP="00BD37EA">
            <w:pPr>
              <w:pStyle w:val="Tablesmalltext"/>
            </w:pPr>
            <w:r w:rsidRPr="007A4113">
              <w:t>Electricity Transmission Network</w:t>
            </w:r>
          </w:p>
        </w:tc>
        <w:tc>
          <w:tcPr>
            <w:tcW w:w="840" w:type="pct"/>
          </w:tcPr>
          <w:p w14:paraId="40DBF1B9" w14:textId="77777777" w:rsidR="002154C6" w:rsidRPr="007A4113" w:rsidRDefault="002154C6" w:rsidP="00BD37EA">
            <w:pPr>
              <w:pStyle w:val="Tablesmalltext"/>
            </w:pPr>
            <w:r w:rsidRPr="007A4113">
              <w:t>Horizontal and vertical strain and earthquake loading</w:t>
            </w:r>
          </w:p>
        </w:tc>
        <w:tc>
          <w:tcPr>
            <w:tcW w:w="841" w:type="pct"/>
          </w:tcPr>
          <w:p w14:paraId="50D51509" w14:textId="77777777" w:rsidR="002154C6" w:rsidRPr="007A4113" w:rsidRDefault="002154C6" w:rsidP="00BD37EA">
            <w:pPr>
              <w:pStyle w:val="Tablesmalltext"/>
            </w:pPr>
            <w:r w:rsidRPr="007A4113">
              <w:t>Horizontal strain value of 1.0 x 10</w:t>
            </w:r>
            <w:r w:rsidRPr="007A4113">
              <w:rPr>
                <w:vertAlign w:val="superscript"/>
              </w:rPr>
              <w:t>-3</w:t>
            </w:r>
          </w:p>
        </w:tc>
        <w:tc>
          <w:tcPr>
            <w:tcW w:w="735" w:type="pct"/>
          </w:tcPr>
          <w:p w14:paraId="1994C80C" w14:textId="77777777" w:rsidR="002154C6" w:rsidRDefault="002154C6" w:rsidP="00BD37EA">
            <w:pPr>
              <w:pStyle w:val="Tablesmalltext"/>
            </w:pPr>
            <w:r w:rsidRPr="007A4113">
              <w:t>Damage criteria for Lattice Towers</w:t>
            </w:r>
            <w:r>
              <w:t>.</w:t>
            </w:r>
          </w:p>
          <w:p w14:paraId="7BCB3CA9" w14:textId="77777777" w:rsidR="002154C6" w:rsidRPr="007A4113" w:rsidRDefault="002154C6" w:rsidP="00BD37EA">
            <w:pPr>
              <w:pStyle w:val="Tablesmalltext"/>
            </w:pPr>
            <w:r>
              <w:t>For many individual structures the threshold has been exceeded by historical movement. This indicates the threshold for future movement and needs further assessment by the LVRRS to determine practicality</w:t>
            </w:r>
          </w:p>
        </w:tc>
        <w:tc>
          <w:tcPr>
            <w:tcW w:w="1060" w:type="pct"/>
          </w:tcPr>
          <w:p w14:paraId="3EE32A76" w14:textId="77777777" w:rsidR="002154C6" w:rsidRPr="007A4113" w:rsidRDefault="002154C6" w:rsidP="00BD37EA">
            <w:pPr>
              <w:pStyle w:val="Tablesmalltext"/>
            </w:pPr>
            <w:r w:rsidRPr="007A4113">
              <w:t>Sriram Kalaga, Prasad Yenumula (2016) Design of Electrical Transmission Lines: Structures and Foundations.</w:t>
            </w:r>
          </w:p>
          <w:p w14:paraId="2BE0CF81" w14:textId="77777777" w:rsidR="002154C6" w:rsidRPr="007A4113" w:rsidRDefault="002154C6" w:rsidP="00BD37EA">
            <w:pPr>
              <w:pStyle w:val="Tablesmalltext"/>
            </w:pPr>
            <w:r w:rsidRPr="007A4113">
              <w:t>Singh, M (1986) Mining Engineering Handbook. Chapter 3 Mine subsidence, Society for Mining, Metallurgy and Exploration</w:t>
            </w:r>
          </w:p>
        </w:tc>
      </w:tr>
      <w:tr w:rsidR="002154C6" w14:paraId="2C996B52" w14:textId="77777777" w:rsidTr="00223C9C">
        <w:tc>
          <w:tcPr>
            <w:tcW w:w="630" w:type="pct"/>
            <w:vMerge/>
          </w:tcPr>
          <w:p w14:paraId="16A0CEFE" w14:textId="77777777" w:rsidR="002154C6" w:rsidRPr="007A4113" w:rsidRDefault="002154C6" w:rsidP="00BD37EA">
            <w:pPr>
              <w:pStyle w:val="Tablesmalltext"/>
            </w:pPr>
          </w:p>
        </w:tc>
        <w:tc>
          <w:tcPr>
            <w:tcW w:w="894" w:type="pct"/>
          </w:tcPr>
          <w:p w14:paraId="3231A61D" w14:textId="77777777" w:rsidR="002154C6" w:rsidRPr="007A4113" w:rsidRDefault="002154C6" w:rsidP="00BD37EA">
            <w:pPr>
              <w:pStyle w:val="Tablesmalltext"/>
            </w:pPr>
            <w:r w:rsidRPr="007A4113">
              <w:t>Gas Fired Power Generation</w:t>
            </w:r>
          </w:p>
        </w:tc>
        <w:tc>
          <w:tcPr>
            <w:tcW w:w="840" w:type="pct"/>
          </w:tcPr>
          <w:p w14:paraId="35BE7716" w14:textId="77777777" w:rsidR="002154C6" w:rsidRPr="007A4113" w:rsidRDefault="002154C6" w:rsidP="00BD37EA">
            <w:pPr>
              <w:pStyle w:val="Tablesmalltext"/>
            </w:pPr>
            <w:r w:rsidRPr="007A4113">
              <w:t>Horizontal and vertical strain and earthquake loading</w:t>
            </w:r>
          </w:p>
        </w:tc>
        <w:tc>
          <w:tcPr>
            <w:tcW w:w="841" w:type="pct"/>
          </w:tcPr>
          <w:p w14:paraId="66EB4495" w14:textId="41E1F11F" w:rsidR="002154C6" w:rsidRPr="007A4113" w:rsidRDefault="002154C6" w:rsidP="00BD37EA">
            <w:pPr>
              <w:pStyle w:val="Tablesmalltext"/>
            </w:pPr>
            <w:r w:rsidRPr="007A4113">
              <w:t xml:space="preserve">See damage criteria for buildings and structure Tables </w:t>
            </w:r>
            <w:r w:rsidR="00864149">
              <w:t>5</w:t>
            </w:r>
            <w:r w:rsidRPr="007A4113">
              <w:t xml:space="preserve">.7 and </w:t>
            </w:r>
            <w:r w:rsidR="00864149">
              <w:t>5</w:t>
            </w:r>
            <w:r w:rsidRPr="007A4113">
              <w:t>.8.</w:t>
            </w:r>
            <w:r>
              <w:t xml:space="preserve"> Recommend “architectural” as investigation threshold.</w:t>
            </w:r>
          </w:p>
        </w:tc>
        <w:tc>
          <w:tcPr>
            <w:tcW w:w="735" w:type="pct"/>
          </w:tcPr>
          <w:p w14:paraId="6AB2EDCE" w14:textId="77777777" w:rsidR="002154C6" w:rsidRPr="007A4113" w:rsidRDefault="002154C6" w:rsidP="00BD37EA">
            <w:pPr>
              <w:pStyle w:val="Tablesmalltext"/>
            </w:pPr>
            <w:r w:rsidRPr="007A4113">
              <w:t>Damage criteria for Buildings/Structures</w:t>
            </w:r>
          </w:p>
        </w:tc>
        <w:tc>
          <w:tcPr>
            <w:tcW w:w="1060" w:type="pct"/>
          </w:tcPr>
          <w:p w14:paraId="6D59E454" w14:textId="77777777" w:rsidR="002154C6" w:rsidRPr="007A4113" w:rsidRDefault="002154C6" w:rsidP="00BD37EA">
            <w:pPr>
              <w:pStyle w:val="Tablesmalltext"/>
            </w:pPr>
            <w:r w:rsidRPr="007A4113">
              <w:t>Singh, M (1986) Mining Engineering Handbook. Chapter 3 Mine subsidence, Society for Mining, Metallurgy and Exploration</w:t>
            </w:r>
          </w:p>
        </w:tc>
      </w:tr>
      <w:tr w:rsidR="002154C6" w14:paraId="0209BDEA" w14:textId="77777777" w:rsidTr="00223C9C">
        <w:tc>
          <w:tcPr>
            <w:tcW w:w="630" w:type="pct"/>
            <w:vMerge/>
          </w:tcPr>
          <w:p w14:paraId="14B6E58F" w14:textId="77777777" w:rsidR="002154C6" w:rsidRPr="007A4113" w:rsidRDefault="002154C6" w:rsidP="00BD37EA">
            <w:pPr>
              <w:pStyle w:val="Tablesmalltext"/>
            </w:pPr>
          </w:p>
        </w:tc>
        <w:tc>
          <w:tcPr>
            <w:tcW w:w="894" w:type="pct"/>
          </w:tcPr>
          <w:p w14:paraId="47915E57" w14:textId="77777777" w:rsidR="002154C6" w:rsidRPr="007A4113" w:rsidRDefault="002154C6" w:rsidP="00BD37EA">
            <w:pPr>
              <w:pStyle w:val="Tablesmalltext"/>
            </w:pPr>
            <w:r w:rsidRPr="007A4113">
              <w:t>Road - Freeway/State maintained</w:t>
            </w:r>
          </w:p>
        </w:tc>
        <w:tc>
          <w:tcPr>
            <w:tcW w:w="840" w:type="pct"/>
          </w:tcPr>
          <w:p w14:paraId="2EDCFCB5" w14:textId="77777777" w:rsidR="002154C6" w:rsidRPr="007A4113" w:rsidRDefault="002154C6" w:rsidP="00BD37EA">
            <w:pPr>
              <w:pStyle w:val="Tablesmalltext"/>
            </w:pPr>
            <w:r w:rsidRPr="007A4113">
              <w:t>Horizontal and vertical strain and earthquake loading</w:t>
            </w:r>
          </w:p>
        </w:tc>
        <w:tc>
          <w:tcPr>
            <w:tcW w:w="841" w:type="pct"/>
          </w:tcPr>
          <w:p w14:paraId="6ED78212" w14:textId="77777777" w:rsidR="002154C6" w:rsidRPr="007A4113" w:rsidRDefault="002154C6" w:rsidP="00BD37EA">
            <w:pPr>
              <w:pStyle w:val="Tablesmalltext"/>
            </w:pPr>
            <w:r w:rsidRPr="007A4113">
              <w:t>Horizontal strain (architectural) = 1.0 x 10</w:t>
            </w:r>
            <w:r w:rsidRPr="007A4113">
              <w:rPr>
                <w:vertAlign w:val="superscript"/>
              </w:rPr>
              <w:t>-3</w:t>
            </w:r>
            <w:r w:rsidRPr="007A4113">
              <w:br/>
            </w:r>
            <w:r>
              <w:t>Tilt</w:t>
            </w:r>
            <w:r w:rsidRPr="007A4113">
              <w:t xml:space="preserve"> (architectural) = 5.0 x 10</w:t>
            </w:r>
            <w:r w:rsidRPr="007A4113">
              <w:rPr>
                <w:vertAlign w:val="superscript"/>
              </w:rPr>
              <w:t>-3</w:t>
            </w:r>
            <w:r w:rsidRPr="007A4113">
              <w:br/>
            </w:r>
            <w:r>
              <w:t>Tilt</w:t>
            </w:r>
            <w:r w:rsidRPr="007A4113">
              <w:t xml:space="preserve"> (functional) = 5.0 x 10</w:t>
            </w:r>
            <w:r w:rsidRPr="007A4113">
              <w:rPr>
                <w:vertAlign w:val="superscript"/>
              </w:rPr>
              <w:t>-3</w:t>
            </w:r>
            <w:r w:rsidRPr="007A4113">
              <w:br/>
            </w:r>
            <w:r>
              <w:t>Tilt</w:t>
            </w:r>
            <w:r w:rsidRPr="007A4113">
              <w:t xml:space="preserve"> (structural) = 10 x 10</w:t>
            </w:r>
            <w:r w:rsidRPr="007A4113">
              <w:rPr>
                <w:vertAlign w:val="superscript"/>
              </w:rPr>
              <w:t>-3</w:t>
            </w:r>
          </w:p>
        </w:tc>
        <w:tc>
          <w:tcPr>
            <w:tcW w:w="735" w:type="pct"/>
          </w:tcPr>
          <w:p w14:paraId="5CA5CFF8" w14:textId="539800E0" w:rsidR="002154C6" w:rsidRPr="007A4113" w:rsidRDefault="002154C6" w:rsidP="00BD37EA">
            <w:pPr>
              <w:pStyle w:val="Tablesmalltext"/>
            </w:pPr>
            <w:r w:rsidRPr="007A4113">
              <w:t xml:space="preserve">Damage criteria for Freeway/State Roads classified by VicRoads Road Management Plan (2014) (Table </w:t>
            </w:r>
            <w:r w:rsidR="00AE1FD1">
              <w:t>5</w:t>
            </w:r>
            <w:r w:rsidRPr="007A4113">
              <w:t>.11)</w:t>
            </w:r>
          </w:p>
        </w:tc>
        <w:tc>
          <w:tcPr>
            <w:tcW w:w="1060" w:type="pct"/>
          </w:tcPr>
          <w:p w14:paraId="6028386E" w14:textId="77777777" w:rsidR="002154C6" w:rsidRPr="007A4113" w:rsidRDefault="002154C6" w:rsidP="00BD37EA">
            <w:pPr>
              <w:pStyle w:val="Tablesmalltext"/>
            </w:pPr>
            <w:r w:rsidRPr="007A4113">
              <w:t>Singh, M (1986) Mining Engineering Handbook. Chapter 3 Mine subsidence, Society for Mining, Metallurgy and Exploration</w:t>
            </w:r>
          </w:p>
        </w:tc>
      </w:tr>
      <w:tr w:rsidR="002154C6" w14:paraId="39EA32F9" w14:textId="77777777" w:rsidTr="00223C9C">
        <w:tc>
          <w:tcPr>
            <w:tcW w:w="630" w:type="pct"/>
            <w:vMerge/>
          </w:tcPr>
          <w:p w14:paraId="4AC76757" w14:textId="77777777" w:rsidR="002154C6" w:rsidRPr="007A4113" w:rsidRDefault="002154C6" w:rsidP="00BD37EA">
            <w:pPr>
              <w:pStyle w:val="Tablesmalltext"/>
            </w:pPr>
          </w:p>
        </w:tc>
        <w:tc>
          <w:tcPr>
            <w:tcW w:w="894" w:type="pct"/>
          </w:tcPr>
          <w:p w14:paraId="5ED44A53" w14:textId="77777777" w:rsidR="002154C6" w:rsidRPr="007A4113" w:rsidRDefault="002154C6" w:rsidP="00BD37EA">
            <w:pPr>
              <w:pStyle w:val="Tablesmalltext"/>
            </w:pPr>
            <w:r w:rsidRPr="007A4113">
              <w:t>Road – Local Council maintained</w:t>
            </w:r>
          </w:p>
        </w:tc>
        <w:tc>
          <w:tcPr>
            <w:tcW w:w="840" w:type="pct"/>
          </w:tcPr>
          <w:p w14:paraId="11343B34" w14:textId="77777777" w:rsidR="002154C6" w:rsidRPr="007A4113" w:rsidRDefault="002154C6" w:rsidP="00BD37EA">
            <w:pPr>
              <w:pStyle w:val="Tablesmalltext"/>
            </w:pPr>
            <w:r w:rsidRPr="007A4113">
              <w:t>Horizontal and vertical strain and earthquake loading</w:t>
            </w:r>
          </w:p>
        </w:tc>
        <w:tc>
          <w:tcPr>
            <w:tcW w:w="841" w:type="pct"/>
          </w:tcPr>
          <w:p w14:paraId="1BD006B2" w14:textId="77777777" w:rsidR="002154C6" w:rsidRPr="007A4113" w:rsidRDefault="002154C6" w:rsidP="00BD37EA">
            <w:pPr>
              <w:pStyle w:val="Tablesmalltext"/>
            </w:pPr>
            <w:r w:rsidRPr="007A4113">
              <w:t>Horizontal strain (architectural) = 1.0 x 10</w:t>
            </w:r>
            <w:r w:rsidRPr="007A4113">
              <w:rPr>
                <w:vertAlign w:val="superscript"/>
              </w:rPr>
              <w:t>-3</w:t>
            </w:r>
            <w:r w:rsidRPr="007A4113">
              <w:br/>
            </w:r>
            <w:r>
              <w:t>Tilt</w:t>
            </w:r>
            <w:r w:rsidRPr="007A4113">
              <w:t xml:space="preserve"> (architectural) = 5.0 x 10</w:t>
            </w:r>
            <w:r w:rsidRPr="007A4113">
              <w:rPr>
                <w:vertAlign w:val="superscript"/>
              </w:rPr>
              <w:t>-3</w:t>
            </w:r>
            <w:r w:rsidRPr="007A4113">
              <w:br/>
            </w:r>
            <w:r>
              <w:t>Tilt</w:t>
            </w:r>
            <w:r w:rsidRPr="007A4113">
              <w:t xml:space="preserve"> (functional) = 5.0 x 10</w:t>
            </w:r>
            <w:r w:rsidRPr="007A4113">
              <w:rPr>
                <w:vertAlign w:val="superscript"/>
              </w:rPr>
              <w:t>-3</w:t>
            </w:r>
            <w:r w:rsidRPr="007A4113">
              <w:br/>
            </w:r>
            <w:r>
              <w:t>Tilt</w:t>
            </w:r>
            <w:r w:rsidRPr="007A4113">
              <w:t xml:space="preserve"> (structural) = 10 x 10</w:t>
            </w:r>
            <w:r w:rsidRPr="007A4113">
              <w:rPr>
                <w:vertAlign w:val="superscript"/>
              </w:rPr>
              <w:t>-3</w:t>
            </w:r>
          </w:p>
        </w:tc>
        <w:tc>
          <w:tcPr>
            <w:tcW w:w="735" w:type="pct"/>
          </w:tcPr>
          <w:p w14:paraId="169D951C" w14:textId="3C0D6F8D" w:rsidR="002154C6" w:rsidRPr="007A4113" w:rsidRDefault="002154C6" w:rsidP="00BD37EA">
            <w:pPr>
              <w:pStyle w:val="Tablesmalltext"/>
            </w:pPr>
            <w:r w:rsidRPr="007A4113">
              <w:t xml:space="preserve">Damage criteria for local roads and intervention levels classified by Latrobe City Council (Table </w:t>
            </w:r>
            <w:r w:rsidR="00AE1FD1">
              <w:t>5</w:t>
            </w:r>
            <w:r w:rsidRPr="007A4113">
              <w:t>.15)</w:t>
            </w:r>
          </w:p>
        </w:tc>
        <w:tc>
          <w:tcPr>
            <w:tcW w:w="1060" w:type="pct"/>
          </w:tcPr>
          <w:p w14:paraId="366E20B9" w14:textId="77777777" w:rsidR="002154C6" w:rsidRPr="007A4113" w:rsidRDefault="002154C6" w:rsidP="00BD37EA">
            <w:pPr>
              <w:pStyle w:val="Tablesmalltext"/>
            </w:pPr>
            <w:r w:rsidRPr="007A4113">
              <w:t>Singh, M (1986) Mining Engineering Handbook. Chapter 3 Mine subsidence, Society for Mining, Metallurgy and Exploration</w:t>
            </w:r>
          </w:p>
        </w:tc>
      </w:tr>
      <w:tr w:rsidR="002154C6" w14:paraId="1036192D" w14:textId="77777777" w:rsidTr="00223C9C">
        <w:tc>
          <w:tcPr>
            <w:tcW w:w="630" w:type="pct"/>
            <w:vMerge/>
          </w:tcPr>
          <w:p w14:paraId="68B24529" w14:textId="77777777" w:rsidR="002154C6" w:rsidRPr="007A4113" w:rsidRDefault="002154C6" w:rsidP="00BD37EA">
            <w:pPr>
              <w:pStyle w:val="Tablesmalltext"/>
            </w:pPr>
          </w:p>
        </w:tc>
        <w:tc>
          <w:tcPr>
            <w:tcW w:w="894" w:type="pct"/>
          </w:tcPr>
          <w:p w14:paraId="1A141368" w14:textId="77777777" w:rsidR="002154C6" w:rsidRPr="007A4113" w:rsidRDefault="002154C6" w:rsidP="00BD37EA">
            <w:pPr>
              <w:pStyle w:val="Tablesmalltext"/>
            </w:pPr>
            <w:r w:rsidRPr="007A4113">
              <w:t>Pipelines</w:t>
            </w:r>
          </w:p>
        </w:tc>
        <w:tc>
          <w:tcPr>
            <w:tcW w:w="840" w:type="pct"/>
          </w:tcPr>
          <w:p w14:paraId="0F394AA3" w14:textId="77777777" w:rsidR="002154C6" w:rsidRPr="007A4113" w:rsidRDefault="002154C6" w:rsidP="00BD37EA">
            <w:pPr>
              <w:pStyle w:val="Tablesmalltext"/>
            </w:pPr>
            <w:r w:rsidRPr="007A4113">
              <w:t>Strain along pipe lengths or excessive distortion a the joint or both and earthquake loading</w:t>
            </w:r>
          </w:p>
        </w:tc>
        <w:tc>
          <w:tcPr>
            <w:tcW w:w="841" w:type="pct"/>
          </w:tcPr>
          <w:p w14:paraId="23F0F821" w14:textId="77777777" w:rsidR="002154C6" w:rsidRPr="007A4113" w:rsidRDefault="002154C6" w:rsidP="00BD37EA">
            <w:pPr>
              <w:pStyle w:val="Tablesmalltext"/>
            </w:pPr>
            <w:r w:rsidRPr="007A4113">
              <w:t>For pipe in ground, cast iron pipe with lead-caulked joints</w:t>
            </w:r>
          </w:p>
          <w:p w14:paraId="6E6BC434" w14:textId="77777777" w:rsidR="002154C6" w:rsidRPr="007A4113" w:rsidRDefault="002154C6" w:rsidP="00BD37EA">
            <w:pPr>
              <w:pStyle w:val="Tablesmalltext"/>
              <w:rPr>
                <w:vertAlign w:val="superscript"/>
              </w:rPr>
            </w:pPr>
            <w:r w:rsidRPr="007A4113">
              <w:t>Angular distortion = 4.0 x 10</w:t>
            </w:r>
            <w:r w:rsidRPr="007A4113">
              <w:rPr>
                <w:vertAlign w:val="superscript"/>
              </w:rPr>
              <w:t>-3</w:t>
            </w:r>
            <w:r w:rsidRPr="007A4113">
              <w:rPr>
                <w:vertAlign w:val="superscript"/>
              </w:rPr>
              <w:br/>
            </w:r>
            <w:r w:rsidRPr="007A4113">
              <w:t>Horizontal strain = 1.0 x 10</w:t>
            </w:r>
            <w:r w:rsidRPr="007A4113">
              <w:rPr>
                <w:vertAlign w:val="superscript"/>
              </w:rPr>
              <w:t>-3</w:t>
            </w:r>
          </w:p>
        </w:tc>
        <w:tc>
          <w:tcPr>
            <w:tcW w:w="735" w:type="pct"/>
          </w:tcPr>
          <w:p w14:paraId="37530444" w14:textId="77777777" w:rsidR="002154C6" w:rsidRPr="007A4113" w:rsidRDefault="002154C6" w:rsidP="00BD37EA">
            <w:pPr>
              <w:pStyle w:val="Tablesmalltext"/>
            </w:pPr>
            <w:r w:rsidRPr="007A4113">
              <w:t>Damage criteria for Pipelines described for two basic damage levels (1) interruption of use (2) failure or loss of use</w:t>
            </w:r>
          </w:p>
        </w:tc>
        <w:tc>
          <w:tcPr>
            <w:tcW w:w="1060" w:type="pct"/>
          </w:tcPr>
          <w:p w14:paraId="06D76479" w14:textId="77777777" w:rsidR="002154C6" w:rsidRPr="007A4113" w:rsidRDefault="002154C6" w:rsidP="00BD37EA">
            <w:pPr>
              <w:pStyle w:val="Tablesmalltext"/>
            </w:pPr>
            <w:r w:rsidRPr="007A4113">
              <w:t>Singh, M (1986) Mining Engineering Handbook. Chapter 3 Mine subsidence, Society for Mining, Metallurgy and Exploration</w:t>
            </w:r>
          </w:p>
        </w:tc>
      </w:tr>
      <w:tr w:rsidR="002154C6" w14:paraId="04E8B11C" w14:textId="77777777" w:rsidTr="00223C9C">
        <w:tc>
          <w:tcPr>
            <w:tcW w:w="630" w:type="pct"/>
            <w:vMerge/>
          </w:tcPr>
          <w:p w14:paraId="06709510" w14:textId="77777777" w:rsidR="002154C6" w:rsidRPr="007A4113" w:rsidRDefault="002154C6" w:rsidP="00BD37EA">
            <w:pPr>
              <w:pStyle w:val="Tablesmalltext"/>
            </w:pPr>
          </w:p>
        </w:tc>
        <w:tc>
          <w:tcPr>
            <w:tcW w:w="894" w:type="pct"/>
          </w:tcPr>
          <w:p w14:paraId="281345C1" w14:textId="77777777" w:rsidR="002154C6" w:rsidRPr="007A4113" w:rsidRDefault="002154C6" w:rsidP="00BD37EA">
            <w:pPr>
              <w:pStyle w:val="Tablesmalltext"/>
            </w:pPr>
            <w:r w:rsidRPr="007A4113">
              <w:t>Rail</w:t>
            </w:r>
          </w:p>
        </w:tc>
        <w:tc>
          <w:tcPr>
            <w:tcW w:w="840" w:type="pct"/>
          </w:tcPr>
          <w:p w14:paraId="0667C6C6" w14:textId="77777777" w:rsidR="002154C6" w:rsidRPr="007A4113" w:rsidRDefault="002154C6" w:rsidP="00BD37EA">
            <w:pPr>
              <w:pStyle w:val="Tablesmalltext"/>
            </w:pPr>
            <w:r w:rsidRPr="007A4113">
              <w:t>Horizontal and vertical strain and earthquake loading</w:t>
            </w:r>
          </w:p>
        </w:tc>
        <w:tc>
          <w:tcPr>
            <w:tcW w:w="841" w:type="pct"/>
          </w:tcPr>
          <w:p w14:paraId="56413C3F" w14:textId="77777777" w:rsidR="002154C6" w:rsidRPr="007A4113" w:rsidRDefault="002154C6" w:rsidP="00BD37EA">
            <w:pPr>
              <w:pStyle w:val="Tablesmalltext"/>
              <w:rPr>
                <w:vertAlign w:val="superscript"/>
              </w:rPr>
            </w:pPr>
            <w:r w:rsidRPr="007A4113">
              <w:t>Horizontal strain = 2.0 x 10</w:t>
            </w:r>
            <w:r w:rsidRPr="007A4113">
              <w:rPr>
                <w:vertAlign w:val="superscript"/>
              </w:rPr>
              <w:t>-3</w:t>
            </w:r>
          </w:p>
          <w:p w14:paraId="1FB11E12" w14:textId="77777777" w:rsidR="002154C6" w:rsidRPr="007A4113" w:rsidRDefault="002154C6" w:rsidP="00BD37EA">
            <w:pPr>
              <w:pStyle w:val="Tablesmalltext"/>
            </w:pPr>
            <w:r w:rsidRPr="007A4113">
              <w:t>Undulations/slope strain = 10.0 x 10</w:t>
            </w:r>
            <w:r w:rsidRPr="007A4113">
              <w:rPr>
                <w:vertAlign w:val="superscript"/>
              </w:rPr>
              <w:t>-3</w:t>
            </w:r>
            <w:r w:rsidRPr="007A4113">
              <w:t xml:space="preserve"> (maximum permissible track gradient specified by design)</w:t>
            </w:r>
          </w:p>
        </w:tc>
        <w:tc>
          <w:tcPr>
            <w:tcW w:w="735" w:type="pct"/>
          </w:tcPr>
          <w:p w14:paraId="68DB6291" w14:textId="77777777" w:rsidR="002154C6" w:rsidRPr="007A4113" w:rsidRDefault="002154C6" w:rsidP="00BD37EA">
            <w:pPr>
              <w:pStyle w:val="Tablesmalltext"/>
            </w:pPr>
            <w:r w:rsidRPr="007A4113">
              <w:t>Damage criteria for Railroads may be classified in terms of interruption of use or failure</w:t>
            </w:r>
          </w:p>
        </w:tc>
        <w:tc>
          <w:tcPr>
            <w:tcW w:w="1060" w:type="pct"/>
          </w:tcPr>
          <w:p w14:paraId="43614033" w14:textId="77777777" w:rsidR="002154C6" w:rsidRPr="007A4113" w:rsidRDefault="002154C6" w:rsidP="00BD37EA">
            <w:pPr>
              <w:pStyle w:val="Tablesmalltext"/>
            </w:pPr>
            <w:r w:rsidRPr="007A4113">
              <w:t>Singh, M (1986) Mining Engineering Handbook. Chapter 3 Mine subsidence, Society for Mining, Metallurgy and Exploration</w:t>
            </w:r>
          </w:p>
        </w:tc>
      </w:tr>
      <w:tr w:rsidR="002154C6" w14:paraId="4230A494" w14:textId="77777777" w:rsidTr="00223C9C">
        <w:tc>
          <w:tcPr>
            <w:tcW w:w="630" w:type="pct"/>
            <w:vMerge/>
          </w:tcPr>
          <w:p w14:paraId="6DDF24B5" w14:textId="77777777" w:rsidR="002154C6" w:rsidRPr="007A4113" w:rsidRDefault="002154C6" w:rsidP="00BD37EA">
            <w:pPr>
              <w:pStyle w:val="Tablesmalltext"/>
            </w:pPr>
          </w:p>
        </w:tc>
        <w:tc>
          <w:tcPr>
            <w:tcW w:w="894" w:type="pct"/>
          </w:tcPr>
          <w:p w14:paraId="24903408" w14:textId="77777777" w:rsidR="002154C6" w:rsidRPr="007A4113" w:rsidRDefault="002154C6" w:rsidP="00BD37EA">
            <w:pPr>
              <w:pStyle w:val="Tablesmalltext"/>
            </w:pPr>
            <w:r w:rsidRPr="007A4113">
              <w:t>Telecommunications</w:t>
            </w:r>
          </w:p>
        </w:tc>
        <w:tc>
          <w:tcPr>
            <w:tcW w:w="840" w:type="pct"/>
          </w:tcPr>
          <w:p w14:paraId="4B28EF8C" w14:textId="77777777" w:rsidR="002154C6" w:rsidRPr="007A4113" w:rsidRDefault="002154C6" w:rsidP="00BD37EA">
            <w:pPr>
              <w:pStyle w:val="Tablesmalltext"/>
            </w:pPr>
            <w:r w:rsidRPr="007A4113">
              <w:t>Horizontal and vertical strain and earthquake loading</w:t>
            </w:r>
          </w:p>
        </w:tc>
        <w:tc>
          <w:tcPr>
            <w:tcW w:w="841" w:type="pct"/>
          </w:tcPr>
          <w:p w14:paraId="7C7AA320" w14:textId="77777777" w:rsidR="002154C6" w:rsidRPr="007A4113" w:rsidRDefault="002154C6" w:rsidP="00BD37EA">
            <w:pPr>
              <w:pStyle w:val="Tablesmalltext"/>
            </w:pPr>
            <w:r w:rsidRPr="007A4113">
              <w:t>Telecommunication Towers -Settlement and rebound of up to 1-2mm/year.</w:t>
            </w:r>
          </w:p>
          <w:p w14:paraId="07D0F798" w14:textId="30158C02" w:rsidR="002154C6" w:rsidRPr="007A4113" w:rsidRDefault="002154C6" w:rsidP="00BD37EA">
            <w:pPr>
              <w:pStyle w:val="Tablesmalltext"/>
              <w:rPr>
                <w:vertAlign w:val="superscript"/>
              </w:rPr>
            </w:pPr>
            <w:r w:rsidRPr="007A4113">
              <w:t>Horizontal strain value of</w:t>
            </w:r>
            <w:r w:rsidR="00CC0C6D">
              <w:br/>
            </w:r>
            <w:r w:rsidRPr="007A4113">
              <w:t>1.0 x 10</w:t>
            </w:r>
            <w:r w:rsidRPr="007A4113">
              <w:rPr>
                <w:vertAlign w:val="superscript"/>
              </w:rPr>
              <w:t>-3</w:t>
            </w:r>
          </w:p>
          <w:p w14:paraId="76B72429" w14:textId="77777777" w:rsidR="002154C6" w:rsidRPr="007A4113" w:rsidRDefault="002154C6" w:rsidP="00BD37EA">
            <w:pPr>
              <w:pStyle w:val="Tablesmalltext"/>
            </w:pPr>
            <w:r w:rsidRPr="007A4113">
              <w:t>In ground, cast iron pipe with lead-caulked joints</w:t>
            </w:r>
          </w:p>
          <w:p w14:paraId="6AF31D99" w14:textId="77777777" w:rsidR="002154C6" w:rsidRPr="007A4113" w:rsidRDefault="002154C6" w:rsidP="00BD37EA">
            <w:pPr>
              <w:pStyle w:val="Tablesmalltext"/>
            </w:pPr>
            <w:r w:rsidRPr="007A4113">
              <w:t>Angular distortion = 4.0 x 10</w:t>
            </w:r>
            <w:r w:rsidRPr="007A4113">
              <w:rPr>
                <w:vertAlign w:val="superscript"/>
              </w:rPr>
              <w:t>-3</w:t>
            </w:r>
            <w:r w:rsidRPr="007A4113">
              <w:rPr>
                <w:vertAlign w:val="superscript"/>
              </w:rPr>
              <w:br/>
            </w:r>
            <w:r w:rsidRPr="007A4113">
              <w:t>Horizontal strain = 1.0 x 10</w:t>
            </w:r>
            <w:r w:rsidRPr="007A4113">
              <w:rPr>
                <w:vertAlign w:val="superscript"/>
              </w:rPr>
              <w:t>-3</w:t>
            </w:r>
          </w:p>
        </w:tc>
        <w:tc>
          <w:tcPr>
            <w:tcW w:w="735" w:type="pct"/>
          </w:tcPr>
          <w:p w14:paraId="0BC35538" w14:textId="77777777" w:rsidR="002154C6" w:rsidRDefault="002154C6" w:rsidP="00BD37EA">
            <w:pPr>
              <w:pStyle w:val="Tablesmalltext"/>
            </w:pPr>
            <w:r w:rsidRPr="007A4113">
              <w:t>Damage criteria for Telecommunications described for two basic damage levels (1) interruption of use (2) failure or loss of use</w:t>
            </w:r>
            <w:r>
              <w:t xml:space="preserve">. </w:t>
            </w:r>
          </w:p>
          <w:p w14:paraId="5FA908B4" w14:textId="77777777" w:rsidR="002154C6" w:rsidRPr="007A4113" w:rsidRDefault="002154C6" w:rsidP="00BD37EA">
            <w:pPr>
              <w:pStyle w:val="Tablesmalltext"/>
            </w:pPr>
            <w:r>
              <w:t>For many individual structures the threshold has been exceeded by historical movement. This indicates the threshold for future movement and needs further assessment by the LVRRS to determine practicality</w:t>
            </w:r>
          </w:p>
        </w:tc>
        <w:tc>
          <w:tcPr>
            <w:tcW w:w="1060" w:type="pct"/>
          </w:tcPr>
          <w:p w14:paraId="72BFC68B" w14:textId="77777777" w:rsidR="002154C6" w:rsidRPr="007A4113" w:rsidRDefault="002154C6" w:rsidP="00BD37EA">
            <w:pPr>
              <w:pStyle w:val="Tablesmalltext"/>
            </w:pPr>
            <w:r w:rsidRPr="007A4113">
              <w:t>Singh, M (1986) Mining Engineering Handbook. Chapter 3 Mine subsidence, Society for Mining, Metallurgy and Exploration</w:t>
            </w:r>
          </w:p>
        </w:tc>
      </w:tr>
      <w:tr w:rsidR="002154C6" w14:paraId="19661132" w14:textId="77777777" w:rsidTr="00223C9C">
        <w:tc>
          <w:tcPr>
            <w:tcW w:w="630" w:type="pct"/>
            <w:vMerge/>
          </w:tcPr>
          <w:p w14:paraId="5F2692C3" w14:textId="77777777" w:rsidR="002154C6" w:rsidRPr="007A4113" w:rsidRDefault="002154C6" w:rsidP="00BD37EA">
            <w:pPr>
              <w:pStyle w:val="Tablesmalltext"/>
            </w:pPr>
          </w:p>
        </w:tc>
        <w:tc>
          <w:tcPr>
            <w:tcW w:w="894" w:type="pct"/>
          </w:tcPr>
          <w:p w14:paraId="65D92A3D" w14:textId="77777777" w:rsidR="002154C6" w:rsidRPr="007A4113" w:rsidRDefault="002154C6" w:rsidP="00BD37EA">
            <w:pPr>
              <w:pStyle w:val="Tablesmalltext"/>
            </w:pPr>
            <w:r w:rsidRPr="007A4113">
              <w:t>Bridges</w:t>
            </w:r>
          </w:p>
        </w:tc>
        <w:tc>
          <w:tcPr>
            <w:tcW w:w="840" w:type="pct"/>
          </w:tcPr>
          <w:p w14:paraId="57365979" w14:textId="77777777" w:rsidR="002154C6" w:rsidRPr="007A4113" w:rsidRDefault="002154C6" w:rsidP="00BD37EA">
            <w:pPr>
              <w:pStyle w:val="Tablesmalltext"/>
            </w:pPr>
            <w:r w:rsidRPr="007A4113">
              <w:t>Horizontal and vertical strain and earthquake loading</w:t>
            </w:r>
          </w:p>
        </w:tc>
        <w:tc>
          <w:tcPr>
            <w:tcW w:w="841" w:type="pct"/>
          </w:tcPr>
          <w:p w14:paraId="5B1365B3" w14:textId="55138AB9" w:rsidR="002154C6" w:rsidRPr="007A4113" w:rsidRDefault="002154C6" w:rsidP="00BD37EA">
            <w:pPr>
              <w:pStyle w:val="Tablesmalltext"/>
            </w:pPr>
            <w:r w:rsidRPr="007A4113">
              <w:t>Angular distortion (architectural) strain =</w:t>
            </w:r>
            <w:r w:rsidR="00CC0C6D">
              <w:br/>
            </w:r>
            <w:r w:rsidRPr="007A4113">
              <w:t>1.0 x 10</w:t>
            </w:r>
            <w:r w:rsidRPr="007A4113">
              <w:rPr>
                <w:vertAlign w:val="superscript"/>
              </w:rPr>
              <w:t>-3</w:t>
            </w:r>
            <w:r w:rsidRPr="007A4113">
              <w:br/>
              <w:t>Differential settlement (architectural) = 25 mm</w:t>
            </w:r>
            <w:r w:rsidRPr="007A4113">
              <w:br/>
              <w:t>Angular distortion (functional) strain = 3.0 x 10</w:t>
            </w:r>
            <w:r w:rsidRPr="007A4113">
              <w:rPr>
                <w:vertAlign w:val="superscript"/>
              </w:rPr>
              <w:t>-3</w:t>
            </w:r>
            <w:r w:rsidRPr="007A4113">
              <w:br/>
              <w:t>Differential settlement (functional) = 50 mm</w:t>
            </w:r>
            <w:r w:rsidRPr="007A4113">
              <w:br/>
              <w:t>Horizontal movement (Architectural) = 25 mm</w:t>
            </w:r>
          </w:p>
        </w:tc>
        <w:tc>
          <w:tcPr>
            <w:tcW w:w="735" w:type="pct"/>
          </w:tcPr>
          <w:p w14:paraId="12316FB4" w14:textId="77777777" w:rsidR="002154C6" w:rsidRPr="007A4113" w:rsidRDefault="002154C6" w:rsidP="00BD37EA">
            <w:pPr>
              <w:pStyle w:val="Tablesmalltext"/>
            </w:pPr>
            <w:r w:rsidRPr="007A4113">
              <w:t>Damage criteria for Highway Bridges</w:t>
            </w:r>
          </w:p>
        </w:tc>
        <w:tc>
          <w:tcPr>
            <w:tcW w:w="1060" w:type="pct"/>
          </w:tcPr>
          <w:p w14:paraId="0D97008B" w14:textId="7C2BFDCF" w:rsidR="002154C6" w:rsidRPr="007A4113" w:rsidRDefault="002154C6" w:rsidP="00BD37EA">
            <w:pPr>
              <w:pStyle w:val="Tablesmalltext"/>
            </w:pPr>
            <w:r w:rsidRPr="007A4113">
              <w:t>Bridge Design Guidelines</w:t>
            </w:r>
            <w:r w:rsidR="00223C9C">
              <w:t xml:space="preserve"> (Austroads 2012)</w:t>
            </w:r>
            <w:r>
              <w:t xml:space="preserve"> for earthquake loading</w:t>
            </w:r>
          </w:p>
          <w:p w14:paraId="74FC9827" w14:textId="77777777" w:rsidR="002154C6" w:rsidRPr="007A4113" w:rsidRDefault="002154C6" w:rsidP="00BD37EA">
            <w:pPr>
              <w:pStyle w:val="Tablesmalltext"/>
            </w:pPr>
            <w:r w:rsidRPr="007A4113">
              <w:t>Singh, M (1986) Mining Engineering Handbook. Chapter 3 Mine subsidence, Society for Mining, Metallurgy and Exploration</w:t>
            </w:r>
            <w:r>
              <w:t xml:space="preserve"> for other ground movements</w:t>
            </w:r>
          </w:p>
        </w:tc>
      </w:tr>
      <w:tr w:rsidR="002154C6" w14:paraId="709CCEF9" w14:textId="77777777" w:rsidTr="00223C9C">
        <w:tc>
          <w:tcPr>
            <w:tcW w:w="630" w:type="pct"/>
          </w:tcPr>
          <w:p w14:paraId="7BAE7CE8" w14:textId="77777777" w:rsidR="002154C6" w:rsidRPr="007A4113" w:rsidRDefault="002154C6" w:rsidP="00BD37EA">
            <w:pPr>
              <w:pStyle w:val="Tablesmalltext"/>
            </w:pPr>
            <w:r w:rsidRPr="007A4113">
              <w:t>Land</w:t>
            </w:r>
          </w:p>
        </w:tc>
        <w:tc>
          <w:tcPr>
            <w:tcW w:w="894" w:type="pct"/>
          </w:tcPr>
          <w:p w14:paraId="6FFAD700" w14:textId="77777777" w:rsidR="002154C6" w:rsidRPr="007A4113" w:rsidRDefault="002154C6" w:rsidP="00BD37EA">
            <w:pPr>
              <w:pStyle w:val="Tablesmalltext"/>
            </w:pPr>
            <w:r w:rsidRPr="007A4113">
              <w:t>Townships/Settlements</w:t>
            </w:r>
          </w:p>
        </w:tc>
        <w:tc>
          <w:tcPr>
            <w:tcW w:w="840" w:type="pct"/>
          </w:tcPr>
          <w:p w14:paraId="05170B9F" w14:textId="77777777" w:rsidR="002154C6" w:rsidRPr="007A4113" w:rsidRDefault="002154C6" w:rsidP="00BD37EA">
            <w:pPr>
              <w:pStyle w:val="Tablesmalltext"/>
            </w:pPr>
            <w:r w:rsidRPr="007A4113">
              <w:t>Horizontal and vertical strain and earthquake loading</w:t>
            </w:r>
          </w:p>
        </w:tc>
        <w:tc>
          <w:tcPr>
            <w:tcW w:w="841" w:type="pct"/>
          </w:tcPr>
          <w:p w14:paraId="60258689" w14:textId="7D90BFDF" w:rsidR="002154C6" w:rsidRPr="007A4113" w:rsidRDefault="002154C6" w:rsidP="00BD37EA">
            <w:pPr>
              <w:pStyle w:val="Tablesmalltext"/>
            </w:pPr>
            <w:r w:rsidRPr="007A4113">
              <w:t xml:space="preserve">Dependant on structure type. See damage criteria for buildings and structure Tables </w:t>
            </w:r>
            <w:r w:rsidR="00864149">
              <w:t>5</w:t>
            </w:r>
            <w:r w:rsidRPr="007A4113">
              <w:t xml:space="preserve">.7 and </w:t>
            </w:r>
            <w:r w:rsidR="00864149">
              <w:t>5</w:t>
            </w:r>
            <w:r w:rsidRPr="007A4113">
              <w:t>.8.</w:t>
            </w:r>
            <w:r w:rsidR="00702F59">
              <w:t xml:space="preserve"> Recommended earthquake severity VI.</w:t>
            </w:r>
          </w:p>
        </w:tc>
        <w:tc>
          <w:tcPr>
            <w:tcW w:w="735" w:type="pct"/>
          </w:tcPr>
          <w:p w14:paraId="1AA72351" w14:textId="77777777" w:rsidR="002154C6" w:rsidRPr="007A4113" w:rsidRDefault="002154C6" w:rsidP="00BD37EA">
            <w:pPr>
              <w:pStyle w:val="Tablesmalltext"/>
            </w:pPr>
            <w:r w:rsidRPr="007A4113">
              <w:t>Infrastructure thresholds are a guideline due to unknown construction and age of heritage buildings and structures, i.e. these may not conform to current Australian building standards.</w:t>
            </w:r>
          </w:p>
        </w:tc>
        <w:tc>
          <w:tcPr>
            <w:tcW w:w="1060" w:type="pct"/>
          </w:tcPr>
          <w:p w14:paraId="1902A355" w14:textId="60CC56B3" w:rsidR="002154C6" w:rsidRPr="007A4113" w:rsidRDefault="002154C6" w:rsidP="00BD37EA">
            <w:pPr>
              <w:pStyle w:val="Tablesmalltext"/>
            </w:pPr>
            <w:r w:rsidRPr="007A4113">
              <w:t xml:space="preserve">Earth Resources </w:t>
            </w:r>
            <w:r w:rsidR="006A4852">
              <w:t xml:space="preserve">Regulation </w:t>
            </w:r>
            <w:r w:rsidRPr="007A4113">
              <w:t>(2015) Guidance Material for the Assessment of Geotechnical Risks in Open Pit Mines and Quarries</w:t>
            </w:r>
          </w:p>
          <w:p w14:paraId="1540C39B" w14:textId="77777777" w:rsidR="002154C6" w:rsidRPr="007A4113" w:rsidRDefault="002154C6" w:rsidP="00BD37EA">
            <w:pPr>
              <w:pStyle w:val="Tablesmalltext"/>
            </w:pPr>
            <w:r w:rsidRPr="007A4113">
              <w:t>Singh, M (1986) Mining Engineering Handbook. Chapter 3 Mine subsidence, Society for Mining, Metallurgy and Exploration</w:t>
            </w:r>
          </w:p>
        </w:tc>
      </w:tr>
      <w:tr w:rsidR="002154C6" w14:paraId="2F10B3A6" w14:textId="77777777" w:rsidTr="00223C9C">
        <w:tc>
          <w:tcPr>
            <w:tcW w:w="630" w:type="pct"/>
          </w:tcPr>
          <w:p w14:paraId="4ABD131A" w14:textId="77777777" w:rsidR="002154C6" w:rsidRPr="007A4113" w:rsidRDefault="002154C6" w:rsidP="00BD37EA">
            <w:pPr>
              <w:pStyle w:val="Tablesmalltext"/>
            </w:pPr>
            <w:r w:rsidRPr="007A4113">
              <w:t>Water</w:t>
            </w:r>
          </w:p>
        </w:tc>
        <w:tc>
          <w:tcPr>
            <w:tcW w:w="894" w:type="pct"/>
          </w:tcPr>
          <w:p w14:paraId="5292B4F8" w14:textId="77777777" w:rsidR="002154C6" w:rsidRPr="007A4113" w:rsidRDefault="002154C6" w:rsidP="00BD37EA">
            <w:pPr>
              <w:pStyle w:val="Tablesmalltext"/>
            </w:pPr>
            <w:r w:rsidRPr="007A4113">
              <w:t xml:space="preserve">Dams, artificial lakes, and reservoirs </w:t>
            </w:r>
            <w:r>
              <w:t>where ground movement may affect the associated impoundment structures or other infrastructure</w:t>
            </w:r>
          </w:p>
        </w:tc>
        <w:tc>
          <w:tcPr>
            <w:tcW w:w="840" w:type="pct"/>
          </w:tcPr>
          <w:p w14:paraId="613576D8" w14:textId="77777777" w:rsidR="002154C6" w:rsidRPr="007A4113" w:rsidRDefault="002154C6" w:rsidP="00BD37EA">
            <w:pPr>
              <w:pStyle w:val="Tablesmalltext"/>
            </w:pPr>
            <w:r w:rsidRPr="007A4113">
              <w:t>Horizontal and vertical strain and earthquake loading</w:t>
            </w:r>
            <w:r>
              <w:t>, strain resulting from subsidence/rebound</w:t>
            </w:r>
          </w:p>
        </w:tc>
        <w:tc>
          <w:tcPr>
            <w:tcW w:w="841" w:type="pct"/>
          </w:tcPr>
          <w:p w14:paraId="5B1D13C2" w14:textId="77777777" w:rsidR="002154C6" w:rsidRPr="007A4113" w:rsidRDefault="002154C6" w:rsidP="00BD37EA">
            <w:pPr>
              <w:pStyle w:val="Tablesmalltext"/>
            </w:pPr>
            <w:r w:rsidRPr="007A4113">
              <w:t>Horizontal strain 1.0 x 10</w:t>
            </w:r>
            <w:r w:rsidRPr="007A4113">
              <w:rPr>
                <w:vertAlign w:val="superscript"/>
              </w:rPr>
              <w:t>-3</w:t>
            </w:r>
          </w:p>
        </w:tc>
        <w:tc>
          <w:tcPr>
            <w:tcW w:w="735" w:type="pct"/>
          </w:tcPr>
          <w:p w14:paraId="058BEAC6" w14:textId="77777777" w:rsidR="002154C6" w:rsidRPr="007A4113" w:rsidRDefault="002154C6" w:rsidP="00BD37EA">
            <w:pPr>
              <w:pStyle w:val="Tablesmalltext"/>
            </w:pPr>
            <w:r w:rsidRPr="007A4113">
              <w:t>Limited data available for these surface structures</w:t>
            </w:r>
          </w:p>
        </w:tc>
        <w:tc>
          <w:tcPr>
            <w:tcW w:w="1060" w:type="pct"/>
          </w:tcPr>
          <w:p w14:paraId="63BA539E" w14:textId="77777777" w:rsidR="002154C6" w:rsidRPr="007A4113" w:rsidRDefault="002154C6" w:rsidP="00BD37EA">
            <w:pPr>
              <w:pStyle w:val="Tablesmalltext"/>
            </w:pPr>
            <w:r w:rsidRPr="007A4113">
              <w:t>Nishida, T and Goto, K (1969) Damage to Irrigation Pond Due to Mining Subsidence. Proceedings International Symposium on Land Subsidence, ATHS Pub 89, Japan pp.496-501</w:t>
            </w:r>
          </w:p>
          <w:p w14:paraId="7E26BC3F" w14:textId="77777777" w:rsidR="002154C6" w:rsidRPr="007A4113" w:rsidRDefault="002154C6" w:rsidP="00BD37EA">
            <w:pPr>
              <w:pStyle w:val="Tablesmalltext"/>
            </w:pPr>
            <w:r w:rsidRPr="007A4113">
              <w:t>Lackington, D.W and Robinson, B. (1973) Articulated Service Reservoirs in Mining Subsidence Areas. Journal of the Institution of Water Engineers, Vol 27 pp. 197-215</w:t>
            </w:r>
          </w:p>
        </w:tc>
      </w:tr>
      <w:tr w:rsidR="002154C6" w14:paraId="24876D23" w14:textId="77777777" w:rsidTr="00223C9C">
        <w:tc>
          <w:tcPr>
            <w:tcW w:w="630" w:type="pct"/>
          </w:tcPr>
          <w:p w14:paraId="2EC8BD66" w14:textId="77777777" w:rsidR="002154C6" w:rsidRPr="007A4113" w:rsidRDefault="002154C6" w:rsidP="00BD37EA">
            <w:pPr>
              <w:pStyle w:val="Tablesmalltext"/>
            </w:pPr>
          </w:p>
        </w:tc>
        <w:tc>
          <w:tcPr>
            <w:tcW w:w="894" w:type="pct"/>
          </w:tcPr>
          <w:p w14:paraId="6616C094" w14:textId="77777777" w:rsidR="002154C6" w:rsidRPr="007A4113" w:rsidRDefault="002154C6" w:rsidP="00BD37EA">
            <w:pPr>
              <w:pStyle w:val="Tablesmalltext"/>
            </w:pPr>
            <w:r w:rsidRPr="007A4113">
              <w:t xml:space="preserve">Drains </w:t>
            </w:r>
          </w:p>
        </w:tc>
        <w:tc>
          <w:tcPr>
            <w:tcW w:w="840" w:type="pct"/>
          </w:tcPr>
          <w:p w14:paraId="11E6D565" w14:textId="77777777" w:rsidR="002154C6" w:rsidRPr="007A4113" w:rsidRDefault="002154C6" w:rsidP="00BD37EA">
            <w:pPr>
              <w:pStyle w:val="Tablesmalltext"/>
            </w:pPr>
            <w:r w:rsidRPr="007A4113">
              <w:t>Horizontal and vertical strain and earthquake loading</w:t>
            </w:r>
          </w:p>
        </w:tc>
        <w:tc>
          <w:tcPr>
            <w:tcW w:w="841" w:type="pct"/>
          </w:tcPr>
          <w:p w14:paraId="5F953F2F" w14:textId="77777777" w:rsidR="002154C6" w:rsidRPr="007A4113" w:rsidRDefault="002154C6" w:rsidP="00BD37EA">
            <w:pPr>
              <w:pStyle w:val="Tablesmalltext"/>
            </w:pPr>
            <w:r w:rsidRPr="007A4113">
              <w:t>Horizontal strain 1.0 x 10</w:t>
            </w:r>
            <w:r w:rsidRPr="007A4113">
              <w:rPr>
                <w:vertAlign w:val="superscript"/>
              </w:rPr>
              <w:t>-3</w:t>
            </w:r>
          </w:p>
        </w:tc>
        <w:tc>
          <w:tcPr>
            <w:tcW w:w="735" w:type="pct"/>
          </w:tcPr>
          <w:p w14:paraId="7BA5D074" w14:textId="77777777" w:rsidR="002154C6" w:rsidRPr="007A4113" w:rsidRDefault="002154C6" w:rsidP="00BD37EA">
            <w:pPr>
              <w:pStyle w:val="Tablesmalltext"/>
            </w:pPr>
            <w:r w:rsidRPr="007A4113">
              <w:t>Limited data available for surface open drain structures</w:t>
            </w:r>
          </w:p>
        </w:tc>
        <w:tc>
          <w:tcPr>
            <w:tcW w:w="1060" w:type="pct"/>
          </w:tcPr>
          <w:p w14:paraId="233ADEF0" w14:textId="77777777" w:rsidR="002154C6" w:rsidRPr="007A4113" w:rsidRDefault="002154C6" w:rsidP="00BD37EA">
            <w:pPr>
              <w:pStyle w:val="Tablesmalltext"/>
            </w:pPr>
            <w:r w:rsidRPr="007A4113">
              <w:t>Singh, M (1986) Mining Engineering Handbook. Chapter 3 Mine subsidence, Society for Mining, Metallurgy and Exploration</w:t>
            </w:r>
          </w:p>
        </w:tc>
      </w:tr>
    </w:tbl>
    <w:p w14:paraId="7A72AA48" w14:textId="77777777" w:rsidR="002154C6" w:rsidRDefault="002154C6" w:rsidP="002154C6">
      <w:pPr>
        <w:pStyle w:val="Para0"/>
      </w:pPr>
    </w:p>
    <w:p w14:paraId="0DC4199C" w14:textId="77777777" w:rsidR="0073488A" w:rsidRDefault="0073488A" w:rsidP="00E17764">
      <w:pPr>
        <w:pStyle w:val="Caption"/>
        <w:sectPr w:rsidR="0073488A" w:rsidSect="0073488A">
          <w:pgSz w:w="16838" w:h="11906" w:orient="landscape" w:code="9"/>
          <w:pgMar w:top="1418" w:right="1985" w:bottom="1134" w:left="1418" w:header="709" w:footer="709" w:gutter="0"/>
          <w:cols w:space="720"/>
        </w:sectPr>
      </w:pPr>
    </w:p>
    <w:p w14:paraId="2660AA2D" w14:textId="71CCC354" w:rsidR="0023226C" w:rsidRDefault="0061134C" w:rsidP="0061134C">
      <w:pPr>
        <w:pStyle w:val="Heading9"/>
      </w:pPr>
      <w:bookmarkStart w:id="190" w:name="_Ref515959922"/>
      <w:bookmarkStart w:id="191" w:name="_Toc57899340"/>
      <w:bookmarkStart w:id="192" w:name="_Ref499126037"/>
      <w:bookmarkEnd w:id="60"/>
      <w:bookmarkEnd w:id="61"/>
      <w:bookmarkEnd w:id="62"/>
      <w:bookmarkEnd w:id="63"/>
      <w:r>
        <w:t xml:space="preserve">Literature </w:t>
      </w:r>
      <w:r w:rsidR="0038105B">
        <w:t>r</w:t>
      </w:r>
      <w:r>
        <w:t>eview</w:t>
      </w:r>
      <w:r w:rsidR="0038105B">
        <w:t>ed and referenced</w:t>
      </w:r>
      <w:r>
        <w:t xml:space="preserve"> - Technical Papers/Reports/Letters</w:t>
      </w:r>
      <w:bookmarkEnd w:id="190"/>
      <w:bookmarkEnd w:id="191"/>
    </w:p>
    <w:p w14:paraId="576E525E" w14:textId="6B609E7C" w:rsidR="0038105B" w:rsidRDefault="0038105B" w:rsidP="0038105B">
      <w:pPr>
        <w:pStyle w:val="Para0"/>
      </w:pPr>
      <w:r>
        <w:t xml:space="preserve">The following provides a list of the literature that was reviewed and assessed for the purposes </w:t>
      </w:r>
      <w:r w:rsidR="00964056">
        <w:t>of</w:t>
      </w:r>
      <w:r>
        <w:t xml:space="preserve"> recommending metrics and thresholds. </w:t>
      </w:r>
      <w:r w:rsidR="00964056">
        <w:t xml:space="preserve"> </w:t>
      </w:r>
      <w:r>
        <w:t xml:space="preserve">Not all the literature cited here have been </w:t>
      </w:r>
      <w:r w:rsidR="002273EB">
        <w:t>referenced in the text.</w:t>
      </w:r>
      <w:r w:rsidR="00C23C48">
        <w:t xml:space="preserve"> </w:t>
      </w:r>
      <w:r w:rsidR="002273EB">
        <w:t xml:space="preserve"> This list was prepared as the request of reviewers who asked to see the breadth of material that was considered.</w:t>
      </w:r>
    </w:p>
    <w:bookmarkEnd w:id="192"/>
    <w:p w14:paraId="18E8C56B" w14:textId="77777777" w:rsidR="00402EEB" w:rsidRPr="00402EEB" w:rsidRDefault="00402EEB" w:rsidP="00402EEB">
      <w:pPr>
        <w:pStyle w:val="Bibliography"/>
        <w:ind w:left="720" w:hanging="720"/>
        <w:rPr>
          <w:noProof/>
          <w:sz w:val="20"/>
        </w:rPr>
      </w:pPr>
      <w:r w:rsidRPr="00402EEB">
        <w:rPr>
          <w:noProof/>
          <w:sz w:val="20"/>
        </w:rPr>
        <w:t>Aggarwal, A. K. (2001). Seismic Provisions of Papua New Guinea Code of Practice. Australian Earthquake Engineering Society (pp. 1-538). Canberra: AEES.</w:t>
      </w:r>
    </w:p>
    <w:p w14:paraId="34EA6134" w14:textId="77777777" w:rsidR="00402EEB" w:rsidRPr="00402EEB" w:rsidRDefault="00402EEB" w:rsidP="00402EEB">
      <w:pPr>
        <w:pStyle w:val="Bibliography"/>
        <w:ind w:left="720" w:hanging="720"/>
        <w:rPr>
          <w:noProof/>
          <w:sz w:val="20"/>
        </w:rPr>
      </w:pPr>
      <w:r w:rsidRPr="00402EEB">
        <w:rPr>
          <w:noProof/>
          <w:sz w:val="20"/>
        </w:rPr>
        <w:t>Allen, T. (2001). Implementation of Routine Processing Technique for Source Parameter Determination of Australian Earthquakes. Australian Earthquake Engineering Society (pp. 1-538). Canberra: AEES.</w:t>
      </w:r>
    </w:p>
    <w:p w14:paraId="1E9FDEBC" w14:textId="77777777" w:rsidR="00402EEB" w:rsidRPr="00402EEB" w:rsidRDefault="00402EEB" w:rsidP="00402EEB">
      <w:pPr>
        <w:pStyle w:val="Bibliography"/>
        <w:ind w:left="720" w:hanging="720"/>
        <w:rPr>
          <w:noProof/>
          <w:sz w:val="20"/>
        </w:rPr>
      </w:pPr>
      <w:r w:rsidRPr="00402EEB">
        <w:rPr>
          <w:noProof/>
          <w:sz w:val="20"/>
        </w:rPr>
        <w:t>Allen, T., Gibson, G., &amp; Hill, C. (200). The Thomson Reservoir-Triggered Earthquakes. 2000 Conference of the Australian Earthquake Engineering Society (pp. 1-7). AEES.</w:t>
      </w:r>
    </w:p>
    <w:p w14:paraId="763099C7" w14:textId="77777777" w:rsidR="00402EEB" w:rsidRPr="00402EEB" w:rsidRDefault="00402EEB" w:rsidP="00402EEB">
      <w:pPr>
        <w:pStyle w:val="Bibliography"/>
        <w:ind w:left="720" w:hanging="720"/>
        <w:rPr>
          <w:noProof/>
          <w:sz w:val="20"/>
        </w:rPr>
      </w:pPr>
      <w:r w:rsidRPr="00402EEB">
        <w:rPr>
          <w:noProof/>
          <w:sz w:val="20"/>
        </w:rPr>
        <w:t>ANCOLD (1998) Guidelines for Design of Dams for Earthquake. Australian National Committee on Large Dams, August 1998</w:t>
      </w:r>
    </w:p>
    <w:p w14:paraId="41884C12" w14:textId="77777777" w:rsidR="00402EEB" w:rsidRPr="00402EEB" w:rsidRDefault="00402EEB" w:rsidP="00402EEB">
      <w:pPr>
        <w:pStyle w:val="Bibliography"/>
        <w:ind w:left="720" w:hanging="720"/>
        <w:rPr>
          <w:noProof/>
          <w:sz w:val="20"/>
        </w:rPr>
      </w:pPr>
      <w:r w:rsidRPr="00402EEB">
        <w:rPr>
          <w:noProof/>
          <w:sz w:val="20"/>
        </w:rPr>
        <w:t>ANCOLD (2012) Guidelines on Tailings Dams. Planning, Design, Construction, Operation and Closure. Australian National Committee on Large Dams Incorporated, May 2012.</w:t>
      </w:r>
    </w:p>
    <w:p w14:paraId="24DB3438" w14:textId="77777777" w:rsidR="00402EEB" w:rsidRPr="00402EEB" w:rsidRDefault="00402EEB" w:rsidP="00402EEB">
      <w:pPr>
        <w:pStyle w:val="Bibliography"/>
        <w:ind w:left="720" w:hanging="720"/>
        <w:rPr>
          <w:noProof/>
          <w:sz w:val="20"/>
        </w:rPr>
      </w:pPr>
      <w:r w:rsidRPr="00402EEB">
        <w:rPr>
          <w:noProof/>
          <w:sz w:val="20"/>
        </w:rPr>
        <w:t>ANCOLD. (2017). ANCOLD Guidelines for Design of Dams and Appurtenant Structures for Earthquake. ANCOLD.</w:t>
      </w:r>
    </w:p>
    <w:p w14:paraId="086F0E7B" w14:textId="77777777" w:rsidR="00402EEB" w:rsidRPr="00402EEB" w:rsidRDefault="00402EEB" w:rsidP="00402EEB">
      <w:pPr>
        <w:pStyle w:val="Bibliography"/>
        <w:ind w:left="720" w:hanging="720"/>
        <w:rPr>
          <w:noProof/>
          <w:sz w:val="20"/>
        </w:rPr>
      </w:pPr>
      <w:r w:rsidRPr="00402EEB">
        <w:rPr>
          <w:noProof/>
          <w:sz w:val="20"/>
        </w:rPr>
        <w:t>Anon. (1975) Subsidence Engineers’ Handbook, National Coal Board, Mining Department, London, 111 pp.</w:t>
      </w:r>
    </w:p>
    <w:p w14:paraId="278B38C3" w14:textId="77777777" w:rsidR="00402EEB" w:rsidRPr="00402EEB" w:rsidRDefault="00402EEB" w:rsidP="00402EEB">
      <w:pPr>
        <w:pStyle w:val="Bibliography"/>
        <w:ind w:left="720" w:hanging="720"/>
        <w:rPr>
          <w:noProof/>
          <w:sz w:val="20"/>
        </w:rPr>
      </w:pPr>
      <w:r w:rsidRPr="00402EEB">
        <w:rPr>
          <w:noProof/>
          <w:sz w:val="20"/>
        </w:rPr>
        <w:t>APIA Pipeline Corridor Committee. (2014). Guidelines for investigations of land use around pipelines to guide initial location classification under AS 2885. Australian Pipeline Industry Association.</w:t>
      </w:r>
    </w:p>
    <w:p w14:paraId="230D4D89" w14:textId="77777777" w:rsidR="00402EEB" w:rsidRPr="00402EEB" w:rsidRDefault="00402EEB" w:rsidP="00402EEB">
      <w:pPr>
        <w:pStyle w:val="Bibliography"/>
        <w:ind w:left="720" w:hanging="720"/>
        <w:rPr>
          <w:noProof/>
          <w:sz w:val="20"/>
        </w:rPr>
      </w:pPr>
      <w:r w:rsidRPr="00402EEB">
        <w:rPr>
          <w:noProof/>
          <w:sz w:val="20"/>
        </w:rPr>
        <w:t>Asten, M. W. (2001). The Spatial Auto-Correlation Method for Phase Velocity . Australian Earthquake Engineering Society (pp. 1-538). Canberra: AEES.</w:t>
      </w:r>
    </w:p>
    <w:p w14:paraId="50643931" w14:textId="77777777" w:rsidR="00402EEB" w:rsidRPr="00402EEB" w:rsidRDefault="00402EEB" w:rsidP="00402EEB">
      <w:pPr>
        <w:pStyle w:val="Bibliography"/>
        <w:ind w:left="720" w:hanging="720"/>
        <w:rPr>
          <w:noProof/>
          <w:sz w:val="20"/>
        </w:rPr>
      </w:pPr>
      <w:r w:rsidRPr="00402EEB">
        <w:rPr>
          <w:noProof/>
          <w:sz w:val="20"/>
        </w:rPr>
        <w:t>Australian Geomechanics Society, 2000. Landslide Risk Management Concepts and Guidelines. Australian Geomechanics Society, Sub-Committee on Landslide Risk Management, Australian Geomechanics, 35, 49-92</w:t>
      </w:r>
    </w:p>
    <w:p w14:paraId="2FF2DE06" w14:textId="77777777" w:rsidR="00402EEB" w:rsidRPr="00402EEB" w:rsidRDefault="00402EEB" w:rsidP="00402EEB">
      <w:pPr>
        <w:pStyle w:val="Bibliography"/>
        <w:ind w:left="720" w:hanging="720"/>
        <w:rPr>
          <w:noProof/>
          <w:sz w:val="20"/>
        </w:rPr>
      </w:pPr>
      <w:r w:rsidRPr="00402EEB">
        <w:rPr>
          <w:noProof/>
          <w:sz w:val="20"/>
        </w:rPr>
        <w:t>Australian Standard®. (1998). Steel structures. In AS 4100—1998 (Incorporating Amendment No. 1) Reconfirmed 2016. Sydney: SAI Global Limited .</w:t>
      </w:r>
    </w:p>
    <w:p w14:paraId="133C6220" w14:textId="77777777" w:rsidR="00402EEB" w:rsidRPr="00402EEB" w:rsidRDefault="00402EEB" w:rsidP="00402EEB">
      <w:pPr>
        <w:pStyle w:val="Bibliography"/>
        <w:ind w:left="720" w:hanging="720"/>
        <w:rPr>
          <w:noProof/>
          <w:sz w:val="20"/>
        </w:rPr>
      </w:pPr>
      <w:r w:rsidRPr="00402EEB">
        <w:rPr>
          <w:noProof/>
          <w:sz w:val="20"/>
        </w:rPr>
        <w:t>Australian Standard®. (2006). Railway safety management Part 2: Track, civil and electrical infrastructure. In AS 4292.2—2006. Sydney: Standards Australia.</w:t>
      </w:r>
    </w:p>
    <w:p w14:paraId="0E8D2637" w14:textId="77777777" w:rsidR="00402EEB" w:rsidRPr="00402EEB" w:rsidRDefault="00402EEB" w:rsidP="00402EEB">
      <w:pPr>
        <w:pStyle w:val="Bibliography"/>
        <w:ind w:left="720" w:hanging="720"/>
        <w:rPr>
          <w:noProof/>
          <w:sz w:val="20"/>
        </w:rPr>
      </w:pPr>
      <w:r w:rsidRPr="00402EEB">
        <w:rPr>
          <w:noProof/>
          <w:sz w:val="20"/>
        </w:rPr>
        <w:t>Australian Standard®. (2006). Railway safety management Part 3: Rolling stock. In AS 4292.3—2006. Sydney: Standards Australia.</w:t>
      </w:r>
    </w:p>
    <w:p w14:paraId="57FFD57C" w14:textId="77777777" w:rsidR="00402EEB" w:rsidRPr="00402EEB" w:rsidRDefault="00402EEB" w:rsidP="00402EEB">
      <w:pPr>
        <w:pStyle w:val="Bibliography"/>
        <w:ind w:left="720" w:hanging="720"/>
        <w:rPr>
          <w:noProof/>
          <w:sz w:val="20"/>
        </w:rPr>
      </w:pPr>
      <w:r w:rsidRPr="00402EEB">
        <w:rPr>
          <w:noProof/>
          <w:sz w:val="20"/>
        </w:rPr>
        <w:t>Australian Standard®. (2006). Railway safety management Part 4: Signaling and telecommunications systems and equipment. In AS 4292.4—2006. Sydney: Standards Australia.</w:t>
      </w:r>
    </w:p>
    <w:p w14:paraId="0CADD728" w14:textId="77777777" w:rsidR="00402EEB" w:rsidRPr="00402EEB" w:rsidRDefault="00402EEB" w:rsidP="00402EEB">
      <w:pPr>
        <w:pStyle w:val="Bibliography"/>
        <w:ind w:left="720" w:hanging="720"/>
        <w:rPr>
          <w:noProof/>
          <w:sz w:val="20"/>
        </w:rPr>
      </w:pPr>
      <w:r w:rsidRPr="00402EEB">
        <w:rPr>
          <w:noProof/>
          <w:sz w:val="20"/>
        </w:rPr>
        <w:t>Australian Standard®. (2006). Railway safety management Part 5: Operational systems. In AS 4292.5—2006. Sydney: Standards Australia.</w:t>
      </w:r>
    </w:p>
    <w:p w14:paraId="0423DC99" w14:textId="77777777" w:rsidR="00402EEB" w:rsidRPr="00402EEB" w:rsidRDefault="00402EEB" w:rsidP="00402EEB">
      <w:pPr>
        <w:pStyle w:val="Bibliography"/>
        <w:ind w:left="720" w:hanging="720"/>
        <w:rPr>
          <w:noProof/>
          <w:sz w:val="20"/>
        </w:rPr>
      </w:pPr>
      <w:r w:rsidRPr="00402EEB">
        <w:rPr>
          <w:noProof/>
          <w:sz w:val="20"/>
        </w:rPr>
        <w:t>Australian Standard®. (2012). Pipelines—Gas and liquid petroleum Part 3: Operation and maintenance. In AS 2885.3—2012. Sydney: Australian Standard.</w:t>
      </w:r>
    </w:p>
    <w:p w14:paraId="6ED27C7F" w14:textId="77777777" w:rsidR="00402EEB" w:rsidRPr="00402EEB" w:rsidRDefault="00402EEB" w:rsidP="00402EEB">
      <w:pPr>
        <w:pStyle w:val="Bibliography"/>
        <w:ind w:left="720" w:hanging="720"/>
        <w:rPr>
          <w:noProof/>
          <w:sz w:val="20"/>
        </w:rPr>
      </w:pPr>
      <w:r w:rsidRPr="00402EEB">
        <w:rPr>
          <w:noProof/>
          <w:sz w:val="20"/>
        </w:rPr>
        <w:t>Australian Standard®. (2012). Structural design actions Part 4: Earthquake actions in Australia. In AS 1170.4—2007 (Incorporating Amendment No. 1). Sydney: SAI Global Limited &amp; Standards New Zealand.</w:t>
      </w:r>
    </w:p>
    <w:p w14:paraId="1BFF06B4" w14:textId="77777777" w:rsidR="00402EEB" w:rsidRPr="00402EEB" w:rsidRDefault="00402EEB" w:rsidP="00402EEB">
      <w:pPr>
        <w:pStyle w:val="Bibliography"/>
        <w:ind w:left="720" w:hanging="720"/>
        <w:rPr>
          <w:noProof/>
          <w:sz w:val="20"/>
        </w:rPr>
      </w:pPr>
      <w:r w:rsidRPr="00402EEB">
        <w:rPr>
          <w:noProof/>
          <w:sz w:val="20"/>
        </w:rPr>
        <w:t>Australian Standard®. (2013). Bitumen for pavements. In AS 2008—2013. Sydney: SAI Global Limited.</w:t>
      </w:r>
    </w:p>
    <w:p w14:paraId="21B0F6E4" w14:textId="77777777" w:rsidR="00402EEB" w:rsidRPr="00402EEB" w:rsidRDefault="00402EEB" w:rsidP="00402EEB">
      <w:pPr>
        <w:pStyle w:val="Bibliography"/>
        <w:ind w:left="720" w:hanging="720"/>
        <w:rPr>
          <w:noProof/>
          <w:sz w:val="20"/>
        </w:rPr>
      </w:pPr>
      <w:r w:rsidRPr="00402EEB">
        <w:rPr>
          <w:noProof/>
          <w:sz w:val="20"/>
        </w:rPr>
        <w:t>Australian Standard™. (1996). Residential Slabs and footings - Construction. In AS 2870—1996. Sydney: Standards Australia International Ltd.</w:t>
      </w:r>
    </w:p>
    <w:p w14:paraId="1CFC57F4" w14:textId="77777777" w:rsidR="00402EEB" w:rsidRPr="00402EEB" w:rsidRDefault="00402EEB" w:rsidP="00402EEB">
      <w:pPr>
        <w:pStyle w:val="Bibliography"/>
        <w:ind w:left="720" w:hanging="720"/>
        <w:rPr>
          <w:noProof/>
          <w:sz w:val="20"/>
        </w:rPr>
      </w:pPr>
      <w:r w:rsidRPr="00402EEB">
        <w:rPr>
          <w:noProof/>
          <w:sz w:val="20"/>
        </w:rPr>
        <w:t>Australian Standard™. (2006). Railway safety management Part 1: General requirements. In AS 4292.1—2006. Sydney: Standards Australia.</w:t>
      </w:r>
    </w:p>
    <w:p w14:paraId="17C6FE4A" w14:textId="77777777" w:rsidR="00402EEB" w:rsidRPr="00402EEB" w:rsidRDefault="00402EEB" w:rsidP="00402EEB">
      <w:pPr>
        <w:pStyle w:val="Bibliography"/>
        <w:ind w:left="720" w:hanging="720"/>
        <w:rPr>
          <w:noProof/>
          <w:sz w:val="20"/>
        </w:rPr>
      </w:pPr>
      <w:r w:rsidRPr="00402EEB">
        <w:rPr>
          <w:noProof/>
          <w:sz w:val="20"/>
        </w:rPr>
        <w:t>Australian Standard™. (2006). Railway safety management Part 7: Railway safety investigation. In AS 4292.7—2006. Sydney: Standards Australia.</w:t>
      </w:r>
    </w:p>
    <w:p w14:paraId="48161DC5" w14:textId="77777777" w:rsidR="00402EEB" w:rsidRPr="00402EEB" w:rsidRDefault="00402EEB" w:rsidP="00402EEB">
      <w:pPr>
        <w:pStyle w:val="Bibliography"/>
        <w:ind w:left="720" w:hanging="720"/>
        <w:rPr>
          <w:noProof/>
          <w:sz w:val="20"/>
        </w:rPr>
      </w:pPr>
      <w:r w:rsidRPr="00402EEB">
        <w:rPr>
          <w:noProof/>
          <w:sz w:val="20"/>
        </w:rPr>
        <w:t>Australian/New Zealand Standard™. (2012). Pipelines—Gas and liquid petroleum Part 5: Field pressure testing. In AS/NZS 2885.5:2012. Sydney: SAI Global Limited and Standards New Zealand.</w:t>
      </w:r>
    </w:p>
    <w:p w14:paraId="1380F3F3" w14:textId="77777777" w:rsidR="00402EEB" w:rsidRPr="00402EEB" w:rsidRDefault="00402EEB" w:rsidP="00402EEB">
      <w:pPr>
        <w:pStyle w:val="Bibliography"/>
        <w:ind w:left="720" w:hanging="720"/>
        <w:rPr>
          <w:noProof/>
          <w:sz w:val="20"/>
        </w:rPr>
      </w:pPr>
      <w:r w:rsidRPr="00402EEB">
        <w:rPr>
          <w:noProof/>
          <w:sz w:val="20"/>
        </w:rPr>
        <w:t>Austroads (2012) Bridge Design Guidelines for Earthquakes. Published May 2012</w:t>
      </w:r>
    </w:p>
    <w:p w14:paraId="551B5B89" w14:textId="77777777" w:rsidR="00402EEB" w:rsidRPr="00402EEB" w:rsidRDefault="00402EEB" w:rsidP="00402EEB">
      <w:pPr>
        <w:pStyle w:val="Bibliography"/>
        <w:ind w:left="720" w:hanging="720"/>
        <w:rPr>
          <w:noProof/>
          <w:sz w:val="20"/>
        </w:rPr>
      </w:pPr>
      <w:r w:rsidRPr="00402EEB">
        <w:rPr>
          <w:noProof/>
          <w:sz w:val="20"/>
        </w:rPr>
        <w:t>Austroads. (2012). Bridge Design Guidelines for Earthquakes. Sydney: Austroads Ltd.</w:t>
      </w:r>
    </w:p>
    <w:p w14:paraId="159381B2" w14:textId="77777777" w:rsidR="00402EEB" w:rsidRPr="00402EEB" w:rsidRDefault="00402EEB" w:rsidP="00402EEB">
      <w:pPr>
        <w:pStyle w:val="Bibliography"/>
        <w:ind w:left="720" w:hanging="720"/>
        <w:rPr>
          <w:noProof/>
          <w:sz w:val="20"/>
        </w:rPr>
      </w:pPr>
      <w:r w:rsidRPr="00402EEB">
        <w:rPr>
          <w:noProof/>
          <w:sz w:val="20"/>
        </w:rPr>
        <w:t>Baoqi, C., &amp; Renfa, C. (1990). The Srinakarin Reservoir Earthquake, Thailand. Journal of Southeast Asian Earth Sciences, Vol 4, 49-54.</w:t>
      </w:r>
    </w:p>
    <w:p w14:paraId="56E344DB" w14:textId="77777777" w:rsidR="00402EEB" w:rsidRPr="00402EEB" w:rsidRDefault="00402EEB" w:rsidP="00402EEB">
      <w:pPr>
        <w:pStyle w:val="Bibliography"/>
        <w:ind w:left="720" w:hanging="720"/>
        <w:rPr>
          <w:noProof/>
          <w:sz w:val="20"/>
        </w:rPr>
      </w:pPr>
      <w:r w:rsidRPr="00402EEB">
        <w:rPr>
          <w:noProof/>
          <w:sz w:val="20"/>
        </w:rPr>
        <w:t>Barton, C. M. (1981). Regional stress and Structure in relation to brown coal open cuts of the Latrobe Valley. Journal of the Geological Society of Australia, 333-339.</w:t>
      </w:r>
    </w:p>
    <w:p w14:paraId="67D5726D" w14:textId="77777777" w:rsidR="00402EEB" w:rsidRPr="00402EEB" w:rsidRDefault="00402EEB" w:rsidP="00402EEB">
      <w:pPr>
        <w:pStyle w:val="Bibliography"/>
        <w:ind w:left="720" w:hanging="720"/>
        <w:rPr>
          <w:noProof/>
          <w:sz w:val="20"/>
        </w:rPr>
      </w:pPr>
      <w:r w:rsidRPr="00402EEB">
        <w:rPr>
          <w:noProof/>
          <w:sz w:val="20"/>
        </w:rPr>
        <w:t>Barton, C. M. (1981). Regional stress and structure in relation to brown coal open cuts of the Latrobe Valley, Victoria. Journal Geological Society Australia, 28, pp 333 – 339.</w:t>
      </w:r>
    </w:p>
    <w:p w14:paraId="0293BCE2" w14:textId="77777777" w:rsidR="00402EEB" w:rsidRPr="00402EEB" w:rsidRDefault="00402EEB" w:rsidP="00402EEB">
      <w:pPr>
        <w:pStyle w:val="Bibliography"/>
        <w:ind w:left="720" w:hanging="720"/>
        <w:rPr>
          <w:noProof/>
          <w:sz w:val="20"/>
        </w:rPr>
      </w:pPr>
      <w:r w:rsidRPr="00402EEB">
        <w:rPr>
          <w:noProof/>
          <w:sz w:val="20"/>
        </w:rPr>
        <w:t>Bell, F. G., Cripps, J. C., Culshaw, M. G., &amp; Lovell, m. A. (1988). A review of ground movements due to civil and mining engineering operations. Geological Society, Engineering Geology Special Publications, 3-31.</w:t>
      </w:r>
    </w:p>
    <w:p w14:paraId="78C1D22F" w14:textId="77777777" w:rsidR="00402EEB" w:rsidRPr="00402EEB" w:rsidRDefault="00402EEB" w:rsidP="00402EEB">
      <w:pPr>
        <w:pStyle w:val="Bibliography"/>
        <w:ind w:left="720" w:hanging="720"/>
        <w:rPr>
          <w:noProof/>
          <w:sz w:val="20"/>
        </w:rPr>
      </w:pPr>
      <w:r w:rsidRPr="00402EEB">
        <w:rPr>
          <w:noProof/>
          <w:sz w:val="20"/>
        </w:rPr>
        <w:t>Bommer, J. J., Crowley, H., &amp; Pinho, R. (2015). A risk-mitigation approach to the management of induced. Seismology Vol. 19, 623–646.</w:t>
      </w:r>
    </w:p>
    <w:p w14:paraId="3EA95C19" w14:textId="77777777" w:rsidR="00402EEB" w:rsidRPr="00402EEB" w:rsidRDefault="00402EEB" w:rsidP="00402EEB">
      <w:pPr>
        <w:pStyle w:val="Bibliography"/>
        <w:ind w:left="720" w:hanging="720"/>
        <w:rPr>
          <w:noProof/>
          <w:sz w:val="20"/>
        </w:rPr>
      </w:pPr>
      <w:r w:rsidRPr="00402EEB">
        <w:rPr>
          <w:noProof/>
          <w:sz w:val="20"/>
        </w:rPr>
        <w:t>Bouwkamp, J.C., and Stephen, R.M., (1973) Large Diameter Pipe Under Combined Loading, Transportation Engineering Journal, ASCE, Vol. 99, No. TE3, Aug., pp. 521–536</w:t>
      </w:r>
    </w:p>
    <w:p w14:paraId="023F01C7" w14:textId="77777777" w:rsidR="00402EEB" w:rsidRPr="00402EEB" w:rsidRDefault="00402EEB" w:rsidP="00402EEB">
      <w:pPr>
        <w:pStyle w:val="Bibliography"/>
        <w:ind w:left="720" w:hanging="720"/>
        <w:rPr>
          <w:noProof/>
          <w:sz w:val="20"/>
        </w:rPr>
      </w:pPr>
      <w:r w:rsidRPr="00402EEB">
        <w:rPr>
          <w:noProof/>
          <w:sz w:val="20"/>
        </w:rPr>
        <w:t>Breitenbach, A. J., &amp; E, P. (n.d.). Backfilling Depleted Open Pit Mines with Lined Landfills, Tailings Impoundments, and Ore Heap Leach Pads for Reduced Closure Costs. GeoAmericas 2008. Cancun, Mexico: Vector Engineering Inc.</w:t>
      </w:r>
    </w:p>
    <w:p w14:paraId="4633E8D6" w14:textId="77777777" w:rsidR="00402EEB" w:rsidRPr="00402EEB" w:rsidRDefault="00402EEB" w:rsidP="00402EEB">
      <w:pPr>
        <w:pStyle w:val="Bibliography"/>
        <w:ind w:left="720" w:hanging="720"/>
        <w:rPr>
          <w:noProof/>
          <w:sz w:val="20"/>
        </w:rPr>
      </w:pPr>
      <w:r w:rsidRPr="00402EEB">
        <w:rPr>
          <w:noProof/>
          <w:sz w:val="20"/>
        </w:rPr>
        <w:t>Brown, A., Allen, T., &amp; Gibson, G. (2001). Seismicity and Earthquake Hazard in Gippsland, Victoria. Australian Earthquake Engineering Society (pp. 1-538). Canberra: AEES.</w:t>
      </w:r>
    </w:p>
    <w:p w14:paraId="507846C4" w14:textId="77777777" w:rsidR="00402EEB" w:rsidRPr="00402EEB" w:rsidRDefault="00402EEB" w:rsidP="00402EEB">
      <w:pPr>
        <w:pStyle w:val="Bibliography"/>
        <w:ind w:left="720" w:hanging="720"/>
        <w:rPr>
          <w:noProof/>
          <w:sz w:val="20"/>
        </w:rPr>
      </w:pPr>
      <w:r w:rsidRPr="00402EEB">
        <w:rPr>
          <w:noProof/>
          <w:sz w:val="20"/>
        </w:rPr>
        <w:t>Brown, A., Peck, W., Gibson, G., &amp; Landon-Jones, I. (2000). The 17 March 199 Appin ML 4.5 Earthquake. 2000 Conference of the Australian Earthquake Engineering Society. AEES.</w:t>
      </w:r>
    </w:p>
    <w:p w14:paraId="313FA2B3" w14:textId="77777777" w:rsidR="00402EEB" w:rsidRPr="00402EEB" w:rsidRDefault="00402EEB" w:rsidP="00402EEB">
      <w:pPr>
        <w:pStyle w:val="Bibliography"/>
        <w:ind w:left="720" w:hanging="720"/>
        <w:rPr>
          <w:noProof/>
          <w:sz w:val="20"/>
        </w:rPr>
      </w:pPr>
      <w:r w:rsidRPr="00402EEB">
        <w:rPr>
          <w:noProof/>
          <w:sz w:val="20"/>
        </w:rPr>
        <w:t>Bubb, C., Horoschun, G., Love, D., &amp; McCue, K. (200). Building to resist Earthquakes - Three Generations of Codes in Australia. 2000 Conference of the Australian Earthquake Engineering Society (pp. 1-5). AEES.</w:t>
      </w:r>
    </w:p>
    <w:p w14:paraId="71516A2B" w14:textId="77777777" w:rsidR="00402EEB" w:rsidRPr="00402EEB" w:rsidRDefault="00402EEB" w:rsidP="00402EEB">
      <w:pPr>
        <w:pStyle w:val="Bibliography"/>
        <w:ind w:left="720" w:hanging="720"/>
        <w:rPr>
          <w:noProof/>
          <w:sz w:val="20"/>
        </w:rPr>
      </w:pPr>
      <w:r w:rsidRPr="00402EEB">
        <w:rPr>
          <w:noProof/>
          <w:sz w:val="20"/>
        </w:rPr>
        <w:t>CEN (2004) Eurocode 2: Design of concrete structures, Part 1-1: General rules and rules for buildings. CEN, Brussels, EN 1992-1-1:2004.</w:t>
      </w:r>
    </w:p>
    <w:p w14:paraId="5B62D5DA" w14:textId="77777777" w:rsidR="00402EEB" w:rsidRPr="00402EEB" w:rsidRDefault="00402EEB" w:rsidP="00402EEB">
      <w:pPr>
        <w:pStyle w:val="Bibliography"/>
        <w:ind w:left="720" w:hanging="720"/>
        <w:rPr>
          <w:noProof/>
          <w:sz w:val="20"/>
        </w:rPr>
      </w:pPr>
      <w:r w:rsidRPr="00402EEB">
        <w:rPr>
          <w:noProof/>
          <w:sz w:val="20"/>
        </w:rPr>
        <w:t>Chaytor, J. D., &amp; Huftile, G. J. (200). Faulting in the Newcastle Area and its Relationship to the 1989 M5.6 Newcastle Earthquake. 2000 Conference of the Australian Earthquake Engineering Society (pp. 1-6). AEES.</w:t>
      </w:r>
    </w:p>
    <w:p w14:paraId="79B2EB20" w14:textId="77777777" w:rsidR="00402EEB" w:rsidRPr="00402EEB" w:rsidRDefault="00402EEB" w:rsidP="00402EEB">
      <w:pPr>
        <w:pStyle w:val="Bibliography"/>
        <w:ind w:left="720" w:hanging="720"/>
        <w:rPr>
          <w:noProof/>
          <w:sz w:val="20"/>
        </w:rPr>
      </w:pPr>
      <w:r w:rsidRPr="00402EEB">
        <w:rPr>
          <w:noProof/>
          <w:sz w:val="20"/>
        </w:rPr>
        <w:t>Chen, C.-T., Hu, J.-C., Lu, C.-Y., Lee, J.-C., &amp; Chan, Y.-C. (2007). Thirty-year land elevation change from subsidence to uplift following the termination of groundwater pumping and its geological implications in the metropolitan Taipei Basin, Northern Taiwan. Engineering Geology, 30-47.</w:t>
      </w:r>
    </w:p>
    <w:p w14:paraId="5FF33025" w14:textId="77777777" w:rsidR="00402EEB" w:rsidRPr="00402EEB" w:rsidRDefault="00402EEB" w:rsidP="00402EEB">
      <w:pPr>
        <w:pStyle w:val="Bibliography"/>
        <w:ind w:left="720" w:hanging="720"/>
        <w:rPr>
          <w:noProof/>
          <w:sz w:val="20"/>
        </w:rPr>
      </w:pPr>
      <w:r w:rsidRPr="00402EEB">
        <w:rPr>
          <w:noProof/>
          <w:sz w:val="20"/>
        </w:rPr>
        <w:t>Chen, Chih-Tung &amp; Hu, Jyr-Ching &amp; Lu, Chia-Yu &amp; Lee, Jian-Cheng &amp; Chan, Yu-Chang. (2007). Thirty-year land elevation change from subsidence to uplift following the termination of groundwater pumping and its geological implications in the Metropolitan Taipei Basin, Northern Taiwan. Engineering Geology. 95. 30-47. 10.1016/j.enggeo.2007.09.001.</w:t>
      </w:r>
    </w:p>
    <w:p w14:paraId="0F8AEFA9" w14:textId="77777777" w:rsidR="00402EEB" w:rsidRPr="00402EEB" w:rsidRDefault="00402EEB" w:rsidP="00402EEB">
      <w:pPr>
        <w:pStyle w:val="Bibliography"/>
        <w:ind w:left="720" w:hanging="720"/>
        <w:rPr>
          <w:noProof/>
          <w:sz w:val="20"/>
        </w:rPr>
      </w:pPr>
      <w:r w:rsidRPr="00402EEB">
        <w:rPr>
          <w:noProof/>
          <w:sz w:val="20"/>
        </w:rPr>
        <w:t>Chen, L., &amp; Talwani, P. (1998). Reservoir induced Seismicity in China. Pure and Applied Geophysics, 133-149.</w:t>
      </w:r>
    </w:p>
    <w:p w14:paraId="6018CF4E" w14:textId="77777777" w:rsidR="00402EEB" w:rsidRPr="00402EEB" w:rsidRDefault="00402EEB" w:rsidP="00402EEB">
      <w:pPr>
        <w:pStyle w:val="Bibliography"/>
        <w:ind w:left="720" w:hanging="720"/>
        <w:rPr>
          <w:noProof/>
          <w:sz w:val="20"/>
        </w:rPr>
      </w:pPr>
      <w:r w:rsidRPr="00402EEB">
        <w:rPr>
          <w:noProof/>
          <w:sz w:val="20"/>
        </w:rPr>
        <w:t>Chen, Y. Did the reservoir impoundment trigger the Wenchuan earthquake? Sci. China Ser. D-Earth Sci. 52, 431–433 (2009). https://doi.org/10.1007/s11430-009-0067-2</w:t>
      </w:r>
    </w:p>
    <w:p w14:paraId="32D5C3EB" w14:textId="77777777" w:rsidR="00402EEB" w:rsidRPr="00402EEB" w:rsidRDefault="00402EEB" w:rsidP="00402EEB">
      <w:pPr>
        <w:pStyle w:val="Bibliography"/>
        <w:ind w:left="720" w:hanging="720"/>
        <w:rPr>
          <w:noProof/>
          <w:sz w:val="20"/>
        </w:rPr>
      </w:pPr>
      <w:r w:rsidRPr="00402EEB">
        <w:rPr>
          <w:noProof/>
          <w:sz w:val="20"/>
        </w:rPr>
        <w:t>Cranswick, E. (2011). Coincidence of Mines and Earthquakes in Australia. Australian Earthquake Engineering Society 2011 Conference (pp. 1-19). Barossa Valley: Australian Earthquake Engineering Society.</w:t>
      </w:r>
    </w:p>
    <w:p w14:paraId="4DC9ED61" w14:textId="77777777" w:rsidR="00402EEB" w:rsidRPr="00402EEB" w:rsidRDefault="00402EEB" w:rsidP="00402EEB">
      <w:pPr>
        <w:pStyle w:val="Bibliography"/>
        <w:ind w:left="720" w:hanging="720"/>
        <w:rPr>
          <w:noProof/>
          <w:sz w:val="20"/>
        </w:rPr>
      </w:pPr>
      <w:r w:rsidRPr="00402EEB">
        <w:rPr>
          <w:noProof/>
          <w:sz w:val="20"/>
        </w:rPr>
        <w:t>Department of Minerals and Energy, Western Australia, Mines Occupational Safety and Health Advisory Board (MOSHAB). Geotechnical Considerations in Open Pit Mines, Guideline. August 1999</w:t>
      </w:r>
    </w:p>
    <w:p w14:paraId="56A4885D" w14:textId="77777777" w:rsidR="00402EEB" w:rsidRPr="00402EEB" w:rsidRDefault="00402EEB" w:rsidP="00402EEB">
      <w:pPr>
        <w:pStyle w:val="Bibliography"/>
        <w:ind w:left="720" w:hanging="720"/>
        <w:rPr>
          <w:noProof/>
          <w:sz w:val="20"/>
        </w:rPr>
      </w:pPr>
      <w:r w:rsidRPr="00402EEB">
        <w:rPr>
          <w:noProof/>
          <w:sz w:val="20"/>
        </w:rPr>
        <w:t>DJPR (2019) Regional Geotechnical Study Synopsis Report, ISBN 978-1-76090-202-5 (Online)</w:t>
      </w:r>
    </w:p>
    <w:p w14:paraId="011047BB" w14:textId="77777777" w:rsidR="00402EEB" w:rsidRPr="00402EEB" w:rsidRDefault="00402EEB" w:rsidP="00402EEB">
      <w:pPr>
        <w:pStyle w:val="Bibliography"/>
        <w:ind w:left="720" w:hanging="720"/>
        <w:rPr>
          <w:noProof/>
          <w:sz w:val="20"/>
        </w:rPr>
      </w:pPr>
      <w:r w:rsidRPr="00402EEB">
        <w:rPr>
          <w:noProof/>
          <w:sz w:val="20"/>
        </w:rPr>
        <w:t>Dojchinovski, D., Olumceva, T., Dimiskovska, B., Pekevski, L., &amp; Guoxin, W. (2012). Estimating Reservoir Induced Seismicity RIS Potential. 15 WCEE.</w:t>
      </w:r>
    </w:p>
    <w:p w14:paraId="689C92A5" w14:textId="77777777" w:rsidR="00402EEB" w:rsidRPr="00402EEB" w:rsidRDefault="00402EEB" w:rsidP="00402EEB">
      <w:pPr>
        <w:pStyle w:val="Bibliography"/>
        <w:ind w:left="720" w:hanging="720"/>
        <w:rPr>
          <w:noProof/>
          <w:sz w:val="20"/>
        </w:rPr>
      </w:pPr>
      <w:r w:rsidRPr="00402EEB">
        <w:rPr>
          <w:noProof/>
          <w:sz w:val="20"/>
        </w:rPr>
        <w:t>Earth Resources Regulation (2014) Morwell Land Movement. Department of Economic Development, Jobs, Transport and Resources</w:t>
      </w:r>
    </w:p>
    <w:p w14:paraId="59B2A93F" w14:textId="77777777" w:rsidR="00402EEB" w:rsidRPr="00402EEB" w:rsidRDefault="00402EEB" w:rsidP="00402EEB">
      <w:pPr>
        <w:pStyle w:val="Bibliography"/>
        <w:ind w:left="720" w:hanging="720"/>
        <w:rPr>
          <w:noProof/>
          <w:sz w:val="20"/>
        </w:rPr>
      </w:pPr>
      <w:r w:rsidRPr="00402EEB">
        <w:rPr>
          <w:noProof/>
          <w:sz w:val="20"/>
        </w:rPr>
        <w:t>Earth Resources Regulation (2015) Guidance Material for the Assessment of Geotechnical Risks in Open Pit Mines and Quarries, Department Economic Development, Jobs, Transport and Resources.</w:t>
      </w:r>
    </w:p>
    <w:p w14:paraId="3613AB02" w14:textId="77777777" w:rsidR="00402EEB" w:rsidRPr="00402EEB" w:rsidRDefault="00402EEB" w:rsidP="00402EEB">
      <w:pPr>
        <w:pStyle w:val="Bibliography"/>
        <w:ind w:left="720" w:hanging="720"/>
        <w:rPr>
          <w:noProof/>
          <w:sz w:val="20"/>
        </w:rPr>
      </w:pPr>
      <w:r w:rsidRPr="00402EEB">
        <w:rPr>
          <w:noProof/>
          <w:sz w:val="20"/>
        </w:rPr>
        <w:t xml:space="preserve">Earth Resources Technical Review Board (2009-2016) Technical Review Board Annual Reports. </w:t>
      </w:r>
    </w:p>
    <w:p w14:paraId="2B942C64" w14:textId="77777777" w:rsidR="00402EEB" w:rsidRPr="00402EEB" w:rsidRDefault="00402EEB" w:rsidP="00402EEB">
      <w:pPr>
        <w:pStyle w:val="Bibliography"/>
        <w:ind w:left="720" w:hanging="720"/>
        <w:rPr>
          <w:noProof/>
          <w:sz w:val="20"/>
        </w:rPr>
      </w:pPr>
      <w:r w:rsidRPr="00402EEB">
        <w:rPr>
          <w:noProof/>
          <w:sz w:val="20"/>
        </w:rPr>
        <w:t>European Seimological Commission 2000, POST EARTHQUAKE DAMAGE AND USABILITY ASSESSMENT OF BUILDINGS: FURTHER DEVELOPMENT AND APPLICATIONS FINAL REPORT.</w:t>
      </w:r>
    </w:p>
    <w:p w14:paraId="6E77C8CC" w14:textId="77777777" w:rsidR="00402EEB" w:rsidRPr="00402EEB" w:rsidRDefault="00402EEB" w:rsidP="00402EEB">
      <w:pPr>
        <w:pStyle w:val="Bibliography"/>
        <w:ind w:left="720" w:hanging="720"/>
        <w:rPr>
          <w:noProof/>
          <w:sz w:val="20"/>
        </w:rPr>
      </w:pPr>
      <w:r w:rsidRPr="00402EEB">
        <w:rPr>
          <w:noProof/>
          <w:sz w:val="20"/>
        </w:rPr>
        <w:t>Ge, S., Liu, M., Lu, N., Godt, J. W., &amp; Luo, G. (2009). Did the Zipingpu Reservoir trigger the 2008 Wenchuan earthquake? GEOPHYSICAL RESEARCH LETTERS.</w:t>
      </w:r>
    </w:p>
    <w:p w14:paraId="54C59B60" w14:textId="77777777" w:rsidR="00402EEB" w:rsidRPr="00402EEB" w:rsidRDefault="00402EEB" w:rsidP="00402EEB">
      <w:pPr>
        <w:pStyle w:val="Bibliography"/>
        <w:ind w:left="720" w:hanging="720"/>
        <w:rPr>
          <w:noProof/>
          <w:sz w:val="20"/>
        </w:rPr>
      </w:pPr>
      <w:r w:rsidRPr="00402EEB">
        <w:rPr>
          <w:noProof/>
          <w:sz w:val="20"/>
        </w:rPr>
        <w:t>GHD. (2011). Latrobe Valley Regional Groundwater and Land Level Monitoring Report - 5 Year Review. Regional Groundwater Management Committee. GHD.</w:t>
      </w:r>
    </w:p>
    <w:p w14:paraId="3BE6A4F7" w14:textId="77777777" w:rsidR="00402EEB" w:rsidRPr="00402EEB" w:rsidRDefault="00402EEB" w:rsidP="00402EEB">
      <w:pPr>
        <w:pStyle w:val="Bibliography"/>
        <w:ind w:left="720" w:hanging="720"/>
        <w:rPr>
          <w:noProof/>
          <w:sz w:val="20"/>
        </w:rPr>
      </w:pPr>
      <w:r w:rsidRPr="00402EEB">
        <w:rPr>
          <w:noProof/>
          <w:sz w:val="20"/>
        </w:rPr>
        <w:t>GHD. (2013). Latrobe Valley Ground Water and Land Level Monitoring Annual Report, July 2012 to June 2013. In Regional Monitoring Committee. GHD.</w:t>
      </w:r>
    </w:p>
    <w:p w14:paraId="1A537192" w14:textId="77777777" w:rsidR="00402EEB" w:rsidRPr="00402EEB" w:rsidRDefault="00402EEB" w:rsidP="00402EEB">
      <w:pPr>
        <w:pStyle w:val="Bibliography"/>
        <w:ind w:left="720" w:hanging="720"/>
        <w:rPr>
          <w:noProof/>
          <w:sz w:val="20"/>
        </w:rPr>
      </w:pPr>
      <w:r w:rsidRPr="00402EEB">
        <w:rPr>
          <w:noProof/>
          <w:sz w:val="20"/>
        </w:rPr>
        <w:t>GHD. (2016). Latrobe Valley Regional Groundwater and Land Level Monitoring Report - 5 Year Review. Regional Groundwater Management Committee, June 2016</w:t>
      </w:r>
    </w:p>
    <w:p w14:paraId="0D1CBCE8" w14:textId="0D5F1A5D" w:rsidR="00667200" w:rsidRPr="00402EEB" w:rsidRDefault="00667200" w:rsidP="00667200">
      <w:pPr>
        <w:pStyle w:val="Bibliography"/>
        <w:ind w:left="720" w:hanging="720"/>
        <w:rPr>
          <w:noProof/>
          <w:sz w:val="20"/>
        </w:rPr>
      </w:pPr>
      <w:r w:rsidRPr="00402EEB">
        <w:rPr>
          <w:noProof/>
          <w:sz w:val="20"/>
        </w:rPr>
        <w:t>GHD</w:t>
      </w:r>
      <w:r w:rsidR="004B527E">
        <w:rPr>
          <w:noProof/>
          <w:sz w:val="20"/>
        </w:rPr>
        <w:t>.</w:t>
      </w:r>
      <w:r w:rsidRPr="00402EEB">
        <w:rPr>
          <w:noProof/>
          <w:sz w:val="20"/>
        </w:rPr>
        <w:t xml:space="preserve"> (2019) Latrobe Valley Regional Rehabilitation Strategy Geotechnical Data and Methods, March 2019</w:t>
      </w:r>
    </w:p>
    <w:p w14:paraId="0E38BFB7" w14:textId="41CB3CF9" w:rsidR="00402EEB" w:rsidRPr="00402EEB" w:rsidRDefault="00402EEB" w:rsidP="00402EEB">
      <w:pPr>
        <w:pStyle w:val="Bibliography"/>
        <w:ind w:left="720" w:hanging="720"/>
        <w:rPr>
          <w:noProof/>
          <w:sz w:val="20"/>
        </w:rPr>
      </w:pPr>
      <w:r w:rsidRPr="00402EEB">
        <w:rPr>
          <w:noProof/>
          <w:sz w:val="20"/>
        </w:rPr>
        <w:t>Gibson, G and Sandiford, M, (2013) “Seismicity and Induced earthquakes” Melbourne Energy Institute</w:t>
      </w:r>
    </w:p>
    <w:p w14:paraId="321F8282" w14:textId="77777777" w:rsidR="00402EEB" w:rsidRPr="00402EEB" w:rsidRDefault="00402EEB" w:rsidP="00402EEB">
      <w:pPr>
        <w:pStyle w:val="Bibliography"/>
        <w:ind w:left="720" w:hanging="720"/>
        <w:rPr>
          <w:noProof/>
          <w:sz w:val="20"/>
        </w:rPr>
      </w:pPr>
      <w:r w:rsidRPr="00402EEB">
        <w:rPr>
          <w:noProof/>
          <w:sz w:val="20"/>
        </w:rPr>
        <w:t>Gibson, G., &amp; Sandiford, M. (2013). Seismicity &amp; induced earthquakes. Melbourne: Melbourne Energy Institute, University of Melbourne.</w:t>
      </w:r>
    </w:p>
    <w:p w14:paraId="7DDE8373" w14:textId="77777777" w:rsidR="00402EEB" w:rsidRPr="00402EEB" w:rsidRDefault="00402EEB" w:rsidP="00402EEB">
      <w:pPr>
        <w:pStyle w:val="Bibliography"/>
        <w:ind w:left="720" w:hanging="720"/>
        <w:rPr>
          <w:noProof/>
          <w:sz w:val="20"/>
        </w:rPr>
      </w:pPr>
      <w:r w:rsidRPr="00402EEB">
        <w:rPr>
          <w:noProof/>
          <w:sz w:val="20"/>
        </w:rPr>
        <w:t>Golder Associates Ltd. (1986). Morwell Open Cut Review of Earth Movement to 1985, Melbourne, Australia (852-1187 April). State Electricity Commission of Victoria.</w:t>
      </w:r>
    </w:p>
    <w:p w14:paraId="5C65C4E4" w14:textId="77777777" w:rsidR="00402EEB" w:rsidRPr="00402EEB" w:rsidRDefault="00402EEB" w:rsidP="00402EEB">
      <w:pPr>
        <w:pStyle w:val="Bibliography"/>
        <w:ind w:left="720" w:hanging="720"/>
        <w:rPr>
          <w:noProof/>
          <w:sz w:val="20"/>
        </w:rPr>
      </w:pPr>
      <w:r w:rsidRPr="00402EEB">
        <w:rPr>
          <w:noProof/>
          <w:sz w:val="20"/>
        </w:rPr>
        <w:t>Golder Associates Ltd. (1989). Morwell Open Cut Review of Earth Movement to 1988, Melbourne, Australia (GVB07392). State Electricity Commission of Victoria.</w:t>
      </w:r>
    </w:p>
    <w:p w14:paraId="473F513E" w14:textId="77777777" w:rsidR="00402EEB" w:rsidRPr="00402EEB" w:rsidRDefault="00402EEB" w:rsidP="00402EEB">
      <w:pPr>
        <w:pStyle w:val="Bibliography"/>
        <w:ind w:left="720" w:hanging="720"/>
        <w:rPr>
          <w:noProof/>
          <w:sz w:val="20"/>
        </w:rPr>
      </w:pPr>
      <w:r w:rsidRPr="00402EEB">
        <w:rPr>
          <w:noProof/>
          <w:sz w:val="20"/>
        </w:rPr>
        <w:t>González, P. J., Tiampo, K. F., Palano, M., Cannavó, F., &amp; Fernández, J. (2013). The 2011 Lorca earthquake slip distribution controlled by groundwater crustal unloading. NATURE GEOSCIENCE, Vol. 5, 821-825.</w:t>
      </w:r>
    </w:p>
    <w:p w14:paraId="631C9F5F" w14:textId="77777777" w:rsidR="00402EEB" w:rsidRPr="00402EEB" w:rsidRDefault="00402EEB" w:rsidP="00402EEB">
      <w:pPr>
        <w:pStyle w:val="Bibliography"/>
        <w:ind w:left="720" w:hanging="720"/>
        <w:rPr>
          <w:noProof/>
          <w:sz w:val="20"/>
        </w:rPr>
      </w:pPr>
      <w:r w:rsidRPr="00402EEB">
        <w:rPr>
          <w:noProof/>
          <w:sz w:val="20"/>
        </w:rPr>
        <w:t>Gupta, H. K. (2002). A review of recent studies of triggered earthquakes by artificial water reservoirs with special emphasis on earthquakes in Koyna, India. Earth-Science Reviews 58, 279-310.</w:t>
      </w:r>
    </w:p>
    <w:p w14:paraId="5C1AF646" w14:textId="77777777" w:rsidR="00402EEB" w:rsidRPr="00402EEB" w:rsidRDefault="00402EEB" w:rsidP="00402EEB">
      <w:pPr>
        <w:pStyle w:val="Bibliography"/>
        <w:ind w:left="720" w:hanging="720"/>
        <w:rPr>
          <w:noProof/>
          <w:sz w:val="20"/>
        </w:rPr>
      </w:pPr>
      <w:r w:rsidRPr="00402EEB">
        <w:rPr>
          <w:noProof/>
          <w:sz w:val="20"/>
        </w:rPr>
        <w:t>Gupta, H. K., &amp; Iyer, H. M. (1984). Are Reservoir Induced Earthquakes of Magnitude &gt; 5.0 at Koya, India, Preceded by Pairs of Earthquake of Magnitude &gt;4.0? Bulletin of Seismological Society of America, Vol. 74, 863-873.</w:t>
      </w:r>
    </w:p>
    <w:p w14:paraId="1166B173" w14:textId="77777777" w:rsidR="00402EEB" w:rsidRPr="00402EEB" w:rsidRDefault="00402EEB" w:rsidP="00402EEB">
      <w:pPr>
        <w:pStyle w:val="Bibliography"/>
        <w:ind w:left="720" w:hanging="720"/>
        <w:rPr>
          <w:noProof/>
          <w:sz w:val="20"/>
        </w:rPr>
      </w:pPr>
      <w:r w:rsidRPr="00402EEB">
        <w:rPr>
          <w:noProof/>
          <w:sz w:val="20"/>
        </w:rPr>
        <w:t>Gupta, H. K., Radhakrishna, I., Chadha, R. K., Kumpel, H. J., &amp; Grecksch, G. (2000). Pore Pressure Studies Initiated in Area of Reservoir Induced Earthquakes in India. EOS Transactions, 145-151.</w:t>
      </w:r>
    </w:p>
    <w:p w14:paraId="2BB25056" w14:textId="77777777" w:rsidR="00402EEB" w:rsidRPr="00402EEB" w:rsidRDefault="00402EEB" w:rsidP="00402EEB">
      <w:pPr>
        <w:pStyle w:val="Bibliography"/>
        <w:ind w:left="720" w:hanging="720"/>
        <w:rPr>
          <w:noProof/>
          <w:sz w:val="20"/>
        </w:rPr>
      </w:pPr>
      <w:r w:rsidRPr="00402EEB">
        <w:rPr>
          <w:noProof/>
          <w:sz w:val="20"/>
        </w:rPr>
        <w:t>Gupta, H. K., Rastogi, B. K., Chadha, R., Mandal, P., &amp; Sarma, C. S. (1997). Enhanced reservoir induced earthquakes in Koyna Region, India, during 1993-95. Journal of Seismology, 47-53.</w:t>
      </w:r>
    </w:p>
    <w:p w14:paraId="72C0B89F" w14:textId="77777777" w:rsidR="00402EEB" w:rsidRPr="00402EEB" w:rsidRDefault="00402EEB" w:rsidP="00402EEB">
      <w:pPr>
        <w:pStyle w:val="Bibliography"/>
        <w:ind w:left="720" w:hanging="720"/>
        <w:rPr>
          <w:noProof/>
          <w:sz w:val="20"/>
        </w:rPr>
      </w:pPr>
      <w:r w:rsidRPr="00402EEB">
        <w:rPr>
          <w:noProof/>
          <w:sz w:val="20"/>
        </w:rPr>
        <w:t>Houqun, C. (2009). Lessons learned from Wenchuan earthquake for seismic safety of large dams. EARTHQUAKE ENGINEERING AND ENGINEERING VIBRATION Vol.8, No.2, 241-249.</w:t>
      </w:r>
    </w:p>
    <w:p w14:paraId="6677B39B" w14:textId="77777777" w:rsidR="00402EEB" w:rsidRPr="00402EEB" w:rsidRDefault="00402EEB" w:rsidP="00402EEB">
      <w:pPr>
        <w:pStyle w:val="Bibliography"/>
        <w:ind w:left="720" w:hanging="720"/>
        <w:rPr>
          <w:noProof/>
          <w:sz w:val="20"/>
        </w:rPr>
      </w:pPr>
      <w:r w:rsidRPr="00402EEB">
        <w:rPr>
          <w:noProof/>
          <w:sz w:val="20"/>
        </w:rPr>
        <w:t>Hsieh, P. A. (1979). A reservoir analysis of the Denver earthquakes : a case of. Arizona: The University of Arizona.</w:t>
      </w:r>
    </w:p>
    <w:p w14:paraId="1932274A" w14:textId="77777777" w:rsidR="00402EEB" w:rsidRPr="00402EEB" w:rsidRDefault="00402EEB" w:rsidP="00402EEB">
      <w:pPr>
        <w:pStyle w:val="Bibliography"/>
        <w:ind w:left="720" w:hanging="720"/>
        <w:rPr>
          <w:noProof/>
          <w:sz w:val="20"/>
        </w:rPr>
      </w:pPr>
      <w:r w:rsidRPr="00402EEB">
        <w:rPr>
          <w:noProof/>
          <w:sz w:val="20"/>
        </w:rPr>
        <w:t>Hutchings, R., Fajdiga, M., &amp; Raisbeck, D. (1977). The Effects of Large Ground Movements Resulting from Brown Coal Open Cut Excavations in the Latrobe Valley, Victoria (Report No DD125). State Electricity Commission of Victoria.</w:t>
      </w:r>
    </w:p>
    <w:p w14:paraId="3419FD87" w14:textId="77777777" w:rsidR="00402EEB" w:rsidRPr="00402EEB" w:rsidRDefault="00402EEB" w:rsidP="00402EEB">
      <w:pPr>
        <w:pStyle w:val="Bibliography"/>
        <w:ind w:left="720" w:hanging="720"/>
        <w:rPr>
          <w:noProof/>
          <w:sz w:val="20"/>
        </w:rPr>
      </w:pPr>
      <w:r w:rsidRPr="00402EEB">
        <w:rPr>
          <w:noProof/>
          <w:sz w:val="20"/>
        </w:rPr>
        <w:t>Hutchings, R., Fajdiga, M., &amp; Raisbeck, D. (n.d.). The Effects of Large Ground Movements Resulting from Brown Coal Open Cut Excavations in the Latrobe Valley, Victoria. State Electricity Commission of Victoria, Australia.</w:t>
      </w:r>
    </w:p>
    <w:p w14:paraId="641FEDFF" w14:textId="77777777" w:rsidR="00402EEB" w:rsidRPr="00402EEB" w:rsidRDefault="00402EEB" w:rsidP="00402EEB">
      <w:pPr>
        <w:pStyle w:val="Bibliography"/>
        <w:ind w:left="720" w:hanging="720"/>
        <w:rPr>
          <w:noProof/>
          <w:sz w:val="20"/>
        </w:rPr>
      </w:pPr>
      <w:r w:rsidRPr="00402EEB">
        <w:rPr>
          <w:noProof/>
          <w:sz w:val="20"/>
        </w:rPr>
        <w:t>Independent Expert Scientific Committee on Coal Seam Gas and Large Coal Mining Development (2014) Knowledge Report - Monitoring and management of subsidence induced by coal seam gas extraction. Department of Environment</w:t>
      </w:r>
    </w:p>
    <w:p w14:paraId="37FA3431" w14:textId="0F78E400" w:rsidR="00402EEB" w:rsidRPr="00402EEB" w:rsidRDefault="00402EEB" w:rsidP="00402EEB">
      <w:pPr>
        <w:pStyle w:val="Bibliography"/>
        <w:ind w:left="720" w:hanging="720"/>
        <w:rPr>
          <w:noProof/>
          <w:sz w:val="20"/>
        </w:rPr>
      </w:pPr>
      <w:r w:rsidRPr="00402EEB">
        <w:rPr>
          <w:noProof/>
          <w:sz w:val="20"/>
        </w:rPr>
        <w:t>Jacobs (20</w:t>
      </w:r>
      <w:r w:rsidR="00A23E94">
        <w:rPr>
          <w:noProof/>
          <w:sz w:val="20"/>
        </w:rPr>
        <w:t>20a</w:t>
      </w:r>
      <w:r w:rsidRPr="00402EEB">
        <w:rPr>
          <w:noProof/>
          <w:sz w:val="20"/>
        </w:rPr>
        <w:t>) “Identification of Recognised Regional Receptors” Report prepared for DJPR IS209100-201</w:t>
      </w:r>
    </w:p>
    <w:p w14:paraId="14B10C80" w14:textId="60B109FD" w:rsidR="00402EEB" w:rsidRPr="00402EEB" w:rsidRDefault="00402EEB" w:rsidP="00402EEB">
      <w:pPr>
        <w:pStyle w:val="Bibliography"/>
        <w:ind w:left="720" w:hanging="720"/>
        <w:rPr>
          <w:noProof/>
          <w:sz w:val="20"/>
        </w:rPr>
      </w:pPr>
      <w:r w:rsidRPr="00402EEB">
        <w:rPr>
          <w:noProof/>
          <w:sz w:val="20"/>
        </w:rPr>
        <w:t>Jacobs (2020</w:t>
      </w:r>
      <w:r w:rsidR="00A23E94">
        <w:rPr>
          <w:noProof/>
          <w:sz w:val="20"/>
        </w:rPr>
        <w:t>b</w:t>
      </w:r>
      <w:r w:rsidR="005D08AA">
        <w:rPr>
          <w:noProof/>
          <w:sz w:val="20"/>
        </w:rPr>
        <w:t>)</w:t>
      </w:r>
      <w:r w:rsidRPr="00402EEB">
        <w:rPr>
          <w:noProof/>
          <w:sz w:val="20"/>
        </w:rPr>
        <w:t xml:space="preserve"> “LVRRS Regional Geotechnical Assessment – Preliminary Assessment Report”, in preparation.</w:t>
      </w:r>
    </w:p>
    <w:p w14:paraId="12831277" w14:textId="0882C3AF" w:rsidR="000436F1" w:rsidRPr="00402EEB" w:rsidRDefault="000436F1" w:rsidP="000436F1">
      <w:pPr>
        <w:pStyle w:val="Bibliography"/>
        <w:ind w:left="720" w:hanging="720"/>
        <w:rPr>
          <w:noProof/>
          <w:sz w:val="20"/>
        </w:rPr>
      </w:pPr>
      <w:r w:rsidRPr="00402EEB">
        <w:rPr>
          <w:noProof/>
          <w:sz w:val="20"/>
        </w:rPr>
        <w:t>Jacobs (2020</w:t>
      </w:r>
      <w:r>
        <w:rPr>
          <w:noProof/>
          <w:sz w:val="20"/>
        </w:rPr>
        <w:t>c)</w:t>
      </w:r>
      <w:r w:rsidRPr="00402EEB">
        <w:rPr>
          <w:noProof/>
          <w:sz w:val="20"/>
        </w:rPr>
        <w:t xml:space="preserve"> “LVRRS Regional Geotechnical Assessment – </w:t>
      </w:r>
      <w:r w:rsidR="00F53F2F" w:rsidRPr="00F53F2F">
        <w:rPr>
          <w:noProof/>
          <w:sz w:val="20"/>
        </w:rPr>
        <w:t>Water-Related Metrics and Thresholds</w:t>
      </w:r>
      <w:r w:rsidR="0016784B">
        <w:rPr>
          <w:noProof/>
          <w:sz w:val="20"/>
        </w:rPr>
        <w:t>”</w:t>
      </w:r>
    </w:p>
    <w:p w14:paraId="67395607" w14:textId="429C11AA" w:rsidR="00402EEB" w:rsidRPr="00402EEB" w:rsidRDefault="00402EEB" w:rsidP="00402EEB">
      <w:pPr>
        <w:pStyle w:val="Bibliography"/>
        <w:ind w:left="720" w:hanging="720"/>
        <w:rPr>
          <w:noProof/>
          <w:sz w:val="20"/>
        </w:rPr>
      </w:pPr>
      <w:r w:rsidRPr="00402EEB">
        <w:rPr>
          <w:noProof/>
          <w:sz w:val="20"/>
        </w:rPr>
        <w:t>Kalaga, S. and Yenumula, P. (2016) Design of Electrical Transmission Lines: Structures and Foundations. CRC Press. https://doi.org/10.1201/9781315755687</w:t>
      </w:r>
    </w:p>
    <w:p w14:paraId="1DA627FB" w14:textId="77777777" w:rsidR="00402EEB" w:rsidRPr="00402EEB" w:rsidRDefault="00402EEB" w:rsidP="00402EEB">
      <w:pPr>
        <w:pStyle w:val="Bibliography"/>
        <w:ind w:left="720" w:hanging="720"/>
        <w:rPr>
          <w:noProof/>
          <w:sz w:val="20"/>
        </w:rPr>
      </w:pPr>
      <w:r w:rsidRPr="00402EEB">
        <w:rPr>
          <w:noProof/>
          <w:sz w:val="20"/>
        </w:rPr>
        <w:t>Kalpna, R. C. (1997). On categorising induced and natural tectonic earthquakes near new reservoirs. Engineering Geology 46, 81-92.</w:t>
      </w:r>
    </w:p>
    <w:p w14:paraId="0A588F12" w14:textId="77777777" w:rsidR="00402EEB" w:rsidRPr="00402EEB" w:rsidRDefault="00402EEB" w:rsidP="00402EEB">
      <w:pPr>
        <w:pStyle w:val="Bibliography"/>
        <w:ind w:left="720" w:hanging="720"/>
        <w:rPr>
          <w:noProof/>
          <w:sz w:val="20"/>
        </w:rPr>
      </w:pPr>
      <w:r w:rsidRPr="00402EEB">
        <w:rPr>
          <w:noProof/>
          <w:sz w:val="20"/>
        </w:rPr>
        <w:t>Keranen, K. M., Savage, H. M., Abers, G. A., &amp; Cochran, E. S. (2013). Potentially induced earthquakes in Oklahoma, USA: Links between. Geology vol. 41 no. 4, 699-702.</w:t>
      </w:r>
    </w:p>
    <w:p w14:paraId="02755293" w14:textId="77777777" w:rsidR="00402EEB" w:rsidRPr="00402EEB" w:rsidRDefault="00402EEB" w:rsidP="00402EEB">
      <w:pPr>
        <w:pStyle w:val="Bibliography"/>
        <w:ind w:left="720" w:hanging="720"/>
        <w:rPr>
          <w:noProof/>
          <w:sz w:val="20"/>
        </w:rPr>
      </w:pPr>
      <w:r w:rsidRPr="00402EEB">
        <w:rPr>
          <w:noProof/>
          <w:sz w:val="20"/>
        </w:rPr>
        <w:t>Kerr, R. A., &amp; Stone, R. (2009). A Human Trigger for the Great Quake of Sichuan? Science, New Series, Vol. 323, 322.</w:t>
      </w:r>
    </w:p>
    <w:p w14:paraId="69ED8B3F" w14:textId="77777777" w:rsidR="00402EEB" w:rsidRPr="00402EEB" w:rsidRDefault="00402EEB" w:rsidP="00402EEB">
      <w:pPr>
        <w:pStyle w:val="Bibliography"/>
        <w:ind w:left="720" w:hanging="720"/>
        <w:rPr>
          <w:noProof/>
          <w:sz w:val="20"/>
        </w:rPr>
      </w:pPr>
      <w:r w:rsidRPr="00402EEB">
        <w:rPr>
          <w:noProof/>
          <w:sz w:val="20"/>
        </w:rPr>
        <w:t>Klose, C. D. (2007). Mine Water Discharge and Flooding: A Cause of Severe Earthquakes. Mine Water Environment, 172-180.</w:t>
      </w:r>
    </w:p>
    <w:p w14:paraId="5903D26B" w14:textId="77777777" w:rsidR="00402EEB" w:rsidRPr="00402EEB" w:rsidRDefault="00402EEB" w:rsidP="00402EEB">
      <w:pPr>
        <w:pStyle w:val="Bibliography"/>
        <w:ind w:left="720" w:hanging="720"/>
        <w:rPr>
          <w:noProof/>
          <w:sz w:val="20"/>
        </w:rPr>
      </w:pPr>
      <w:r w:rsidRPr="00402EEB">
        <w:rPr>
          <w:noProof/>
          <w:sz w:val="20"/>
        </w:rPr>
        <w:t>Lacasse, S. 2016. Hazard, Reliability and Risk Assessment – Research and Practice for Increased Safety. NGM 2016 Rejkjavik, Proceedings of the 17th Nordic Geotechnical Meeting, Challenges in Nordic Geotechnic, 25th – 28th May 2016</w:t>
      </w:r>
    </w:p>
    <w:p w14:paraId="02AC3E3F" w14:textId="77777777" w:rsidR="00402EEB" w:rsidRPr="00402EEB" w:rsidRDefault="00402EEB" w:rsidP="00402EEB">
      <w:pPr>
        <w:pStyle w:val="Bibliography"/>
        <w:ind w:left="720" w:hanging="720"/>
        <w:rPr>
          <w:noProof/>
          <w:sz w:val="20"/>
        </w:rPr>
      </w:pPr>
      <w:r w:rsidRPr="00402EEB">
        <w:rPr>
          <w:noProof/>
          <w:sz w:val="20"/>
        </w:rPr>
        <w:t>Lackington, D.W and Robinson, B. (1973) Articulated Service Reservoirs in Mining Subsidence Areas. Journal of the Institution of Water Engineers, Vol 27 pp. 197-215</w:t>
      </w:r>
    </w:p>
    <w:p w14:paraId="24DCB587" w14:textId="77777777" w:rsidR="00402EEB" w:rsidRPr="00402EEB" w:rsidRDefault="00402EEB" w:rsidP="00402EEB">
      <w:pPr>
        <w:pStyle w:val="Bibliography"/>
        <w:ind w:left="720" w:hanging="720"/>
        <w:rPr>
          <w:noProof/>
          <w:sz w:val="20"/>
        </w:rPr>
      </w:pPr>
      <w:r w:rsidRPr="00402EEB">
        <w:rPr>
          <w:noProof/>
          <w:sz w:val="20"/>
        </w:rPr>
        <w:t>Lamontagne , M., Hammamji, Y., Tournier, J.-P., &amp; Woodgold, C. (2005). Reservoir-Induced Earthquakes at Sainte-Marguerite-3, Quebec, Canada. Retrieved from NRC Research Press: http://cjfr.nrc.ca</w:t>
      </w:r>
    </w:p>
    <w:p w14:paraId="422CD031" w14:textId="77777777" w:rsidR="00402EEB" w:rsidRPr="00402EEB" w:rsidRDefault="00402EEB" w:rsidP="00402EEB">
      <w:pPr>
        <w:pStyle w:val="Bibliography"/>
        <w:ind w:left="720" w:hanging="720"/>
        <w:rPr>
          <w:noProof/>
          <w:sz w:val="20"/>
        </w:rPr>
      </w:pPr>
      <w:r w:rsidRPr="00402EEB">
        <w:rPr>
          <w:noProof/>
          <w:sz w:val="20"/>
        </w:rPr>
        <w:t>Latrobe City (2017) Road Management Plan. Latrobe City Council, V4 21 August 2017.</w:t>
      </w:r>
    </w:p>
    <w:p w14:paraId="4C3BB19B" w14:textId="77777777" w:rsidR="00402EEB" w:rsidRPr="00402EEB" w:rsidRDefault="00402EEB" w:rsidP="00402EEB">
      <w:pPr>
        <w:pStyle w:val="Bibliography"/>
        <w:ind w:left="720" w:hanging="720"/>
        <w:rPr>
          <w:noProof/>
          <w:sz w:val="20"/>
        </w:rPr>
      </w:pPr>
      <w:r w:rsidRPr="00402EEB">
        <w:rPr>
          <w:noProof/>
          <w:sz w:val="20"/>
        </w:rPr>
        <w:t>Latrobe City Council. (2017). Road Management Plan (Version No. 4). Latrobe: Latrobe City Council.</w:t>
      </w:r>
    </w:p>
    <w:p w14:paraId="29195DED" w14:textId="77777777" w:rsidR="00402EEB" w:rsidRPr="00402EEB" w:rsidRDefault="00402EEB" w:rsidP="00402EEB">
      <w:pPr>
        <w:pStyle w:val="Bibliography"/>
        <w:ind w:left="720" w:hanging="720"/>
        <w:rPr>
          <w:noProof/>
          <w:sz w:val="20"/>
        </w:rPr>
      </w:pPr>
      <w:r w:rsidRPr="00402EEB">
        <w:rPr>
          <w:noProof/>
          <w:sz w:val="20"/>
        </w:rPr>
        <w:t>Learmonth, A. P. (1985). Geomechanics Working in Power Industry. The National Engineering. Melbourne: State Electricity Commission of Victoria.</w:t>
      </w:r>
    </w:p>
    <w:p w14:paraId="4D352609" w14:textId="77777777" w:rsidR="00402EEB" w:rsidRPr="00402EEB" w:rsidRDefault="00402EEB" w:rsidP="00402EEB">
      <w:pPr>
        <w:pStyle w:val="Bibliography"/>
        <w:ind w:left="720" w:hanging="720"/>
        <w:rPr>
          <w:noProof/>
          <w:sz w:val="20"/>
        </w:rPr>
      </w:pPr>
      <w:r w:rsidRPr="00402EEB">
        <w:rPr>
          <w:noProof/>
          <w:sz w:val="20"/>
        </w:rPr>
        <w:t>Leonard, M., &amp; Boldra, P. (2001). Cadoux Swarm September 2000 - An Indication of Rapid Stress Transfer? Australian Earthquake Engineering Society (pp. 1-538). Canberra: AEES.</w:t>
      </w:r>
    </w:p>
    <w:p w14:paraId="0B01186A" w14:textId="77777777" w:rsidR="00402EEB" w:rsidRPr="00402EEB" w:rsidRDefault="00402EEB" w:rsidP="00402EEB">
      <w:pPr>
        <w:pStyle w:val="Bibliography"/>
        <w:ind w:left="720" w:hanging="720"/>
        <w:rPr>
          <w:noProof/>
          <w:sz w:val="20"/>
        </w:rPr>
      </w:pPr>
      <w:r w:rsidRPr="00402EEB">
        <w:rPr>
          <w:noProof/>
          <w:sz w:val="20"/>
        </w:rPr>
        <w:t>Love, D. (2000). Digital Isoseismal Mapping. 2000 Conference of the Australian Earthquake Engineering Society (pp. 1-5). AEES.</w:t>
      </w:r>
    </w:p>
    <w:p w14:paraId="441258A0" w14:textId="77777777" w:rsidR="00402EEB" w:rsidRPr="00402EEB" w:rsidRDefault="00402EEB" w:rsidP="00402EEB">
      <w:pPr>
        <w:pStyle w:val="Bibliography"/>
        <w:ind w:left="720" w:hanging="720"/>
        <w:rPr>
          <w:noProof/>
          <w:sz w:val="20"/>
        </w:rPr>
      </w:pPr>
      <w:r w:rsidRPr="00402EEB">
        <w:rPr>
          <w:noProof/>
          <w:sz w:val="20"/>
        </w:rPr>
        <w:t>Meade, R. B. (1991). Reservoirs and Earthquakes. Engineering Geology 30, 245-262.</w:t>
      </w:r>
    </w:p>
    <w:p w14:paraId="0EDEBBDC" w14:textId="77777777" w:rsidR="00402EEB" w:rsidRPr="00402EEB" w:rsidRDefault="00402EEB" w:rsidP="00402EEB">
      <w:pPr>
        <w:pStyle w:val="Bibliography"/>
        <w:ind w:left="720" w:hanging="720"/>
        <w:rPr>
          <w:noProof/>
          <w:sz w:val="20"/>
        </w:rPr>
      </w:pPr>
      <w:r w:rsidRPr="00402EEB">
        <w:rPr>
          <w:noProof/>
          <w:sz w:val="20"/>
        </w:rPr>
        <w:t>Miao-Yueh, W., Mao-Yuan, Y., Yu-Liang, H., Tzu-Chiang, L., Yun-Tai, C., Yen, C., &amp; Jui, F. (1976). Mechanism of the Reservoir Impounding Earthquakes at Hsinfengkiang and a Preliminary Endeavour to Discuss their Cause. Engineering Geology, 331-351.</w:t>
      </w:r>
    </w:p>
    <w:p w14:paraId="11D99036" w14:textId="77777777" w:rsidR="00402EEB" w:rsidRPr="00402EEB" w:rsidRDefault="00402EEB" w:rsidP="00402EEB">
      <w:pPr>
        <w:pStyle w:val="Bibliography"/>
        <w:ind w:left="720" w:hanging="720"/>
        <w:rPr>
          <w:noProof/>
          <w:sz w:val="20"/>
        </w:rPr>
      </w:pPr>
      <w:r w:rsidRPr="00402EEB">
        <w:rPr>
          <w:noProof/>
          <w:sz w:val="20"/>
        </w:rPr>
        <w:t>Mine Subsidence Engineering Consultants. (2007). Mine Subsidence damage to Building structures. Chatswood: Mine Subsidence Engineering Consultants.</w:t>
      </w:r>
    </w:p>
    <w:p w14:paraId="627E1E50" w14:textId="77777777" w:rsidR="00402EEB" w:rsidRPr="00402EEB" w:rsidRDefault="00402EEB" w:rsidP="00402EEB">
      <w:pPr>
        <w:pStyle w:val="Bibliography"/>
        <w:ind w:left="720" w:hanging="720"/>
        <w:rPr>
          <w:noProof/>
          <w:sz w:val="20"/>
        </w:rPr>
      </w:pPr>
      <w:r w:rsidRPr="00402EEB">
        <w:rPr>
          <w:noProof/>
          <w:sz w:val="20"/>
        </w:rPr>
        <w:t>Mine Subsidence. (n.d.). In M. M. Singh, Mining Engineering Handbook (pp. 938-971).</w:t>
      </w:r>
    </w:p>
    <w:p w14:paraId="1B5DD3D5" w14:textId="77777777" w:rsidR="00402EEB" w:rsidRPr="00402EEB" w:rsidRDefault="00402EEB" w:rsidP="00402EEB">
      <w:pPr>
        <w:pStyle w:val="Bibliography"/>
        <w:ind w:left="720" w:hanging="720"/>
        <w:rPr>
          <w:noProof/>
          <w:sz w:val="20"/>
        </w:rPr>
      </w:pPr>
      <w:r w:rsidRPr="00402EEB">
        <w:rPr>
          <w:noProof/>
          <w:sz w:val="20"/>
        </w:rPr>
        <w:t>Mining Warden (2008) Yallourn Mine Batter Failure Inquiry. Tim Sullivan Mining Warden. Victorian Government, 30 June 2008, No 156 Session 2006–08.</w:t>
      </w:r>
    </w:p>
    <w:p w14:paraId="79945403" w14:textId="77777777" w:rsidR="00402EEB" w:rsidRPr="00402EEB" w:rsidRDefault="00402EEB" w:rsidP="00402EEB">
      <w:pPr>
        <w:pStyle w:val="Bibliography"/>
        <w:ind w:left="720" w:hanging="720"/>
        <w:rPr>
          <w:noProof/>
          <w:sz w:val="20"/>
        </w:rPr>
      </w:pPr>
      <w:r w:rsidRPr="00402EEB">
        <w:rPr>
          <w:noProof/>
          <w:sz w:val="20"/>
        </w:rPr>
        <w:t>Moore, M. (2009, February 2). Chinese earthquake may have been man-made, say scientists. Telegraph, p. 2009.</w:t>
      </w:r>
    </w:p>
    <w:p w14:paraId="4A67FBCA" w14:textId="77777777" w:rsidR="00402EEB" w:rsidRPr="00402EEB" w:rsidRDefault="00402EEB" w:rsidP="00402EEB">
      <w:pPr>
        <w:pStyle w:val="Bibliography"/>
        <w:ind w:left="720" w:hanging="720"/>
        <w:rPr>
          <w:noProof/>
          <w:sz w:val="20"/>
        </w:rPr>
      </w:pPr>
      <w:r w:rsidRPr="00402EEB">
        <w:rPr>
          <w:noProof/>
          <w:sz w:val="20"/>
        </w:rPr>
        <w:t>Moulton, L.K., Ganga Rao, H.V.S., and Halvorsen, G.T. (1982) Tolerable Movement Criteria for Highway Bridges, Vol. I—Interim Re- port, Federal Highway Administration, No. FHWA/RD-81/162, Sep., 126 pp</w:t>
      </w:r>
    </w:p>
    <w:p w14:paraId="1233423D" w14:textId="77777777" w:rsidR="00402EEB" w:rsidRPr="00402EEB" w:rsidRDefault="00402EEB" w:rsidP="00402EEB">
      <w:pPr>
        <w:pStyle w:val="Bibliography"/>
        <w:ind w:left="720" w:hanging="720"/>
        <w:rPr>
          <w:noProof/>
          <w:sz w:val="20"/>
        </w:rPr>
      </w:pPr>
      <w:r w:rsidRPr="00402EEB">
        <w:rPr>
          <w:noProof/>
          <w:sz w:val="20"/>
        </w:rPr>
        <w:t>Mulargia, F., &amp; Bizzarri, A. (2014). Anthropogenic Triggering of Large. SCIENTIFIC REPORTS Vol. 4 : 6100, 1-7.</w:t>
      </w:r>
    </w:p>
    <w:p w14:paraId="5380C712" w14:textId="77777777" w:rsidR="00402EEB" w:rsidRPr="00402EEB" w:rsidRDefault="00402EEB" w:rsidP="00402EEB">
      <w:pPr>
        <w:pStyle w:val="Bibliography"/>
        <w:ind w:left="720" w:hanging="720"/>
        <w:rPr>
          <w:noProof/>
          <w:sz w:val="20"/>
        </w:rPr>
      </w:pPr>
      <w:r w:rsidRPr="00402EEB">
        <w:rPr>
          <w:noProof/>
          <w:sz w:val="20"/>
        </w:rPr>
        <w:t>NDMP Landslide Taskforce. (2007). A National Landslide Risk Management Framework for Australia. Australian Geomechanics Vol. 42 No.1, NDMP Landslide Taskforce.</w:t>
      </w:r>
    </w:p>
    <w:p w14:paraId="0E61DE20" w14:textId="77777777" w:rsidR="00402EEB" w:rsidRPr="00402EEB" w:rsidRDefault="00402EEB" w:rsidP="00402EEB">
      <w:pPr>
        <w:pStyle w:val="Bibliography"/>
        <w:ind w:left="720" w:hanging="720"/>
        <w:rPr>
          <w:noProof/>
          <w:sz w:val="20"/>
        </w:rPr>
      </w:pPr>
      <w:r w:rsidRPr="00402EEB">
        <w:rPr>
          <w:noProof/>
          <w:sz w:val="20"/>
        </w:rPr>
        <w:t>NDMP Landslide Taskforce. (2007). Commentary on Guideline for Landslide Susceptibility, Hazard and Risk Zoning for Land Use Planning. Australian Geomechanics.</w:t>
      </w:r>
    </w:p>
    <w:p w14:paraId="5B932A45" w14:textId="77777777" w:rsidR="00402EEB" w:rsidRPr="00402EEB" w:rsidRDefault="00402EEB" w:rsidP="00402EEB">
      <w:pPr>
        <w:pStyle w:val="Bibliography"/>
        <w:ind w:left="720" w:hanging="720"/>
        <w:rPr>
          <w:noProof/>
          <w:sz w:val="20"/>
        </w:rPr>
      </w:pPr>
      <w:r w:rsidRPr="00402EEB">
        <w:rPr>
          <w:noProof/>
          <w:sz w:val="20"/>
        </w:rPr>
        <w:t>Newcomb, S. R., Kacavenda, S., Walker, M., &amp; Missen, J. (2000). Pit Slope Stability and Ground Movements Associated with the development of Loy Yang Power Mine. ISRM International Symposium. Melbourne: International Society for Rock Mechanics and Rock Engineering.</w:t>
      </w:r>
    </w:p>
    <w:p w14:paraId="37C97F32" w14:textId="77777777" w:rsidR="00402EEB" w:rsidRPr="00402EEB" w:rsidRDefault="00402EEB" w:rsidP="00402EEB">
      <w:pPr>
        <w:pStyle w:val="Bibliography"/>
        <w:ind w:left="720" w:hanging="720"/>
        <w:rPr>
          <w:noProof/>
          <w:sz w:val="20"/>
        </w:rPr>
      </w:pPr>
      <w:r w:rsidRPr="00402EEB">
        <w:rPr>
          <w:noProof/>
          <w:sz w:val="20"/>
        </w:rPr>
        <w:t>Nikolaev, N. (1974). Tectonic Conditions Favourable for Causing Earthquakes Occurring in Connection with Reservoir Filling. Engineering Geology 8, 171-189.</w:t>
      </w:r>
    </w:p>
    <w:p w14:paraId="48216ABE" w14:textId="77777777" w:rsidR="00402EEB" w:rsidRPr="00402EEB" w:rsidRDefault="00402EEB" w:rsidP="00402EEB">
      <w:pPr>
        <w:pStyle w:val="Bibliography"/>
        <w:ind w:left="720" w:hanging="720"/>
        <w:rPr>
          <w:noProof/>
          <w:sz w:val="20"/>
        </w:rPr>
      </w:pPr>
      <w:r w:rsidRPr="00402EEB">
        <w:rPr>
          <w:noProof/>
          <w:sz w:val="20"/>
        </w:rPr>
        <w:t>Nishida, T and Goto, K (1969) Damage to Irrigation Pond Due to Mining Subsidence. Proceedings International Symposium on Land Subsidence, ATHS Pub 89, Japan pp.496-501</w:t>
      </w:r>
    </w:p>
    <w:p w14:paraId="4508E319" w14:textId="77777777" w:rsidR="00402EEB" w:rsidRPr="00402EEB" w:rsidRDefault="00402EEB" w:rsidP="00402EEB">
      <w:pPr>
        <w:pStyle w:val="Bibliography"/>
        <w:ind w:left="720" w:hanging="720"/>
        <w:rPr>
          <w:noProof/>
          <w:sz w:val="20"/>
        </w:rPr>
      </w:pPr>
      <w:r w:rsidRPr="00402EEB">
        <w:rPr>
          <w:noProof/>
          <w:sz w:val="20"/>
        </w:rPr>
        <w:t>Phllips, G. N., Hughes, M. J., Arne, D. C., Bierlein, F. P., Carey, S. P., Jackson, P., &amp; Willman, C. E. (2003). Geology of Victoria. Geological Society of Australia, 377–433.</w:t>
      </w:r>
    </w:p>
    <w:p w14:paraId="00FD1B64" w14:textId="77777777" w:rsidR="00402EEB" w:rsidRPr="00402EEB" w:rsidRDefault="00402EEB" w:rsidP="00402EEB">
      <w:pPr>
        <w:pStyle w:val="Bibliography"/>
        <w:ind w:left="720" w:hanging="720"/>
        <w:rPr>
          <w:noProof/>
          <w:sz w:val="20"/>
        </w:rPr>
      </w:pPr>
      <w:r w:rsidRPr="00402EEB">
        <w:rPr>
          <w:noProof/>
          <w:sz w:val="20"/>
        </w:rPr>
        <w:t>Priest, S.D. and E.T. Brown. (1983). Probabilistic stability analysis of variable rock slopes. Trans. Inst. Min. Metall. (Sect. A) 92: 1-12</w:t>
      </w:r>
    </w:p>
    <w:p w14:paraId="09106E9F" w14:textId="77777777" w:rsidR="00402EEB" w:rsidRPr="00402EEB" w:rsidRDefault="00402EEB" w:rsidP="00402EEB">
      <w:pPr>
        <w:pStyle w:val="Bibliography"/>
        <w:ind w:left="720" w:hanging="720"/>
        <w:rPr>
          <w:noProof/>
          <w:sz w:val="20"/>
        </w:rPr>
      </w:pPr>
      <w:r w:rsidRPr="00402EEB">
        <w:rPr>
          <w:noProof/>
          <w:sz w:val="20"/>
        </w:rPr>
        <w:t>PSM (2013) “Hazelwood Northern Batter Movement Report” Report to DPI.</w:t>
      </w:r>
    </w:p>
    <w:p w14:paraId="56709271" w14:textId="77777777" w:rsidR="00402EEB" w:rsidRPr="00402EEB" w:rsidRDefault="00402EEB" w:rsidP="00402EEB">
      <w:pPr>
        <w:pStyle w:val="Bibliography"/>
        <w:ind w:left="720" w:hanging="720"/>
        <w:rPr>
          <w:noProof/>
          <w:sz w:val="20"/>
        </w:rPr>
      </w:pPr>
      <w:r w:rsidRPr="00402EEB">
        <w:rPr>
          <w:noProof/>
          <w:sz w:val="20"/>
        </w:rPr>
        <w:t>Qiu, X. (2012). Factors Controlling the Occurrence of Reservoir-Induced Seismicity. 1st Civil and Environmental Student Conference (pp. 1-6). London: Imperial College London.</w:t>
      </w:r>
    </w:p>
    <w:p w14:paraId="37AEE5BC" w14:textId="77777777" w:rsidR="00402EEB" w:rsidRPr="00402EEB" w:rsidRDefault="00402EEB" w:rsidP="00402EEB">
      <w:pPr>
        <w:pStyle w:val="Bibliography"/>
        <w:ind w:left="720" w:hanging="720"/>
        <w:rPr>
          <w:noProof/>
          <w:sz w:val="20"/>
        </w:rPr>
      </w:pPr>
      <w:r w:rsidRPr="00402EEB">
        <w:rPr>
          <w:noProof/>
          <w:sz w:val="20"/>
        </w:rPr>
        <w:t>Raisbeck, D. (1980). Settlement of Power Station Structures in the Latrobe Valley, Victoria. Third Australia-New Zealand conference on Geomechanics (pp. 33-38). Wellington: Institution of Professional Engineers New Zealand.</w:t>
      </w:r>
    </w:p>
    <w:p w14:paraId="4BB03603" w14:textId="77777777" w:rsidR="00402EEB" w:rsidRPr="00402EEB" w:rsidRDefault="00402EEB" w:rsidP="00402EEB">
      <w:pPr>
        <w:pStyle w:val="Bibliography"/>
        <w:ind w:left="720" w:hanging="720"/>
        <w:rPr>
          <w:noProof/>
          <w:sz w:val="20"/>
        </w:rPr>
      </w:pPr>
      <w:r w:rsidRPr="00402EEB">
        <w:rPr>
          <w:noProof/>
          <w:sz w:val="20"/>
        </w:rPr>
        <w:t>Raisbeck, D. (1988). Surveillance of Structures in the Latrobe Valley. Maitland: Mine Subsidence Technological Society.</w:t>
      </w:r>
    </w:p>
    <w:p w14:paraId="4214ED54" w14:textId="77777777" w:rsidR="00402EEB" w:rsidRPr="00402EEB" w:rsidRDefault="00402EEB" w:rsidP="00402EEB">
      <w:pPr>
        <w:pStyle w:val="Bibliography"/>
        <w:ind w:left="720" w:hanging="720"/>
        <w:rPr>
          <w:noProof/>
          <w:sz w:val="20"/>
        </w:rPr>
      </w:pPr>
      <w:r w:rsidRPr="00402EEB">
        <w:rPr>
          <w:noProof/>
          <w:sz w:val="20"/>
        </w:rPr>
        <w:t>Raisbeck, D. (n.d.). Settlement of Power Station Structures in the Latrobe Valley, Victoria. State Electricity Commission of Victoria.</w:t>
      </w:r>
    </w:p>
    <w:p w14:paraId="37E179FF" w14:textId="77777777" w:rsidR="00402EEB" w:rsidRPr="00402EEB" w:rsidRDefault="00402EEB" w:rsidP="00402EEB">
      <w:pPr>
        <w:pStyle w:val="Bibliography"/>
        <w:ind w:left="720" w:hanging="720"/>
        <w:rPr>
          <w:noProof/>
          <w:sz w:val="20"/>
        </w:rPr>
      </w:pPr>
      <w:r w:rsidRPr="00402EEB">
        <w:rPr>
          <w:noProof/>
          <w:sz w:val="20"/>
        </w:rPr>
        <w:t>Raisebeck, D., &amp; Pedler, I. V. (1985). Settlement prediction and monitoring in an area of regional subsidence. State Electricity Commission of Victoria.</w:t>
      </w:r>
    </w:p>
    <w:p w14:paraId="6011F43E" w14:textId="77777777" w:rsidR="00402EEB" w:rsidRPr="00402EEB" w:rsidRDefault="00402EEB" w:rsidP="00402EEB">
      <w:pPr>
        <w:pStyle w:val="Bibliography"/>
        <w:ind w:left="720" w:hanging="720"/>
        <w:rPr>
          <w:noProof/>
          <w:sz w:val="20"/>
        </w:rPr>
      </w:pPr>
      <w:r w:rsidRPr="00402EEB">
        <w:rPr>
          <w:noProof/>
          <w:sz w:val="20"/>
        </w:rPr>
        <w:t>Rastogi, B. K., Rao, C. R., Chadha, R., &amp; Gupta, H. K. (1986). Microearthquakes near Osmansagar Reservoir, Hyderabad, India. Physics of the Earth and Planetary Interiors, 44, 134-141.</w:t>
      </w:r>
    </w:p>
    <w:p w14:paraId="2BD3C8BD" w14:textId="77777777" w:rsidR="00402EEB" w:rsidRPr="00402EEB" w:rsidRDefault="00402EEB" w:rsidP="00402EEB">
      <w:pPr>
        <w:pStyle w:val="Bibliography"/>
        <w:ind w:left="720" w:hanging="720"/>
        <w:rPr>
          <w:noProof/>
          <w:sz w:val="20"/>
        </w:rPr>
      </w:pPr>
      <w:r w:rsidRPr="00402EEB">
        <w:rPr>
          <w:noProof/>
          <w:sz w:val="20"/>
        </w:rPr>
        <w:t>Read, J (2009) Guidelines for Open Pit Slope Design. CSIRO</w:t>
      </w:r>
    </w:p>
    <w:p w14:paraId="76C8C8CF" w14:textId="77777777" w:rsidR="00402EEB" w:rsidRPr="00402EEB" w:rsidRDefault="00402EEB" w:rsidP="00402EEB">
      <w:pPr>
        <w:pStyle w:val="Bibliography"/>
        <w:ind w:left="720" w:hanging="720"/>
        <w:rPr>
          <w:noProof/>
          <w:sz w:val="20"/>
        </w:rPr>
      </w:pPr>
      <w:r w:rsidRPr="00402EEB">
        <w:rPr>
          <w:noProof/>
          <w:sz w:val="20"/>
        </w:rPr>
        <w:t>Read, J., and Stacey, P. (2009) Guidelines for Open Pit Slope Design. CSIRO 2009</w:t>
      </w:r>
    </w:p>
    <w:p w14:paraId="0FCC985A" w14:textId="77777777" w:rsidR="00402EEB" w:rsidRPr="00402EEB" w:rsidRDefault="00402EEB" w:rsidP="00402EEB">
      <w:pPr>
        <w:pStyle w:val="Bibliography"/>
        <w:ind w:left="720" w:hanging="720"/>
        <w:rPr>
          <w:noProof/>
          <w:sz w:val="20"/>
        </w:rPr>
      </w:pPr>
      <w:r w:rsidRPr="00402EEB">
        <w:rPr>
          <w:noProof/>
          <w:sz w:val="20"/>
        </w:rPr>
        <w:t>RISSB. (2013). Products Available for Use in Absence of RISSB Standards. Rail Industry Safety and Standards Board. V1. March 2013</w:t>
      </w:r>
    </w:p>
    <w:p w14:paraId="36FD5E95" w14:textId="77777777" w:rsidR="00402EEB" w:rsidRPr="00402EEB" w:rsidRDefault="00402EEB" w:rsidP="00402EEB">
      <w:pPr>
        <w:pStyle w:val="Bibliography"/>
        <w:ind w:left="720" w:hanging="720"/>
        <w:rPr>
          <w:noProof/>
          <w:sz w:val="20"/>
        </w:rPr>
      </w:pPr>
      <w:r w:rsidRPr="00402EEB">
        <w:rPr>
          <w:noProof/>
          <w:sz w:val="20"/>
        </w:rPr>
        <w:t>Sandiford, D., Gibson, G., &amp; Rawling, T. (2012) The 2012 Moe/Thorpdale earthquake: Preliminary investigation. School of Earth Sciences, University of Melbourne, December 11, 2012.</w:t>
      </w:r>
    </w:p>
    <w:p w14:paraId="31224236" w14:textId="77777777" w:rsidR="00402EEB" w:rsidRPr="00402EEB" w:rsidRDefault="00402EEB" w:rsidP="00402EEB">
      <w:pPr>
        <w:pStyle w:val="Bibliography"/>
        <w:ind w:left="720" w:hanging="720"/>
        <w:rPr>
          <w:noProof/>
          <w:sz w:val="20"/>
        </w:rPr>
      </w:pPr>
      <w:r w:rsidRPr="00402EEB">
        <w:rPr>
          <w:noProof/>
          <w:sz w:val="20"/>
        </w:rPr>
        <w:t>Sandiford, D., Gibson, G., &amp; Rawling, T. (2012). The 2012 Moe/Thorpdale Earthquake: Preliminary Investigation. Melbourne: School of Earth Sciences, University of Melbourne.</w:t>
      </w:r>
    </w:p>
    <w:p w14:paraId="0A52E16B" w14:textId="77777777" w:rsidR="00402EEB" w:rsidRPr="00402EEB" w:rsidRDefault="00402EEB" w:rsidP="00402EEB">
      <w:pPr>
        <w:pStyle w:val="Bibliography"/>
        <w:ind w:left="720" w:hanging="720"/>
        <w:rPr>
          <w:noProof/>
          <w:sz w:val="20"/>
        </w:rPr>
      </w:pPr>
      <w:r w:rsidRPr="00402EEB">
        <w:rPr>
          <w:noProof/>
          <w:sz w:val="20"/>
        </w:rPr>
        <w:t>Schaeffer, J., Laird, M., Kacavenda, S., Khan, S., &amp; Yuen, S. (2001). The Potential for Artificial Recharge of the Tertiary Aquifers of the Latrobe Valley depression, Victoria, Australia. 2nd ANZ Conference on Environmental Geotechnics (pp. 1-6). Newcastle: GeoEnvironment.</w:t>
      </w:r>
    </w:p>
    <w:p w14:paraId="289E8A82" w14:textId="77777777" w:rsidR="00402EEB" w:rsidRPr="00402EEB" w:rsidRDefault="00402EEB" w:rsidP="00402EEB">
      <w:pPr>
        <w:pStyle w:val="Bibliography"/>
        <w:ind w:left="720" w:hanging="720"/>
        <w:rPr>
          <w:noProof/>
          <w:sz w:val="20"/>
        </w:rPr>
      </w:pPr>
      <w:r w:rsidRPr="00402EEB">
        <w:rPr>
          <w:noProof/>
          <w:sz w:val="20"/>
        </w:rPr>
        <w:t>Schneider , J. f., &amp; Silva, W. J. (200). Earthquake Scenario Ground Motion Hazard Maps for the San Francisco Bay Region. 2000 Conference of the Australian Earthquake Engineering Society. AEES.</w:t>
      </w:r>
    </w:p>
    <w:p w14:paraId="65345F63" w14:textId="77777777" w:rsidR="00402EEB" w:rsidRPr="00402EEB" w:rsidRDefault="00402EEB" w:rsidP="00402EEB">
      <w:pPr>
        <w:pStyle w:val="Bibliography"/>
        <w:ind w:left="720" w:hanging="720"/>
        <w:rPr>
          <w:noProof/>
          <w:sz w:val="20"/>
        </w:rPr>
      </w:pPr>
      <w:r w:rsidRPr="00402EEB">
        <w:rPr>
          <w:noProof/>
          <w:sz w:val="20"/>
        </w:rPr>
        <w:t>SEC (1976) Investigation of the Effects of Ground Movements on Gas Pipelines; Morwell Township, Letter to Chief Engineer, Gas and Fuel Corporation, 25 may 1976.</w:t>
      </w:r>
    </w:p>
    <w:p w14:paraId="253C41B7" w14:textId="77777777" w:rsidR="00402EEB" w:rsidRPr="00402EEB" w:rsidRDefault="00402EEB" w:rsidP="00402EEB">
      <w:pPr>
        <w:pStyle w:val="Bibliography"/>
        <w:ind w:left="720" w:hanging="720"/>
        <w:rPr>
          <w:noProof/>
          <w:sz w:val="20"/>
        </w:rPr>
      </w:pPr>
      <w:r w:rsidRPr="00402EEB">
        <w:rPr>
          <w:noProof/>
          <w:sz w:val="20"/>
        </w:rPr>
        <w:t>Sharpio, S. A., Dinske, C., Langenbruch, C., &amp; Wenzel, F. (2010). Seismogenic index and magnitude probability of earthquakes. The Leading Edge, 304-309.</w:t>
      </w:r>
    </w:p>
    <w:p w14:paraId="13B1E0C6" w14:textId="77777777" w:rsidR="00402EEB" w:rsidRPr="00402EEB" w:rsidRDefault="00402EEB" w:rsidP="00402EEB">
      <w:pPr>
        <w:pStyle w:val="Bibliography"/>
        <w:ind w:left="720" w:hanging="720"/>
        <w:rPr>
          <w:noProof/>
          <w:sz w:val="20"/>
        </w:rPr>
      </w:pPr>
      <w:r w:rsidRPr="00402EEB">
        <w:rPr>
          <w:noProof/>
          <w:sz w:val="20"/>
        </w:rPr>
        <w:t>Shire of Traralgon. (1987). RE: Traralgon Creek Road. Traralgon: Shire of Traralgon.</w:t>
      </w:r>
    </w:p>
    <w:p w14:paraId="2A08D6DC" w14:textId="77777777" w:rsidR="00402EEB" w:rsidRPr="00402EEB" w:rsidRDefault="00402EEB" w:rsidP="00402EEB">
      <w:pPr>
        <w:pStyle w:val="Bibliography"/>
        <w:ind w:left="720" w:hanging="720"/>
        <w:rPr>
          <w:noProof/>
          <w:sz w:val="20"/>
        </w:rPr>
      </w:pPr>
      <w:r w:rsidRPr="00402EEB">
        <w:rPr>
          <w:noProof/>
          <w:sz w:val="20"/>
        </w:rPr>
        <w:t>Sinadinovski, C., &amp; McCue, K. (2001). Recurrence Relationships For Australian Earthquakes. Engineering Earthquake Engineering Society (pp. 1-538). Canberra: AEES.</w:t>
      </w:r>
    </w:p>
    <w:p w14:paraId="302781FA" w14:textId="77777777" w:rsidR="00402EEB" w:rsidRPr="00402EEB" w:rsidRDefault="00402EEB" w:rsidP="00402EEB">
      <w:pPr>
        <w:pStyle w:val="Bibliography"/>
        <w:ind w:left="720" w:hanging="720"/>
        <w:rPr>
          <w:noProof/>
          <w:sz w:val="20"/>
        </w:rPr>
      </w:pPr>
      <w:r w:rsidRPr="00402EEB">
        <w:rPr>
          <w:noProof/>
          <w:sz w:val="20"/>
        </w:rPr>
        <w:t>Singh, M. (1986) Mine Subsidence, Society for Mining Engineers, Mining and Exploration Division, Coal Division</w:t>
      </w:r>
    </w:p>
    <w:p w14:paraId="76B2154E" w14:textId="77777777" w:rsidR="00402EEB" w:rsidRPr="00402EEB" w:rsidRDefault="00402EEB" w:rsidP="00402EEB">
      <w:pPr>
        <w:pStyle w:val="Bibliography"/>
        <w:ind w:left="720" w:hanging="720"/>
        <w:rPr>
          <w:noProof/>
          <w:sz w:val="20"/>
        </w:rPr>
      </w:pPr>
      <w:r w:rsidRPr="00402EEB">
        <w:rPr>
          <w:noProof/>
          <w:sz w:val="20"/>
        </w:rPr>
        <w:t>Sriram Kalaga, Prasad Yenumula (2016) Design of Electrical Tranmission Lines: Structures and Foundations</w:t>
      </w:r>
    </w:p>
    <w:p w14:paraId="28E84819" w14:textId="77777777" w:rsidR="00402EEB" w:rsidRPr="00402EEB" w:rsidRDefault="00402EEB" w:rsidP="00402EEB">
      <w:pPr>
        <w:pStyle w:val="Bibliography"/>
        <w:ind w:left="720" w:hanging="720"/>
        <w:rPr>
          <w:noProof/>
          <w:sz w:val="20"/>
        </w:rPr>
      </w:pPr>
      <w:r w:rsidRPr="00402EEB">
        <w:rPr>
          <w:noProof/>
          <w:sz w:val="20"/>
        </w:rPr>
        <w:t>State Electricity Commission of Victoria, Fuel Department. (1987). Latrobe Valley Subsidence Predictions Traralgon Townships (GVB07024). In DD221. Open Cut Design Division.</w:t>
      </w:r>
    </w:p>
    <w:p w14:paraId="7222BD2C" w14:textId="77777777" w:rsidR="00402EEB" w:rsidRPr="00402EEB" w:rsidRDefault="00402EEB" w:rsidP="00402EEB">
      <w:pPr>
        <w:pStyle w:val="Bibliography"/>
        <w:ind w:left="720" w:hanging="720"/>
        <w:rPr>
          <w:noProof/>
          <w:sz w:val="20"/>
        </w:rPr>
      </w:pPr>
      <w:r w:rsidRPr="00402EEB">
        <w:rPr>
          <w:noProof/>
          <w:sz w:val="20"/>
        </w:rPr>
        <w:t>State Electricity Commission of Victoria. (1967). Local Earth Movements at Yallourn North Extension Open Cut. In C. M. Barton, Geological Report No. 17. State Electricity Commission of Victoria.</w:t>
      </w:r>
    </w:p>
    <w:p w14:paraId="39C035E0" w14:textId="77777777" w:rsidR="00402EEB" w:rsidRPr="00402EEB" w:rsidRDefault="00402EEB" w:rsidP="00402EEB">
      <w:pPr>
        <w:pStyle w:val="Bibliography"/>
        <w:ind w:left="720" w:hanging="720"/>
        <w:rPr>
          <w:noProof/>
          <w:sz w:val="20"/>
        </w:rPr>
      </w:pPr>
      <w:r w:rsidRPr="00402EEB">
        <w:rPr>
          <w:noProof/>
          <w:sz w:val="20"/>
        </w:rPr>
        <w:t>State Electricity Commission of Victoria. (1972-1985). Latrobe Valley Earth Movements. In Correspondence and Technical Documentation (GVC08273). State Electricity Commission of Victoria.</w:t>
      </w:r>
    </w:p>
    <w:p w14:paraId="1DDF93A4" w14:textId="77777777" w:rsidR="00402EEB" w:rsidRPr="00402EEB" w:rsidRDefault="00402EEB" w:rsidP="00402EEB">
      <w:pPr>
        <w:pStyle w:val="Bibliography"/>
        <w:ind w:left="720" w:hanging="720"/>
        <w:rPr>
          <w:noProof/>
          <w:sz w:val="20"/>
        </w:rPr>
      </w:pPr>
      <w:r w:rsidRPr="00402EEB">
        <w:rPr>
          <w:noProof/>
          <w:sz w:val="20"/>
        </w:rPr>
        <w:t>State Electricity Commission of Victoria. (1975-1976). Effects of Ground Movement on Gas Pipelines, Morwell Township. In Correspondence and Technical Documentation, (GVC08271). State Electricity Commission of Victoria.</w:t>
      </w:r>
    </w:p>
    <w:p w14:paraId="252FB613" w14:textId="77777777" w:rsidR="00402EEB" w:rsidRPr="00402EEB" w:rsidRDefault="00402EEB" w:rsidP="00402EEB">
      <w:pPr>
        <w:pStyle w:val="Bibliography"/>
        <w:ind w:left="720" w:hanging="720"/>
        <w:rPr>
          <w:noProof/>
          <w:sz w:val="20"/>
        </w:rPr>
      </w:pPr>
      <w:r w:rsidRPr="00402EEB">
        <w:rPr>
          <w:noProof/>
          <w:sz w:val="20"/>
        </w:rPr>
        <w:t>State Electricity Commission of Victoria. (1984). Report of Surveillance of Structures in the Latrobe Valley (GDV05309). In P. Schneider, G. Reinsch, &amp; D. Raisbeck, GD1. State Electricity Commission of Victoria.</w:t>
      </w:r>
    </w:p>
    <w:p w14:paraId="3268B2EC" w14:textId="77777777" w:rsidR="00402EEB" w:rsidRPr="00402EEB" w:rsidRDefault="00402EEB" w:rsidP="00402EEB">
      <w:pPr>
        <w:pStyle w:val="Bibliography"/>
        <w:ind w:left="720" w:hanging="720"/>
        <w:rPr>
          <w:noProof/>
          <w:sz w:val="20"/>
        </w:rPr>
      </w:pPr>
      <w:r w:rsidRPr="00402EEB">
        <w:rPr>
          <w:noProof/>
          <w:sz w:val="20"/>
        </w:rPr>
        <w:t>State Electricity Commission of Victoria. (1984). Yallourn Open Cut Stability of Western Batters, Measurement of In Situ Horizontal Stresses (GVB07289). In Report No. GD2. State Electricity Commission of Victoria.</w:t>
      </w:r>
    </w:p>
    <w:p w14:paraId="75A4CE2A" w14:textId="77777777" w:rsidR="00402EEB" w:rsidRPr="00402EEB" w:rsidRDefault="00402EEB" w:rsidP="00402EEB">
      <w:pPr>
        <w:pStyle w:val="Bibliography"/>
        <w:ind w:left="720" w:hanging="720"/>
        <w:rPr>
          <w:noProof/>
          <w:sz w:val="20"/>
        </w:rPr>
      </w:pPr>
      <w:r w:rsidRPr="00402EEB">
        <w:rPr>
          <w:noProof/>
          <w:sz w:val="20"/>
        </w:rPr>
        <w:t>State Electricity Commission of Victoria. (1985). Report of Surveillance of Structures in the Latrobe Valley: 1985 (GVD05316). In H. Mulder, S. Libroaperto, &amp; D. Raisbeck, GD26. State Electricity Commission of Victoria.</w:t>
      </w:r>
    </w:p>
    <w:p w14:paraId="4E861792" w14:textId="77777777" w:rsidR="00402EEB" w:rsidRPr="00402EEB" w:rsidRDefault="00402EEB" w:rsidP="00402EEB">
      <w:pPr>
        <w:pStyle w:val="Bibliography"/>
        <w:ind w:left="720" w:hanging="720"/>
        <w:rPr>
          <w:noProof/>
          <w:sz w:val="20"/>
        </w:rPr>
      </w:pPr>
      <w:r w:rsidRPr="00402EEB">
        <w:rPr>
          <w:noProof/>
          <w:sz w:val="20"/>
        </w:rPr>
        <w:t>State Electricity Commission of Victoria. (1985-1989). Correspondence and Technical Documentation (GVC08184), Alleged Subsidence. State Electricity Commission of Victoria.</w:t>
      </w:r>
    </w:p>
    <w:p w14:paraId="09430EB0" w14:textId="77777777" w:rsidR="00402EEB" w:rsidRPr="00402EEB" w:rsidRDefault="00402EEB" w:rsidP="00402EEB">
      <w:pPr>
        <w:pStyle w:val="Bibliography"/>
        <w:ind w:left="720" w:hanging="720"/>
        <w:rPr>
          <w:noProof/>
          <w:sz w:val="20"/>
        </w:rPr>
      </w:pPr>
      <w:r w:rsidRPr="00402EEB">
        <w:rPr>
          <w:noProof/>
          <w:sz w:val="20"/>
        </w:rPr>
        <w:t>State Electricity Commission of Victoria. (1986). Report of Surveillance of Structures in the Latrobe Valley: 1986. In W. Martin, A. Skotnicki, &amp; D. Raisbeck, GDD1. State Electricity Commission of Victoria.</w:t>
      </w:r>
    </w:p>
    <w:p w14:paraId="6C9736D3" w14:textId="77777777" w:rsidR="00402EEB" w:rsidRPr="00402EEB" w:rsidRDefault="00402EEB" w:rsidP="00402EEB">
      <w:pPr>
        <w:pStyle w:val="Bibliography"/>
        <w:ind w:left="720" w:hanging="720"/>
        <w:rPr>
          <w:noProof/>
          <w:sz w:val="20"/>
        </w:rPr>
      </w:pPr>
      <w:r w:rsidRPr="00402EEB">
        <w:rPr>
          <w:noProof/>
          <w:sz w:val="20"/>
        </w:rPr>
        <w:t>State Electricity Commission of Victoria. (1987). Earth Movement Claim, Shire of Traralgon (Traralgon Creek Road Near Settling Pond)( File No 12380). State Electricity Commission of Victoria.</w:t>
      </w:r>
    </w:p>
    <w:p w14:paraId="001F2209" w14:textId="77777777" w:rsidR="00402EEB" w:rsidRPr="00402EEB" w:rsidRDefault="00402EEB" w:rsidP="00402EEB">
      <w:pPr>
        <w:pStyle w:val="Bibliography"/>
        <w:ind w:left="720" w:hanging="720"/>
        <w:rPr>
          <w:noProof/>
          <w:sz w:val="20"/>
        </w:rPr>
      </w:pPr>
      <w:r w:rsidRPr="00402EEB">
        <w:rPr>
          <w:noProof/>
          <w:sz w:val="20"/>
        </w:rPr>
        <w:t>State Electricity Commission of Victoria. (1987-1990). Earth Movement Claims - 22 Wallace Street, Morwell. In Correspondence and Technical Documents (GCV08274). State Electricity Commission of Victoria.</w:t>
      </w:r>
    </w:p>
    <w:p w14:paraId="45695D9B" w14:textId="77777777" w:rsidR="00402EEB" w:rsidRPr="00402EEB" w:rsidRDefault="00402EEB" w:rsidP="00402EEB">
      <w:pPr>
        <w:pStyle w:val="Bibliography"/>
        <w:ind w:left="720" w:hanging="720"/>
        <w:rPr>
          <w:noProof/>
          <w:sz w:val="20"/>
        </w:rPr>
      </w:pPr>
      <w:r w:rsidRPr="00402EEB">
        <w:rPr>
          <w:noProof/>
          <w:sz w:val="20"/>
        </w:rPr>
        <w:t>State Electricity Commission of Victoria. (1989). Ground Movement Survey - Morwell. State Electricity Commission of Victoria.</w:t>
      </w:r>
    </w:p>
    <w:p w14:paraId="7638CED6" w14:textId="77777777" w:rsidR="00402EEB" w:rsidRPr="00402EEB" w:rsidRDefault="00402EEB" w:rsidP="00402EEB">
      <w:pPr>
        <w:pStyle w:val="Bibliography"/>
        <w:ind w:left="720" w:hanging="720"/>
        <w:rPr>
          <w:noProof/>
          <w:sz w:val="20"/>
        </w:rPr>
      </w:pPr>
      <w:r w:rsidRPr="00402EEB">
        <w:rPr>
          <w:noProof/>
          <w:sz w:val="20"/>
        </w:rPr>
        <w:t>State Electricity Commission of Victoria. (1989). Morwell Township and Ground Movements. State Electricity Commission of Victoria.</w:t>
      </w:r>
    </w:p>
    <w:p w14:paraId="7C63D390" w14:textId="77777777" w:rsidR="00402EEB" w:rsidRPr="00402EEB" w:rsidRDefault="00402EEB" w:rsidP="00402EEB">
      <w:pPr>
        <w:pStyle w:val="Bibliography"/>
        <w:ind w:left="720" w:hanging="720"/>
        <w:rPr>
          <w:noProof/>
          <w:sz w:val="20"/>
        </w:rPr>
      </w:pPr>
      <w:r w:rsidRPr="00402EEB">
        <w:rPr>
          <w:noProof/>
          <w:sz w:val="20"/>
        </w:rPr>
        <w:t>State Electricity Commission of Victoria. (1989). Morwell Township Ground Movements (File no DEE 41AB5901). State Electricity Commission of Victoria.</w:t>
      </w:r>
    </w:p>
    <w:p w14:paraId="1CB823D7" w14:textId="77777777" w:rsidR="00402EEB" w:rsidRPr="00402EEB" w:rsidRDefault="00402EEB" w:rsidP="00402EEB">
      <w:pPr>
        <w:pStyle w:val="Bibliography"/>
        <w:ind w:left="720" w:hanging="720"/>
        <w:rPr>
          <w:noProof/>
          <w:sz w:val="20"/>
        </w:rPr>
      </w:pPr>
      <w:r w:rsidRPr="00402EEB">
        <w:rPr>
          <w:noProof/>
          <w:sz w:val="20"/>
        </w:rPr>
        <w:t>State Electricity Commission of Victoria. (1989). Morwell Township Movements. State Electricity Commission of Victoria.</w:t>
      </w:r>
    </w:p>
    <w:p w14:paraId="5F43B191" w14:textId="77777777" w:rsidR="00402EEB" w:rsidRPr="00402EEB" w:rsidRDefault="00402EEB" w:rsidP="00402EEB">
      <w:pPr>
        <w:pStyle w:val="Bibliography"/>
        <w:ind w:left="720" w:hanging="720"/>
        <w:rPr>
          <w:noProof/>
          <w:sz w:val="20"/>
        </w:rPr>
      </w:pPr>
      <w:r w:rsidRPr="00402EEB">
        <w:rPr>
          <w:noProof/>
          <w:sz w:val="20"/>
        </w:rPr>
        <w:t>State Electricity Commission of Victoria. (1989). Morwell Township Movements. State Electricity Commission of Victoria.</w:t>
      </w:r>
    </w:p>
    <w:p w14:paraId="42FFE5F0" w14:textId="77777777" w:rsidR="00402EEB" w:rsidRPr="00402EEB" w:rsidRDefault="00402EEB" w:rsidP="00402EEB">
      <w:pPr>
        <w:pStyle w:val="Bibliography"/>
        <w:ind w:left="720" w:hanging="720"/>
        <w:rPr>
          <w:noProof/>
          <w:sz w:val="20"/>
        </w:rPr>
      </w:pPr>
      <w:r w:rsidRPr="00402EEB">
        <w:rPr>
          <w:noProof/>
          <w:sz w:val="20"/>
        </w:rPr>
        <w:t>State Electricity Commission of Victoria. (1989). Report GDD 19. State Electricity Commission of Victoria.</w:t>
      </w:r>
    </w:p>
    <w:p w14:paraId="6E24EEFE" w14:textId="77777777" w:rsidR="00402EEB" w:rsidRPr="00402EEB" w:rsidRDefault="00402EEB" w:rsidP="00402EEB">
      <w:pPr>
        <w:pStyle w:val="Bibliography"/>
        <w:ind w:left="720" w:hanging="720"/>
        <w:rPr>
          <w:noProof/>
          <w:sz w:val="20"/>
        </w:rPr>
      </w:pPr>
      <w:r w:rsidRPr="00402EEB">
        <w:rPr>
          <w:noProof/>
          <w:sz w:val="20"/>
        </w:rPr>
        <w:t>State Electricity Commission of Victoria. (1989). Report of Surveillance of Structures in the Latrobe Valley - 1989 (GVF05479). In A. Hateley, &amp; D. Raisbeck, GDD43. State Electricity Commission of Victoria.</w:t>
      </w:r>
    </w:p>
    <w:p w14:paraId="19F17911" w14:textId="77777777" w:rsidR="00402EEB" w:rsidRPr="00402EEB" w:rsidRDefault="00402EEB" w:rsidP="00402EEB">
      <w:pPr>
        <w:pStyle w:val="Bibliography"/>
        <w:ind w:left="720" w:hanging="720"/>
        <w:rPr>
          <w:noProof/>
          <w:sz w:val="20"/>
        </w:rPr>
      </w:pPr>
      <w:r w:rsidRPr="00402EEB">
        <w:rPr>
          <w:noProof/>
          <w:sz w:val="20"/>
        </w:rPr>
        <w:t>State Electricity Commission of Victoria. (1990). Earth Movement Claim, 22 Wallace Street (File No DEE 295/7). State Electricity Commission of Victoria.</w:t>
      </w:r>
    </w:p>
    <w:p w14:paraId="5FBE3F24" w14:textId="77777777" w:rsidR="00402EEB" w:rsidRPr="00402EEB" w:rsidRDefault="00402EEB" w:rsidP="00402EEB">
      <w:pPr>
        <w:pStyle w:val="Bibliography"/>
        <w:ind w:left="720" w:hanging="720"/>
        <w:rPr>
          <w:noProof/>
          <w:sz w:val="20"/>
        </w:rPr>
      </w:pPr>
      <w:r w:rsidRPr="00402EEB">
        <w:rPr>
          <w:noProof/>
          <w:sz w:val="20"/>
        </w:rPr>
        <w:t>State Electricity Commission of Victoria. (1990). Earth Movement Claim, 22 Wallace Street, Morwell (File No GD 1905/4). State Electricity Commission of Victoria.</w:t>
      </w:r>
    </w:p>
    <w:p w14:paraId="20892A3D" w14:textId="77777777" w:rsidR="00402EEB" w:rsidRPr="00402EEB" w:rsidRDefault="00402EEB" w:rsidP="00402EEB">
      <w:pPr>
        <w:pStyle w:val="Bibliography"/>
        <w:ind w:left="720" w:hanging="720"/>
        <w:rPr>
          <w:noProof/>
          <w:sz w:val="20"/>
        </w:rPr>
      </w:pPr>
      <w:r w:rsidRPr="00402EEB">
        <w:rPr>
          <w:noProof/>
          <w:sz w:val="20"/>
        </w:rPr>
        <w:t>State Electricity Commission of Victoria. (1990). Morwell Township Ground Movements, Survey Data Revised to June 1990, Report No. GDD67. State Electricity Commission of Victoria.</w:t>
      </w:r>
    </w:p>
    <w:p w14:paraId="492617B0" w14:textId="77777777" w:rsidR="00402EEB" w:rsidRPr="00402EEB" w:rsidRDefault="00402EEB" w:rsidP="00402EEB">
      <w:pPr>
        <w:pStyle w:val="Bibliography"/>
        <w:ind w:left="720" w:hanging="720"/>
        <w:rPr>
          <w:noProof/>
          <w:sz w:val="20"/>
        </w:rPr>
      </w:pPr>
      <w:r w:rsidRPr="00402EEB">
        <w:rPr>
          <w:noProof/>
          <w:sz w:val="20"/>
        </w:rPr>
        <w:t>Tadepalli, R. and Fredlund, D.G. (1991) The collapse behaviour of a compacted soil during inundation. Canadian Geotechnical Journal, 28, 477-488</w:t>
      </w:r>
    </w:p>
    <w:p w14:paraId="55679740" w14:textId="77777777" w:rsidR="00402EEB" w:rsidRPr="00402EEB" w:rsidRDefault="00402EEB" w:rsidP="00402EEB">
      <w:pPr>
        <w:pStyle w:val="Bibliography"/>
        <w:ind w:left="720" w:hanging="720"/>
        <w:rPr>
          <w:noProof/>
          <w:sz w:val="20"/>
        </w:rPr>
      </w:pPr>
      <w:r w:rsidRPr="00402EEB">
        <w:rPr>
          <w:noProof/>
          <w:sz w:val="20"/>
        </w:rPr>
        <w:t>Tobyas, V. (1996). Induced Seismicity by Open Pit Mining in North West Bohemia. ACTA Montana IRSM AS CR, Series A, 159-168.</w:t>
      </w:r>
    </w:p>
    <w:p w14:paraId="022243B3" w14:textId="77777777" w:rsidR="00402EEB" w:rsidRPr="00402EEB" w:rsidRDefault="00402EEB" w:rsidP="00402EEB">
      <w:pPr>
        <w:pStyle w:val="Bibliography"/>
        <w:ind w:left="720" w:hanging="720"/>
        <w:rPr>
          <w:noProof/>
          <w:sz w:val="20"/>
        </w:rPr>
      </w:pPr>
      <w:r w:rsidRPr="00402EEB">
        <w:rPr>
          <w:noProof/>
          <w:sz w:val="20"/>
        </w:rPr>
        <w:t>Tomic, J., Abercrombie, R. E., &amp; Nascimento, A. F. (2009). Source parameters and rupture velocity of small M ≤ 2.1 reservoir. Geophysics Journal International 179, 1013-1023.</w:t>
      </w:r>
    </w:p>
    <w:p w14:paraId="778BEE82" w14:textId="77777777" w:rsidR="00402EEB" w:rsidRPr="00402EEB" w:rsidRDefault="00402EEB" w:rsidP="00402EEB">
      <w:pPr>
        <w:pStyle w:val="Bibliography"/>
        <w:ind w:left="720" w:hanging="720"/>
        <w:rPr>
          <w:noProof/>
          <w:sz w:val="20"/>
        </w:rPr>
      </w:pPr>
      <w:r w:rsidRPr="00402EEB">
        <w:rPr>
          <w:noProof/>
          <w:sz w:val="20"/>
        </w:rPr>
        <w:t>Trautmann, C.H., and O’Rourke, T.D., (1985) Lateral force-displacement response of buried pipe. ASCE J. Geotech eng. 111(9):1077-1092.</w:t>
      </w:r>
    </w:p>
    <w:p w14:paraId="4E49F22E" w14:textId="77777777" w:rsidR="00402EEB" w:rsidRPr="00402EEB" w:rsidRDefault="00402EEB" w:rsidP="00402EEB">
      <w:pPr>
        <w:pStyle w:val="Bibliography"/>
        <w:ind w:left="720" w:hanging="720"/>
        <w:rPr>
          <w:noProof/>
          <w:sz w:val="20"/>
        </w:rPr>
      </w:pPr>
      <w:r w:rsidRPr="00402EEB">
        <w:rPr>
          <w:noProof/>
          <w:sz w:val="20"/>
        </w:rPr>
        <w:t>Tschebotarioff, G. P. (1973). Foundations, Retaining and Earth Structures. 2nd Edition Pub McGraw-Hill p176.</w:t>
      </w:r>
    </w:p>
    <w:p w14:paraId="05DCB059" w14:textId="77777777" w:rsidR="00402EEB" w:rsidRPr="00402EEB" w:rsidRDefault="00402EEB" w:rsidP="00402EEB">
      <w:pPr>
        <w:pStyle w:val="Bibliography"/>
        <w:ind w:left="720" w:hanging="720"/>
        <w:rPr>
          <w:noProof/>
          <w:sz w:val="20"/>
        </w:rPr>
      </w:pPr>
      <w:r w:rsidRPr="00402EEB">
        <w:rPr>
          <w:noProof/>
          <w:sz w:val="20"/>
        </w:rPr>
        <w:t>Turnbull, M. (2000). Seismic Microzonation of Bundaberg, Queensland. 2000 Conference of the Australian Earthquake Engineering Society (pp. 1-7). AEES.</w:t>
      </w:r>
    </w:p>
    <w:p w14:paraId="7E65ED71" w14:textId="77777777" w:rsidR="00402EEB" w:rsidRPr="00402EEB" w:rsidRDefault="00402EEB" w:rsidP="00402EEB">
      <w:pPr>
        <w:pStyle w:val="Bibliography"/>
        <w:ind w:left="720" w:hanging="720"/>
        <w:rPr>
          <w:noProof/>
          <w:sz w:val="20"/>
        </w:rPr>
      </w:pPr>
      <w:r w:rsidRPr="00402EEB">
        <w:rPr>
          <w:noProof/>
          <w:sz w:val="20"/>
        </w:rPr>
        <w:t>Urban Services. (n.d.). Design Standards for Urban Infrastructure for Urban Infrastructure - 3 Road Design. Canberra: Urban Services .</w:t>
      </w:r>
    </w:p>
    <w:p w14:paraId="27530136" w14:textId="77777777" w:rsidR="00402EEB" w:rsidRPr="00402EEB" w:rsidRDefault="00402EEB" w:rsidP="00402EEB">
      <w:pPr>
        <w:pStyle w:val="Bibliography"/>
        <w:ind w:left="720" w:hanging="720"/>
        <w:rPr>
          <w:noProof/>
          <w:sz w:val="20"/>
        </w:rPr>
      </w:pPr>
      <w:r w:rsidRPr="00402EEB">
        <w:rPr>
          <w:noProof/>
          <w:sz w:val="20"/>
        </w:rPr>
        <w:t>Vic Roads. (2010). Pit and Pipe Invert Levels. Vic Roads.</w:t>
      </w:r>
    </w:p>
    <w:p w14:paraId="36624385" w14:textId="77777777" w:rsidR="00402EEB" w:rsidRPr="00402EEB" w:rsidRDefault="00402EEB" w:rsidP="00402EEB">
      <w:pPr>
        <w:pStyle w:val="Bibliography"/>
        <w:ind w:left="720" w:hanging="720"/>
        <w:rPr>
          <w:noProof/>
          <w:sz w:val="20"/>
        </w:rPr>
      </w:pPr>
      <w:r w:rsidRPr="00402EEB">
        <w:rPr>
          <w:noProof/>
          <w:sz w:val="20"/>
        </w:rPr>
        <w:t>Vic Roads. (2012). Vic Roads Road Maintenance Category - Road List Version 1. Prepared by D &amp; Li, Vic Roads.</w:t>
      </w:r>
    </w:p>
    <w:p w14:paraId="72C5030E" w14:textId="77777777" w:rsidR="00402EEB" w:rsidRPr="00402EEB" w:rsidRDefault="00402EEB" w:rsidP="00402EEB">
      <w:pPr>
        <w:pStyle w:val="Bibliography"/>
        <w:ind w:left="720" w:hanging="720"/>
        <w:rPr>
          <w:noProof/>
          <w:sz w:val="20"/>
        </w:rPr>
      </w:pPr>
      <w:r w:rsidRPr="00402EEB">
        <w:rPr>
          <w:noProof/>
          <w:sz w:val="20"/>
        </w:rPr>
        <w:t>Vic Roads. (2013). Vic Roads Supplement to the Austroad Guide to Bridge Technology. Vic Roads.</w:t>
      </w:r>
    </w:p>
    <w:p w14:paraId="0B1323B4" w14:textId="77777777" w:rsidR="00402EEB" w:rsidRPr="00402EEB" w:rsidRDefault="00402EEB" w:rsidP="00402EEB">
      <w:pPr>
        <w:pStyle w:val="Bibliography"/>
        <w:ind w:left="720" w:hanging="720"/>
        <w:rPr>
          <w:noProof/>
          <w:sz w:val="20"/>
        </w:rPr>
      </w:pPr>
      <w:r w:rsidRPr="00402EEB">
        <w:rPr>
          <w:noProof/>
          <w:sz w:val="20"/>
        </w:rPr>
        <w:t>Vic Roads. (2013). Vic Roads Supplement to the Austroads Guide to Road Design; Part 5, Part 5A and Part 5B. Vic Roads.</w:t>
      </w:r>
    </w:p>
    <w:p w14:paraId="784D6E5A" w14:textId="77777777" w:rsidR="00402EEB" w:rsidRPr="00402EEB" w:rsidRDefault="00402EEB" w:rsidP="00402EEB">
      <w:pPr>
        <w:pStyle w:val="Bibliography"/>
        <w:ind w:left="720" w:hanging="720"/>
        <w:rPr>
          <w:noProof/>
          <w:sz w:val="20"/>
        </w:rPr>
      </w:pPr>
      <w:r w:rsidRPr="00402EEB">
        <w:rPr>
          <w:noProof/>
          <w:sz w:val="20"/>
        </w:rPr>
        <w:t>Vic Roads. (2014). Road Management Plan. Vic Roads.</w:t>
      </w:r>
    </w:p>
    <w:p w14:paraId="4D8F7B37" w14:textId="77777777" w:rsidR="00402EEB" w:rsidRPr="00402EEB" w:rsidRDefault="00402EEB" w:rsidP="00402EEB">
      <w:pPr>
        <w:pStyle w:val="Bibliography"/>
        <w:ind w:left="720" w:hanging="720"/>
        <w:rPr>
          <w:noProof/>
          <w:sz w:val="20"/>
        </w:rPr>
      </w:pPr>
      <w:r w:rsidRPr="00402EEB">
        <w:rPr>
          <w:noProof/>
          <w:sz w:val="20"/>
        </w:rPr>
        <w:t>VicRoads Road Management Plan (2014)</w:t>
      </w:r>
    </w:p>
    <w:p w14:paraId="1476C506" w14:textId="77777777" w:rsidR="00402EEB" w:rsidRPr="00402EEB" w:rsidRDefault="00402EEB" w:rsidP="00402EEB">
      <w:pPr>
        <w:pStyle w:val="Bibliography"/>
        <w:ind w:left="720" w:hanging="720"/>
        <w:rPr>
          <w:noProof/>
          <w:sz w:val="20"/>
        </w:rPr>
      </w:pPr>
      <w:r w:rsidRPr="00402EEB">
        <w:rPr>
          <w:noProof/>
          <w:sz w:val="20"/>
        </w:rPr>
        <w:t>Wang, Z. (2006). Understanding Seismic Hazard and Risk Assessments: an Example in the New Madrid Seismic Zone of the Central United States. Proceedings of the 8th U.S. National Conference on Earthquake Engineering. San Francisco: Earthquake Engineering Research Institute.</w:t>
      </w:r>
    </w:p>
    <w:p w14:paraId="2B713B11" w14:textId="77777777" w:rsidR="00402EEB" w:rsidRPr="00402EEB" w:rsidRDefault="00402EEB" w:rsidP="00402EEB">
      <w:pPr>
        <w:pStyle w:val="Bibliography"/>
        <w:ind w:left="720" w:hanging="720"/>
        <w:rPr>
          <w:noProof/>
          <w:sz w:val="20"/>
        </w:rPr>
      </w:pPr>
      <w:r w:rsidRPr="00402EEB">
        <w:rPr>
          <w:noProof/>
          <w:sz w:val="20"/>
        </w:rPr>
        <w:t>Wieland, M. (n.d.). Seismic Design and Performance Criteria for Large Storage Dams . Zurich: Poyry Switzerland Ltd.</w:t>
      </w:r>
    </w:p>
    <w:p w14:paraId="31F3C462" w14:textId="77777777" w:rsidR="00402EEB" w:rsidRPr="00402EEB" w:rsidRDefault="00402EEB" w:rsidP="00402EEB">
      <w:pPr>
        <w:pStyle w:val="Bibliography"/>
        <w:ind w:left="720" w:hanging="720"/>
        <w:rPr>
          <w:noProof/>
          <w:sz w:val="20"/>
        </w:rPr>
      </w:pPr>
      <w:r w:rsidRPr="00402EEB">
        <w:rPr>
          <w:noProof/>
          <w:sz w:val="20"/>
        </w:rPr>
        <w:t>Williams, N., &amp; Leonard, M. (2001). Classifying the Seismic Regions of Australia. Australian Earthquake Engineering Society (pp. 1-538). Canberra: AEES.</w:t>
      </w:r>
    </w:p>
    <w:p w14:paraId="6FC1A8D5" w14:textId="77777777" w:rsidR="00402EEB" w:rsidRPr="00402EEB" w:rsidRDefault="00402EEB" w:rsidP="00402EEB">
      <w:pPr>
        <w:pStyle w:val="Bibliography"/>
        <w:ind w:left="720" w:hanging="720"/>
        <w:rPr>
          <w:noProof/>
          <w:sz w:val="20"/>
        </w:rPr>
      </w:pPr>
      <w:r w:rsidRPr="00402EEB">
        <w:rPr>
          <w:noProof/>
          <w:sz w:val="20"/>
        </w:rPr>
        <w:t>Zhang, T., Wu, J., Xue, Y., Wang, Z., Yao, Y., Yan, X., &amp; Wang, H. (2015). Land subsidence and uplift due to long term ground water extraction and artificial recharge in Shanghai, China. Hydro Geology, 1851-1866.</w:t>
      </w:r>
    </w:p>
    <w:p w14:paraId="7376ED49" w14:textId="77777777" w:rsidR="00402EEB" w:rsidRPr="00402EEB" w:rsidRDefault="00402EEB" w:rsidP="00402EEB">
      <w:pPr>
        <w:pStyle w:val="Bibliography"/>
        <w:ind w:left="720" w:hanging="720"/>
        <w:rPr>
          <w:noProof/>
          <w:sz w:val="20"/>
        </w:rPr>
      </w:pPr>
      <w:r w:rsidRPr="00402EEB">
        <w:rPr>
          <w:noProof/>
          <w:sz w:val="20"/>
        </w:rPr>
        <w:t>Zhang, Yun &amp; Wu, Jichun &amp; Xue, Yuqun &amp; Wang, Zhecheng &amp; Yao, Yiguang &amp; Yan, Xuexin &amp; Wang, Hanmei. (2015). Land subsidence and uplift due to long-term groundwater extraction and artificial recharge in Shanghai, China. Hydrogeology Journal, 23.10.1007/s10040-015-1302-x.</w:t>
      </w:r>
    </w:p>
    <w:p w14:paraId="676D5DE8" w14:textId="088F20EE" w:rsidR="00132457" w:rsidRPr="0023226C" w:rsidRDefault="00402EEB" w:rsidP="00DE256C">
      <w:pPr>
        <w:pStyle w:val="Bibliography"/>
        <w:ind w:left="720" w:hanging="720"/>
      </w:pPr>
      <w:r w:rsidRPr="00402EEB">
        <w:rPr>
          <w:noProof/>
          <w:sz w:val="20"/>
        </w:rPr>
        <w:t>Zhong, Y. Z., Gao, C., &amp; Yun, B. (1997). Induced Seismicity in Liaoning Province, China. Pure Applied Physics, 461-472.</w:t>
      </w:r>
      <w:bookmarkEnd w:id="1"/>
    </w:p>
    <w:sectPr w:rsidR="00132457" w:rsidRPr="0023226C" w:rsidSect="00A3198C">
      <w:headerReference w:type="even" r:id="rId113"/>
      <w:headerReference w:type="default" r:id="rId114"/>
      <w:headerReference w:type="first" r:id="rId115"/>
      <w:footerReference w:type="first" r:id="rId116"/>
      <w:pgSz w:w="11901" w:h="16840" w:code="9"/>
      <w:pgMar w:top="567" w:right="851" w:bottom="851" w:left="1134" w:header="567" w:footer="369" w:gutter="0"/>
      <w:cols w:space="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E0846" w14:textId="77777777" w:rsidR="00731A9B" w:rsidRDefault="00731A9B" w:rsidP="00EA3E55">
      <w:pPr>
        <w:spacing w:after="0" w:line="240" w:lineRule="auto"/>
      </w:pPr>
      <w:r>
        <w:separator/>
      </w:r>
    </w:p>
  </w:endnote>
  <w:endnote w:type="continuationSeparator" w:id="0">
    <w:p w14:paraId="4EE308B1" w14:textId="77777777" w:rsidR="00731A9B" w:rsidRDefault="00731A9B" w:rsidP="00EA3E55">
      <w:pPr>
        <w:spacing w:after="0" w:line="240" w:lineRule="auto"/>
      </w:pPr>
      <w:r>
        <w:continuationSeparator/>
      </w:r>
    </w:p>
  </w:endnote>
  <w:endnote w:type="continuationNotice" w:id="1">
    <w:p w14:paraId="551446E6" w14:textId="77777777" w:rsidR="00731A9B" w:rsidRDefault="00731A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Frutiger 45 Light">
    <w:charset w:val="00"/>
    <w:family w:val="auto"/>
    <w:pitch w:val="variable"/>
    <w:sig w:usb0="00000003" w:usb1="00000000" w:usb2="00000000" w:usb3="00000000" w:csb0="00000001"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dvTT6120e2aa+20">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24745" w14:textId="77777777" w:rsidR="0099045B" w:rsidRDefault="0099045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69FB8" w14:textId="77777777" w:rsidR="00E87437" w:rsidRDefault="00E87437" w:rsidP="00BA5BE3">
    <w:pPr>
      <w:pStyle w:val="Footer"/>
    </w:pPr>
  </w:p>
  <w:p w14:paraId="616A3A05" w14:textId="6C76043C" w:rsidR="00E87437" w:rsidRDefault="00B556AD" w:rsidP="0023226C">
    <w:pPr>
      <w:pStyle w:val="Footer"/>
      <w:tabs>
        <w:tab w:val="left" w:pos="9356"/>
        <w:tab w:val="left" w:pos="13325"/>
      </w:tabs>
      <w:jc w:val="both"/>
    </w:pPr>
    <w:fldSimple w:instr="DOCPROPERTY  &quot;Document Number&quot;  \* MERGEFORMAT">
      <w:r w:rsidR="00A83148">
        <w:t>IS209100-204</w:t>
      </w:r>
    </w:fldSimple>
    <w:r w:rsidR="00E87437" w:rsidRPr="00637CBB">
      <w:tab/>
    </w:r>
    <w:r w:rsidR="00E87437" w:rsidRPr="00E17764">
      <w:fldChar w:fldCharType="begin"/>
    </w:r>
    <w:r w:rsidR="00E87437" w:rsidRPr="00637CBB">
      <w:instrText xml:space="preserve"> PAGE   \* MERGEFORMAT </w:instrText>
    </w:r>
    <w:r w:rsidR="00E87437" w:rsidRPr="00E17764">
      <w:fldChar w:fldCharType="separate"/>
    </w:r>
    <w:r w:rsidR="00E87437">
      <w:rPr>
        <w:noProof/>
      </w:rPr>
      <w:t>27</w:t>
    </w:r>
    <w:r w:rsidR="00E87437" w:rsidRPr="00E17764">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99619" w14:textId="77777777" w:rsidR="00E87437" w:rsidRDefault="00E87437" w:rsidP="00BA5BE3">
    <w:pPr>
      <w:pStyle w:val="Footer"/>
    </w:pPr>
  </w:p>
  <w:p w14:paraId="6F70345E" w14:textId="73FD48D1" w:rsidR="00E87437" w:rsidRDefault="00B556AD" w:rsidP="0023226C">
    <w:pPr>
      <w:pStyle w:val="Footer"/>
      <w:tabs>
        <w:tab w:val="left" w:pos="13467"/>
      </w:tabs>
      <w:jc w:val="both"/>
    </w:pPr>
    <w:fldSimple w:instr="DOCPROPERTY  &quot;Document Number&quot;  \* MERGEFORMAT">
      <w:r w:rsidR="00A83148">
        <w:t>IS209100-204</w:t>
      </w:r>
    </w:fldSimple>
    <w:r w:rsidR="00E87437" w:rsidRPr="00637CBB">
      <w:tab/>
    </w:r>
    <w:r w:rsidR="00E87437" w:rsidRPr="00E17764">
      <w:fldChar w:fldCharType="begin"/>
    </w:r>
    <w:r w:rsidR="00E87437" w:rsidRPr="00637CBB">
      <w:instrText xml:space="preserve"> PAGE   \* MERGEFORMAT </w:instrText>
    </w:r>
    <w:r w:rsidR="00E87437" w:rsidRPr="00E17764">
      <w:fldChar w:fldCharType="separate"/>
    </w:r>
    <w:r w:rsidR="00E87437">
      <w:rPr>
        <w:noProof/>
      </w:rPr>
      <w:t>60</w:t>
    </w:r>
    <w:r w:rsidR="00E87437" w:rsidRPr="00E17764">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9C73" w14:textId="77777777" w:rsidR="00E87437" w:rsidRDefault="00E87437" w:rsidP="00482C11">
    <w:pPr>
      <w:pStyle w:val="Footer"/>
    </w:pPr>
  </w:p>
  <w:p w14:paraId="049DE10E" w14:textId="5E2B2DCE" w:rsidR="00E87437" w:rsidRDefault="00B556AD" w:rsidP="0023226C">
    <w:pPr>
      <w:pStyle w:val="Footer"/>
      <w:tabs>
        <w:tab w:val="left" w:pos="13325"/>
      </w:tabs>
      <w:jc w:val="both"/>
    </w:pPr>
    <w:fldSimple w:instr="DOCPROPERTY  &quot;Document Number&quot;  \* MERGEFORMAT">
      <w:r w:rsidR="00A83148">
        <w:t>IS209100-204</w:t>
      </w:r>
    </w:fldSimple>
    <w:r w:rsidR="00E87437" w:rsidRPr="00993678">
      <w:tab/>
    </w:r>
    <w:r w:rsidR="00E87437" w:rsidRPr="00993678">
      <w:tab/>
    </w:r>
    <w:r w:rsidR="00E87437" w:rsidRPr="00993678">
      <w:fldChar w:fldCharType="begin"/>
    </w:r>
    <w:r w:rsidR="00E87437" w:rsidRPr="00993678">
      <w:instrText xml:space="preserve"> PAGE   \* MERGEFORMAT </w:instrText>
    </w:r>
    <w:r w:rsidR="00E87437" w:rsidRPr="00993678">
      <w:fldChar w:fldCharType="separate"/>
    </w:r>
    <w:r w:rsidR="00E87437">
      <w:rPr>
        <w:noProof/>
      </w:rPr>
      <w:t>33</w:t>
    </w:r>
    <w:r w:rsidR="00E87437" w:rsidRPr="00993678">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9452B" w14:textId="77777777" w:rsidR="00E87437" w:rsidRDefault="00E87437" w:rsidP="00BA5BE3">
    <w:pPr>
      <w:pStyle w:val="Footer"/>
    </w:pPr>
  </w:p>
  <w:p w14:paraId="35FF7DA8" w14:textId="11A52131" w:rsidR="00E87437" w:rsidRDefault="00B556AD" w:rsidP="0023226C">
    <w:pPr>
      <w:pStyle w:val="Footer"/>
      <w:tabs>
        <w:tab w:val="left" w:pos="8931"/>
        <w:tab w:val="left" w:pos="9214"/>
        <w:tab w:val="left" w:pos="9356"/>
        <w:tab w:val="left" w:pos="13325"/>
      </w:tabs>
      <w:jc w:val="both"/>
    </w:pPr>
    <w:fldSimple w:instr="DOCPROPERTY  &quot;Document Number&quot;  \* MERGEFORMAT">
      <w:r w:rsidR="00A83148">
        <w:t>IS209100-204</w:t>
      </w:r>
    </w:fldSimple>
    <w:r w:rsidR="00E87437" w:rsidRPr="00637CBB">
      <w:tab/>
    </w:r>
    <w:r w:rsidR="00E87437" w:rsidRPr="00E17764">
      <w:fldChar w:fldCharType="begin"/>
    </w:r>
    <w:r w:rsidR="00E87437" w:rsidRPr="00637CBB">
      <w:instrText xml:space="preserve"> PAGE   \* MERGEFORMAT </w:instrText>
    </w:r>
    <w:r w:rsidR="00E87437" w:rsidRPr="00E17764">
      <w:fldChar w:fldCharType="separate"/>
    </w:r>
    <w:r w:rsidR="00E87437">
      <w:rPr>
        <w:noProof/>
      </w:rPr>
      <w:t>51</w:t>
    </w:r>
    <w:r w:rsidR="00E87437" w:rsidRPr="00E17764">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4EA55" w14:textId="77777777" w:rsidR="00E87437" w:rsidRDefault="00E87437" w:rsidP="00BA5BE3">
    <w:pPr>
      <w:pStyle w:val="Footer"/>
    </w:pPr>
  </w:p>
  <w:p w14:paraId="078E7CEC" w14:textId="2BCE55B5" w:rsidR="00E87437" w:rsidRDefault="00B556AD" w:rsidP="0023226C">
    <w:pPr>
      <w:pStyle w:val="Footer"/>
      <w:jc w:val="both"/>
    </w:pPr>
    <w:fldSimple w:instr="DOCPROPERTY  &quot;Document Number&quot;  \* MERGEFORMAT">
      <w:r w:rsidR="00A83148">
        <w:t>IS209100-204</w:t>
      </w:r>
    </w:fldSimple>
    <w:r w:rsidR="00E87437" w:rsidRPr="00637CBB">
      <w:tab/>
    </w:r>
    <w:r w:rsidR="00E87437" w:rsidRPr="00E17764">
      <w:fldChar w:fldCharType="begin"/>
    </w:r>
    <w:r w:rsidR="00E87437" w:rsidRPr="00637CBB">
      <w:instrText xml:space="preserve"> PAGE   \* MERGEFORMAT </w:instrText>
    </w:r>
    <w:r w:rsidR="00E87437" w:rsidRPr="00E17764">
      <w:fldChar w:fldCharType="separate"/>
    </w:r>
    <w:r w:rsidR="00E87437">
      <w:rPr>
        <w:noProof/>
      </w:rPr>
      <w:t>XV</w:t>
    </w:r>
    <w:r w:rsidR="00E87437" w:rsidRPr="00E17764">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808F5" w14:textId="77777777" w:rsidR="00E87437" w:rsidRDefault="00E87437" w:rsidP="00482C11">
    <w:pPr>
      <w:pStyle w:val="Footer"/>
    </w:pPr>
  </w:p>
  <w:p w14:paraId="098C9000" w14:textId="45E3CFEC" w:rsidR="00E87437" w:rsidRDefault="00B556AD" w:rsidP="0023226C">
    <w:pPr>
      <w:pStyle w:val="Footer"/>
      <w:tabs>
        <w:tab w:val="left" w:pos="13325"/>
      </w:tabs>
      <w:jc w:val="both"/>
    </w:pPr>
    <w:fldSimple w:instr="DOCPROPERTY  &quot;Document Number&quot;  \* MERGEFORMAT">
      <w:r w:rsidR="00A83148">
        <w:t>IS209100-204</w:t>
      </w:r>
    </w:fldSimple>
    <w:r w:rsidR="00E87437" w:rsidRPr="00993678">
      <w:tab/>
    </w:r>
    <w:r w:rsidR="00E87437" w:rsidRPr="00993678">
      <w:tab/>
    </w:r>
    <w:r w:rsidR="00E87437" w:rsidRPr="00993678">
      <w:fldChar w:fldCharType="begin"/>
    </w:r>
    <w:r w:rsidR="00E87437" w:rsidRPr="00993678">
      <w:instrText xml:space="preserve"> PAGE   \* MERGEFORMAT </w:instrText>
    </w:r>
    <w:r w:rsidR="00E87437" w:rsidRPr="00993678">
      <w:fldChar w:fldCharType="separate"/>
    </w:r>
    <w:r w:rsidR="00E87437">
      <w:rPr>
        <w:noProof/>
      </w:rPr>
      <w:t>78</w:t>
    </w:r>
    <w:r w:rsidR="00E87437" w:rsidRPr="00993678">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AFAE3" w14:textId="0ADD4342" w:rsidR="00E87437" w:rsidRDefault="00E87437">
    <w:pPr>
      <w:pStyle w:val="Footer"/>
      <w:rPr>
        <w:szCs w:val="16"/>
      </w:rPr>
    </w:pPr>
    <w:r>
      <w:rPr>
        <w:i/>
        <w:szCs w:val="16"/>
      </w:rPr>
      <w:fldChar w:fldCharType="begin"/>
    </w:r>
    <w:r>
      <w:rPr>
        <w:i/>
        <w:szCs w:val="16"/>
      </w:rPr>
      <w:instrText xml:space="preserve"> FILENAME \p </w:instrText>
    </w:r>
    <w:r>
      <w:rPr>
        <w:i/>
        <w:szCs w:val="16"/>
      </w:rPr>
      <w:fldChar w:fldCharType="separate"/>
    </w:r>
    <w:r w:rsidR="00A83148">
      <w:rPr>
        <w:i/>
        <w:noProof/>
        <w:szCs w:val="16"/>
      </w:rPr>
      <w:t>https://vicgov-my.sharepoint.com/personal/michael_x_mozina_ecodev_vic_gov_au/Documents/LVRRS/LVRRS Work Package 1/Jacobs Geotech Metrics and Thresholds Report/Final Report/IS209100-204 LVRRS geotechnical metrics and thresholds Final RELEASE.docx</w:t>
    </w:r>
    <w:r>
      <w:rPr>
        <w:i/>
        <w:szCs w:val="16"/>
      </w:rPr>
      <w:fldChar w:fldCharType="end"/>
    </w:r>
    <w:r>
      <w:rPr>
        <w:i/>
        <w:szCs w:val="16"/>
      </w:rPr>
      <w:tab/>
    </w:r>
    <w:r>
      <w:rPr>
        <w:i/>
      </w:rPr>
      <w:t xml:space="preserve"> </w:t>
    </w:r>
    <w:r>
      <w:rPr>
        <w:i/>
      </w:rPr>
      <w:tab/>
    </w: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F78A05" w14:textId="77777777" w:rsidR="00E87437" w:rsidRDefault="00E87437"/>
  <w:p w14:paraId="76769417" w14:textId="77777777" w:rsidR="00E87437" w:rsidRDefault="00E8743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E489A" w14:textId="08B671AD" w:rsidR="00E87437" w:rsidRPr="00E76686" w:rsidRDefault="00B556AD">
    <w:pPr>
      <w:pStyle w:val="Footer"/>
      <w:rPr>
        <w:b/>
      </w:rPr>
    </w:pPr>
    <w:fldSimple w:instr="DOCPROPERTY  &quot;Document Number&quot;  \* MERGEFORMAT">
      <w:r w:rsidR="00A83148">
        <w:t>IS209100-204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1CF14" w14:textId="77777777" w:rsidR="00E87437" w:rsidRPr="00446DC1" w:rsidRDefault="00E87437" w:rsidP="00891F6C">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B90F5" w14:textId="77777777" w:rsidR="00E87437" w:rsidRDefault="00E87437" w:rsidP="00891F6C">
    <w:pPr>
      <w:pStyle w:val="Para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695C9" w14:textId="77777777" w:rsidR="00E87437" w:rsidRDefault="00E87437" w:rsidP="00BA5BE3">
    <w:pPr>
      <w:pStyle w:val="Footer"/>
    </w:pPr>
  </w:p>
  <w:p w14:paraId="700D447D" w14:textId="165E44B9" w:rsidR="00E87437" w:rsidRPr="00A52EF5" w:rsidRDefault="00B556AD" w:rsidP="00BA5BE3">
    <w:pPr>
      <w:pStyle w:val="Footer"/>
      <w:rPr>
        <w:b/>
      </w:rPr>
    </w:pPr>
    <w:fldSimple w:instr="DOCPROPERTY  &quot;Document Number&quot;  \* MERGEFORMAT">
      <w:r w:rsidR="00A83148">
        <w:t>IS209100-204</w:t>
      </w:r>
    </w:fldSimple>
    <w:r w:rsidR="00E87437" w:rsidRPr="00637CBB">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BCC9A" w14:textId="5A25956F" w:rsidR="00E87437" w:rsidRPr="00A52EF5" w:rsidRDefault="00B556AD" w:rsidP="0023226C">
    <w:pPr>
      <w:pStyle w:val="Footer"/>
      <w:rPr>
        <w:b/>
      </w:rPr>
    </w:pPr>
    <w:fldSimple w:instr="DOCPROPERTY  &quot;Document Number&quot;  \* MERGEFORMAT">
      <w:r w:rsidR="00A83148">
        <w:t>IS209100-204</w:t>
      </w:r>
    </w:fldSimple>
    <w:r w:rsidR="00E87437" w:rsidRPr="00A52EF5">
      <w:tab/>
    </w:r>
    <w:r w:rsidR="00E87437" w:rsidRPr="00E17764">
      <w:fldChar w:fldCharType="begin"/>
    </w:r>
    <w:r w:rsidR="00E87437" w:rsidRPr="00A52EF5">
      <w:instrText xml:space="preserve"> PAGE   \* MERGEFORMAT </w:instrText>
    </w:r>
    <w:r w:rsidR="00E87437" w:rsidRPr="00E17764">
      <w:fldChar w:fldCharType="separate"/>
    </w:r>
    <w:r w:rsidR="00E87437">
      <w:rPr>
        <w:noProof/>
      </w:rPr>
      <w:t>i</w:t>
    </w:r>
    <w:r w:rsidR="00E87437" w:rsidRPr="00E1776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95E10" w14:textId="77777777" w:rsidR="00C6638A" w:rsidRDefault="00C6638A" w:rsidP="00BA5BE3">
    <w:pPr>
      <w:pStyle w:val="Footer"/>
    </w:pPr>
  </w:p>
  <w:p w14:paraId="258A710B" w14:textId="26232F3B" w:rsidR="00C6638A" w:rsidRPr="00A52EF5" w:rsidRDefault="00B556AD" w:rsidP="00BA5BE3">
    <w:pPr>
      <w:pStyle w:val="Footer"/>
      <w:rPr>
        <w:b/>
      </w:rPr>
    </w:pPr>
    <w:fldSimple w:instr="DOCPROPERTY  &quot;Document Number&quot;  \* MERGEFORMAT">
      <w:r w:rsidR="00A83148">
        <w:t>IS209100-204</w:t>
      </w:r>
    </w:fldSimple>
    <w:r w:rsidR="00C6638A" w:rsidRPr="00637CBB">
      <w:tab/>
    </w:r>
    <w:r w:rsidR="006A02BD">
      <w:fldChar w:fldCharType="begin"/>
    </w:r>
    <w:r w:rsidR="006A02BD">
      <w:instrText xml:space="preserve"> PAGE   \* MERGEFORMAT </w:instrText>
    </w:r>
    <w:r w:rsidR="006A02BD">
      <w:fldChar w:fldCharType="separate"/>
    </w:r>
    <w:r w:rsidR="006A02BD">
      <w:rPr>
        <w:noProof/>
      </w:rPr>
      <w:t>1</w:t>
    </w:r>
    <w:r w:rsidR="006A02BD">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B5458" w14:textId="21280170" w:rsidR="00E87437" w:rsidRPr="001A5FC3" w:rsidRDefault="00B556AD" w:rsidP="0077223B">
    <w:pPr>
      <w:pStyle w:val="Footer"/>
      <w:rPr>
        <w:b/>
      </w:rPr>
    </w:pPr>
    <w:fldSimple w:instr="DOCPROPERTY  &quot;Document Number&quot;  \* MERGEFORMAT">
      <w:r w:rsidR="00A83148">
        <w:t>IS209100-204</w:t>
      </w:r>
    </w:fldSimple>
    <w:r w:rsidR="00E87437" w:rsidRPr="001A5FC3">
      <w:tab/>
    </w:r>
    <w:r w:rsidR="00E87437">
      <w:rPr>
        <w:b/>
      </w:rPr>
      <w:fldChar w:fldCharType="begin"/>
    </w:r>
    <w:r w:rsidR="00E87437">
      <w:instrText xml:space="preserve"> PAGE  \* Arabic  \* MERGEFORMAT </w:instrText>
    </w:r>
    <w:r w:rsidR="00E87437">
      <w:rPr>
        <w:b/>
      </w:rPr>
      <w:fldChar w:fldCharType="separate"/>
    </w:r>
    <w:r w:rsidR="00E87437">
      <w:rPr>
        <w:noProof/>
      </w:rPr>
      <w:t>1</w:t>
    </w:r>
    <w:r w:rsidR="00E87437">
      <w:rP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51124" w14:textId="77777777" w:rsidR="00E87437" w:rsidRDefault="00E87437" w:rsidP="00BA5BE3">
    <w:pPr>
      <w:pStyle w:val="Footer"/>
    </w:pPr>
  </w:p>
  <w:p w14:paraId="7C8F91E7" w14:textId="4CB14C36" w:rsidR="00E87437" w:rsidRDefault="00B556AD">
    <w:pPr>
      <w:pStyle w:val="Footer"/>
      <w:tabs>
        <w:tab w:val="left" w:pos="8100"/>
      </w:tabs>
    </w:pPr>
    <w:fldSimple w:instr="DOCPROPERTY  &quot;Document Number&quot;  \* MERGEFORMAT">
      <w:r w:rsidR="00A83148">
        <w:t>IS209100-204</w:t>
      </w:r>
    </w:fldSimple>
    <w:r w:rsidR="00E87437" w:rsidRPr="00637CBB">
      <w:tab/>
    </w:r>
    <w:r w:rsidR="00E87437" w:rsidRPr="00E17764">
      <w:fldChar w:fldCharType="begin"/>
    </w:r>
    <w:r w:rsidR="00E87437" w:rsidRPr="00637CBB">
      <w:instrText xml:space="preserve"> PAGE   \* MERGEFORMAT </w:instrText>
    </w:r>
    <w:r w:rsidR="00E87437" w:rsidRPr="00E17764">
      <w:fldChar w:fldCharType="separate"/>
    </w:r>
    <w:r w:rsidR="00E87437">
      <w:rPr>
        <w:noProof/>
      </w:rPr>
      <w:t>1</w:t>
    </w:r>
    <w:r w:rsidR="00E87437" w:rsidRPr="00E17764">
      <w:fldChar w:fldCharType="end"/>
    </w:r>
  </w:p>
  <w:p w14:paraId="518D9753" w14:textId="77777777" w:rsidR="00E87437" w:rsidRDefault="00E8743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22297" w14:textId="77777777" w:rsidR="00E87437" w:rsidRDefault="00E87437" w:rsidP="00BA5BE3">
    <w:pPr>
      <w:pStyle w:val="Footer"/>
    </w:pPr>
  </w:p>
  <w:p w14:paraId="0CB5C82F" w14:textId="4F77688B" w:rsidR="00E87437" w:rsidRDefault="00B556AD" w:rsidP="0023226C">
    <w:pPr>
      <w:pStyle w:val="Footer"/>
      <w:tabs>
        <w:tab w:val="left" w:pos="8931"/>
      </w:tabs>
      <w:jc w:val="both"/>
    </w:pPr>
    <w:fldSimple w:instr="DOCPROPERTY  &quot;Document Number&quot;  \* MERGEFORMAT">
      <w:r w:rsidR="00A83148">
        <w:t>IS209100-204</w:t>
      </w:r>
    </w:fldSimple>
    <w:r w:rsidR="00E87437" w:rsidRPr="00637CBB">
      <w:tab/>
    </w:r>
    <w:r w:rsidR="00E87437" w:rsidRPr="00E17764">
      <w:fldChar w:fldCharType="begin"/>
    </w:r>
    <w:r w:rsidR="00E87437" w:rsidRPr="00637CBB">
      <w:instrText xml:space="preserve"> PAGE   \* MERGEFORMAT </w:instrText>
    </w:r>
    <w:r w:rsidR="00E87437" w:rsidRPr="00E17764">
      <w:fldChar w:fldCharType="separate"/>
    </w:r>
    <w:r w:rsidR="00E87437">
      <w:rPr>
        <w:noProof/>
      </w:rPr>
      <w:t>32</w:t>
    </w:r>
    <w:r w:rsidR="00E87437" w:rsidRPr="00E1776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DAFEBD" w14:textId="77777777" w:rsidR="00731A9B" w:rsidRDefault="00731A9B" w:rsidP="00EA3E55">
      <w:pPr>
        <w:spacing w:after="0" w:line="240" w:lineRule="auto"/>
      </w:pPr>
      <w:r>
        <w:separator/>
      </w:r>
    </w:p>
  </w:footnote>
  <w:footnote w:type="continuationSeparator" w:id="0">
    <w:p w14:paraId="67D3FC72" w14:textId="77777777" w:rsidR="00731A9B" w:rsidRDefault="00731A9B" w:rsidP="00EA3E55">
      <w:pPr>
        <w:spacing w:after="0" w:line="240" w:lineRule="auto"/>
      </w:pPr>
      <w:r>
        <w:continuationSeparator/>
      </w:r>
    </w:p>
  </w:footnote>
  <w:footnote w:type="continuationNotice" w:id="1">
    <w:p w14:paraId="7362C1F6" w14:textId="77777777" w:rsidR="00731A9B" w:rsidRDefault="00731A9B">
      <w:pPr>
        <w:spacing w:after="0" w:line="240" w:lineRule="auto"/>
      </w:pPr>
    </w:p>
  </w:footnote>
  <w:footnote w:id="2">
    <w:p w14:paraId="2447A59C" w14:textId="0E5A05E6" w:rsidR="00E87437" w:rsidRPr="00F3610D" w:rsidRDefault="00E87437">
      <w:pPr>
        <w:pStyle w:val="FootnoteText"/>
        <w:rPr>
          <w:lang w:val="en-AU"/>
        </w:rPr>
      </w:pPr>
      <w:r>
        <w:rPr>
          <w:rStyle w:val="FootnoteReference"/>
        </w:rPr>
        <w:footnoteRef/>
      </w:r>
      <w:r>
        <w:t xml:space="preserve"> </w:t>
      </w:r>
      <w:r w:rsidRPr="00BD37EA">
        <w:t>Hazelwood Mine Fire Inquiry (HMFI) Report 2015/2016 – Volume IV – Mine Rehabilitation</w:t>
      </w:r>
    </w:p>
  </w:footnote>
  <w:footnote w:id="3">
    <w:p w14:paraId="651DAF44" w14:textId="1E6051EA" w:rsidR="00E87437" w:rsidRPr="00F3610D" w:rsidRDefault="00E87437">
      <w:pPr>
        <w:pStyle w:val="FootnoteText"/>
        <w:rPr>
          <w:lang w:val="en-AU"/>
        </w:rPr>
      </w:pPr>
      <w:r>
        <w:rPr>
          <w:rStyle w:val="FootnoteReference"/>
        </w:rPr>
        <w:footnoteRef/>
      </w:r>
      <w:r>
        <w:t xml:space="preserve"> </w:t>
      </w:r>
      <w:r w:rsidRPr="00235E02">
        <w:t>Hazelwood Mine Fire Inquiry – Victorian Government Implementation Plan”, Department of Premier and Cabinet, June 2016, http://dpc.vic.gov.au/index.php/news-publications/hazelwood-mine-fire-inquiry-implementation-monitor</w:t>
      </w:r>
    </w:p>
  </w:footnote>
  <w:footnote w:id="4">
    <w:p w14:paraId="57A63553" w14:textId="77777777" w:rsidR="00E87437" w:rsidRPr="00064C3E" w:rsidRDefault="00E87437" w:rsidP="0077223B">
      <w:pPr>
        <w:pStyle w:val="FootnoteText"/>
        <w:rPr>
          <w:lang w:val="en-AU"/>
        </w:rPr>
      </w:pPr>
      <w:r>
        <w:rPr>
          <w:rStyle w:val="FootnoteReference"/>
        </w:rPr>
        <w:footnoteRef/>
      </w:r>
      <w:r>
        <w:t xml:space="preserve"> </w:t>
      </w:r>
      <w:r w:rsidRPr="00064C3E">
        <w:t>Austroads (2012) Bridge Design Guidelines for Earthquakes. Published May 2012</w:t>
      </w:r>
    </w:p>
  </w:footnote>
  <w:footnote w:id="5">
    <w:p w14:paraId="4BFE3488" w14:textId="75286CBD" w:rsidR="00E87437" w:rsidRPr="00FC11EE" w:rsidRDefault="00E87437">
      <w:pPr>
        <w:pStyle w:val="FootnoteText"/>
        <w:rPr>
          <w:lang w:val="en-AU"/>
        </w:rPr>
      </w:pPr>
      <w:r>
        <w:rPr>
          <w:rStyle w:val="FootnoteReference"/>
        </w:rPr>
        <w:footnoteRef/>
      </w:r>
      <w:r>
        <w:t xml:space="preserve"> </w:t>
      </w:r>
      <w:r w:rsidRPr="003D7DF4">
        <w:t>Hazelwood Mine Fire Inquiry (HMFI) Report 2015/2016 – Volume IV – Mine Rehabilitation</w:t>
      </w:r>
    </w:p>
  </w:footnote>
  <w:footnote w:id="6">
    <w:p w14:paraId="2E835B52" w14:textId="77777777" w:rsidR="00E87437" w:rsidRPr="00A77AE5" w:rsidRDefault="00E87437" w:rsidP="00CA0BA5">
      <w:pPr>
        <w:pStyle w:val="FootnoteText"/>
        <w:rPr>
          <w:lang w:val="en-AU"/>
        </w:rPr>
      </w:pPr>
      <w:r>
        <w:rPr>
          <w:rStyle w:val="FootnoteReference"/>
        </w:rPr>
        <w:footnoteRef/>
      </w:r>
      <w:r>
        <w:t xml:space="preserve"> </w:t>
      </w:r>
      <w:r>
        <w:rPr>
          <w:rFonts w:eastAsia="MS Mincho" w:cs="Times New Roman"/>
          <w:lang w:val="en-AU"/>
        </w:rPr>
        <w:t>As</w:t>
      </w:r>
      <w:r w:rsidRPr="00DC2CF8">
        <w:rPr>
          <w:rFonts w:eastAsia="MS Mincho" w:cs="Times New Roman"/>
          <w:lang w:val="en-AU"/>
        </w:rPr>
        <w:t xml:space="preserve"> defined </w:t>
      </w:r>
      <w:r>
        <w:rPr>
          <w:rFonts w:eastAsia="MS Mincho" w:cs="Times New Roman"/>
          <w:lang w:val="en-AU"/>
        </w:rPr>
        <w:t>during previous bioregional assessments in Victoria</w:t>
      </w:r>
      <w:r w:rsidRPr="00275211">
        <w:rPr>
          <w:rFonts w:eastAsia="MS Mincho" w:cs="Times New Roman"/>
          <w:i/>
          <w:lang w:val="en-AU"/>
        </w:rPr>
        <w:t xml:space="preserve"> </w:t>
      </w:r>
      <w:r w:rsidRPr="00A77AE5">
        <w:rPr>
          <w:rFonts w:eastAsia="MS Mincho" w:cs="Times New Roman"/>
          <w:lang w:val="en-AU"/>
        </w:rPr>
        <w:t>as the</w:t>
      </w:r>
      <w:r>
        <w:rPr>
          <w:rFonts w:eastAsia="MS Mincho" w:cs="Times New Roman"/>
          <w:i/>
          <w:lang w:val="en-AU"/>
        </w:rPr>
        <w:t xml:space="preserve"> “</w:t>
      </w:r>
      <w:r w:rsidRPr="00275211">
        <w:rPr>
          <w:rFonts w:eastAsia="MS Mincho" w:cs="Times New Roman"/>
          <w:i/>
          <w:lang w:val="en-AU"/>
        </w:rPr>
        <w:t>likely or potential cumulative impact on receptors based on contextual information and is based on judgement following consideration of proximity, causal pathway and expected level of exposure. Where receptors are not linked to events, are too far away, only briefly exposed or only impacted by one mine the impacts may not be material to this regio</w:t>
      </w:r>
      <w:r>
        <w:rPr>
          <w:rFonts w:eastAsia="MS Mincho" w:cs="Times New Roman"/>
          <w:i/>
          <w:lang w:val="en-AU"/>
        </w:rPr>
        <w:t>nal cumulative impact assessment</w:t>
      </w:r>
      <w:r>
        <w:rPr>
          <w:rFonts w:eastAsia="MS Mincho" w:cs="Times New Roman"/>
          <w:lang w:val="en-AU"/>
        </w:rPr>
        <w:t>”.</w:t>
      </w:r>
    </w:p>
  </w:footnote>
  <w:footnote w:id="7">
    <w:p w14:paraId="75723F1A" w14:textId="3D765028" w:rsidR="00E87437" w:rsidRPr="00510DC6" w:rsidRDefault="00E87437">
      <w:pPr>
        <w:pStyle w:val="FootnoteText"/>
        <w:rPr>
          <w:lang w:val="en-AU"/>
        </w:rPr>
      </w:pPr>
      <w:r>
        <w:rPr>
          <w:rStyle w:val="FootnoteReference"/>
        </w:rPr>
        <w:footnoteRef/>
      </w:r>
      <w:r>
        <w:t xml:space="preserve"> Australi</w:t>
      </w:r>
      <w:r w:rsidRPr="00510DC6">
        <w:t>an Geomechanics Society, 2000. Landslide Risk Management Concepts and Guidelines. Australian Geomechanics Society, Sub-Committee on Landslide Risk Management, Australian Geomechanics, 35, 49-92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D6617" w14:textId="77777777" w:rsidR="0099045B" w:rsidRDefault="0099045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7022565D" w14:textId="77777777" w:rsidTr="0033324D">
      <w:trPr>
        <w:cantSplit/>
        <w:trHeight w:hRule="exact" w:val="1134"/>
      </w:trPr>
      <w:tc>
        <w:tcPr>
          <w:tcW w:w="6804" w:type="dxa"/>
          <w:shd w:val="clear" w:color="auto" w:fill="auto"/>
          <w:tcMar>
            <w:right w:w="567" w:type="dxa"/>
          </w:tcMar>
          <w:vAlign w:val="center"/>
        </w:tcPr>
        <w:p w14:paraId="2D6C39B3" w14:textId="0C4A18E9" w:rsidR="00E87437" w:rsidRPr="00BF0918" w:rsidRDefault="00E87437" w:rsidP="004D1620">
          <w:pPr>
            <w:pStyle w:val="Header"/>
            <w:rPr>
              <w:rFonts w:cs="Arial"/>
              <w:b w:val="0"/>
              <w:szCs w:val="22"/>
            </w:rPr>
          </w:pPr>
          <w:r>
            <w:rPr>
              <w:noProof/>
              <w:lang w:val="en-AU" w:eastAsia="en-AU"/>
            </w:rPr>
            <w:drawing>
              <wp:anchor distT="0" distB="0" distL="114300" distR="114300" simplePos="0" relativeHeight="251664896" behindDoc="1" locked="0" layoutInCell="0" allowOverlap="1" wp14:anchorId="4F1FE7D5" wp14:editId="5185CBEA">
                <wp:simplePos x="0" y="0"/>
                <wp:positionH relativeFrom="leftMargin">
                  <wp:posOffset>842010</wp:posOffset>
                </wp:positionH>
                <wp:positionV relativeFrom="page">
                  <wp:posOffset>468630</wp:posOffset>
                </wp:positionV>
                <wp:extent cx="4319905" cy="719455"/>
                <wp:effectExtent l="0" t="0" r="4445" b="444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0016" behindDoc="0" locked="1" layoutInCell="0" allowOverlap="0" wp14:anchorId="24C3F650" wp14:editId="14ECC1C0">
                <wp:simplePos x="0" y="0"/>
                <wp:positionH relativeFrom="page">
                  <wp:posOffset>5158740</wp:posOffset>
                </wp:positionH>
                <wp:positionV relativeFrom="page">
                  <wp:posOffset>440055</wp:posOffset>
                </wp:positionV>
                <wp:extent cx="1979930" cy="719455"/>
                <wp:effectExtent l="0" t="0" r="127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BF0918">
            <w:rPr>
              <w:rFonts w:cs="Arial"/>
              <w:b w:val="0"/>
              <w:noProof/>
              <w:szCs w:val="22"/>
              <w:lang w:val="en-AU" w:eastAsia="en-AU"/>
            </w:rPr>
            <w:drawing>
              <wp:anchor distT="0" distB="0" distL="114300" distR="114300" simplePos="0" relativeHeight="251657728" behindDoc="1" locked="0" layoutInCell="0" allowOverlap="1" wp14:anchorId="5DD449C2" wp14:editId="59D1B23F">
                <wp:simplePos x="0" y="0"/>
                <wp:positionH relativeFrom="leftMargin">
                  <wp:posOffset>842010</wp:posOffset>
                </wp:positionH>
                <wp:positionV relativeFrom="page">
                  <wp:posOffset>468630</wp:posOffset>
                </wp:positionV>
                <wp:extent cx="4319905" cy="719455"/>
                <wp:effectExtent l="0" t="0" r="4445" b="4445"/>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14:sizeRelH relativeFrom="page">
                  <wp14:pctWidth>0</wp14:pctWidth>
                </wp14:sizeRelH>
                <wp14:sizeRelV relativeFrom="page">
                  <wp14:pctHeight>0</wp14:pctHeight>
                </wp14:sizeRelV>
              </wp:anchor>
            </w:drawing>
          </w:r>
          <w:r w:rsidRPr="0033324D">
            <w:rPr>
              <w:b w:val="0"/>
            </w:rPr>
            <w:fldChar w:fldCharType="begin"/>
          </w:r>
          <w:r w:rsidRPr="00BF0918">
            <w:rPr>
              <w:rFonts w:cs="Arial"/>
              <w:szCs w:val="22"/>
            </w:rPr>
            <w:instrText xml:space="preserve"> STYLEREF  "Document Title"  \* MERGEFORMAT </w:instrText>
          </w:r>
          <w:r w:rsidRPr="0033324D">
            <w:rPr>
              <w:b w:val="0"/>
            </w:rPr>
            <w:fldChar w:fldCharType="separate"/>
          </w:r>
          <w:r w:rsidR="00A83148">
            <w:rPr>
              <w:rFonts w:cs="Arial"/>
              <w:noProof/>
              <w:szCs w:val="22"/>
            </w:rPr>
            <w:t>Geotechnical-related Metrics and Thresholds for Impact Assessment on Recognised Regional Receptors</w:t>
          </w:r>
          <w:r w:rsidRPr="0033324D">
            <w:rPr>
              <w:b w:val="0"/>
            </w:rPr>
            <w:fldChar w:fldCharType="end"/>
          </w:r>
        </w:p>
      </w:tc>
      <w:tc>
        <w:tcPr>
          <w:tcW w:w="3119" w:type="dxa"/>
          <w:shd w:val="clear" w:color="auto" w:fill="auto"/>
          <w:vAlign w:val="center"/>
        </w:tcPr>
        <w:p w14:paraId="2BEE4D90" w14:textId="77777777" w:rsidR="00E87437" w:rsidRPr="00037461" w:rsidRDefault="00E87437" w:rsidP="004D1620">
          <w:pPr>
            <w:pStyle w:val="Bodynarrow"/>
          </w:pPr>
        </w:p>
      </w:tc>
    </w:tr>
  </w:tbl>
  <w:p w14:paraId="50783BB7" w14:textId="2E961204" w:rsidR="00E87437" w:rsidRDefault="00E87437">
    <w:pPr>
      <w:pStyle w:val="Header"/>
    </w:pPr>
  </w:p>
  <w:p w14:paraId="0C45553F" w14:textId="77777777" w:rsidR="00E87437" w:rsidRDefault="00E8743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87459" w14:textId="77777777" w:rsidR="00E87437" w:rsidRDefault="00E8743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3ADC5F2B" w14:textId="77777777" w:rsidTr="00E17764">
      <w:trPr>
        <w:cantSplit/>
        <w:trHeight w:hRule="exact" w:val="1134"/>
      </w:trPr>
      <w:tc>
        <w:tcPr>
          <w:tcW w:w="6804" w:type="dxa"/>
          <w:shd w:val="clear" w:color="auto" w:fill="auto"/>
          <w:tcMar>
            <w:right w:w="567" w:type="dxa"/>
          </w:tcMar>
          <w:vAlign w:val="center"/>
        </w:tcPr>
        <w:p w14:paraId="3990574D" w14:textId="4BBE32EC" w:rsidR="00E87437" w:rsidRPr="00BF0918" w:rsidRDefault="00E87437" w:rsidP="00482C11">
          <w:pPr>
            <w:pStyle w:val="Header"/>
            <w:rPr>
              <w:rFonts w:cs="Arial"/>
              <w:b w:val="0"/>
              <w:szCs w:val="22"/>
            </w:rPr>
          </w:pPr>
          <w:r>
            <w:rPr>
              <w:noProof/>
              <w:lang w:val="en-AU" w:eastAsia="en-AU"/>
            </w:rPr>
            <w:drawing>
              <wp:anchor distT="0" distB="0" distL="114300" distR="114300" simplePos="0" relativeHeight="251674112" behindDoc="1" locked="0" layoutInCell="0" allowOverlap="1" wp14:anchorId="2CE92D00" wp14:editId="5CB0105F">
                <wp:simplePos x="0" y="0"/>
                <wp:positionH relativeFrom="leftMargin">
                  <wp:posOffset>842010</wp:posOffset>
                </wp:positionH>
                <wp:positionV relativeFrom="page">
                  <wp:posOffset>451485</wp:posOffset>
                </wp:positionV>
                <wp:extent cx="4319905" cy="719455"/>
                <wp:effectExtent l="0" t="0" r="4445" b="4445"/>
                <wp:wrapNone/>
                <wp:docPr id="206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5136" behindDoc="0" locked="1" layoutInCell="0" allowOverlap="0" wp14:anchorId="4EFD0616" wp14:editId="69710585">
                <wp:simplePos x="0" y="0"/>
                <wp:positionH relativeFrom="page">
                  <wp:posOffset>5111115</wp:posOffset>
                </wp:positionH>
                <wp:positionV relativeFrom="page">
                  <wp:posOffset>450850</wp:posOffset>
                </wp:positionV>
                <wp:extent cx="1979930" cy="719455"/>
                <wp:effectExtent l="0" t="0" r="1270" b="4445"/>
                <wp:wrapNone/>
                <wp:docPr id="2069" name="skm portra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 portrai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BF0918">
            <w:rPr>
              <w:rFonts w:cs="Arial"/>
              <w:b w:val="0"/>
              <w:noProof/>
              <w:szCs w:val="22"/>
              <w:lang w:val="en-AU" w:eastAsia="en-AU"/>
            </w:rPr>
            <w:drawing>
              <wp:anchor distT="0" distB="0" distL="114300" distR="114300" simplePos="0" relativeHeight="251671040" behindDoc="1" locked="0" layoutInCell="0" allowOverlap="1" wp14:anchorId="205552ED" wp14:editId="2FEDA692">
                <wp:simplePos x="0" y="0"/>
                <wp:positionH relativeFrom="leftMargin">
                  <wp:posOffset>842010</wp:posOffset>
                </wp:positionH>
                <wp:positionV relativeFrom="page">
                  <wp:posOffset>451485</wp:posOffset>
                </wp:positionV>
                <wp:extent cx="4319905" cy="719455"/>
                <wp:effectExtent l="0" t="0" r="4445" b="4445"/>
                <wp:wrapNone/>
                <wp:docPr id="2073" name="Picture 2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14:sizeRelH relativeFrom="page">
                  <wp14:pctWidth>0</wp14:pctWidth>
                </wp14:sizeRelH>
                <wp14:sizeRelV relativeFrom="page">
                  <wp14:pctHeight>0</wp14:pctHeight>
                </wp14:sizeRelV>
              </wp:anchor>
            </w:drawing>
          </w:r>
          <w:r w:rsidRPr="00E17764">
            <w:rPr>
              <w:b w:val="0"/>
            </w:rPr>
            <w:fldChar w:fldCharType="begin"/>
          </w:r>
          <w:r w:rsidRPr="00BF0918">
            <w:rPr>
              <w:rFonts w:cs="Arial"/>
              <w:szCs w:val="22"/>
            </w:rPr>
            <w:instrText xml:space="preserve"> STYLEREF  "Document Title"  \* MERGEFORMAT </w:instrText>
          </w:r>
          <w:r w:rsidRPr="00E17764">
            <w:rPr>
              <w:b w:val="0"/>
            </w:rPr>
            <w:fldChar w:fldCharType="separate"/>
          </w:r>
          <w:r w:rsidR="00A83148">
            <w:rPr>
              <w:rFonts w:cs="Arial"/>
              <w:noProof/>
              <w:szCs w:val="22"/>
            </w:rPr>
            <w:t>Geotechnical-related Metrics and Thresholds for Impact Assessment on Recognised Regional Receptors</w:t>
          </w:r>
          <w:r w:rsidRPr="00E17764">
            <w:rPr>
              <w:b w:val="0"/>
            </w:rPr>
            <w:fldChar w:fldCharType="end"/>
          </w:r>
        </w:p>
      </w:tc>
      <w:tc>
        <w:tcPr>
          <w:tcW w:w="3119" w:type="dxa"/>
          <w:shd w:val="clear" w:color="auto" w:fill="auto"/>
          <w:vAlign w:val="center"/>
        </w:tcPr>
        <w:p w14:paraId="7171EEA0" w14:textId="77777777" w:rsidR="00E87437" w:rsidRPr="00037461" w:rsidRDefault="00E87437" w:rsidP="00482C11">
          <w:pPr>
            <w:pStyle w:val="Bodynarrow"/>
          </w:pPr>
        </w:p>
      </w:tc>
    </w:tr>
  </w:tbl>
  <w:p w14:paraId="333BD5F4" w14:textId="77777777" w:rsidR="00E87437" w:rsidRDefault="00E87437" w:rsidP="0023226C">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75AE1365" w14:textId="77777777" w:rsidTr="00E17764">
      <w:trPr>
        <w:cantSplit/>
        <w:trHeight w:hRule="exact" w:val="1134"/>
      </w:trPr>
      <w:tc>
        <w:tcPr>
          <w:tcW w:w="6804" w:type="dxa"/>
          <w:shd w:val="clear" w:color="auto" w:fill="auto"/>
          <w:tcMar>
            <w:right w:w="567" w:type="dxa"/>
          </w:tcMar>
          <w:vAlign w:val="center"/>
        </w:tcPr>
        <w:p w14:paraId="497EE2E4" w14:textId="0CA13BA6" w:rsidR="00E87437" w:rsidRPr="00BF0918" w:rsidRDefault="00E87437" w:rsidP="00482C11">
          <w:pPr>
            <w:pStyle w:val="Header"/>
            <w:rPr>
              <w:rFonts w:cs="Arial"/>
              <w:b w:val="0"/>
              <w:szCs w:val="22"/>
            </w:rPr>
          </w:pPr>
          <w:r>
            <w:rPr>
              <w:noProof/>
              <w:lang w:val="en-AU" w:eastAsia="en-AU"/>
            </w:rPr>
            <w:drawing>
              <wp:anchor distT="0" distB="0" distL="114300" distR="114300" simplePos="0" relativeHeight="251676160" behindDoc="1" locked="0" layoutInCell="0" allowOverlap="1" wp14:anchorId="344F3F71" wp14:editId="4B1BEE0E">
                <wp:simplePos x="0" y="0"/>
                <wp:positionH relativeFrom="leftMargin">
                  <wp:posOffset>842010</wp:posOffset>
                </wp:positionH>
                <wp:positionV relativeFrom="page">
                  <wp:posOffset>483870</wp:posOffset>
                </wp:positionV>
                <wp:extent cx="4319905" cy="719455"/>
                <wp:effectExtent l="0" t="0" r="4445" b="4445"/>
                <wp:wrapNone/>
                <wp:docPr id="207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7184" behindDoc="0" locked="1" layoutInCell="0" allowOverlap="0" wp14:anchorId="7682EEF4" wp14:editId="09885FB6">
                <wp:simplePos x="0" y="0"/>
                <wp:positionH relativeFrom="page">
                  <wp:posOffset>5166995</wp:posOffset>
                </wp:positionH>
                <wp:positionV relativeFrom="page">
                  <wp:posOffset>483235</wp:posOffset>
                </wp:positionV>
                <wp:extent cx="1979930" cy="719455"/>
                <wp:effectExtent l="0" t="0" r="1270" b="4445"/>
                <wp:wrapNone/>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BF0918">
            <w:rPr>
              <w:rFonts w:cs="Arial"/>
              <w:b w:val="0"/>
              <w:noProof/>
              <w:szCs w:val="22"/>
              <w:lang w:val="en-AU" w:eastAsia="en-AU"/>
            </w:rPr>
            <w:drawing>
              <wp:anchor distT="0" distB="0" distL="114300" distR="114300" simplePos="0" relativeHeight="251672064" behindDoc="1" locked="0" layoutInCell="0" allowOverlap="1" wp14:anchorId="1D961AE0" wp14:editId="4FCC8DAD">
                <wp:simplePos x="0" y="0"/>
                <wp:positionH relativeFrom="leftMargin">
                  <wp:posOffset>842010</wp:posOffset>
                </wp:positionH>
                <wp:positionV relativeFrom="page">
                  <wp:posOffset>483870</wp:posOffset>
                </wp:positionV>
                <wp:extent cx="4319905" cy="719455"/>
                <wp:effectExtent l="0" t="0" r="4445" b="4445"/>
                <wp:wrapNone/>
                <wp:docPr id="2082" name="Picture 2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14:sizeRelH relativeFrom="page">
                  <wp14:pctWidth>0</wp14:pctWidth>
                </wp14:sizeRelH>
                <wp14:sizeRelV relativeFrom="page">
                  <wp14:pctHeight>0</wp14:pctHeight>
                </wp14:sizeRelV>
              </wp:anchor>
            </w:drawing>
          </w:r>
          <w:r w:rsidRPr="00E17764">
            <w:rPr>
              <w:b w:val="0"/>
            </w:rPr>
            <w:fldChar w:fldCharType="begin"/>
          </w:r>
          <w:r w:rsidRPr="00BF0918">
            <w:rPr>
              <w:rFonts w:cs="Arial"/>
              <w:szCs w:val="22"/>
            </w:rPr>
            <w:instrText xml:space="preserve"> STYLEREF  "Document Title"  \* MERGEFORMAT </w:instrText>
          </w:r>
          <w:r w:rsidRPr="00E17764">
            <w:rPr>
              <w:b w:val="0"/>
            </w:rPr>
            <w:fldChar w:fldCharType="separate"/>
          </w:r>
          <w:r w:rsidR="00A83148">
            <w:rPr>
              <w:rFonts w:cs="Arial"/>
              <w:noProof/>
              <w:szCs w:val="22"/>
            </w:rPr>
            <w:t>Geotechnical-related Metrics and Thresholds for Impact Assessment on Recognised Regional Receptors</w:t>
          </w:r>
          <w:r w:rsidRPr="00E17764">
            <w:rPr>
              <w:b w:val="0"/>
            </w:rPr>
            <w:fldChar w:fldCharType="end"/>
          </w:r>
        </w:p>
      </w:tc>
      <w:tc>
        <w:tcPr>
          <w:tcW w:w="3119" w:type="dxa"/>
          <w:shd w:val="clear" w:color="auto" w:fill="auto"/>
          <w:vAlign w:val="center"/>
        </w:tcPr>
        <w:p w14:paraId="23D32137" w14:textId="77777777" w:rsidR="00E87437" w:rsidRPr="00037461" w:rsidRDefault="00E87437" w:rsidP="00482C11">
          <w:pPr>
            <w:pStyle w:val="Bodynarrow"/>
          </w:pPr>
        </w:p>
      </w:tc>
    </w:tr>
  </w:tbl>
  <w:p w14:paraId="322AF06B" w14:textId="77777777" w:rsidR="00E87437" w:rsidRPr="00B94F6E" w:rsidRDefault="00E87437" w:rsidP="0023226C">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E4531" w14:textId="77777777" w:rsidR="00E87437" w:rsidRDefault="00E8743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090D5586" w14:textId="77777777" w:rsidTr="00E17764">
      <w:trPr>
        <w:cantSplit/>
        <w:trHeight w:hRule="exact" w:val="1134"/>
      </w:trPr>
      <w:tc>
        <w:tcPr>
          <w:tcW w:w="6804" w:type="dxa"/>
          <w:shd w:val="clear" w:color="auto" w:fill="auto"/>
          <w:tcMar>
            <w:right w:w="567" w:type="dxa"/>
          </w:tcMar>
          <w:vAlign w:val="center"/>
        </w:tcPr>
        <w:p w14:paraId="2948BE7E" w14:textId="7BDF75CB" w:rsidR="00E87437" w:rsidRPr="00BF0918" w:rsidRDefault="00E87437" w:rsidP="00482C11">
          <w:pPr>
            <w:pStyle w:val="Header"/>
            <w:rPr>
              <w:rFonts w:cs="Arial"/>
              <w:b w:val="0"/>
              <w:szCs w:val="22"/>
            </w:rPr>
          </w:pPr>
          <w:r>
            <w:rPr>
              <w:noProof/>
              <w:lang w:val="en-AU" w:eastAsia="en-AU"/>
            </w:rPr>
            <w:drawing>
              <wp:anchor distT="0" distB="0" distL="114300" distR="114300" simplePos="0" relativeHeight="251680256" behindDoc="1" locked="0" layoutInCell="0" allowOverlap="1" wp14:anchorId="4BA7B4CA" wp14:editId="75640767">
                <wp:simplePos x="0" y="0"/>
                <wp:positionH relativeFrom="leftMargin">
                  <wp:posOffset>842010</wp:posOffset>
                </wp:positionH>
                <wp:positionV relativeFrom="page">
                  <wp:posOffset>473710</wp:posOffset>
                </wp:positionV>
                <wp:extent cx="4319905" cy="719455"/>
                <wp:effectExtent l="0" t="0" r="4445" b="4445"/>
                <wp:wrapNone/>
                <wp:docPr id="208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81280" behindDoc="0" locked="1" layoutInCell="0" allowOverlap="0" wp14:anchorId="6290D763" wp14:editId="197CE74B">
                <wp:simplePos x="0" y="0"/>
                <wp:positionH relativeFrom="page">
                  <wp:posOffset>5165725</wp:posOffset>
                </wp:positionH>
                <wp:positionV relativeFrom="page">
                  <wp:posOffset>440055</wp:posOffset>
                </wp:positionV>
                <wp:extent cx="1979930" cy="719455"/>
                <wp:effectExtent l="0" t="0" r="1270" b="4445"/>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BF0918">
            <w:rPr>
              <w:rFonts w:cs="Arial"/>
              <w:b w:val="0"/>
              <w:noProof/>
              <w:szCs w:val="22"/>
              <w:lang w:val="en-AU" w:eastAsia="en-AU"/>
            </w:rPr>
            <w:drawing>
              <wp:anchor distT="0" distB="0" distL="114300" distR="114300" simplePos="0" relativeHeight="251665920" behindDoc="1" locked="0" layoutInCell="0" allowOverlap="1" wp14:anchorId="4D7F7D4C" wp14:editId="67C1D8DF">
                <wp:simplePos x="0" y="0"/>
                <wp:positionH relativeFrom="leftMargin">
                  <wp:posOffset>842010</wp:posOffset>
                </wp:positionH>
                <wp:positionV relativeFrom="page">
                  <wp:posOffset>473710</wp:posOffset>
                </wp:positionV>
                <wp:extent cx="4319905" cy="719455"/>
                <wp:effectExtent l="0" t="0" r="4445" b="4445"/>
                <wp:wrapNone/>
                <wp:docPr id="2085" name="Picture 2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14:sizeRelH relativeFrom="page">
                  <wp14:pctWidth>0</wp14:pctWidth>
                </wp14:sizeRelH>
                <wp14:sizeRelV relativeFrom="page">
                  <wp14:pctHeight>0</wp14:pctHeight>
                </wp14:sizeRelV>
              </wp:anchor>
            </w:drawing>
          </w:r>
          <w:r w:rsidRPr="00BF0918">
            <w:rPr>
              <w:rFonts w:cs="Arial"/>
              <w:b w:val="0"/>
              <w:noProof/>
              <w:color w:val="808080"/>
              <w:szCs w:val="22"/>
              <w:lang w:val="en-AU" w:eastAsia="en-AU"/>
            </w:rPr>
            <w:drawing>
              <wp:anchor distT="0" distB="0" distL="114300" distR="114300" simplePos="0" relativeHeight="251668992" behindDoc="0" locked="1" layoutInCell="0" allowOverlap="0" wp14:anchorId="497E82E1" wp14:editId="12A9DECC">
                <wp:simplePos x="0" y="0"/>
                <wp:positionH relativeFrom="page">
                  <wp:posOffset>5165725</wp:posOffset>
                </wp:positionH>
                <wp:positionV relativeFrom="page">
                  <wp:posOffset>440055</wp:posOffset>
                </wp:positionV>
                <wp:extent cx="1979930" cy="719455"/>
                <wp:effectExtent l="0" t="0" r="1270" b="4445"/>
                <wp:wrapNone/>
                <wp:docPr id="2087"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1979930" cy="719455"/>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r w:rsidRPr="00E17764">
            <w:rPr>
              <w:b w:val="0"/>
            </w:rPr>
            <w:fldChar w:fldCharType="begin"/>
          </w:r>
          <w:r w:rsidRPr="00BF0918">
            <w:rPr>
              <w:rFonts w:cs="Arial"/>
              <w:szCs w:val="22"/>
            </w:rPr>
            <w:instrText xml:space="preserve"> STYLEREF  "Document Title"  \* MERGEFORMAT </w:instrText>
          </w:r>
          <w:r w:rsidRPr="00E17764">
            <w:rPr>
              <w:b w:val="0"/>
            </w:rPr>
            <w:fldChar w:fldCharType="separate"/>
          </w:r>
          <w:r w:rsidR="00A83148">
            <w:rPr>
              <w:rFonts w:cs="Arial"/>
              <w:noProof/>
              <w:szCs w:val="22"/>
            </w:rPr>
            <w:t>Geotechnical-related Metrics and Thresholds for Impact Assessment on Recognised Regional Receptors</w:t>
          </w:r>
          <w:r w:rsidRPr="00E17764">
            <w:rPr>
              <w:b w:val="0"/>
            </w:rPr>
            <w:fldChar w:fldCharType="end"/>
          </w:r>
        </w:p>
      </w:tc>
      <w:tc>
        <w:tcPr>
          <w:tcW w:w="3119" w:type="dxa"/>
          <w:shd w:val="clear" w:color="auto" w:fill="auto"/>
          <w:vAlign w:val="center"/>
        </w:tcPr>
        <w:p w14:paraId="66C0AF2E" w14:textId="77777777" w:rsidR="00E87437" w:rsidRPr="00037461" w:rsidRDefault="00E87437" w:rsidP="00482C11">
          <w:pPr>
            <w:pStyle w:val="Bodynarrow"/>
          </w:pPr>
        </w:p>
      </w:tc>
    </w:tr>
  </w:tbl>
  <w:p w14:paraId="5F96B90A" w14:textId="77777777" w:rsidR="00E87437" w:rsidRDefault="00E87437" w:rsidP="0023226C">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168" w:type="dxa"/>
      <w:tblLayout w:type="fixed"/>
      <w:tblCellMar>
        <w:left w:w="0" w:type="dxa"/>
        <w:right w:w="0" w:type="dxa"/>
      </w:tblCellMar>
      <w:tblLook w:val="04A0" w:firstRow="1" w:lastRow="0" w:firstColumn="1" w:lastColumn="0" w:noHBand="0" w:noVBand="1"/>
    </w:tblPr>
    <w:tblGrid>
      <w:gridCol w:w="12049"/>
      <w:gridCol w:w="3119"/>
    </w:tblGrid>
    <w:tr w:rsidR="00E87437" w:rsidRPr="00037461" w14:paraId="42C10347" w14:textId="77777777" w:rsidTr="00E17764">
      <w:trPr>
        <w:cantSplit/>
        <w:trHeight w:hRule="exact" w:val="1134"/>
      </w:trPr>
      <w:tc>
        <w:tcPr>
          <w:tcW w:w="12049" w:type="dxa"/>
          <w:shd w:val="clear" w:color="auto" w:fill="auto"/>
          <w:tcMar>
            <w:right w:w="567" w:type="dxa"/>
          </w:tcMar>
          <w:vAlign w:val="center"/>
        </w:tcPr>
        <w:p w14:paraId="15EF5747" w14:textId="5C2EBC3E" w:rsidR="00E87437" w:rsidRPr="00E8353B" w:rsidRDefault="00E87437" w:rsidP="00482C11">
          <w:pPr>
            <w:pStyle w:val="Header"/>
            <w:rPr>
              <w:rFonts w:cs="Arial"/>
              <w:b w:val="0"/>
              <w:szCs w:val="22"/>
            </w:rPr>
          </w:pPr>
          <w:r>
            <w:rPr>
              <w:noProof/>
              <w:lang w:val="en-AU" w:eastAsia="en-AU"/>
            </w:rPr>
            <w:drawing>
              <wp:anchor distT="0" distB="0" distL="114300" distR="114300" simplePos="0" relativeHeight="251679232" behindDoc="0" locked="1" layoutInCell="0" allowOverlap="0" wp14:anchorId="7A74DA5E" wp14:editId="19D4EE49">
                <wp:simplePos x="0" y="0"/>
                <wp:positionH relativeFrom="page">
                  <wp:posOffset>8190865</wp:posOffset>
                </wp:positionH>
                <wp:positionV relativeFrom="page">
                  <wp:posOffset>363855</wp:posOffset>
                </wp:positionV>
                <wp:extent cx="1979930" cy="719455"/>
                <wp:effectExtent l="0" t="0" r="1270" b="4445"/>
                <wp:wrapNone/>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8208" behindDoc="1" locked="0" layoutInCell="0" allowOverlap="1" wp14:anchorId="0B0029C6" wp14:editId="18C62683">
                <wp:simplePos x="0" y="0"/>
                <wp:positionH relativeFrom="page">
                  <wp:posOffset>540385</wp:posOffset>
                </wp:positionH>
                <wp:positionV relativeFrom="page">
                  <wp:posOffset>360045</wp:posOffset>
                </wp:positionV>
                <wp:extent cx="7459345" cy="720090"/>
                <wp:effectExtent l="0" t="0" r="8255" b="3810"/>
                <wp:wrapNone/>
                <wp:docPr id="209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9345" cy="720090"/>
                        </a:xfrm>
                        <a:prstGeom prst="rect">
                          <a:avLst/>
                        </a:prstGeom>
                        <a:noFill/>
                      </pic:spPr>
                    </pic:pic>
                  </a:graphicData>
                </a:graphic>
                <wp14:sizeRelH relativeFrom="page">
                  <wp14:pctWidth>0</wp14:pctWidth>
                </wp14:sizeRelH>
                <wp14:sizeRelV relativeFrom="page">
                  <wp14:pctHeight>0</wp14:pctHeight>
                </wp14:sizeRelV>
              </wp:anchor>
            </w:drawing>
          </w:r>
          <w:r w:rsidRPr="00E8353B">
            <w:rPr>
              <w:rFonts w:cs="Arial"/>
              <w:b w:val="0"/>
              <w:noProof/>
              <w:color w:val="808080"/>
              <w:szCs w:val="22"/>
              <w:lang w:val="en-AU" w:eastAsia="en-AU"/>
            </w:rPr>
            <w:drawing>
              <wp:anchor distT="0" distB="0" distL="114300" distR="114300" simplePos="0" relativeHeight="251673088" behindDoc="1" locked="0" layoutInCell="0" allowOverlap="1" wp14:anchorId="19F4F2FE" wp14:editId="04C027B7">
                <wp:simplePos x="0" y="0"/>
                <mc:AlternateContent>
                  <mc:Choice Requires="wp14">
                    <wp:positionH relativeFrom="leftMargin">
                      <wp14:pctPosHOffset>100000</wp14:pctPosHOffset>
                    </wp:positionH>
                  </mc:Choice>
                  <mc:Fallback>
                    <wp:positionH relativeFrom="page">
                      <wp:posOffset>540385</wp:posOffset>
                    </wp:positionH>
                  </mc:Fallback>
                </mc:AlternateContent>
                <wp:positionV relativeFrom="page">
                  <wp:posOffset>360045</wp:posOffset>
                </wp:positionV>
                <wp:extent cx="7459200" cy="720000"/>
                <wp:effectExtent l="0" t="0" r="0" b="4445"/>
                <wp:wrapNone/>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header_background_A4L.jpg"/>
                        <pic:cNvPicPr/>
                      </pic:nvPicPr>
                      <pic:blipFill>
                        <a:blip r:embed="rId2">
                          <a:extLst>
                            <a:ext uri="{28A0092B-C50C-407E-A947-70E740481C1C}">
                              <a14:useLocalDpi xmlns:a14="http://schemas.microsoft.com/office/drawing/2010/main" val="0"/>
                            </a:ext>
                          </a:extLst>
                        </a:blip>
                        <a:stretch>
                          <a:fillRect/>
                        </a:stretch>
                      </pic:blipFill>
                      <pic:spPr>
                        <a:xfrm>
                          <a:off x="0" y="0"/>
                          <a:ext cx="7459200" cy="720000"/>
                        </a:xfrm>
                        <a:prstGeom prst="rect">
                          <a:avLst/>
                        </a:prstGeom>
                      </pic:spPr>
                    </pic:pic>
                  </a:graphicData>
                </a:graphic>
                <wp14:sizeRelH relativeFrom="margin">
                  <wp14:pctWidth>0</wp14:pctWidth>
                </wp14:sizeRelH>
                <wp14:sizeRelV relativeFrom="margin">
                  <wp14:pctHeight>0</wp14:pctHeight>
                </wp14:sizeRelV>
              </wp:anchor>
            </w:drawing>
          </w:r>
          <w:r w:rsidRPr="00E17764">
            <w:rPr>
              <w:b w:val="0"/>
            </w:rPr>
            <w:fldChar w:fldCharType="begin"/>
          </w:r>
          <w:r w:rsidRPr="00E8353B">
            <w:rPr>
              <w:rFonts w:cs="Arial"/>
              <w:szCs w:val="22"/>
            </w:rPr>
            <w:instrText xml:space="preserve"> STYLEREF  "Document Title"  \* MERGEFORMAT </w:instrText>
          </w:r>
          <w:r w:rsidRPr="00E17764">
            <w:rPr>
              <w:b w:val="0"/>
            </w:rPr>
            <w:fldChar w:fldCharType="separate"/>
          </w:r>
          <w:r w:rsidR="00A83148">
            <w:rPr>
              <w:rFonts w:cs="Arial"/>
              <w:noProof/>
              <w:szCs w:val="22"/>
            </w:rPr>
            <w:t>Geotechnical-related Metrics and Thresholds for Impact Assessment on Recognised Regional Receptors</w:t>
          </w:r>
          <w:r w:rsidRPr="00E17764">
            <w:rPr>
              <w:b w:val="0"/>
            </w:rPr>
            <w:fldChar w:fldCharType="end"/>
          </w:r>
        </w:p>
      </w:tc>
      <w:tc>
        <w:tcPr>
          <w:tcW w:w="3119" w:type="dxa"/>
          <w:shd w:val="clear" w:color="auto" w:fill="auto"/>
          <w:vAlign w:val="center"/>
        </w:tcPr>
        <w:p w14:paraId="19F40DC5" w14:textId="77777777" w:rsidR="00E87437" w:rsidRPr="00037461" w:rsidRDefault="00E87437" w:rsidP="00482C11">
          <w:pPr>
            <w:pStyle w:val="Bodynarrow"/>
          </w:pPr>
        </w:p>
      </w:tc>
    </w:tr>
  </w:tbl>
  <w:p w14:paraId="01A783ED" w14:textId="77777777" w:rsidR="00E87437" w:rsidRPr="00B94F6E" w:rsidRDefault="00E87437" w:rsidP="0023226C">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20E16" w14:textId="0295D836" w:rsidR="00E87437" w:rsidRDefault="00E8743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3098F455" w14:textId="77777777" w:rsidTr="00E17764">
      <w:trPr>
        <w:cantSplit/>
        <w:trHeight w:hRule="exact" w:val="1134"/>
      </w:trPr>
      <w:tc>
        <w:tcPr>
          <w:tcW w:w="6804" w:type="dxa"/>
          <w:shd w:val="clear" w:color="auto" w:fill="auto"/>
          <w:tcMar>
            <w:right w:w="567" w:type="dxa"/>
          </w:tcMar>
          <w:vAlign w:val="center"/>
        </w:tcPr>
        <w:p w14:paraId="3496A016" w14:textId="7D90213C" w:rsidR="00E87437" w:rsidRPr="00BF0918" w:rsidRDefault="00E87437" w:rsidP="00482C11">
          <w:pPr>
            <w:pStyle w:val="Header"/>
            <w:rPr>
              <w:rFonts w:cs="Arial"/>
              <w:b w:val="0"/>
              <w:szCs w:val="22"/>
            </w:rPr>
          </w:pPr>
          <w:r>
            <w:rPr>
              <w:noProof/>
              <w:lang w:val="en-AU" w:eastAsia="en-AU"/>
            </w:rPr>
            <w:drawing>
              <wp:anchor distT="0" distB="0" distL="114300" distR="114300" simplePos="0" relativeHeight="251647488" behindDoc="1" locked="0" layoutInCell="0" allowOverlap="1" wp14:anchorId="046F66DD" wp14:editId="5AC04CD4">
                <wp:simplePos x="0" y="0"/>
                <wp:positionH relativeFrom="leftMargin">
                  <wp:posOffset>842010</wp:posOffset>
                </wp:positionH>
                <wp:positionV relativeFrom="page">
                  <wp:posOffset>473710</wp:posOffset>
                </wp:positionV>
                <wp:extent cx="4319905" cy="719455"/>
                <wp:effectExtent l="0" t="0" r="4445" b="4445"/>
                <wp:wrapNone/>
                <wp:docPr id="209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0560" behindDoc="0" locked="1" layoutInCell="0" allowOverlap="0" wp14:anchorId="19CE2235" wp14:editId="1E504772">
                <wp:simplePos x="0" y="0"/>
                <wp:positionH relativeFrom="page">
                  <wp:posOffset>5165725</wp:posOffset>
                </wp:positionH>
                <wp:positionV relativeFrom="page">
                  <wp:posOffset>440055</wp:posOffset>
                </wp:positionV>
                <wp:extent cx="1979930" cy="719455"/>
                <wp:effectExtent l="0" t="0" r="1270" b="4445"/>
                <wp:wrapNone/>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BF0918">
            <w:rPr>
              <w:rFonts w:cs="Arial"/>
              <w:b w:val="0"/>
              <w:noProof/>
              <w:szCs w:val="22"/>
              <w:lang w:val="en-AU" w:eastAsia="en-AU"/>
            </w:rPr>
            <w:drawing>
              <wp:anchor distT="0" distB="0" distL="114300" distR="114300" simplePos="0" relativeHeight="251636224" behindDoc="1" locked="0" layoutInCell="0" allowOverlap="1" wp14:anchorId="1ED0B81F" wp14:editId="08D19F82">
                <wp:simplePos x="0" y="0"/>
                <wp:positionH relativeFrom="leftMargin">
                  <wp:posOffset>842010</wp:posOffset>
                </wp:positionH>
                <wp:positionV relativeFrom="page">
                  <wp:posOffset>473710</wp:posOffset>
                </wp:positionV>
                <wp:extent cx="4319905" cy="719455"/>
                <wp:effectExtent l="0" t="0" r="4445" b="4445"/>
                <wp:wrapNone/>
                <wp:docPr id="2107" name="Picture 2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14:sizeRelH relativeFrom="page">
                  <wp14:pctWidth>0</wp14:pctWidth>
                </wp14:sizeRelH>
                <wp14:sizeRelV relativeFrom="page">
                  <wp14:pctHeight>0</wp14:pctHeight>
                </wp14:sizeRelV>
              </wp:anchor>
            </w:drawing>
          </w:r>
          <w:r w:rsidRPr="00E17764">
            <w:rPr>
              <w:b w:val="0"/>
            </w:rPr>
            <w:fldChar w:fldCharType="begin"/>
          </w:r>
          <w:r w:rsidRPr="00BF0918">
            <w:rPr>
              <w:rFonts w:cs="Arial"/>
              <w:szCs w:val="22"/>
            </w:rPr>
            <w:instrText xml:space="preserve"> STYLEREF  "Document Title"  \* MERGEFORMAT </w:instrText>
          </w:r>
          <w:r w:rsidRPr="00E17764">
            <w:rPr>
              <w:b w:val="0"/>
            </w:rPr>
            <w:fldChar w:fldCharType="separate"/>
          </w:r>
          <w:r w:rsidR="00A83148">
            <w:rPr>
              <w:rFonts w:cs="Arial"/>
              <w:noProof/>
              <w:szCs w:val="22"/>
            </w:rPr>
            <w:t>Geotechnical-related Metrics and Thresholds for Impact Assessment on Recognised Regional Receptors</w:t>
          </w:r>
          <w:r w:rsidRPr="00E17764">
            <w:rPr>
              <w:b w:val="0"/>
            </w:rPr>
            <w:fldChar w:fldCharType="end"/>
          </w:r>
        </w:p>
      </w:tc>
      <w:tc>
        <w:tcPr>
          <w:tcW w:w="3119" w:type="dxa"/>
          <w:shd w:val="clear" w:color="auto" w:fill="auto"/>
          <w:vAlign w:val="center"/>
        </w:tcPr>
        <w:p w14:paraId="11882FA8" w14:textId="77777777" w:rsidR="00E87437" w:rsidRPr="00037461" w:rsidRDefault="00E87437" w:rsidP="00482C11">
          <w:pPr>
            <w:pStyle w:val="Bodynarrow"/>
          </w:pPr>
        </w:p>
      </w:tc>
    </w:tr>
  </w:tbl>
  <w:p w14:paraId="76E23279" w14:textId="77777777" w:rsidR="00E87437" w:rsidRDefault="00E87437" w:rsidP="0023226C">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4E89BC54" w14:textId="77777777" w:rsidTr="00E17764">
      <w:trPr>
        <w:cantSplit/>
        <w:trHeight w:hRule="exact" w:val="1134"/>
      </w:trPr>
      <w:tc>
        <w:tcPr>
          <w:tcW w:w="6804" w:type="dxa"/>
          <w:shd w:val="clear" w:color="auto" w:fill="auto"/>
          <w:tcMar>
            <w:right w:w="567" w:type="dxa"/>
          </w:tcMar>
          <w:vAlign w:val="center"/>
        </w:tcPr>
        <w:p w14:paraId="37D4FF5F" w14:textId="21EA854F" w:rsidR="00E87437" w:rsidRPr="00BF0918" w:rsidRDefault="00E87437" w:rsidP="00482C11">
          <w:pPr>
            <w:pStyle w:val="Header"/>
            <w:rPr>
              <w:rFonts w:cs="Arial"/>
              <w:b w:val="0"/>
              <w:szCs w:val="22"/>
            </w:rPr>
          </w:pPr>
          <w:r>
            <w:rPr>
              <w:noProof/>
              <w:lang w:val="en-AU" w:eastAsia="en-AU"/>
            </w:rPr>
            <w:drawing>
              <wp:anchor distT="0" distB="0" distL="114300" distR="114300" simplePos="0" relativeHeight="251653632" behindDoc="1" locked="0" layoutInCell="0" allowOverlap="1" wp14:anchorId="3B84D6DC" wp14:editId="6CE0EF74">
                <wp:simplePos x="0" y="0"/>
                <wp:positionH relativeFrom="leftMargin">
                  <wp:posOffset>863600</wp:posOffset>
                </wp:positionH>
                <wp:positionV relativeFrom="page">
                  <wp:posOffset>473710</wp:posOffset>
                </wp:positionV>
                <wp:extent cx="4319905" cy="719455"/>
                <wp:effectExtent l="0" t="0" r="4445" b="4445"/>
                <wp:wrapNone/>
                <wp:docPr id="210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6704" behindDoc="0" locked="1" layoutInCell="0" allowOverlap="0" wp14:anchorId="3CAF3993" wp14:editId="0C4F1BF2">
                <wp:simplePos x="0" y="0"/>
                <wp:positionH relativeFrom="page">
                  <wp:posOffset>5174615</wp:posOffset>
                </wp:positionH>
                <wp:positionV relativeFrom="page">
                  <wp:posOffset>428625</wp:posOffset>
                </wp:positionV>
                <wp:extent cx="1979930" cy="719455"/>
                <wp:effectExtent l="0" t="0" r="1270" b="4445"/>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BF0918">
            <w:rPr>
              <w:rFonts w:cs="Arial"/>
              <w:b w:val="0"/>
              <w:noProof/>
              <w:szCs w:val="22"/>
              <w:lang w:val="en-AU" w:eastAsia="en-AU"/>
            </w:rPr>
            <w:drawing>
              <wp:anchor distT="0" distB="0" distL="114300" distR="114300" simplePos="0" relativeHeight="251637248" behindDoc="1" locked="0" layoutInCell="0" allowOverlap="1" wp14:anchorId="3836B082" wp14:editId="51EFCE7B">
                <wp:simplePos x="0" y="0"/>
                <wp:positionH relativeFrom="leftMargin">
                  <wp:posOffset>863600</wp:posOffset>
                </wp:positionH>
                <wp:positionV relativeFrom="page">
                  <wp:posOffset>473710</wp:posOffset>
                </wp:positionV>
                <wp:extent cx="4319905" cy="719455"/>
                <wp:effectExtent l="0" t="0" r="4445" b="4445"/>
                <wp:wrapNone/>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14:sizeRelH relativeFrom="page">
                  <wp14:pctWidth>0</wp14:pctWidth>
                </wp14:sizeRelH>
                <wp14:sizeRelV relativeFrom="page">
                  <wp14:pctHeight>0</wp14:pctHeight>
                </wp14:sizeRelV>
              </wp:anchor>
            </w:drawing>
          </w:r>
          <w:r w:rsidRPr="00E17764">
            <w:rPr>
              <w:b w:val="0"/>
            </w:rPr>
            <w:fldChar w:fldCharType="begin"/>
          </w:r>
          <w:r w:rsidRPr="00BF0918">
            <w:rPr>
              <w:rFonts w:cs="Arial"/>
              <w:szCs w:val="22"/>
            </w:rPr>
            <w:instrText xml:space="preserve"> STYLEREF  "Document Title"  \* MERGEFORMAT </w:instrText>
          </w:r>
          <w:r w:rsidRPr="00E17764">
            <w:rPr>
              <w:b w:val="0"/>
            </w:rPr>
            <w:fldChar w:fldCharType="separate"/>
          </w:r>
          <w:r w:rsidR="00A83148">
            <w:rPr>
              <w:rFonts w:cs="Arial"/>
              <w:noProof/>
              <w:szCs w:val="22"/>
            </w:rPr>
            <w:t>Geotechnical-related Metrics and Thresholds for Impact Assessment on Recognised Regional Receptors</w:t>
          </w:r>
          <w:r w:rsidRPr="00E17764">
            <w:rPr>
              <w:b w:val="0"/>
            </w:rPr>
            <w:fldChar w:fldCharType="end"/>
          </w:r>
        </w:p>
      </w:tc>
      <w:tc>
        <w:tcPr>
          <w:tcW w:w="3119" w:type="dxa"/>
          <w:shd w:val="clear" w:color="auto" w:fill="auto"/>
          <w:vAlign w:val="center"/>
        </w:tcPr>
        <w:p w14:paraId="0155AAE5" w14:textId="77777777" w:rsidR="00E87437" w:rsidRPr="00037461" w:rsidRDefault="00E87437" w:rsidP="00482C11">
          <w:pPr>
            <w:pStyle w:val="Bodynarrow"/>
          </w:pPr>
        </w:p>
      </w:tc>
    </w:tr>
  </w:tbl>
  <w:p w14:paraId="150AB1A5" w14:textId="77777777" w:rsidR="00E87437" w:rsidRPr="00B94F6E" w:rsidRDefault="00E87437" w:rsidP="0023226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F0010" w14:textId="39A6E942" w:rsidR="00E87437" w:rsidRDefault="00E87437" w:rsidP="00891F6C">
    <w:pPr>
      <w:pStyle w:val="EmptyHeader"/>
    </w:pP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8EF03" w14:textId="37536DD0" w:rsidR="00E87437" w:rsidRDefault="00E8743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4CAF95E7" w14:textId="77777777" w:rsidTr="00E17764">
      <w:trPr>
        <w:cantSplit/>
        <w:trHeight w:hRule="exact" w:val="1134"/>
      </w:trPr>
      <w:tc>
        <w:tcPr>
          <w:tcW w:w="6804" w:type="dxa"/>
          <w:shd w:val="clear" w:color="auto" w:fill="auto"/>
          <w:tcMar>
            <w:right w:w="567" w:type="dxa"/>
          </w:tcMar>
          <w:vAlign w:val="center"/>
        </w:tcPr>
        <w:p w14:paraId="608040D3" w14:textId="4E80F7E7" w:rsidR="00E87437" w:rsidRPr="00BF0918" w:rsidRDefault="00E87437" w:rsidP="00482C11">
          <w:pPr>
            <w:pStyle w:val="Header"/>
            <w:rPr>
              <w:rFonts w:cs="Arial"/>
              <w:b w:val="0"/>
              <w:szCs w:val="22"/>
            </w:rPr>
          </w:pPr>
          <w:r>
            <w:rPr>
              <w:noProof/>
              <w:lang w:val="en-AU" w:eastAsia="en-AU"/>
            </w:rPr>
            <w:drawing>
              <wp:anchor distT="0" distB="0" distL="114300" distR="114300" simplePos="0" relativeHeight="251658752" behindDoc="0" locked="1" layoutInCell="0" allowOverlap="0" wp14:anchorId="0D13FCB8" wp14:editId="77D12E08">
                <wp:simplePos x="0" y="0"/>
                <wp:positionH relativeFrom="page">
                  <wp:posOffset>5060315</wp:posOffset>
                </wp:positionH>
                <wp:positionV relativeFrom="page">
                  <wp:posOffset>363220</wp:posOffset>
                </wp:positionV>
                <wp:extent cx="1979930" cy="719455"/>
                <wp:effectExtent l="0" t="0" r="1270" b="44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BF0918">
            <w:rPr>
              <w:rFonts w:cs="Arial"/>
              <w:b w:val="0"/>
              <w:noProof/>
              <w:color w:val="808080"/>
              <w:szCs w:val="22"/>
              <w:lang w:val="en-AU" w:eastAsia="en-AU"/>
            </w:rPr>
            <w:drawing>
              <wp:anchor distT="0" distB="0" distL="114300" distR="114300" simplePos="0" relativeHeight="251635200" behindDoc="0" locked="1" layoutInCell="0" allowOverlap="0" wp14:anchorId="07B3B614" wp14:editId="2EDFD195">
                <wp:simplePos x="0" y="0"/>
                <wp:positionH relativeFrom="page">
                  <wp:posOffset>5060315</wp:posOffset>
                </wp:positionH>
                <wp:positionV relativeFrom="page">
                  <wp:posOffset>363220</wp:posOffset>
                </wp:positionV>
                <wp:extent cx="1979930" cy="719455"/>
                <wp:effectExtent l="0" t="0" r="1270" b="4445"/>
                <wp:wrapNone/>
                <wp:docPr id="71"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79930" cy="719455"/>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r w:rsidRPr="00E17764">
            <w:rPr>
              <w:b w:val="0"/>
            </w:rPr>
            <w:fldChar w:fldCharType="begin"/>
          </w:r>
          <w:r w:rsidRPr="00BF0918">
            <w:rPr>
              <w:rFonts w:cs="Arial"/>
              <w:szCs w:val="22"/>
            </w:rPr>
            <w:instrText xml:space="preserve"> STYLEREF  "Document Title"  \* MERGEFORMAT </w:instrText>
          </w:r>
          <w:r w:rsidRPr="00E17764">
            <w:rPr>
              <w:b w:val="0"/>
            </w:rPr>
            <w:fldChar w:fldCharType="separate"/>
          </w:r>
          <w:r w:rsidR="00A83148">
            <w:rPr>
              <w:rFonts w:cs="Arial"/>
              <w:noProof/>
              <w:szCs w:val="22"/>
            </w:rPr>
            <w:t>Geotechnical-related Metrics and Thresholds for Impact Assessment on Recognised Regional Receptors</w:t>
          </w:r>
          <w:r w:rsidRPr="00E17764">
            <w:rPr>
              <w:b w:val="0"/>
            </w:rPr>
            <w:fldChar w:fldCharType="end"/>
          </w:r>
        </w:p>
      </w:tc>
      <w:tc>
        <w:tcPr>
          <w:tcW w:w="3119" w:type="dxa"/>
          <w:shd w:val="clear" w:color="auto" w:fill="auto"/>
          <w:vAlign w:val="center"/>
        </w:tcPr>
        <w:p w14:paraId="3343D783" w14:textId="77777777" w:rsidR="00E87437" w:rsidRPr="00037461" w:rsidRDefault="00E87437" w:rsidP="00482C11">
          <w:pPr>
            <w:pStyle w:val="Bodynarrow"/>
          </w:pPr>
        </w:p>
      </w:tc>
    </w:tr>
  </w:tbl>
  <w:p w14:paraId="0716AC8B" w14:textId="7E037823" w:rsidR="00E87437" w:rsidRDefault="00E87437" w:rsidP="0023226C">
    <w:pPr>
      <w:pStyle w:val="Header"/>
      <w:jc w:val="right"/>
    </w:pPr>
    <w:r>
      <w:rPr>
        <w:noProof/>
        <w:lang w:val="en-AU" w:eastAsia="en-AU"/>
      </w:rPr>
      <w:drawing>
        <wp:anchor distT="0" distB="0" distL="114300" distR="114300" simplePos="0" relativeHeight="251661824" behindDoc="1" locked="0" layoutInCell="0" allowOverlap="1" wp14:anchorId="6624D3FE" wp14:editId="5B781187">
          <wp:simplePos x="0" y="0"/>
          <wp:positionH relativeFrom="leftMargin">
            <wp:posOffset>729615</wp:posOffset>
          </wp:positionH>
          <wp:positionV relativeFrom="page">
            <wp:posOffset>339090</wp:posOffset>
          </wp:positionV>
          <wp:extent cx="4319905" cy="719455"/>
          <wp:effectExtent l="0" t="0" r="4445" b="4445"/>
          <wp:wrapNone/>
          <wp:docPr id="72"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19905" cy="719455"/>
                  </a:xfrm>
                  <a:prstGeom prst="rect">
                    <a:avLst/>
                  </a:prstGeom>
                  <a:noFill/>
                </pic:spPr>
              </pic:pic>
            </a:graphicData>
          </a:graphic>
          <wp14:sizeRelH relativeFrom="page">
            <wp14:pctWidth>0</wp14:pctWidth>
          </wp14:sizeRelH>
          <wp14:sizeRelV relativeFrom="page">
            <wp14:pctHeight>0</wp14:pctHeight>
          </wp14:sizeRelV>
        </wp:anchor>
      </w:drawing>
    </w:r>
    <w:r w:rsidRPr="00BF0918">
      <w:rPr>
        <w:rFonts w:cs="Arial"/>
        <w:b w:val="0"/>
        <w:noProof/>
        <w:szCs w:val="22"/>
        <w:lang w:val="en-AU" w:eastAsia="en-AU"/>
      </w:rPr>
      <w:drawing>
        <wp:anchor distT="0" distB="0" distL="114300" distR="114300" simplePos="0" relativeHeight="251634176" behindDoc="1" locked="0" layoutInCell="0" allowOverlap="1" wp14:anchorId="4930CA24" wp14:editId="28453E10">
          <wp:simplePos x="0" y="0"/>
          <wp:positionH relativeFrom="leftMargin">
            <wp:posOffset>729524</wp:posOffset>
          </wp:positionH>
          <wp:positionV relativeFrom="page">
            <wp:posOffset>339090</wp:posOffset>
          </wp:positionV>
          <wp:extent cx="4319905" cy="719455"/>
          <wp:effectExtent l="0" t="0" r="4445" b="4445"/>
          <wp:wrapNone/>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2">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168" w:type="dxa"/>
      <w:tblLayout w:type="fixed"/>
      <w:tblCellMar>
        <w:left w:w="0" w:type="dxa"/>
        <w:right w:w="0" w:type="dxa"/>
      </w:tblCellMar>
      <w:tblLook w:val="04A0" w:firstRow="1" w:lastRow="0" w:firstColumn="1" w:lastColumn="0" w:noHBand="0" w:noVBand="1"/>
    </w:tblPr>
    <w:tblGrid>
      <w:gridCol w:w="12049"/>
      <w:gridCol w:w="3119"/>
    </w:tblGrid>
    <w:tr w:rsidR="00E87437" w:rsidRPr="00037461" w14:paraId="4318F568" w14:textId="77777777" w:rsidTr="00E17764">
      <w:trPr>
        <w:cantSplit/>
        <w:trHeight w:hRule="exact" w:val="1134"/>
      </w:trPr>
      <w:tc>
        <w:tcPr>
          <w:tcW w:w="12049" w:type="dxa"/>
          <w:shd w:val="clear" w:color="auto" w:fill="auto"/>
          <w:tcMar>
            <w:right w:w="567" w:type="dxa"/>
          </w:tcMar>
          <w:vAlign w:val="center"/>
        </w:tcPr>
        <w:p w14:paraId="44C6D7E8" w14:textId="79C6F5BE" w:rsidR="00E87437" w:rsidRPr="00E8353B" w:rsidRDefault="00E87437" w:rsidP="00482C11">
          <w:pPr>
            <w:pStyle w:val="Header"/>
            <w:rPr>
              <w:rFonts w:cs="Arial"/>
              <w:b w:val="0"/>
              <w:szCs w:val="22"/>
            </w:rPr>
          </w:pPr>
          <w:r w:rsidRPr="00E17764">
            <w:rPr>
              <w:b w:val="0"/>
            </w:rPr>
            <w:fldChar w:fldCharType="begin"/>
          </w:r>
          <w:r w:rsidRPr="00E8353B">
            <w:rPr>
              <w:rFonts w:cs="Arial"/>
              <w:szCs w:val="22"/>
            </w:rPr>
            <w:instrText xml:space="preserve"> STYLEREF  "Document Title"  \* MERGEFORMAT </w:instrText>
          </w:r>
          <w:r w:rsidRPr="00E17764">
            <w:rPr>
              <w:b w:val="0"/>
            </w:rPr>
            <w:fldChar w:fldCharType="separate"/>
          </w:r>
          <w:r w:rsidR="00A83148">
            <w:rPr>
              <w:rFonts w:cs="Arial"/>
              <w:noProof/>
              <w:szCs w:val="22"/>
            </w:rPr>
            <w:t>Geotechnical-related Metrics and Thresholds for Impact Assessment on Recognised Regional Receptors</w:t>
          </w:r>
          <w:r w:rsidRPr="00E17764">
            <w:rPr>
              <w:b w:val="0"/>
            </w:rPr>
            <w:fldChar w:fldCharType="end"/>
          </w:r>
        </w:p>
      </w:tc>
      <w:tc>
        <w:tcPr>
          <w:tcW w:w="3119" w:type="dxa"/>
          <w:shd w:val="clear" w:color="auto" w:fill="auto"/>
          <w:vAlign w:val="center"/>
        </w:tcPr>
        <w:p w14:paraId="1B55BBF9" w14:textId="77777777" w:rsidR="00E87437" w:rsidRPr="00037461" w:rsidRDefault="00E87437" w:rsidP="00482C11">
          <w:pPr>
            <w:pStyle w:val="Bodynarrow"/>
          </w:pPr>
        </w:p>
      </w:tc>
    </w:tr>
  </w:tbl>
  <w:p w14:paraId="2F8B683B" w14:textId="4267C442" w:rsidR="00E87437" w:rsidRPr="00B94F6E" w:rsidRDefault="00E87437" w:rsidP="0023226C">
    <w:pPr>
      <w:pStyle w:val="Header"/>
      <w:jc w:val="right"/>
    </w:pPr>
    <w:r>
      <w:rPr>
        <w:noProof/>
        <w:lang w:val="en-AU" w:eastAsia="en-AU"/>
      </w:rPr>
      <w:drawing>
        <wp:anchor distT="0" distB="0" distL="114300" distR="114300" simplePos="0" relativeHeight="251640320" behindDoc="1" locked="0" layoutInCell="0" allowOverlap="1" wp14:anchorId="43DDCE48" wp14:editId="036AB35F">
          <wp:simplePos x="0" y="0"/>
          <wp:positionH relativeFrom="leftMargin">
            <wp:posOffset>540385</wp:posOffset>
          </wp:positionH>
          <wp:positionV relativeFrom="page">
            <wp:posOffset>414020</wp:posOffset>
          </wp:positionV>
          <wp:extent cx="7458710" cy="719455"/>
          <wp:effectExtent l="0" t="0" r="8890" b="4445"/>
          <wp:wrapNone/>
          <wp:docPr id="117"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8710"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41344" behindDoc="0" locked="1" layoutInCell="0" allowOverlap="0" wp14:anchorId="32714F37" wp14:editId="2F7008E6">
          <wp:simplePos x="0" y="0"/>
          <wp:positionH relativeFrom="page">
            <wp:posOffset>8190865</wp:posOffset>
          </wp:positionH>
          <wp:positionV relativeFrom="page">
            <wp:posOffset>417830</wp:posOffset>
          </wp:positionV>
          <wp:extent cx="1979930" cy="719455"/>
          <wp:effectExtent l="0" t="0" r="1270" b="44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E8353B">
      <w:rPr>
        <w:rFonts w:cs="Arial"/>
        <w:b w:val="0"/>
        <w:noProof/>
        <w:color w:val="808080"/>
        <w:szCs w:val="22"/>
        <w:lang w:val="en-AU" w:eastAsia="en-AU"/>
      </w:rPr>
      <w:drawing>
        <wp:anchor distT="0" distB="0" distL="114300" distR="114300" simplePos="0" relativeHeight="251638272" behindDoc="1" locked="0" layoutInCell="0" allowOverlap="1" wp14:anchorId="59D3D944" wp14:editId="78121AAC">
          <wp:simplePos x="0" y="0"/>
          <wp:positionH relativeFrom="leftMargin">
            <wp:posOffset>540385</wp:posOffset>
          </wp:positionH>
          <wp:positionV relativeFrom="page">
            <wp:posOffset>414111</wp:posOffset>
          </wp:positionV>
          <wp:extent cx="7458710" cy="719455"/>
          <wp:effectExtent l="0" t="0" r="8890" b="444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header_background_A4L.jpg"/>
                  <pic:cNvPicPr/>
                </pic:nvPicPr>
                <pic:blipFill>
                  <a:blip r:embed="rId1">
                    <a:extLst>
                      <a:ext uri="{28A0092B-C50C-407E-A947-70E740481C1C}">
                        <a14:useLocalDpi xmlns:a14="http://schemas.microsoft.com/office/drawing/2010/main" val="0"/>
                      </a:ext>
                    </a:extLst>
                  </a:blip>
                  <a:stretch>
                    <a:fillRect/>
                  </a:stretch>
                </pic:blipFill>
                <pic:spPr>
                  <a:xfrm>
                    <a:off x="0" y="0"/>
                    <a:ext cx="7458710" cy="7194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CB6B0" w14:textId="16288966" w:rsidR="00E87437" w:rsidRDefault="00E8743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79269F" w14:textId="77777777" w:rsidR="00E87437" w:rsidRDefault="00E87437">
    <w:pPr>
      <w:pStyle w:val="Header"/>
      <w:ind w:right="360"/>
    </w:pPr>
  </w:p>
  <w:p w14:paraId="37CB93CE" w14:textId="77777777" w:rsidR="00E87437" w:rsidRDefault="00E87437"/>
  <w:p w14:paraId="17F20AFF" w14:textId="77777777" w:rsidR="00E87437" w:rsidRDefault="00E8743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29054B0A" w14:textId="77777777" w:rsidTr="00E17764">
      <w:trPr>
        <w:cantSplit/>
        <w:trHeight w:hRule="exact" w:val="1134"/>
      </w:trPr>
      <w:tc>
        <w:tcPr>
          <w:tcW w:w="6804" w:type="dxa"/>
          <w:shd w:val="clear" w:color="auto" w:fill="auto"/>
          <w:tcMar>
            <w:right w:w="567" w:type="dxa"/>
          </w:tcMar>
          <w:vAlign w:val="center"/>
        </w:tcPr>
        <w:p w14:paraId="3E000BF1" w14:textId="61BAB560" w:rsidR="00E87437" w:rsidRPr="00BF0918" w:rsidRDefault="00E87437" w:rsidP="007C7130">
          <w:pPr>
            <w:pStyle w:val="Header"/>
            <w:rPr>
              <w:rFonts w:cs="Arial"/>
              <w:b w:val="0"/>
              <w:szCs w:val="22"/>
            </w:rPr>
          </w:pPr>
          <w:r>
            <w:rPr>
              <w:noProof/>
              <w:lang w:val="en-AU" w:eastAsia="en-AU"/>
            </w:rPr>
            <w:drawing>
              <wp:anchor distT="0" distB="0" distL="114300" distR="114300" simplePos="0" relativeHeight="251642368" behindDoc="1" locked="0" layoutInCell="0" allowOverlap="1" wp14:anchorId="3718341A" wp14:editId="69961E62">
                <wp:simplePos x="0" y="0"/>
                <wp:positionH relativeFrom="leftMargin">
                  <wp:posOffset>896620</wp:posOffset>
                </wp:positionH>
                <wp:positionV relativeFrom="page">
                  <wp:posOffset>451485</wp:posOffset>
                </wp:positionV>
                <wp:extent cx="4319905" cy="719455"/>
                <wp:effectExtent l="0" t="0" r="4445" b="4445"/>
                <wp:wrapNone/>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44416" behindDoc="0" locked="1" layoutInCell="0" allowOverlap="0" wp14:anchorId="5975F2FC" wp14:editId="3F189701">
                <wp:simplePos x="0" y="0"/>
                <wp:positionH relativeFrom="page">
                  <wp:posOffset>5164455</wp:posOffset>
                </wp:positionH>
                <wp:positionV relativeFrom="page">
                  <wp:posOffset>456565</wp:posOffset>
                </wp:positionV>
                <wp:extent cx="1979930" cy="719455"/>
                <wp:effectExtent l="0" t="0" r="1270" b="444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BF0918">
            <w:rPr>
              <w:rFonts w:cs="Arial"/>
              <w:b w:val="0"/>
              <w:noProof/>
              <w:szCs w:val="22"/>
              <w:lang w:val="en-AU" w:eastAsia="en-AU"/>
            </w:rPr>
            <w:drawing>
              <wp:anchor distT="0" distB="0" distL="114300" distR="114300" simplePos="0" relativeHeight="251639296" behindDoc="1" locked="0" layoutInCell="0" allowOverlap="1" wp14:anchorId="36ABC9C8" wp14:editId="2D65CF71">
                <wp:simplePos x="0" y="0"/>
                <wp:positionH relativeFrom="leftMargin">
                  <wp:posOffset>896620</wp:posOffset>
                </wp:positionH>
                <wp:positionV relativeFrom="page">
                  <wp:posOffset>451485</wp:posOffset>
                </wp:positionV>
                <wp:extent cx="4319905" cy="719455"/>
                <wp:effectExtent l="0" t="0" r="4445" b="4445"/>
                <wp:wrapNone/>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14:sizeRelH relativeFrom="page">
                  <wp14:pctWidth>0</wp14:pctWidth>
                </wp14:sizeRelH>
                <wp14:sizeRelV relativeFrom="page">
                  <wp14:pctHeight>0</wp14:pctHeight>
                </wp14:sizeRelV>
              </wp:anchor>
            </w:drawing>
          </w:r>
          <w:r w:rsidRPr="00E17764">
            <w:rPr>
              <w:b w:val="0"/>
            </w:rPr>
            <w:fldChar w:fldCharType="begin"/>
          </w:r>
          <w:r w:rsidRPr="00BF0918">
            <w:rPr>
              <w:rFonts w:cs="Arial"/>
              <w:szCs w:val="22"/>
            </w:rPr>
            <w:instrText xml:space="preserve"> STYLEREF  "Document Title"  \* MERGEFORMAT </w:instrText>
          </w:r>
          <w:r w:rsidRPr="00E17764">
            <w:rPr>
              <w:b w:val="0"/>
            </w:rPr>
            <w:fldChar w:fldCharType="separate"/>
          </w:r>
          <w:r w:rsidR="00A83148">
            <w:rPr>
              <w:rFonts w:cs="Arial"/>
              <w:noProof/>
              <w:szCs w:val="22"/>
            </w:rPr>
            <w:t>Geotechnical-related Metrics and Thresholds for Impact Assessment on Recognised Regional Receptors</w:t>
          </w:r>
          <w:r w:rsidRPr="00E17764">
            <w:rPr>
              <w:b w:val="0"/>
            </w:rPr>
            <w:fldChar w:fldCharType="end"/>
          </w:r>
        </w:p>
      </w:tc>
      <w:tc>
        <w:tcPr>
          <w:tcW w:w="3119" w:type="dxa"/>
          <w:shd w:val="clear" w:color="auto" w:fill="auto"/>
          <w:vAlign w:val="center"/>
        </w:tcPr>
        <w:p w14:paraId="22D6E469" w14:textId="77777777" w:rsidR="00E87437" w:rsidRPr="00037461" w:rsidRDefault="00E87437" w:rsidP="007C7130">
          <w:pPr>
            <w:pStyle w:val="Bodynarrow"/>
          </w:pPr>
        </w:p>
      </w:tc>
    </w:tr>
  </w:tbl>
  <w:p w14:paraId="578511FB" w14:textId="2C2BD071" w:rsidR="00E87437" w:rsidRDefault="00E8743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9E87C" w14:textId="5C50786B" w:rsidR="00E87437" w:rsidRDefault="00E8743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23331" w14:textId="174538E6" w:rsidR="00E87437" w:rsidRDefault="00E8743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3BA9A971" w14:textId="77777777" w:rsidTr="00E17764">
      <w:trPr>
        <w:cantSplit/>
        <w:trHeight w:hRule="exact" w:val="1134"/>
      </w:trPr>
      <w:tc>
        <w:tcPr>
          <w:tcW w:w="6804" w:type="dxa"/>
          <w:shd w:val="clear" w:color="auto" w:fill="auto"/>
          <w:tcMar>
            <w:right w:w="567" w:type="dxa"/>
          </w:tcMar>
          <w:vAlign w:val="center"/>
        </w:tcPr>
        <w:p w14:paraId="60033AAB" w14:textId="0EC76674" w:rsidR="00E87437" w:rsidRPr="00BF0918" w:rsidRDefault="00E87437" w:rsidP="007C7130">
          <w:pPr>
            <w:pStyle w:val="Header"/>
            <w:rPr>
              <w:rFonts w:cs="Arial"/>
              <w:b w:val="0"/>
              <w:szCs w:val="22"/>
            </w:rPr>
          </w:pPr>
          <w:r>
            <w:rPr>
              <w:noProof/>
              <w:lang w:val="en-AU" w:eastAsia="en-AU"/>
            </w:rPr>
            <w:drawing>
              <wp:anchor distT="0" distB="0" distL="114300" distR="114300" simplePos="0" relativeHeight="251663872" behindDoc="1" locked="0" layoutInCell="0" allowOverlap="1" wp14:anchorId="4BE085B4" wp14:editId="35D3DFDE">
                <wp:simplePos x="0" y="0"/>
                <wp:positionH relativeFrom="leftMargin">
                  <wp:posOffset>723265</wp:posOffset>
                </wp:positionH>
                <wp:positionV relativeFrom="page">
                  <wp:posOffset>361315</wp:posOffset>
                </wp:positionV>
                <wp:extent cx="4319905" cy="719455"/>
                <wp:effectExtent l="0" t="0" r="4445" b="4445"/>
                <wp:wrapNone/>
                <wp:docPr id="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2848" behindDoc="0" locked="1" layoutInCell="0" allowOverlap="0" wp14:anchorId="39575E02" wp14:editId="1C401BDF">
                <wp:simplePos x="0" y="0"/>
                <wp:positionH relativeFrom="page">
                  <wp:posOffset>5041900</wp:posOffset>
                </wp:positionH>
                <wp:positionV relativeFrom="page">
                  <wp:posOffset>357505</wp:posOffset>
                </wp:positionV>
                <wp:extent cx="1979930" cy="719455"/>
                <wp:effectExtent l="0" t="0" r="127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E17764">
            <w:rPr>
              <w:b w:val="0"/>
            </w:rPr>
            <w:fldChar w:fldCharType="begin"/>
          </w:r>
          <w:r w:rsidRPr="00BF0918">
            <w:rPr>
              <w:rFonts w:cs="Arial"/>
              <w:szCs w:val="22"/>
            </w:rPr>
            <w:instrText xml:space="preserve"> STYLEREF  "Document Title"  \* MERGEFORMAT </w:instrText>
          </w:r>
          <w:r w:rsidRPr="00E17764">
            <w:rPr>
              <w:b w:val="0"/>
            </w:rPr>
            <w:fldChar w:fldCharType="separate"/>
          </w:r>
          <w:r w:rsidR="00A83148">
            <w:rPr>
              <w:rFonts w:cs="Arial"/>
              <w:noProof/>
              <w:szCs w:val="22"/>
            </w:rPr>
            <w:t>Geotechnical-related Metrics and Thresholds for Impact Assessment on Recognised Regional Receptors</w:t>
          </w:r>
          <w:r w:rsidRPr="00E17764">
            <w:rPr>
              <w:b w:val="0"/>
            </w:rPr>
            <w:fldChar w:fldCharType="end"/>
          </w:r>
        </w:p>
      </w:tc>
      <w:tc>
        <w:tcPr>
          <w:tcW w:w="3119" w:type="dxa"/>
          <w:shd w:val="clear" w:color="auto" w:fill="auto"/>
          <w:vAlign w:val="center"/>
        </w:tcPr>
        <w:p w14:paraId="76EEA129" w14:textId="77777777" w:rsidR="00E87437" w:rsidRPr="00037461" w:rsidRDefault="00E87437" w:rsidP="007C7130">
          <w:pPr>
            <w:pStyle w:val="Bodynarrow"/>
          </w:pPr>
        </w:p>
      </w:tc>
    </w:tr>
  </w:tbl>
  <w:p w14:paraId="76D61E27" w14:textId="2DB9C442" w:rsidR="00E87437" w:rsidRDefault="00E8743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5694BBCE" w14:textId="77777777" w:rsidTr="00E17764">
      <w:trPr>
        <w:cantSplit/>
        <w:trHeight w:hRule="exact" w:val="1134"/>
      </w:trPr>
      <w:tc>
        <w:tcPr>
          <w:tcW w:w="6804" w:type="dxa"/>
          <w:shd w:val="clear" w:color="auto" w:fill="auto"/>
          <w:vAlign w:val="center"/>
        </w:tcPr>
        <w:p w14:paraId="5AB685A9" w14:textId="4DB01F71" w:rsidR="00E87437" w:rsidRPr="00037461" w:rsidRDefault="00E87437" w:rsidP="0023226C">
          <w:pPr>
            <w:pStyle w:val="Header"/>
          </w:pPr>
          <w:r>
            <w:rPr>
              <w:noProof/>
              <w:lang w:val="en-AU" w:eastAsia="en-AU"/>
            </w:rPr>
            <w:drawing>
              <wp:anchor distT="0" distB="0" distL="114300" distR="114300" simplePos="0" relativeHeight="251660800" behindDoc="1" locked="0" layoutInCell="0" allowOverlap="1" wp14:anchorId="5F283F39" wp14:editId="6279F3C8">
                <wp:simplePos x="0" y="0"/>
                <wp:positionH relativeFrom="page">
                  <wp:posOffset>720090</wp:posOffset>
                </wp:positionH>
                <wp:positionV relativeFrom="page">
                  <wp:posOffset>360045</wp:posOffset>
                </wp:positionV>
                <wp:extent cx="4319905" cy="720090"/>
                <wp:effectExtent l="0" t="0" r="4445" b="3810"/>
                <wp:wrapNone/>
                <wp:docPr id="19"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720090"/>
                        </a:xfrm>
                        <a:prstGeom prst="rect">
                          <a:avLst/>
                        </a:prstGeom>
                        <a:noFill/>
                      </pic:spPr>
                    </pic:pic>
                  </a:graphicData>
                </a:graphic>
                <wp14:sizeRelH relativeFrom="page">
                  <wp14:pctWidth>0</wp14:pctWidth>
                </wp14:sizeRelH>
                <wp14:sizeRelV relativeFrom="page">
                  <wp14:pctHeight>0</wp14:pctHeight>
                </wp14:sizeRelV>
              </wp:anchor>
            </w:drawing>
          </w:r>
          <w:r w:rsidRPr="00032A0D">
            <w:rPr>
              <w:noProof/>
              <w:lang w:val="en-AU" w:eastAsia="en-AU"/>
            </w:rPr>
            <w:drawing>
              <wp:anchor distT="0" distB="0" distL="114300" distR="114300" simplePos="0" relativeHeight="251659776" behindDoc="1" locked="0" layoutInCell="0" allowOverlap="1" wp14:anchorId="3ED6E9A8" wp14:editId="7B8A1B37">
                <wp:simplePos x="0" y="0"/>
                <wp:positionH relativeFrom="page">
                  <wp:posOffset>720090</wp:posOffset>
                </wp:positionH>
                <wp:positionV relativeFrom="page">
                  <wp:posOffset>360045</wp:posOffset>
                </wp:positionV>
                <wp:extent cx="4320000" cy="720000"/>
                <wp:effectExtent l="0" t="0" r="4445" b="4445"/>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Pr>
              <w:b w:val="0"/>
              <w:bCs/>
              <w:noProof/>
            </w:rPr>
            <w:fldChar w:fldCharType="begin"/>
          </w:r>
          <w:r>
            <w:rPr>
              <w:b w:val="0"/>
              <w:bCs/>
              <w:noProof/>
            </w:rPr>
            <w:instrText xml:space="preserve"> STYLEREF  "Document Title"  \* MERGEFORMAT </w:instrText>
          </w:r>
          <w:r>
            <w:rPr>
              <w:b w:val="0"/>
              <w:bCs/>
              <w:noProof/>
            </w:rPr>
            <w:fldChar w:fldCharType="separate"/>
          </w:r>
          <w:r w:rsidR="00A83148">
            <w:rPr>
              <w:b w:val="0"/>
              <w:bCs/>
              <w:noProof/>
            </w:rPr>
            <w:t>Geotechnical-related Metrics and Thresholds for Impact Assessment on Recognised</w:t>
          </w:r>
          <w:r w:rsidR="00A83148" w:rsidRPr="00A83148">
            <w:rPr>
              <w:noProof/>
            </w:rPr>
            <w:t xml:space="preserve"> Regional</w:t>
          </w:r>
          <w:r w:rsidR="00A83148">
            <w:rPr>
              <w:b w:val="0"/>
              <w:bCs/>
              <w:noProof/>
            </w:rPr>
            <w:t xml:space="preserve"> Receptors</w:t>
          </w:r>
          <w:r>
            <w:rPr>
              <w:noProof/>
            </w:rPr>
            <w:fldChar w:fldCharType="end"/>
          </w:r>
        </w:p>
      </w:tc>
      <w:tc>
        <w:tcPr>
          <w:tcW w:w="3119" w:type="dxa"/>
          <w:shd w:val="clear" w:color="auto" w:fill="auto"/>
          <w:vAlign w:val="center"/>
        </w:tcPr>
        <w:p w14:paraId="27327A90" w14:textId="77777777" w:rsidR="00E87437" w:rsidRPr="00037461" w:rsidRDefault="00E87437" w:rsidP="004267B2">
          <w:pPr>
            <w:pStyle w:val="Bodynarrow"/>
          </w:pPr>
        </w:p>
      </w:tc>
    </w:tr>
  </w:tbl>
  <w:p w14:paraId="22F5B158" w14:textId="77777777" w:rsidR="00E87437" w:rsidRDefault="00E87437" w:rsidP="00BD0B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5CEBE" w14:textId="05B725E3" w:rsidR="00E87437" w:rsidRDefault="00E87437" w:rsidP="00891F6C">
    <w:pPr>
      <w:pStyle w:val="EmptyHead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4D5F6" w14:textId="24082635" w:rsidR="00E87437" w:rsidRDefault="00E874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618F711B" w14:textId="77777777" w:rsidTr="00FB065B">
      <w:trPr>
        <w:cantSplit/>
        <w:trHeight w:hRule="exact" w:val="1134"/>
      </w:trPr>
      <w:tc>
        <w:tcPr>
          <w:tcW w:w="6804" w:type="dxa"/>
          <w:shd w:val="clear" w:color="auto" w:fill="auto"/>
          <w:tcMar>
            <w:right w:w="567" w:type="dxa"/>
          </w:tcMar>
          <w:vAlign w:val="center"/>
        </w:tcPr>
        <w:p w14:paraId="34C6AF3C" w14:textId="585927E3" w:rsidR="00E87437" w:rsidRPr="00BF0918" w:rsidRDefault="00E87437" w:rsidP="00844F88">
          <w:pPr>
            <w:pStyle w:val="Header"/>
            <w:rPr>
              <w:rFonts w:cs="Arial"/>
              <w:b w:val="0"/>
              <w:szCs w:val="22"/>
            </w:rPr>
          </w:pPr>
          <w:r>
            <w:rPr>
              <w:noProof/>
              <w:lang w:val="en-AU" w:eastAsia="en-AU"/>
            </w:rPr>
            <w:drawing>
              <wp:anchor distT="0" distB="0" distL="114300" distR="114300" simplePos="0" relativeHeight="251648512" behindDoc="1" locked="0" layoutInCell="0" allowOverlap="1" wp14:anchorId="1CE6A743" wp14:editId="2323DDA6">
                <wp:simplePos x="0" y="0"/>
                <wp:positionH relativeFrom="leftMargin">
                  <wp:posOffset>724535</wp:posOffset>
                </wp:positionH>
                <wp:positionV relativeFrom="page">
                  <wp:posOffset>368300</wp:posOffset>
                </wp:positionV>
                <wp:extent cx="4319905" cy="719455"/>
                <wp:effectExtent l="0" t="0" r="4445" b="4445"/>
                <wp:wrapNone/>
                <wp:docPr id="1"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1584" behindDoc="0" locked="1" layoutInCell="0" allowOverlap="0" wp14:anchorId="675C5A86" wp14:editId="31FB0026">
                <wp:simplePos x="0" y="0"/>
                <wp:positionH relativeFrom="page">
                  <wp:posOffset>5046345</wp:posOffset>
                </wp:positionH>
                <wp:positionV relativeFrom="page">
                  <wp:posOffset>363220</wp:posOffset>
                </wp:positionV>
                <wp:extent cx="1979930" cy="719455"/>
                <wp:effectExtent l="0" t="0" r="127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FB065B">
            <w:rPr>
              <w:b w:val="0"/>
            </w:rPr>
            <w:fldChar w:fldCharType="begin"/>
          </w:r>
          <w:r w:rsidRPr="00BF0918">
            <w:rPr>
              <w:rFonts w:cs="Arial"/>
              <w:szCs w:val="22"/>
            </w:rPr>
            <w:instrText xml:space="preserve"> STYLEREF  "Document Title"  \* MERGEFORMAT </w:instrText>
          </w:r>
          <w:r w:rsidRPr="00FB065B">
            <w:rPr>
              <w:b w:val="0"/>
            </w:rPr>
            <w:fldChar w:fldCharType="separate"/>
          </w:r>
          <w:r w:rsidR="00E97F02">
            <w:rPr>
              <w:rFonts w:cs="Arial"/>
              <w:noProof/>
              <w:szCs w:val="22"/>
            </w:rPr>
            <w:t>Geotechnical-related Metrics and Thresholds for Impact Assessment on Recognised Regional Receptors</w:t>
          </w:r>
          <w:r w:rsidRPr="00FB065B">
            <w:rPr>
              <w:b w:val="0"/>
            </w:rPr>
            <w:fldChar w:fldCharType="end"/>
          </w:r>
        </w:p>
      </w:tc>
      <w:tc>
        <w:tcPr>
          <w:tcW w:w="3119" w:type="dxa"/>
          <w:shd w:val="clear" w:color="auto" w:fill="auto"/>
          <w:vAlign w:val="center"/>
        </w:tcPr>
        <w:p w14:paraId="453D73C7" w14:textId="77777777" w:rsidR="00E87437" w:rsidRPr="00037461" w:rsidRDefault="00E87437" w:rsidP="00844F88">
          <w:pPr>
            <w:pStyle w:val="Bodynarrow"/>
          </w:pPr>
        </w:p>
      </w:tc>
    </w:tr>
  </w:tbl>
  <w:p w14:paraId="56F31484" w14:textId="77777777" w:rsidR="00E87437" w:rsidRPr="00A80A11" w:rsidRDefault="00E87437" w:rsidP="0023226C">
    <w:pPr>
      <w:pStyle w:val="HeaderSpac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53B30A28" w14:textId="77777777" w:rsidTr="00E17764">
      <w:trPr>
        <w:cantSplit/>
        <w:trHeight w:hRule="exact" w:val="1134"/>
      </w:trPr>
      <w:tc>
        <w:tcPr>
          <w:tcW w:w="6804" w:type="dxa"/>
          <w:shd w:val="clear" w:color="auto" w:fill="auto"/>
          <w:tcMar>
            <w:right w:w="567" w:type="dxa"/>
          </w:tcMar>
          <w:vAlign w:val="center"/>
        </w:tcPr>
        <w:p w14:paraId="2DDAA279" w14:textId="5EC4D7D8" w:rsidR="00E87437" w:rsidRPr="00BF0918" w:rsidRDefault="00E87437" w:rsidP="00C618F4">
          <w:pPr>
            <w:pStyle w:val="Header"/>
            <w:rPr>
              <w:rFonts w:cs="Arial"/>
              <w:b w:val="0"/>
              <w:szCs w:val="22"/>
            </w:rPr>
          </w:pPr>
          <w:r>
            <w:rPr>
              <w:noProof/>
              <w:lang w:val="en-AU" w:eastAsia="en-AU"/>
            </w:rPr>
            <w:drawing>
              <wp:anchor distT="0" distB="0" distL="114300" distR="114300" simplePos="0" relativeHeight="251666944" behindDoc="1" locked="0" layoutInCell="0" allowOverlap="1" wp14:anchorId="30000509" wp14:editId="0541794A">
                <wp:simplePos x="0" y="0"/>
                <wp:positionH relativeFrom="leftMargin">
                  <wp:posOffset>910590</wp:posOffset>
                </wp:positionH>
                <wp:positionV relativeFrom="page">
                  <wp:posOffset>454660</wp:posOffset>
                </wp:positionV>
                <wp:extent cx="4319905" cy="719455"/>
                <wp:effectExtent l="0" t="0" r="4445" b="4445"/>
                <wp:wrapNone/>
                <wp:docPr id="55"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719455"/>
                        </a:xfrm>
                        <a:prstGeom prst="rect">
                          <a:avLst/>
                        </a:prstGeom>
                        <a:noFill/>
                      </pic:spPr>
                    </pic:pic>
                  </a:graphicData>
                </a:graphic>
                <wp14:sizeRelH relativeFrom="page">
                  <wp14:pctWidth>0</wp14:pctWidth>
                </wp14:sizeRelH>
                <wp14:sizeRelV relativeFrom="page">
                  <wp14:pctHeight>0</wp14:pctHeight>
                </wp14:sizeRelV>
              </wp:anchor>
            </w:drawing>
          </w:r>
          <w:r w:rsidRPr="00BF0918">
            <w:rPr>
              <w:rFonts w:cs="Arial"/>
              <w:b w:val="0"/>
              <w:noProof/>
              <w:szCs w:val="22"/>
              <w:lang w:val="en-AU" w:eastAsia="en-AU"/>
            </w:rPr>
            <w:drawing>
              <wp:anchor distT="0" distB="0" distL="114300" distR="114300" simplePos="0" relativeHeight="251643392" behindDoc="1" locked="0" layoutInCell="0" allowOverlap="1" wp14:anchorId="63C58304" wp14:editId="3BD6CA4C">
                <wp:simplePos x="0" y="0"/>
                <wp:positionH relativeFrom="leftMargin">
                  <wp:posOffset>910590</wp:posOffset>
                </wp:positionH>
                <wp:positionV relativeFrom="page">
                  <wp:posOffset>454660</wp:posOffset>
                </wp:positionV>
                <wp:extent cx="4319905" cy="719455"/>
                <wp:effectExtent l="0" t="0" r="4445" b="4445"/>
                <wp:wrapNone/>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14:sizeRelH relativeFrom="page">
                  <wp14:pctWidth>0</wp14:pctWidth>
                </wp14:sizeRelH>
                <wp14:sizeRelV relativeFrom="page">
                  <wp14:pctHeight>0</wp14:pctHeight>
                </wp14:sizeRelV>
              </wp:anchor>
            </w:drawing>
          </w:r>
          <w:r w:rsidRPr="00E17764">
            <w:rPr>
              <w:b w:val="0"/>
            </w:rPr>
            <w:fldChar w:fldCharType="begin"/>
          </w:r>
          <w:r w:rsidRPr="00BF0918">
            <w:rPr>
              <w:rFonts w:cs="Arial"/>
              <w:szCs w:val="22"/>
            </w:rPr>
            <w:instrText xml:space="preserve"> STYLEREF  "Document Title"  \* MERGEFORMAT </w:instrText>
          </w:r>
          <w:r w:rsidRPr="00E17764">
            <w:rPr>
              <w:b w:val="0"/>
            </w:rPr>
            <w:fldChar w:fldCharType="separate"/>
          </w:r>
          <w:r w:rsidR="00A83148">
            <w:rPr>
              <w:rFonts w:cs="Arial"/>
              <w:noProof/>
              <w:szCs w:val="22"/>
            </w:rPr>
            <w:t>Geotechnical-related Metrics and Thresholds for Impact Assessment on Recognised Regional Receptors</w:t>
          </w:r>
          <w:r w:rsidRPr="00E17764">
            <w:rPr>
              <w:b w:val="0"/>
            </w:rPr>
            <w:fldChar w:fldCharType="end"/>
          </w:r>
        </w:p>
      </w:tc>
      <w:tc>
        <w:tcPr>
          <w:tcW w:w="3119" w:type="dxa"/>
          <w:shd w:val="clear" w:color="auto" w:fill="auto"/>
          <w:vAlign w:val="center"/>
        </w:tcPr>
        <w:p w14:paraId="3797C025" w14:textId="7802290A" w:rsidR="00E87437" w:rsidRPr="00037461" w:rsidRDefault="00E87437" w:rsidP="00C618F4">
          <w:pPr>
            <w:pStyle w:val="Bodynarrow"/>
          </w:pPr>
          <w:r>
            <w:rPr>
              <w:noProof/>
              <w:lang w:val="en-AU" w:eastAsia="en-AU"/>
            </w:rPr>
            <w:drawing>
              <wp:anchor distT="0" distB="0" distL="114300" distR="114300" simplePos="0" relativeHeight="251667968" behindDoc="0" locked="0" layoutInCell="0" allowOverlap="0" wp14:anchorId="05ED6F67" wp14:editId="3A1BAB36">
                <wp:simplePos x="0" y="0"/>
                <wp:positionH relativeFrom="page">
                  <wp:posOffset>5234305</wp:posOffset>
                </wp:positionH>
                <wp:positionV relativeFrom="page">
                  <wp:posOffset>448310</wp:posOffset>
                </wp:positionV>
                <wp:extent cx="1979930" cy="719455"/>
                <wp:effectExtent l="0" t="0" r="1270" b="44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C618F4">
            <w:rPr>
              <w:rFonts w:cs="Arial"/>
              <w:b/>
              <w:noProof/>
              <w:color w:val="808080"/>
              <w:szCs w:val="22"/>
              <w:lang w:val="en-AU" w:eastAsia="en-AU"/>
            </w:rPr>
            <w:drawing>
              <wp:anchor distT="0" distB="0" distL="114300" distR="114300" simplePos="0" relativeHeight="251654656" behindDoc="0" locked="0" layoutInCell="0" allowOverlap="0" wp14:anchorId="586970C5" wp14:editId="52841C25">
                <wp:simplePos x="0" y="0"/>
                <wp:positionH relativeFrom="page">
                  <wp:posOffset>5234305</wp:posOffset>
                </wp:positionH>
                <wp:positionV relativeFrom="page">
                  <wp:posOffset>448310</wp:posOffset>
                </wp:positionV>
                <wp:extent cx="1979930" cy="719455"/>
                <wp:effectExtent l="0" t="0" r="1270" b="4445"/>
                <wp:wrapNone/>
                <wp:docPr id="58"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1979930" cy="719455"/>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p>
      </w:tc>
    </w:tr>
  </w:tbl>
  <w:p w14:paraId="16997BA6" w14:textId="77777777" w:rsidR="00E87437" w:rsidRDefault="00E87437" w:rsidP="002322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0DA8B0C4" w14:textId="77777777" w:rsidTr="0077223B">
      <w:trPr>
        <w:cantSplit/>
        <w:trHeight w:hRule="exact" w:val="1134"/>
      </w:trPr>
      <w:tc>
        <w:tcPr>
          <w:tcW w:w="6804" w:type="dxa"/>
          <w:shd w:val="clear" w:color="auto" w:fill="auto"/>
          <w:tcMar>
            <w:right w:w="567" w:type="dxa"/>
          </w:tcMar>
          <w:vAlign w:val="center"/>
        </w:tcPr>
        <w:p w14:paraId="1E5899C1" w14:textId="49DA130E" w:rsidR="00E87437" w:rsidRPr="00042320" w:rsidRDefault="00E87437" w:rsidP="0077223B">
          <w:pPr>
            <w:pStyle w:val="Header"/>
          </w:pPr>
          <w:r>
            <w:rPr>
              <w:noProof/>
            </w:rPr>
            <w:fldChar w:fldCharType="begin"/>
          </w:r>
          <w:r>
            <w:rPr>
              <w:noProof/>
            </w:rPr>
            <w:instrText xml:space="preserve"> STYLEREF  "Document Title"  \* MERGEFORMAT </w:instrText>
          </w:r>
          <w:r>
            <w:rPr>
              <w:noProof/>
            </w:rPr>
            <w:fldChar w:fldCharType="separate"/>
          </w:r>
          <w:r w:rsidR="00A83148">
            <w:rPr>
              <w:noProof/>
            </w:rPr>
            <w:t>Geotechnical-related Metrics and Thresholds for Impact Assessment on Recognised Regional Receptors</w:t>
          </w:r>
          <w:r>
            <w:rPr>
              <w:noProof/>
            </w:rPr>
            <w:fldChar w:fldCharType="end"/>
          </w:r>
        </w:p>
      </w:tc>
      <w:tc>
        <w:tcPr>
          <w:tcW w:w="3119" w:type="dxa"/>
          <w:shd w:val="clear" w:color="auto" w:fill="auto"/>
          <w:vAlign w:val="center"/>
        </w:tcPr>
        <w:p w14:paraId="480F4A78" w14:textId="77777777" w:rsidR="00E87437" w:rsidRPr="00037461" w:rsidRDefault="00E87437" w:rsidP="0077223B">
          <w:pPr>
            <w:pStyle w:val="Bodynarrow"/>
          </w:pPr>
        </w:p>
      </w:tc>
    </w:tr>
  </w:tbl>
  <w:p w14:paraId="1B921A82" w14:textId="77777777" w:rsidR="00E87437" w:rsidRPr="00A80A11" w:rsidRDefault="00E87437" w:rsidP="0077223B">
    <w:pPr>
      <w:pStyle w:val="HeaderSpacer"/>
    </w:pPr>
    <w:r w:rsidRPr="00042320">
      <w:rPr>
        <w:noProof/>
        <w:lang w:val="en-AU" w:eastAsia="zh-CN"/>
      </w:rPr>
      <w:drawing>
        <wp:anchor distT="0" distB="0" distL="114300" distR="114300" simplePos="0" relativeHeight="251652608" behindDoc="1" locked="0" layoutInCell="0" allowOverlap="1" wp14:anchorId="1E36E53B" wp14:editId="31389601">
          <wp:simplePos x="0" y="0"/>
          <wp:positionH relativeFrom="leftMargin">
            <wp:posOffset>723900</wp:posOffset>
          </wp:positionH>
          <wp:positionV relativeFrom="page">
            <wp:posOffset>360045</wp:posOffset>
          </wp:positionV>
          <wp:extent cx="4320000" cy="720000"/>
          <wp:effectExtent l="0" t="0" r="4445" b="444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sidRPr="00032A0D">
      <w:rPr>
        <w:noProof/>
        <w:color w:val="808080"/>
        <w:lang w:val="en-AU" w:eastAsia="zh-CN"/>
      </w:rPr>
      <w:drawing>
        <wp:anchor distT="0" distB="0" distL="114300" distR="114300" simplePos="0" relativeHeight="251655680" behindDoc="0" locked="1" layoutInCell="0" allowOverlap="0" wp14:anchorId="3F08B28F" wp14:editId="62DF60AE">
          <wp:simplePos x="0" y="0"/>
          <wp:positionH relativeFrom="page">
            <wp:posOffset>5047615</wp:posOffset>
          </wp:positionH>
          <wp:positionV relativeFrom="page">
            <wp:posOffset>363855</wp:posOffset>
          </wp:positionV>
          <wp:extent cx="1980000" cy="720000"/>
          <wp:effectExtent l="0" t="0" r="1270" b="4445"/>
          <wp:wrapNone/>
          <wp:docPr id="10"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1980000" cy="720000"/>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D1840" w14:textId="4E3DE876" w:rsidR="00E87437" w:rsidRDefault="00E87437">
    <w:pPr>
      <w:pStyle w:val="Header"/>
    </w:pPr>
  </w:p>
  <w:p w14:paraId="43796717" w14:textId="77777777" w:rsidR="00E87437" w:rsidRDefault="00E8743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87437" w:rsidRPr="00037461" w14:paraId="07F8EE27" w14:textId="77777777" w:rsidTr="0098232F">
      <w:trPr>
        <w:cantSplit/>
        <w:trHeight w:hRule="exact" w:val="1134"/>
      </w:trPr>
      <w:tc>
        <w:tcPr>
          <w:tcW w:w="6804" w:type="dxa"/>
          <w:shd w:val="clear" w:color="auto" w:fill="auto"/>
          <w:tcMar>
            <w:right w:w="567" w:type="dxa"/>
          </w:tcMar>
          <w:vAlign w:val="center"/>
        </w:tcPr>
        <w:p w14:paraId="27EBBC88" w14:textId="15984504" w:rsidR="00E87437" w:rsidRPr="00BF0918" w:rsidRDefault="00E87437" w:rsidP="00844F88">
          <w:pPr>
            <w:pStyle w:val="Header"/>
            <w:rPr>
              <w:rFonts w:cs="Arial"/>
              <w:b w:val="0"/>
              <w:szCs w:val="22"/>
            </w:rPr>
          </w:pPr>
          <w:r>
            <w:rPr>
              <w:noProof/>
              <w:lang w:val="en-AU" w:eastAsia="en-AU"/>
            </w:rPr>
            <w:drawing>
              <wp:anchor distT="0" distB="0" distL="114300" distR="114300" simplePos="0" relativeHeight="251646464" behindDoc="1" locked="0" layoutInCell="0" allowOverlap="1" wp14:anchorId="6001905F" wp14:editId="2E8CD585">
                <wp:simplePos x="0" y="0"/>
                <wp:positionH relativeFrom="leftMargin">
                  <wp:posOffset>899160</wp:posOffset>
                </wp:positionH>
                <wp:positionV relativeFrom="page">
                  <wp:posOffset>433705</wp:posOffset>
                </wp:positionV>
                <wp:extent cx="4319905" cy="719455"/>
                <wp:effectExtent l="0" t="0" r="4445" b="4445"/>
                <wp:wrapNone/>
                <wp:docPr id="11"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49536" behindDoc="0" locked="1" layoutInCell="0" allowOverlap="0" wp14:anchorId="71AE1D24" wp14:editId="6BE80EC7">
                <wp:simplePos x="0" y="0"/>
                <wp:positionH relativeFrom="page">
                  <wp:posOffset>5200650</wp:posOffset>
                </wp:positionH>
                <wp:positionV relativeFrom="page">
                  <wp:posOffset>450850</wp:posOffset>
                </wp:positionV>
                <wp:extent cx="1979930" cy="719455"/>
                <wp:effectExtent l="0" t="0" r="127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930" cy="719455"/>
                        </a:xfrm>
                        <a:prstGeom prst="rect">
                          <a:avLst/>
                        </a:prstGeom>
                        <a:solidFill>
                          <a:srgbClr val="E6E5E3"/>
                        </a:solidFill>
                      </pic:spPr>
                    </pic:pic>
                  </a:graphicData>
                </a:graphic>
                <wp14:sizeRelH relativeFrom="page">
                  <wp14:pctWidth>0</wp14:pctWidth>
                </wp14:sizeRelH>
                <wp14:sizeRelV relativeFrom="page">
                  <wp14:pctHeight>0</wp14:pctHeight>
                </wp14:sizeRelV>
              </wp:anchor>
            </w:drawing>
          </w:r>
          <w:r w:rsidRPr="00BF0918">
            <w:rPr>
              <w:rFonts w:cs="Arial"/>
              <w:b w:val="0"/>
              <w:noProof/>
              <w:szCs w:val="22"/>
              <w:lang w:val="en-AU" w:eastAsia="en-AU"/>
            </w:rPr>
            <w:drawing>
              <wp:anchor distT="0" distB="0" distL="114300" distR="114300" simplePos="0" relativeHeight="251645440" behindDoc="1" locked="0" layoutInCell="0" allowOverlap="1" wp14:anchorId="1A246BA4" wp14:editId="408BE2BA">
                <wp:simplePos x="0" y="0"/>
                <wp:positionH relativeFrom="leftMargin">
                  <wp:posOffset>899160</wp:posOffset>
                </wp:positionH>
                <wp:positionV relativeFrom="page">
                  <wp:posOffset>433705</wp:posOffset>
                </wp:positionV>
                <wp:extent cx="4319905" cy="719455"/>
                <wp:effectExtent l="0" t="0" r="4445" b="4445"/>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14:sizeRelH relativeFrom="page">
                  <wp14:pctWidth>0</wp14:pctWidth>
                </wp14:sizeRelH>
                <wp14:sizeRelV relativeFrom="page">
                  <wp14:pctHeight>0</wp14:pctHeight>
                </wp14:sizeRelV>
              </wp:anchor>
            </w:drawing>
          </w:r>
          <w:r w:rsidRPr="0098232F">
            <w:rPr>
              <w:b w:val="0"/>
            </w:rPr>
            <w:fldChar w:fldCharType="begin"/>
          </w:r>
          <w:r w:rsidRPr="00BF0918">
            <w:rPr>
              <w:rFonts w:cs="Arial"/>
              <w:szCs w:val="22"/>
            </w:rPr>
            <w:instrText xml:space="preserve"> STYLEREF  "Document Title"  \* MERGEFORMAT </w:instrText>
          </w:r>
          <w:r w:rsidRPr="0098232F">
            <w:rPr>
              <w:b w:val="0"/>
            </w:rPr>
            <w:fldChar w:fldCharType="separate"/>
          </w:r>
          <w:r w:rsidR="00A83148">
            <w:rPr>
              <w:rFonts w:cs="Arial"/>
              <w:noProof/>
              <w:szCs w:val="22"/>
            </w:rPr>
            <w:t>Geotechnical-related Metrics and Thresholds for Impact Assessment on Recognised Regional Receptors</w:t>
          </w:r>
          <w:r w:rsidRPr="0098232F">
            <w:rPr>
              <w:b w:val="0"/>
            </w:rPr>
            <w:fldChar w:fldCharType="end"/>
          </w:r>
        </w:p>
      </w:tc>
      <w:tc>
        <w:tcPr>
          <w:tcW w:w="3119" w:type="dxa"/>
          <w:shd w:val="clear" w:color="auto" w:fill="auto"/>
          <w:vAlign w:val="center"/>
        </w:tcPr>
        <w:p w14:paraId="19AC745E" w14:textId="77777777" w:rsidR="00E87437" w:rsidRPr="00037461" w:rsidRDefault="00E87437" w:rsidP="00844F88">
          <w:pPr>
            <w:pStyle w:val="Bodynarrow"/>
          </w:pPr>
        </w:p>
      </w:tc>
    </w:tr>
  </w:tbl>
  <w:p w14:paraId="73D503E4" w14:textId="77777777" w:rsidR="00E87437" w:rsidRPr="00A80A11" w:rsidRDefault="00E87437" w:rsidP="0023226C">
    <w:pPr>
      <w:pStyle w:val="HeaderSpacer"/>
    </w:pPr>
  </w:p>
  <w:p w14:paraId="473BB1C0" w14:textId="77777777" w:rsidR="00E87437" w:rsidRDefault="00E874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399"/>
    <w:multiLevelType w:val="multilevel"/>
    <w:tmpl w:val="080ABF0C"/>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 w15:restartNumberingAfterBreak="0">
    <w:nsid w:val="07C53305"/>
    <w:multiLevelType w:val="multilevel"/>
    <w:tmpl w:val="A462EF18"/>
    <w:styleLink w:val="Jacobs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2" w15:restartNumberingAfterBreak="0">
    <w:nsid w:val="092D3024"/>
    <w:multiLevelType w:val="multilevel"/>
    <w:tmpl w:val="47CCDB28"/>
    <w:lvl w:ilvl="0">
      <w:start w:val="1"/>
      <w:numFmt w:val="decimal"/>
      <w:lvlText w:val="%1."/>
      <w:lvlJc w:val="left"/>
      <w:pPr>
        <w:ind w:left="425" w:hanging="425"/>
      </w:pPr>
      <w:rPr>
        <w:rFonts w:hint="default"/>
        <w:color w:val="auto"/>
        <w:sz w:val="18"/>
      </w:rPr>
    </w:lvl>
    <w:lvl w:ilvl="1">
      <w:start w:val="1"/>
      <w:numFmt w:val="bullet"/>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15:restartNumberingAfterBreak="0">
    <w:nsid w:val="099D0038"/>
    <w:multiLevelType w:val="multilevel"/>
    <w:tmpl w:val="F5AC586E"/>
    <w:styleLink w:val="Jacobs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4"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5"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F2D64"/>
    <w:multiLevelType w:val="multilevel"/>
    <w:tmpl w:val="9A9A8116"/>
    <w:styleLink w:val="Jacobs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7" w15:restartNumberingAfterBreak="0">
    <w:nsid w:val="0B381398"/>
    <w:multiLevelType w:val="multilevel"/>
    <w:tmpl w:val="B04275A2"/>
    <w:styleLink w:val="Jacobs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8" w15:restartNumberingAfterBreak="0">
    <w:nsid w:val="149B38D1"/>
    <w:multiLevelType w:val="multilevel"/>
    <w:tmpl w:val="8BC81D84"/>
    <w:styleLink w:val="Jacobs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9" w15:restartNumberingAfterBreak="0">
    <w:nsid w:val="15587C12"/>
    <w:multiLevelType w:val="multilevel"/>
    <w:tmpl w:val="3BA44F1A"/>
    <w:styleLink w:val="Jacobs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0" w15:restartNumberingAfterBreak="0">
    <w:nsid w:val="17EC5BB2"/>
    <w:multiLevelType w:val="multilevel"/>
    <w:tmpl w:val="E8662322"/>
    <w:styleLink w:val="Jacobs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11" w15:restartNumberingAfterBreak="0">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2" w15:restartNumberingAfterBreak="0">
    <w:nsid w:val="22BD5706"/>
    <w:multiLevelType w:val="multilevel"/>
    <w:tmpl w:val="0060B47C"/>
    <w:styleLink w:val="Jacobs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13" w15:restartNumberingAfterBreak="0">
    <w:nsid w:val="286B44F7"/>
    <w:multiLevelType w:val="hybridMultilevel"/>
    <w:tmpl w:val="5B16AFD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16" w15:restartNumberingAfterBreak="0">
    <w:nsid w:val="2FED62EC"/>
    <w:multiLevelType w:val="multilevel"/>
    <w:tmpl w:val="6098423A"/>
    <w:styleLink w:val="Jacobs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7" w15:restartNumberingAfterBreak="0">
    <w:nsid w:val="344B666B"/>
    <w:multiLevelType w:val="multilevel"/>
    <w:tmpl w:val="07F22186"/>
    <w:styleLink w:val="Jacobs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8"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D55ADA"/>
    <w:multiLevelType w:val="multilevel"/>
    <w:tmpl w:val="6DDAD858"/>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Symbol" w:hAnsi="Symbo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0"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21" w15:restartNumberingAfterBreak="0">
    <w:nsid w:val="3A3C41A2"/>
    <w:multiLevelType w:val="multilevel"/>
    <w:tmpl w:val="F474C104"/>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2"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5A66FD"/>
    <w:multiLevelType w:val="multilevel"/>
    <w:tmpl w:val="5AFCE06A"/>
    <w:styleLink w:val="Jacobs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24" w15:restartNumberingAfterBreak="0">
    <w:nsid w:val="3EE7590E"/>
    <w:multiLevelType w:val="hybridMultilevel"/>
    <w:tmpl w:val="72B615EA"/>
    <w:lvl w:ilvl="0" w:tplc="97C2715E">
      <w:start w:val="1"/>
      <w:numFmt w:val="decimal"/>
      <w:pStyle w:val="BulletNumber"/>
      <w:lvlText w:val="%1)"/>
      <w:lvlJc w:val="left"/>
      <w:pPr>
        <w:tabs>
          <w:tab w:val="num" w:pos="567"/>
        </w:tabs>
        <w:ind w:left="567" w:hanging="567"/>
      </w:pPr>
      <w:rPr>
        <w:rFonts w:ascii="Arial" w:hAnsi="Arial"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8466C1"/>
    <w:multiLevelType w:val="hybridMultilevel"/>
    <w:tmpl w:val="8F08B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6B2B39"/>
    <w:multiLevelType w:val="multilevel"/>
    <w:tmpl w:val="EEE443E6"/>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Symbol" w:hAnsi="Symbo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7" w15:restartNumberingAfterBreak="0">
    <w:nsid w:val="55321963"/>
    <w:multiLevelType w:val="hybridMultilevel"/>
    <w:tmpl w:val="763E9F7A"/>
    <w:lvl w:ilvl="0" w:tplc="EF10CA6E">
      <w:start w:val="1"/>
      <w:numFmt w:val="bullet"/>
      <w:pStyle w:val="Bullet"/>
      <w:lvlText w:val=""/>
      <w:lvlJc w:val="left"/>
      <w:pPr>
        <w:tabs>
          <w:tab w:val="num" w:pos="567"/>
        </w:tabs>
        <w:ind w:left="567" w:hanging="567"/>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7C4E77"/>
    <w:multiLevelType w:val="multilevel"/>
    <w:tmpl w:val="9C527B3E"/>
    <w:lvl w:ilvl="0">
      <w:start w:val="1"/>
      <w:numFmt w:val="decimal"/>
      <w:pStyle w:val="Heading1"/>
      <w:lvlText w:val="%1."/>
      <w:lvlJc w:val="left"/>
      <w:pPr>
        <w:ind w:left="360" w:hanging="360"/>
      </w:pPr>
      <w:rPr>
        <w:rFonts w:ascii="Arial" w:hAnsi="Arial" w:hint="default"/>
        <w:b/>
        <w:bCs/>
        <w:i w:val="0"/>
        <w:iCs w:val="0"/>
        <w:color w:val="00338D"/>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51" w:hanging="851"/>
      </w:pPr>
      <w:rPr>
        <w:rFonts w:hint="default"/>
        <w:i w:val="0"/>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29" w15:restartNumberingAfterBreak="0">
    <w:nsid w:val="5C9B73AC"/>
    <w:multiLevelType w:val="multilevel"/>
    <w:tmpl w:val="348EA36E"/>
    <w:styleLink w:val="Jacobs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30" w15:restartNumberingAfterBreak="0">
    <w:nsid w:val="60847333"/>
    <w:multiLevelType w:val="multilevel"/>
    <w:tmpl w:val="59F8D628"/>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Symbol" w:hAnsi="Symbo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1" w15:restartNumberingAfterBreak="0">
    <w:nsid w:val="62FD5B4E"/>
    <w:multiLevelType w:val="multilevel"/>
    <w:tmpl w:val="EBE8BECA"/>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Symbol" w:hAnsi="Symbo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2" w15:restartNumberingAfterBreak="0">
    <w:nsid w:val="633D6386"/>
    <w:multiLevelType w:val="multilevel"/>
    <w:tmpl w:val="191CAEB2"/>
    <w:lvl w:ilvl="0">
      <w:start w:val="1"/>
      <w:numFmt w:val="upperLetter"/>
      <w:pStyle w:val="Heading9"/>
      <w:suff w:val="space"/>
      <w:lvlText w:val="Appendix %1."/>
      <w:lvlJc w:val="left"/>
      <w:pPr>
        <w:ind w:left="360"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33" w15:restartNumberingAfterBreak="0">
    <w:nsid w:val="63910826"/>
    <w:multiLevelType w:val="hybridMultilevel"/>
    <w:tmpl w:val="96EA08A2"/>
    <w:lvl w:ilvl="0" w:tplc="E3805148">
      <w:start w:val="1"/>
      <w:numFmt w:val="bullet"/>
      <w:pStyle w:val="Bullet2"/>
      <w:lvlText w:val="–"/>
      <w:lvlJc w:val="left"/>
      <w:pPr>
        <w:tabs>
          <w:tab w:val="num" w:pos="567"/>
        </w:tabs>
        <w:ind w:left="567" w:firstLine="0"/>
      </w:pPr>
      <w:rPr>
        <w:rFonts w:hint="default"/>
        <w:sz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DC14D4"/>
    <w:multiLevelType w:val="hybridMultilevel"/>
    <w:tmpl w:val="6A8C1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6E67E8"/>
    <w:multiLevelType w:val="multilevel"/>
    <w:tmpl w:val="BFACDB88"/>
    <w:styleLink w:val="Jacobs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36" w15:restartNumberingAfterBreak="0">
    <w:nsid w:val="6F7D6216"/>
    <w:multiLevelType w:val="multilevel"/>
    <w:tmpl w:val="4AEE2348"/>
    <w:styleLink w:val="Jacobs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7"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97114E"/>
    <w:multiLevelType w:val="hybridMultilevel"/>
    <w:tmpl w:val="2BFE0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abstractNumId w:val="4"/>
  </w:num>
  <w:num w:numId="2">
    <w:abstractNumId w:val="5"/>
  </w:num>
  <w:num w:numId="3">
    <w:abstractNumId w:val="14"/>
  </w:num>
  <w:num w:numId="4">
    <w:abstractNumId w:val="22"/>
  </w:num>
  <w:num w:numId="5">
    <w:abstractNumId w:val="18"/>
  </w:num>
  <w:num w:numId="6">
    <w:abstractNumId w:val="37"/>
  </w:num>
  <w:num w:numId="7">
    <w:abstractNumId w:val="28"/>
  </w:num>
  <w:num w:numId="8">
    <w:abstractNumId w:val="32"/>
  </w:num>
  <w:num w:numId="9">
    <w:abstractNumId w:val="39"/>
  </w:num>
  <w:num w:numId="10">
    <w:abstractNumId w:val="15"/>
  </w:num>
  <w:num w:numId="11">
    <w:abstractNumId w:val="20"/>
  </w:num>
  <w:num w:numId="12">
    <w:abstractNumId w:val="12"/>
  </w:num>
  <w:num w:numId="13">
    <w:abstractNumId w:val="0"/>
  </w:num>
  <w:num w:numId="14">
    <w:abstractNumId w:val="3"/>
  </w:num>
  <w:num w:numId="15">
    <w:abstractNumId w:val="10"/>
  </w:num>
  <w:num w:numId="16">
    <w:abstractNumId w:val="23"/>
  </w:num>
  <w:num w:numId="17">
    <w:abstractNumId w:val="1"/>
  </w:num>
  <w:num w:numId="18">
    <w:abstractNumId w:val="21"/>
  </w:num>
  <w:num w:numId="19">
    <w:abstractNumId w:val="11"/>
  </w:num>
  <w:num w:numId="20">
    <w:abstractNumId w:val="35"/>
  </w:num>
  <w:num w:numId="21">
    <w:abstractNumId w:val="36"/>
  </w:num>
  <w:num w:numId="22">
    <w:abstractNumId w:val="6"/>
  </w:num>
  <w:num w:numId="23">
    <w:abstractNumId w:val="8"/>
  </w:num>
  <w:num w:numId="24">
    <w:abstractNumId w:val="17"/>
  </w:num>
  <w:num w:numId="25">
    <w:abstractNumId w:val="9"/>
  </w:num>
  <w:num w:numId="26">
    <w:abstractNumId w:val="29"/>
  </w:num>
  <w:num w:numId="27">
    <w:abstractNumId w:val="7"/>
  </w:num>
  <w:num w:numId="28">
    <w:abstractNumId w:val="16"/>
  </w:num>
  <w:num w:numId="29">
    <w:abstractNumId w:val="27"/>
  </w:num>
  <w:num w:numId="30">
    <w:abstractNumId w:val="33"/>
  </w:num>
  <w:num w:numId="31">
    <w:abstractNumId w:val="24"/>
  </w:num>
  <w:num w:numId="32">
    <w:abstractNumId w:val="13"/>
  </w:num>
  <w:num w:numId="33">
    <w:abstractNumId w:val="25"/>
  </w:num>
  <w:num w:numId="34">
    <w:abstractNumId w:val="26"/>
  </w:num>
  <w:num w:numId="35">
    <w:abstractNumId w:val="30"/>
  </w:num>
  <w:num w:numId="36">
    <w:abstractNumId w:val="31"/>
  </w:num>
  <w:num w:numId="37">
    <w:abstractNumId w:val="19"/>
  </w:num>
  <w:num w:numId="38">
    <w:abstractNumId w:val="2"/>
  </w:num>
  <w:num w:numId="39">
    <w:abstractNumId w:val="0"/>
  </w:num>
  <w:num w:numId="40">
    <w:abstractNumId w:val="0"/>
  </w:num>
  <w:num w:numId="41">
    <w:abstractNumId w:val="38"/>
  </w:num>
  <w:num w:numId="42">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ddress" w:val="Floor 11, 452 Flinders Street_x000b_Melbourne VIC 3000_x000b_PO Box 312, Flinders Lane_x000b_Melbourne VIC 8009 Australia"/>
    <w:docVar w:name="AuthorEmail" w:val="andrew.nelson2@jacobs.com"/>
    <w:docVar w:name="AuthorName" w:val="Andrew Nelson"/>
    <w:docVar w:name="AuthorPhone" w:val="03 8668 3117"/>
    <w:docVar w:name="AuthorTitle" w:val="Senior Hydrogeologist"/>
    <w:docVar w:name="Branding" w:val="JACOBS"/>
    <w:docVar w:name="CoverBusinessRegoNo" w:val="ABN 37 001 024 095"/>
    <w:docVar w:name="CoverCopyright" w:val="Jacobs Group (Australia) Pty Limited"/>
    <w:docVar w:name="CoverLimitation" w:val="Jacobs"/>
    <w:docVar w:name="CoverLogoInUse" w:val=" "/>
    <w:docVar w:name="EntityName" w:val="Jacobs Group (Australia) Pty Limited"/>
    <w:docVar w:name="EntityOnly" w:val="Jacobs Group (Australia) Pty Limited"/>
    <w:docVar w:name="Fax" w:val="F +61 3 8668 3001"/>
    <w:docVar w:name="FaxFooter" w:val="Jacobs Group (Australia) Pty Limited ABN 37 001 024 095"/>
    <w:docVar w:name="FaxFooterFollowOn" w:val=" "/>
    <w:docVar w:name="FilterItem" w:val="Australia"/>
    <w:docVar w:name="Footer" w:val="Jacobs Group (Australia) Pty Limited ABN 37 001 024 095"/>
    <w:docVar w:name="FooterFollowOn" w:val=" "/>
    <w:docVar w:name="LetterFooter" w:val="Jacobs Group (Australia) Pty Limited ABN 37 001 024 095"/>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cover logo A4"/>
    <w:docVar w:name="LogoProposalUSL" w:val="Jacobs cover logo USL"/>
    <w:docVar w:name="LogoReportA4" w:val="Jacobs report cover logo A4"/>
    <w:docVar w:name="LogoReportUSL" w:val="Jacobs report cover logo USL"/>
    <w:docVar w:name="LogoStationeryGeneral" w:val="Jacobs stationery logo (color)"/>
    <w:docVar w:name="LogoStationeryGeneralUSL" w:val="Jacobs stationery logo (color)"/>
    <w:docVar w:name="LogoStationeryLetter" w:val="Jacobs letter logo"/>
    <w:docVar w:name="LogoStationeryLetterUSL" w:val="Jacobs letter logo USL"/>
    <w:docVar w:name="LogoUSL" w:val=" "/>
    <w:docVar w:name="OfficeName" w:val="Melbourne (Flinders Street)"/>
    <w:docVar w:name="Paper Size" w:val="A4"/>
    <w:docVar w:name="Phone" w:val="T +61 3 8668 3000"/>
    <w:docVar w:name="RegisteredTradeMark" w:val="Jacobs® is a trademark of Jacobs Engineering Group Inc."/>
    <w:docVar w:name="ShortAddress1" w:val=" "/>
    <w:docVar w:name="ShortAddress2" w:val=" "/>
    <w:docVar w:name="Web" w:val="www.jacobs.com"/>
  </w:docVars>
  <w:rsids>
    <w:rsidRoot w:val="0023226C"/>
    <w:rsid w:val="00000950"/>
    <w:rsid w:val="0000103B"/>
    <w:rsid w:val="00001184"/>
    <w:rsid w:val="000014B3"/>
    <w:rsid w:val="00003143"/>
    <w:rsid w:val="0000402B"/>
    <w:rsid w:val="00004417"/>
    <w:rsid w:val="000049AF"/>
    <w:rsid w:val="00005E21"/>
    <w:rsid w:val="0000656B"/>
    <w:rsid w:val="000069CE"/>
    <w:rsid w:val="00006B5A"/>
    <w:rsid w:val="00007410"/>
    <w:rsid w:val="000079DA"/>
    <w:rsid w:val="00007B43"/>
    <w:rsid w:val="00007B62"/>
    <w:rsid w:val="00010BA2"/>
    <w:rsid w:val="00011476"/>
    <w:rsid w:val="00011CA3"/>
    <w:rsid w:val="00012080"/>
    <w:rsid w:val="00012480"/>
    <w:rsid w:val="000127C5"/>
    <w:rsid w:val="00012D85"/>
    <w:rsid w:val="00012F85"/>
    <w:rsid w:val="00014130"/>
    <w:rsid w:val="0001480A"/>
    <w:rsid w:val="00014823"/>
    <w:rsid w:val="00014CF3"/>
    <w:rsid w:val="00014DAB"/>
    <w:rsid w:val="00015523"/>
    <w:rsid w:val="0001575B"/>
    <w:rsid w:val="000157E5"/>
    <w:rsid w:val="00015B66"/>
    <w:rsid w:val="00016CF3"/>
    <w:rsid w:val="0001705B"/>
    <w:rsid w:val="00017EC9"/>
    <w:rsid w:val="00017F99"/>
    <w:rsid w:val="00020F53"/>
    <w:rsid w:val="0002113B"/>
    <w:rsid w:val="0002169C"/>
    <w:rsid w:val="000217C0"/>
    <w:rsid w:val="00022E42"/>
    <w:rsid w:val="00022FBA"/>
    <w:rsid w:val="00024B85"/>
    <w:rsid w:val="00025193"/>
    <w:rsid w:val="000252CA"/>
    <w:rsid w:val="00025944"/>
    <w:rsid w:val="00026231"/>
    <w:rsid w:val="000266DF"/>
    <w:rsid w:val="000272A3"/>
    <w:rsid w:val="00030320"/>
    <w:rsid w:val="000343C0"/>
    <w:rsid w:val="000352B5"/>
    <w:rsid w:val="00036D50"/>
    <w:rsid w:val="000373F0"/>
    <w:rsid w:val="00037461"/>
    <w:rsid w:val="00037C14"/>
    <w:rsid w:val="00037C72"/>
    <w:rsid w:val="00037CCB"/>
    <w:rsid w:val="00037DF4"/>
    <w:rsid w:val="00040A20"/>
    <w:rsid w:val="00040CF5"/>
    <w:rsid w:val="00040E61"/>
    <w:rsid w:val="0004151F"/>
    <w:rsid w:val="00041912"/>
    <w:rsid w:val="0004302B"/>
    <w:rsid w:val="000436F1"/>
    <w:rsid w:val="00043C9F"/>
    <w:rsid w:val="00044042"/>
    <w:rsid w:val="00044C56"/>
    <w:rsid w:val="00044D74"/>
    <w:rsid w:val="00044E63"/>
    <w:rsid w:val="0004501A"/>
    <w:rsid w:val="00045746"/>
    <w:rsid w:val="00046459"/>
    <w:rsid w:val="0004677C"/>
    <w:rsid w:val="00047BA9"/>
    <w:rsid w:val="00051285"/>
    <w:rsid w:val="00052029"/>
    <w:rsid w:val="000524AE"/>
    <w:rsid w:val="0005266C"/>
    <w:rsid w:val="00052D2B"/>
    <w:rsid w:val="0005390A"/>
    <w:rsid w:val="00054594"/>
    <w:rsid w:val="00054909"/>
    <w:rsid w:val="0005491F"/>
    <w:rsid w:val="00054E34"/>
    <w:rsid w:val="00055296"/>
    <w:rsid w:val="00056F7A"/>
    <w:rsid w:val="000578C6"/>
    <w:rsid w:val="00057B8F"/>
    <w:rsid w:val="00060499"/>
    <w:rsid w:val="00062407"/>
    <w:rsid w:val="000642F5"/>
    <w:rsid w:val="0006464F"/>
    <w:rsid w:val="00064759"/>
    <w:rsid w:val="00065A6C"/>
    <w:rsid w:val="00065A91"/>
    <w:rsid w:val="00066003"/>
    <w:rsid w:val="000660C5"/>
    <w:rsid w:val="00066218"/>
    <w:rsid w:val="000662DE"/>
    <w:rsid w:val="000665E8"/>
    <w:rsid w:val="00066869"/>
    <w:rsid w:val="00066C4F"/>
    <w:rsid w:val="000670B2"/>
    <w:rsid w:val="000675B5"/>
    <w:rsid w:val="00067BEB"/>
    <w:rsid w:val="000702C8"/>
    <w:rsid w:val="000708AF"/>
    <w:rsid w:val="00070F42"/>
    <w:rsid w:val="00070F43"/>
    <w:rsid w:val="00070FB4"/>
    <w:rsid w:val="00071381"/>
    <w:rsid w:val="0007209D"/>
    <w:rsid w:val="000723EB"/>
    <w:rsid w:val="000725CA"/>
    <w:rsid w:val="000728C3"/>
    <w:rsid w:val="000731EF"/>
    <w:rsid w:val="00073541"/>
    <w:rsid w:val="0007356A"/>
    <w:rsid w:val="000738DD"/>
    <w:rsid w:val="00074173"/>
    <w:rsid w:val="00074B80"/>
    <w:rsid w:val="00075339"/>
    <w:rsid w:val="000753BB"/>
    <w:rsid w:val="000758F9"/>
    <w:rsid w:val="00075D0D"/>
    <w:rsid w:val="00076BB8"/>
    <w:rsid w:val="00077EF2"/>
    <w:rsid w:val="000804F4"/>
    <w:rsid w:val="00080854"/>
    <w:rsid w:val="00081C6F"/>
    <w:rsid w:val="00082D57"/>
    <w:rsid w:val="00082F46"/>
    <w:rsid w:val="00083757"/>
    <w:rsid w:val="00083A70"/>
    <w:rsid w:val="000847A8"/>
    <w:rsid w:val="00085855"/>
    <w:rsid w:val="000860D4"/>
    <w:rsid w:val="00086790"/>
    <w:rsid w:val="000867FF"/>
    <w:rsid w:val="00086B37"/>
    <w:rsid w:val="00086E78"/>
    <w:rsid w:val="00087A4B"/>
    <w:rsid w:val="000904BB"/>
    <w:rsid w:val="00091862"/>
    <w:rsid w:val="00091D03"/>
    <w:rsid w:val="00092569"/>
    <w:rsid w:val="00092E4E"/>
    <w:rsid w:val="00093693"/>
    <w:rsid w:val="00094190"/>
    <w:rsid w:val="000948B2"/>
    <w:rsid w:val="000955CA"/>
    <w:rsid w:val="0009588E"/>
    <w:rsid w:val="00096085"/>
    <w:rsid w:val="00096891"/>
    <w:rsid w:val="00097841"/>
    <w:rsid w:val="00097AD5"/>
    <w:rsid w:val="000A0E10"/>
    <w:rsid w:val="000A1438"/>
    <w:rsid w:val="000A20EF"/>
    <w:rsid w:val="000A3931"/>
    <w:rsid w:val="000A44CA"/>
    <w:rsid w:val="000A6C04"/>
    <w:rsid w:val="000A6D26"/>
    <w:rsid w:val="000A71CC"/>
    <w:rsid w:val="000A782F"/>
    <w:rsid w:val="000B062E"/>
    <w:rsid w:val="000B07EA"/>
    <w:rsid w:val="000B0B30"/>
    <w:rsid w:val="000B23EE"/>
    <w:rsid w:val="000B2CA3"/>
    <w:rsid w:val="000B3094"/>
    <w:rsid w:val="000B347B"/>
    <w:rsid w:val="000B380D"/>
    <w:rsid w:val="000B4A6C"/>
    <w:rsid w:val="000B4C82"/>
    <w:rsid w:val="000B4F48"/>
    <w:rsid w:val="000B5DC3"/>
    <w:rsid w:val="000B6DBA"/>
    <w:rsid w:val="000B7020"/>
    <w:rsid w:val="000B7078"/>
    <w:rsid w:val="000B71B0"/>
    <w:rsid w:val="000C0B66"/>
    <w:rsid w:val="000C0BA2"/>
    <w:rsid w:val="000C1254"/>
    <w:rsid w:val="000C1B61"/>
    <w:rsid w:val="000C3406"/>
    <w:rsid w:val="000C34F2"/>
    <w:rsid w:val="000C3F30"/>
    <w:rsid w:val="000C42A4"/>
    <w:rsid w:val="000C4CFE"/>
    <w:rsid w:val="000C54EF"/>
    <w:rsid w:val="000C684D"/>
    <w:rsid w:val="000C78FE"/>
    <w:rsid w:val="000C7E2A"/>
    <w:rsid w:val="000D06C6"/>
    <w:rsid w:val="000D10DA"/>
    <w:rsid w:val="000D2EDA"/>
    <w:rsid w:val="000D30AC"/>
    <w:rsid w:val="000D3176"/>
    <w:rsid w:val="000D3C8B"/>
    <w:rsid w:val="000D48EC"/>
    <w:rsid w:val="000D5033"/>
    <w:rsid w:val="000D547B"/>
    <w:rsid w:val="000D554B"/>
    <w:rsid w:val="000D6497"/>
    <w:rsid w:val="000D67AC"/>
    <w:rsid w:val="000D7EC9"/>
    <w:rsid w:val="000E1485"/>
    <w:rsid w:val="000E1EA7"/>
    <w:rsid w:val="000E2676"/>
    <w:rsid w:val="000E3302"/>
    <w:rsid w:val="000E337F"/>
    <w:rsid w:val="000E4CF3"/>
    <w:rsid w:val="000E5B14"/>
    <w:rsid w:val="000E6457"/>
    <w:rsid w:val="000E7950"/>
    <w:rsid w:val="000E7A74"/>
    <w:rsid w:val="000F07A8"/>
    <w:rsid w:val="000F0844"/>
    <w:rsid w:val="000F0EE5"/>
    <w:rsid w:val="000F1818"/>
    <w:rsid w:val="000F2DCD"/>
    <w:rsid w:val="000F3100"/>
    <w:rsid w:val="000F38BE"/>
    <w:rsid w:val="000F494A"/>
    <w:rsid w:val="000F494B"/>
    <w:rsid w:val="000F49F4"/>
    <w:rsid w:val="000F53A1"/>
    <w:rsid w:val="000F56D8"/>
    <w:rsid w:val="000F6F05"/>
    <w:rsid w:val="000F70C5"/>
    <w:rsid w:val="00100084"/>
    <w:rsid w:val="001008CC"/>
    <w:rsid w:val="00101052"/>
    <w:rsid w:val="00101AA3"/>
    <w:rsid w:val="00101DB9"/>
    <w:rsid w:val="00101FEF"/>
    <w:rsid w:val="001024E9"/>
    <w:rsid w:val="00104904"/>
    <w:rsid w:val="00104AF1"/>
    <w:rsid w:val="001053CF"/>
    <w:rsid w:val="00105A72"/>
    <w:rsid w:val="00106593"/>
    <w:rsid w:val="00106744"/>
    <w:rsid w:val="00106B9D"/>
    <w:rsid w:val="00107C37"/>
    <w:rsid w:val="0011072D"/>
    <w:rsid w:val="0011226D"/>
    <w:rsid w:val="00112282"/>
    <w:rsid w:val="0011252D"/>
    <w:rsid w:val="00112F88"/>
    <w:rsid w:val="001143B7"/>
    <w:rsid w:val="00115E60"/>
    <w:rsid w:val="001174F3"/>
    <w:rsid w:val="001175AB"/>
    <w:rsid w:val="00117715"/>
    <w:rsid w:val="00117869"/>
    <w:rsid w:val="00120CBC"/>
    <w:rsid w:val="00121616"/>
    <w:rsid w:val="00121F3E"/>
    <w:rsid w:val="00122AE1"/>
    <w:rsid w:val="00122DF8"/>
    <w:rsid w:val="00122E05"/>
    <w:rsid w:val="00123BED"/>
    <w:rsid w:val="001249A3"/>
    <w:rsid w:val="001267D0"/>
    <w:rsid w:val="00126C81"/>
    <w:rsid w:val="00127C0E"/>
    <w:rsid w:val="00127C46"/>
    <w:rsid w:val="001307E3"/>
    <w:rsid w:val="0013088D"/>
    <w:rsid w:val="00130CF9"/>
    <w:rsid w:val="00132457"/>
    <w:rsid w:val="00132619"/>
    <w:rsid w:val="001329A5"/>
    <w:rsid w:val="001333F3"/>
    <w:rsid w:val="00134183"/>
    <w:rsid w:val="00134D7D"/>
    <w:rsid w:val="00135851"/>
    <w:rsid w:val="00135948"/>
    <w:rsid w:val="00135A56"/>
    <w:rsid w:val="00135FA7"/>
    <w:rsid w:val="00137794"/>
    <w:rsid w:val="00137BE1"/>
    <w:rsid w:val="0014018E"/>
    <w:rsid w:val="00140978"/>
    <w:rsid w:val="0014107C"/>
    <w:rsid w:val="00141282"/>
    <w:rsid w:val="00141CBD"/>
    <w:rsid w:val="0014204D"/>
    <w:rsid w:val="001422DA"/>
    <w:rsid w:val="00142384"/>
    <w:rsid w:val="00142DCF"/>
    <w:rsid w:val="00143998"/>
    <w:rsid w:val="00143B3F"/>
    <w:rsid w:val="0014402A"/>
    <w:rsid w:val="001440EC"/>
    <w:rsid w:val="00144487"/>
    <w:rsid w:val="0014496A"/>
    <w:rsid w:val="001449D8"/>
    <w:rsid w:val="00146D53"/>
    <w:rsid w:val="00146F8C"/>
    <w:rsid w:val="0014724D"/>
    <w:rsid w:val="00147653"/>
    <w:rsid w:val="001512DA"/>
    <w:rsid w:val="00151C09"/>
    <w:rsid w:val="00151CED"/>
    <w:rsid w:val="00152311"/>
    <w:rsid w:val="00152680"/>
    <w:rsid w:val="00152CDD"/>
    <w:rsid w:val="00153090"/>
    <w:rsid w:val="00153CB3"/>
    <w:rsid w:val="001544A2"/>
    <w:rsid w:val="001545F6"/>
    <w:rsid w:val="001551A8"/>
    <w:rsid w:val="001551E7"/>
    <w:rsid w:val="00156D73"/>
    <w:rsid w:val="00156E7C"/>
    <w:rsid w:val="00157170"/>
    <w:rsid w:val="0015735E"/>
    <w:rsid w:val="0016025A"/>
    <w:rsid w:val="00160681"/>
    <w:rsid w:val="00160E52"/>
    <w:rsid w:val="00161569"/>
    <w:rsid w:val="00161B19"/>
    <w:rsid w:val="00161E9D"/>
    <w:rsid w:val="00162083"/>
    <w:rsid w:val="00162906"/>
    <w:rsid w:val="00162FEF"/>
    <w:rsid w:val="0016335F"/>
    <w:rsid w:val="001635EE"/>
    <w:rsid w:val="0016386A"/>
    <w:rsid w:val="00163A01"/>
    <w:rsid w:val="00163B59"/>
    <w:rsid w:val="00164D32"/>
    <w:rsid w:val="00165BB5"/>
    <w:rsid w:val="0016784B"/>
    <w:rsid w:val="00167967"/>
    <w:rsid w:val="00170125"/>
    <w:rsid w:val="00170395"/>
    <w:rsid w:val="001706AF"/>
    <w:rsid w:val="00170CF0"/>
    <w:rsid w:val="00170FDB"/>
    <w:rsid w:val="0017126C"/>
    <w:rsid w:val="00171500"/>
    <w:rsid w:val="001716D9"/>
    <w:rsid w:val="00171CBC"/>
    <w:rsid w:val="0017248A"/>
    <w:rsid w:val="00172638"/>
    <w:rsid w:val="0017295D"/>
    <w:rsid w:val="00173577"/>
    <w:rsid w:val="00174BD9"/>
    <w:rsid w:val="00174C71"/>
    <w:rsid w:val="001755CB"/>
    <w:rsid w:val="001755FB"/>
    <w:rsid w:val="001758E5"/>
    <w:rsid w:val="00175BBD"/>
    <w:rsid w:val="00175EAF"/>
    <w:rsid w:val="00175FEF"/>
    <w:rsid w:val="0017620C"/>
    <w:rsid w:val="00176352"/>
    <w:rsid w:val="00176862"/>
    <w:rsid w:val="00176B30"/>
    <w:rsid w:val="00176BCA"/>
    <w:rsid w:val="00177792"/>
    <w:rsid w:val="001777ED"/>
    <w:rsid w:val="0017789D"/>
    <w:rsid w:val="00177FDA"/>
    <w:rsid w:val="00180105"/>
    <w:rsid w:val="0018042B"/>
    <w:rsid w:val="001804D5"/>
    <w:rsid w:val="001809BA"/>
    <w:rsid w:val="00181066"/>
    <w:rsid w:val="00181480"/>
    <w:rsid w:val="00181EC0"/>
    <w:rsid w:val="00182000"/>
    <w:rsid w:val="001825B6"/>
    <w:rsid w:val="00182D55"/>
    <w:rsid w:val="0018373C"/>
    <w:rsid w:val="00183A36"/>
    <w:rsid w:val="00183EB7"/>
    <w:rsid w:val="00184318"/>
    <w:rsid w:val="001859D8"/>
    <w:rsid w:val="001860B5"/>
    <w:rsid w:val="00186109"/>
    <w:rsid w:val="0018702B"/>
    <w:rsid w:val="0018715B"/>
    <w:rsid w:val="0019159A"/>
    <w:rsid w:val="0019180E"/>
    <w:rsid w:val="00191A2B"/>
    <w:rsid w:val="00191DC3"/>
    <w:rsid w:val="001921D8"/>
    <w:rsid w:val="00192891"/>
    <w:rsid w:val="00192BA4"/>
    <w:rsid w:val="00192EB2"/>
    <w:rsid w:val="001949C2"/>
    <w:rsid w:val="001951AB"/>
    <w:rsid w:val="00195247"/>
    <w:rsid w:val="001963C7"/>
    <w:rsid w:val="001964D7"/>
    <w:rsid w:val="00196D13"/>
    <w:rsid w:val="0019755B"/>
    <w:rsid w:val="00197BE3"/>
    <w:rsid w:val="00197D0D"/>
    <w:rsid w:val="00197D62"/>
    <w:rsid w:val="001A175E"/>
    <w:rsid w:val="001A18E2"/>
    <w:rsid w:val="001A20F0"/>
    <w:rsid w:val="001A3822"/>
    <w:rsid w:val="001A3F34"/>
    <w:rsid w:val="001A405A"/>
    <w:rsid w:val="001A42CC"/>
    <w:rsid w:val="001A4938"/>
    <w:rsid w:val="001A4AD0"/>
    <w:rsid w:val="001A585C"/>
    <w:rsid w:val="001A5EA5"/>
    <w:rsid w:val="001A680D"/>
    <w:rsid w:val="001A6F65"/>
    <w:rsid w:val="001A705E"/>
    <w:rsid w:val="001A7354"/>
    <w:rsid w:val="001B005A"/>
    <w:rsid w:val="001B16B0"/>
    <w:rsid w:val="001B2790"/>
    <w:rsid w:val="001B39C9"/>
    <w:rsid w:val="001B40BE"/>
    <w:rsid w:val="001B4833"/>
    <w:rsid w:val="001B54F4"/>
    <w:rsid w:val="001B5766"/>
    <w:rsid w:val="001B6322"/>
    <w:rsid w:val="001B6B84"/>
    <w:rsid w:val="001B6D0B"/>
    <w:rsid w:val="001B71DB"/>
    <w:rsid w:val="001B785F"/>
    <w:rsid w:val="001C0E03"/>
    <w:rsid w:val="001C1637"/>
    <w:rsid w:val="001C177D"/>
    <w:rsid w:val="001C1DA4"/>
    <w:rsid w:val="001C1EA8"/>
    <w:rsid w:val="001C21BF"/>
    <w:rsid w:val="001C2B15"/>
    <w:rsid w:val="001C33DA"/>
    <w:rsid w:val="001C3CD9"/>
    <w:rsid w:val="001C45CF"/>
    <w:rsid w:val="001C4EDA"/>
    <w:rsid w:val="001C5A9E"/>
    <w:rsid w:val="001C725F"/>
    <w:rsid w:val="001C784E"/>
    <w:rsid w:val="001C78A2"/>
    <w:rsid w:val="001C7BCB"/>
    <w:rsid w:val="001D0356"/>
    <w:rsid w:val="001D0CBF"/>
    <w:rsid w:val="001D17F2"/>
    <w:rsid w:val="001D1F5E"/>
    <w:rsid w:val="001D31B1"/>
    <w:rsid w:val="001D32F6"/>
    <w:rsid w:val="001D5E3F"/>
    <w:rsid w:val="001D649D"/>
    <w:rsid w:val="001D74FA"/>
    <w:rsid w:val="001D7DE2"/>
    <w:rsid w:val="001E090E"/>
    <w:rsid w:val="001E1256"/>
    <w:rsid w:val="001E2868"/>
    <w:rsid w:val="001E29D9"/>
    <w:rsid w:val="001E3658"/>
    <w:rsid w:val="001E3B95"/>
    <w:rsid w:val="001E4640"/>
    <w:rsid w:val="001E4D1D"/>
    <w:rsid w:val="001E4D1E"/>
    <w:rsid w:val="001E4EDA"/>
    <w:rsid w:val="001E67A5"/>
    <w:rsid w:val="001E6AC1"/>
    <w:rsid w:val="001E6FC3"/>
    <w:rsid w:val="001E7573"/>
    <w:rsid w:val="001F0697"/>
    <w:rsid w:val="001F0DB3"/>
    <w:rsid w:val="001F150C"/>
    <w:rsid w:val="001F1A41"/>
    <w:rsid w:val="001F1C1B"/>
    <w:rsid w:val="001F305B"/>
    <w:rsid w:val="001F3C34"/>
    <w:rsid w:val="001F3D0A"/>
    <w:rsid w:val="001F418B"/>
    <w:rsid w:val="001F435C"/>
    <w:rsid w:val="001F4A3E"/>
    <w:rsid w:val="001F53D7"/>
    <w:rsid w:val="001F5420"/>
    <w:rsid w:val="001F5504"/>
    <w:rsid w:val="001F5A50"/>
    <w:rsid w:val="001F5CFF"/>
    <w:rsid w:val="001F619C"/>
    <w:rsid w:val="001F74B3"/>
    <w:rsid w:val="001F77E1"/>
    <w:rsid w:val="001F79E6"/>
    <w:rsid w:val="001F7EA0"/>
    <w:rsid w:val="002000DD"/>
    <w:rsid w:val="0020155D"/>
    <w:rsid w:val="00201758"/>
    <w:rsid w:val="002021C4"/>
    <w:rsid w:val="002022C2"/>
    <w:rsid w:val="00202AF0"/>
    <w:rsid w:val="00202CA4"/>
    <w:rsid w:val="00203CE4"/>
    <w:rsid w:val="0020454A"/>
    <w:rsid w:val="0020468C"/>
    <w:rsid w:val="00204B30"/>
    <w:rsid w:val="00204BAD"/>
    <w:rsid w:val="002051B9"/>
    <w:rsid w:val="00205AAA"/>
    <w:rsid w:val="00206D55"/>
    <w:rsid w:val="00206F76"/>
    <w:rsid w:val="00210538"/>
    <w:rsid w:val="00210887"/>
    <w:rsid w:val="00210AA2"/>
    <w:rsid w:val="002122CE"/>
    <w:rsid w:val="0021285E"/>
    <w:rsid w:val="00212A67"/>
    <w:rsid w:val="00213631"/>
    <w:rsid w:val="00213A59"/>
    <w:rsid w:val="00213E89"/>
    <w:rsid w:val="002147E9"/>
    <w:rsid w:val="00214905"/>
    <w:rsid w:val="002154C6"/>
    <w:rsid w:val="0021628F"/>
    <w:rsid w:val="00216827"/>
    <w:rsid w:val="00222123"/>
    <w:rsid w:val="002222B7"/>
    <w:rsid w:val="002229ED"/>
    <w:rsid w:val="00222DC1"/>
    <w:rsid w:val="00222FCB"/>
    <w:rsid w:val="002233F0"/>
    <w:rsid w:val="00223951"/>
    <w:rsid w:val="002239B4"/>
    <w:rsid w:val="00223C9C"/>
    <w:rsid w:val="00223DEF"/>
    <w:rsid w:val="00224068"/>
    <w:rsid w:val="00224FA7"/>
    <w:rsid w:val="00225F88"/>
    <w:rsid w:val="00226429"/>
    <w:rsid w:val="002264C0"/>
    <w:rsid w:val="002273EB"/>
    <w:rsid w:val="00230452"/>
    <w:rsid w:val="00230CD1"/>
    <w:rsid w:val="00230DC4"/>
    <w:rsid w:val="0023162B"/>
    <w:rsid w:val="002316F7"/>
    <w:rsid w:val="0023226C"/>
    <w:rsid w:val="002328AC"/>
    <w:rsid w:val="00233688"/>
    <w:rsid w:val="0023390C"/>
    <w:rsid w:val="00233D71"/>
    <w:rsid w:val="002344A6"/>
    <w:rsid w:val="00234CC1"/>
    <w:rsid w:val="002351B3"/>
    <w:rsid w:val="00235600"/>
    <w:rsid w:val="00235998"/>
    <w:rsid w:val="00235E02"/>
    <w:rsid w:val="00236A21"/>
    <w:rsid w:val="0024108E"/>
    <w:rsid w:val="0024167D"/>
    <w:rsid w:val="002417CA"/>
    <w:rsid w:val="00241814"/>
    <w:rsid w:val="00241F39"/>
    <w:rsid w:val="002426A7"/>
    <w:rsid w:val="0024324D"/>
    <w:rsid w:val="002439C9"/>
    <w:rsid w:val="0024455A"/>
    <w:rsid w:val="00244C04"/>
    <w:rsid w:val="00244F7C"/>
    <w:rsid w:val="0024523A"/>
    <w:rsid w:val="002455F3"/>
    <w:rsid w:val="00246B19"/>
    <w:rsid w:val="00246F11"/>
    <w:rsid w:val="002474CD"/>
    <w:rsid w:val="002474F0"/>
    <w:rsid w:val="00247B7C"/>
    <w:rsid w:val="00251A70"/>
    <w:rsid w:val="00251CEA"/>
    <w:rsid w:val="002520D0"/>
    <w:rsid w:val="00252AD9"/>
    <w:rsid w:val="00252CBB"/>
    <w:rsid w:val="00252FCB"/>
    <w:rsid w:val="002535DC"/>
    <w:rsid w:val="00253A82"/>
    <w:rsid w:val="00254801"/>
    <w:rsid w:val="0025497E"/>
    <w:rsid w:val="00255E56"/>
    <w:rsid w:val="00256227"/>
    <w:rsid w:val="002566FD"/>
    <w:rsid w:val="00256728"/>
    <w:rsid w:val="002568C7"/>
    <w:rsid w:val="0025702F"/>
    <w:rsid w:val="002578F3"/>
    <w:rsid w:val="00257A09"/>
    <w:rsid w:val="00257AC1"/>
    <w:rsid w:val="002606DF"/>
    <w:rsid w:val="0026179A"/>
    <w:rsid w:val="00262544"/>
    <w:rsid w:val="00262E79"/>
    <w:rsid w:val="002631CD"/>
    <w:rsid w:val="00263F0D"/>
    <w:rsid w:val="00264230"/>
    <w:rsid w:val="00265ACE"/>
    <w:rsid w:val="002663E4"/>
    <w:rsid w:val="002664D3"/>
    <w:rsid w:val="002675A8"/>
    <w:rsid w:val="00267651"/>
    <w:rsid w:val="00267C33"/>
    <w:rsid w:val="00267CF9"/>
    <w:rsid w:val="00267DD3"/>
    <w:rsid w:val="002701F0"/>
    <w:rsid w:val="002709B3"/>
    <w:rsid w:val="00270ED9"/>
    <w:rsid w:val="00271AC9"/>
    <w:rsid w:val="00271D37"/>
    <w:rsid w:val="00272230"/>
    <w:rsid w:val="0027267C"/>
    <w:rsid w:val="00272F7E"/>
    <w:rsid w:val="002734B9"/>
    <w:rsid w:val="00273CEF"/>
    <w:rsid w:val="00274478"/>
    <w:rsid w:val="002748C0"/>
    <w:rsid w:val="00275177"/>
    <w:rsid w:val="00275211"/>
    <w:rsid w:val="002752B2"/>
    <w:rsid w:val="00275502"/>
    <w:rsid w:val="00275890"/>
    <w:rsid w:val="00275DB5"/>
    <w:rsid w:val="00276D93"/>
    <w:rsid w:val="00276E03"/>
    <w:rsid w:val="0027714D"/>
    <w:rsid w:val="0027759C"/>
    <w:rsid w:val="002776CE"/>
    <w:rsid w:val="00280493"/>
    <w:rsid w:val="00280BB8"/>
    <w:rsid w:val="0028109C"/>
    <w:rsid w:val="00281A46"/>
    <w:rsid w:val="0028203F"/>
    <w:rsid w:val="002829C5"/>
    <w:rsid w:val="00283089"/>
    <w:rsid w:val="00283E62"/>
    <w:rsid w:val="00284502"/>
    <w:rsid w:val="00285868"/>
    <w:rsid w:val="0028596B"/>
    <w:rsid w:val="00287F6A"/>
    <w:rsid w:val="002906BD"/>
    <w:rsid w:val="00290A79"/>
    <w:rsid w:val="002911B2"/>
    <w:rsid w:val="00292170"/>
    <w:rsid w:val="00292190"/>
    <w:rsid w:val="00292753"/>
    <w:rsid w:val="0029291B"/>
    <w:rsid w:val="00292A5C"/>
    <w:rsid w:val="00292B49"/>
    <w:rsid w:val="00294A0C"/>
    <w:rsid w:val="00295513"/>
    <w:rsid w:val="002957F9"/>
    <w:rsid w:val="002959AE"/>
    <w:rsid w:val="002959C4"/>
    <w:rsid w:val="00295B26"/>
    <w:rsid w:val="00296297"/>
    <w:rsid w:val="00297145"/>
    <w:rsid w:val="00297D63"/>
    <w:rsid w:val="002A00CE"/>
    <w:rsid w:val="002A2823"/>
    <w:rsid w:val="002A2D3B"/>
    <w:rsid w:val="002A3E36"/>
    <w:rsid w:val="002A5090"/>
    <w:rsid w:val="002A57FF"/>
    <w:rsid w:val="002A5D6E"/>
    <w:rsid w:val="002A5E0A"/>
    <w:rsid w:val="002A60BE"/>
    <w:rsid w:val="002A629B"/>
    <w:rsid w:val="002A650B"/>
    <w:rsid w:val="002A6B32"/>
    <w:rsid w:val="002A7CAB"/>
    <w:rsid w:val="002B0110"/>
    <w:rsid w:val="002B0770"/>
    <w:rsid w:val="002B0C01"/>
    <w:rsid w:val="002B0D24"/>
    <w:rsid w:val="002B0ECF"/>
    <w:rsid w:val="002B112B"/>
    <w:rsid w:val="002B1ACA"/>
    <w:rsid w:val="002B22BA"/>
    <w:rsid w:val="002B29A1"/>
    <w:rsid w:val="002B30AF"/>
    <w:rsid w:val="002B33B8"/>
    <w:rsid w:val="002B3487"/>
    <w:rsid w:val="002B3695"/>
    <w:rsid w:val="002B3827"/>
    <w:rsid w:val="002B3C2E"/>
    <w:rsid w:val="002B4ABA"/>
    <w:rsid w:val="002B4F1B"/>
    <w:rsid w:val="002B5080"/>
    <w:rsid w:val="002B54DC"/>
    <w:rsid w:val="002B5979"/>
    <w:rsid w:val="002B5D4C"/>
    <w:rsid w:val="002B5E87"/>
    <w:rsid w:val="002B6318"/>
    <w:rsid w:val="002B67F4"/>
    <w:rsid w:val="002B688A"/>
    <w:rsid w:val="002B6B2B"/>
    <w:rsid w:val="002B6F8B"/>
    <w:rsid w:val="002B75F0"/>
    <w:rsid w:val="002B7E61"/>
    <w:rsid w:val="002C02FB"/>
    <w:rsid w:val="002C11A2"/>
    <w:rsid w:val="002C1720"/>
    <w:rsid w:val="002C25BB"/>
    <w:rsid w:val="002C2F94"/>
    <w:rsid w:val="002C3706"/>
    <w:rsid w:val="002C38C3"/>
    <w:rsid w:val="002C3AFE"/>
    <w:rsid w:val="002C416C"/>
    <w:rsid w:val="002C4739"/>
    <w:rsid w:val="002C4A0D"/>
    <w:rsid w:val="002C6159"/>
    <w:rsid w:val="002C6A76"/>
    <w:rsid w:val="002C70C7"/>
    <w:rsid w:val="002C75B8"/>
    <w:rsid w:val="002C792C"/>
    <w:rsid w:val="002C7C0F"/>
    <w:rsid w:val="002D07CD"/>
    <w:rsid w:val="002D0844"/>
    <w:rsid w:val="002D1A9F"/>
    <w:rsid w:val="002D1BCA"/>
    <w:rsid w:val="002D1E39"/>
    <w:rsid w:val="002D3619"/>
    <w:rsid w:val="002D3CD9"/>
    <w:rsid w:val="002D3DA2"/>
    <w:rsid w:val="002D4406"/>
    <w:rsid w:val="002D444F"/>
    <w:rsid w:val="002D46EB"/>
    <w:rsid w:val="002D549F"/>
    <w:rsid w:val="002D59CD"/>
    <w:rsid w:val="002D60F4"/>
    <w:rsid w:val="002D7B56"/>
    <w:rsid w:val="002E0484"/>
    <w:rsid w:val="002E0AFC"/>
    <w:rsid w:val="002E16D5"/>
    <w:rsid w:val="002E1794"/>
    <w:rsid w:val="002E1D85"/>
    <w:rsid w:val="002E1FA0"/>
    <w:rsid w:val="002E23CA"/>
    <w:rsid w:val="002E2745"/>
    <w:rsid w:val="002E298B"/>
    <w:rsid w:val="002E3592"/>
    <w:rsid w:val="002E4235"/>
    <w:rsid w:val="002E4D59"/>
    <w:rsid w:val="002E5D59"/>
    <w:rsid w:val="002E61CB"/>
    <w:rsid w:val="002E69A2"/>
    <w:rsid w:val="002E7253"/>
    <w:rsid w:val="002E7970"/>
    <w:rsid w:val="002E7DC6"/>
    <w:rsid w:val="002F0386"/>
    <w:rsid w:val="002F04FD"/>
    <w:rsid w:val="002F082C"/>
    <w:rsid w:val="002F1064"/>
    <w:rsid w:val="002F1A1F"/>
    <w:rsid w:val="002F262B"/>
    <w:rsid w:val="002F2727"/>
    <w:rsid w:val="002F3D19"/>
    <w:rsid w:val="002F4511"/>
    <w:rsid w:val="002F5A9A"/>
    <w:rsid w:val="002F5AFE"/>
    <w:rsid w:val="002F6720"/>
    <w:rsid w:val="002F6839"/>
    <w:rsid w:val="002F6BDB"/>
    <w:rsid w:val="002F7FF2"/>
    <w:rsid w:val="00302656"/>
    <w:rsid w:val="003027C6"/>
    <w:rsid w:val="0030298F"/>
    <w:rsid w:val="00302F6F"/>
    <w:rsid w:val="00304077"/>
    <w:rsid w:val="00305295"/>
    <w:rsid w:val="003071B1"/>
    <w:rsid w:val="0030764E"/>
    <w:rsid w:val="00307979"/>
    <w:rsid w:val="00307BF0"/>
    <w:rsid w:val="00310326"/>
    <w:rsid w:val="0031046F"/>
    <w:rsid w:val="00310682"/>
    <w:rsid w:val="00310CD6"/>
    <w:rsid w:val="003112A0"/>
    <w:rsid w:val="003112FC"/>
    <w:rsid w:val="00311964"/>
    <w:rsid w:val="00312B0C"/>
    <w:rsid w:val="00313564"/>
    <w:rsid w:val="00314807"/>
    <w:rsid w:val="00314E8C"/>
    <w:rsid w:val="00315B00"/>
    <w:rsid w:val="00316296"/>
    <w:rsid w:val="003169A9"/>
    <w:rsid w:val="003174E0"/>
    <w:rsid w:val="003202A7"/>
    <w:rsid w:val="00320383"/>
    <w:rsid w:val="003204CD"/>
    <w:rsid w:val="0032050C"/>
    <w:rsid w:val="003208B4"/>
    <w:rsid w:val="003212BE"/>
    <w:rsid w:val="003212CE"/>
    <w:rsid w:val="003220C5"/>
    <w:rsid w:val="00322C28"/>
    <w:rsid w:val="00323DB0"/>
    <w:rsid w:val="00324288"/>
    <w:rsid w:val="0032430F"/>
    <w:rsid w:val="00324783"/>
    <w:rsid w:val="003251F9"/>
    <w:rsid w:val="003252EA"/>
    <w:rsid w:val="0032547E"/>
    <w:rsid w:val="00326649"/>
    <w:rsid w:val="00326BC4"/>
    <w:rsid w:val="0033048C"/>
    <w:rsid w:val="00330B69"/>
    <w:rsid w:val="00330FB8"/>
    <w:rsid w:val="0033261D"/>
    <w:rsid w:val="003326ED"/>
    <w:rsid w:val="00332991"/>
    <w:rsid w:val="003330E6"/>
    <w:rsid w:val="0033324D"/>
    <w:rsid w:val="003333F3"/>
    <w:rsid w:val="0033360D"/>
    <w:rsid w:val="00334626"/>
    <w:rsid w:val="00334C93"/>
    <w:rsid w:val="00334D27"/>
    <w:rsid w:val="0033539A"/>
    <w:rsid w:val="00335C10"/>
    <w:rsid w:val="00336C2C"/>
    <w:rsid w:val="00336E1A"/>
    <w:rsid w:val="00340828"/>
    <w:rsid w:val="0034110D"/>
    <w:rsid w:val="00341342"/>
    <w:rsid w:val="00341E69"/>
    <w:rsid w:val="00343228"/>
    <w:rsid w:val="00343459"/>
    <w:rsid w:val="00343DBB"/>
    <w:rsid w:val="003443B4"/>
    <w:rsid w:val="00344967"/>
    <w:rsid w:val="00346B02"/>
    <w:rsid w:val="0034782A"/>
    <w:rsid w:val="00347D96"/>
    <w:rsid w:val="003503FA"/>
    <w:rsid w:val="003506DF"/>
    <w:rsid w:val="00351097"/>
    <w:rsid w:val="003510BF"/>
    <w:rsid w:val="00351336"/>
    <w:rsid w:val="00351507"/>
    <w:rsid w:val="00351B09"/>
    <w:rsid w:val="00351DAD"/>
    <w:rsid w:val="00351DBC"/>
    <w:rsid w:val="003528D2"/>
    <w:rsid w:val="00353F07"/>
    <w:rsid w:val="0035469C"/>
    <w:rsid w:val="0035480C"/>
    <w:rsid w:val="003552CE"/>
    <w:rsid w:val="00356452"/>
    <w:rsid w:val="00357778"/>
    <w:rsid w:val="00357C6D"/>
    <w:rsid w:val="00360438"/>
    <w:rsid w:val="00360C77"/>
    <w:rsid w:val="00360D5F"/>
    <w:rsid w:val="003611D2"/>
    <w:rsid w:val="00361F4A"/>
    <w:rsid w:val="00362377"/>
    <w:rsid w:val="003629D1"/>
    <w:rsid w:val="00362D25"/>
    <w:rsid w:val="0036351E"/>
    <w:rsid w:val="00364CFC"/>
    <w:rsid w:val="00364D1C"/>
    <w:rsid w:val="0036593D"/>
    <w:rsid w:val="003661F3"/>
    <w:rsid w:val="00366CAC"/>
    <w:rsid w:val="003672A2"/>
    <w:rsid w:val="00367E95"/>
    <w:rsid w:val="00370182"/>
    <w:rsid w:val="003707B7"/>
    <w:rsid w:val="00371B79"/>
    <w:rsid w:val="00371BEC"/>
    <w:rsid w:val="00372103"/>
    <w:rsid w:val="00372959"/>
    <w:rsid w:val="003730BF"/>
    <w:rsid w:val="00373110"/>
    <w:rsid w:val="00373DB8"/>
    <w:rsid w:val="00374034"/>
    <w:rsid w:val="00374BCC"/>
    <w:rsid w:val="00375BFD"/>
    <w:rsid w:val="0037669F"/>
    <w:rsid w:val="00376A3A"/>
    <w:rsid w:val="00376AEF"/>
    <w:rsid w:val="003772ED"/>
    <w:rsid w:val="00377FB4"/>
    <w:rsid w:val="003800B9"/>
    <w:rsid w:val="003805E3"/>
    <w:rsid w:val="00380BBE"/>
    <w:rsid w:val="0038105B"/>
    <w:rsid w:val="00382B51"/>
    <w:rsid w:val="00383416"/>
    <w:rsid w:val="00383511"/>
    <w:rsid w:val="00383FD4"/>
    <w:rsid w:val="0038422B"/>
    <w:rsid w:val="00384844"/>
    <w:rsid w:val="00385342"/>
    <w:rsid w:val="00386CCF"/>
    <w:rsid w:val="00387081"/>
    <w:rsid w:val="003870DD"/>
    <w:rsid w:val="003871BA"/>
    <w:rsid w:val="003876A7"/>
    <w:rsid w:val="00390802"/>
    <w:rsid w:val="003909F3"/>
    <w:rsid w:val="00390D65"/>
    <w:rsid w:val="00391339"/>
    <w:rsid w:val="0039196B"/>
    <w:rsid w:val="00391D94"/>
    <w:rsid w:val="00391E42"/>
    <w:rsid w:val="00391F49"/>
    <w:rsid w:val="00393B11"/>
    <w:rsid w:val="00393D61"/>
    <w:rsid w:val="00394EFE"/>
    <w:rsid w:val="00396074"/>
    <w:rsid w:val="00396259"/>
    <w:rsid w:val="00396D30"/>
    <w:rsid w:val="003975FA"/>
    <w:rsid w:val="003A00A6"/>
    <w:rsid w:val="003A0D3E"/>
    <w:rsid w:val="003A175A"/>
    <w:rsid w:val="003A239D"/>
    <w:rsid w:val="003A2B0F"/>
    <w:rsid w:val="003A2CD7"/>
    <w:rsid w:val="003A2F88"/>
    <w:rsid w:val="003A3034"/>
    <w:rsid w:val="003A35AB"/>
    <w:rsid w:val="003A3E95"/>
    <w:rsid w:val="003A5F0D"/>
    <w:rsid w:val="003A5F6A"/>
    <w:rsid w:val="003A6027"/>
    <w:rsid w:val="003A79A2"/>
    <w:rsid w:val="003A7D24"/>
    <w:rsid w:val="003B0305"/>
    <w:rsid w:val="003B03DD"/>
    <w:rsid w:val="003B043C"/>
    <w:rsid w:val="003B0801"/>
    <w:rsid w:val="003B1093"/>
    <w:rsid w:val="003B1376"/>
    <w:rsid w:val="003B1407"/>
    <w:rsid w:val="003B178B"/>
    <w:rsid w:val="003B24FC"/>
    <w:rsid w:val="003B2811"/>
    <w:rsid w:val="003B2AE5"/>
    <w:rsid w:val="003B32A1"/>
    <w:rsid w:val="003B3784"/>
    <w:rsid w:val="003B3DD5"/>
    <w:rsid w:val="003B43AC"/>
    <w:rsid w:val="003B46C4"/>
    <w:rsid w:val="003B46D3"/>
    <w:rsid w:val="003B4CC6"/>
    <w:rsid w:val="003B4EFC"/>
    <w:rsid w:val="003B5918"/>
    <w:rsid w:val="003B59B0"/>
    <w:rsid w:val="003B5A3C"/>
    <w:rsid w:val="003B666D"/>
    <w:rsid w:val="003C021D"/>
    <w:rsid w:val="003C057C"/>
    <w:rsid w:val="003C11D8"/>
    <w:rsid w:val="003C1681"/>
    <w:rsid w:val="003C1DB7"/>
    <w:rsid w:val="003C1FDB"/>
    <w:rsid w:val="003C26EA"/>
    <w:rsid w:val="003C38C9"/>
    <w:rsid w:val="003C4625"/>
    <w:rsid w:val="003C4681"/>
    <w:rsid w:val="003C4F1A"/>
    <w:rsid w:val="003C5FD7"/>
    <w:rsid w:val="003C67BE"/>
    <w:rsid w:val="003C688B"/>
    <w:rsid w:val="003C757B"/>
    <w:rsid w:val="003D006F"/>
    <w:rsid w:val="003D099B"/>
    <w:rsid w:val="003D118F"/>
    <w:rsid w:val="003D1C15"/>
    <w:rsid w:val="003D1EC5"/>
    <w:rsid w:val="003D1ECB"/>
    <w:rsid w:val="003D27A6"/>
    <w:rsid w:val="003D28EF"/>
    <w:rsid w:val="003D2E6F"/>
    <w:rsid w:val="003D316B"/>
    <w:rsid w:val="003D402F"/>
    <w:rsid w:val="003D4495"/>
    <w:rsid w:val="003D44E0"/>
    <w:rsid w:val="003D485C"/>
    <w:rsid w:val="003D4BEF"/>
    <w:rsid w:val="003D4BF8"/>
    <w:rsid w:val="003D5E14"/>
    <w:rsid w:val="003D6D27"/>
    <w:rsid w:val="003D7DF4"/>
    <w:rsid w:val="003E0867"/>
    <w:rsid w:val="003E21E8"/>
    <w:rsid w:val="003E2AF6"/>
    <w:rsid w:val="003E47B5"/>
    <w:rsid w:val="003E5197"/>
    <w:rsid w:val="003E51B9"/>
    <w:rsid w:val="003E59A6"/>
    <w:rsid w:val="003E6362"/>
    <w:rsid w:val="003E66AF"/>
    <w:rsid w:val="003E6E41"/>
    <w:rsid w:val="003E6F51"/>
    <w:rsid w:val="003E72BF"/>
    <w:rsid w:val="003E73A8"/>
    <w:rsid w:val="003E79FC"/>
    <w:rsid w:val="003F106A"/>
    <w:rsid w:val="003F155A"/>
    <w:rsid w:val="003F1D4C"/>
    <w:rsid w:val="003F1D90"/>
    <w:rsid w:val="003F2095"/>
    <w:rsid w:val="003F2312"/>
    <w:rsid w:val="003F2663"/>
    <w:rsid w:val="003F2B10"/>
    <w:rsid w:val="003F37F0"/>
    <w:rsid w:val="003F410A"/>
    <w:rsid w:val="003F4160"/>
    <w:rsid w:val="003F41F9"/>
    <w:rsid w:val="003F4560"/>
    <w:rsid w:val="003F4FEC"/>
    <w:rsid w:val="003F5485"/>
    <w:rsid w:val="003F5870"/>
    <w:rsid w:val="003F69DC"/>
    <w:rsid w:val="00400618"/>
    <w:rsid w:val="0040063C"/>
    <w:rsid w:val="00400AFF"/>
    <w:rsid w:val="00400B48"/>
    <w:rsid w:val="00400F37"/>
    <w:rsid w:val="004010EC"/>
    <w:rsid w:val="0040174D"/>
    <w:rsid w:val="00401A57"/>
    <w:rsid w:val="00401E75"/>
    <w:rsid w:val="00402EEB"/>
    <w:rsid w:val="00403866"/>
    <w:rsid w:val="004045D9"/>
    <w:rsid w:val="004048EF"/>
    <w:rsid w:val="00404F73"/>
    <w:rsid w:val="00405B95"/>
    <w:rsid w:val="004103B2"/>
    <w:rsid w:val="00411E15"/>
    <w:rsid w:val="00411EC1"/>
    <w:rsid w:val="004120C2"/>
    <w:rsid w:val="0041210B"/>
    <w:rsid w:val="0041241F"/>
    <w:rsid w:val="00412BE6"/>
    <w:rsid w:val="00412FA7"/>
    <w:rsid w:val="00414DF0"/>
    <w:rsid w:val="0041555E"/>
    <w:rsid w:val="004156A1"/>
    <w:rsid w:val="0041577A"/>
    <w:rsid w:val="00416786"/>
    <w:rsid w:val="0041731B"/>
    <w:rsid w:val="004200A9"/>
    <w:rsid w:val="00420660"/>
    <w:rsid w:val="00421AED"/>
    <w:rsid w:val="004229B9"/>
    <w:rsid w:val="00422D6C"/>
    <w:rsid w:val="00422FB1"/>
    <w:rsid w:val="00423085"/>
    <w:rsid w:val="00423D9F"/>
    <w:rsid w:val="00423E65"/>
    <w:rsid w:val="0042414A"/>
    <w:rsid w:val="004241E7"/>
    <w:rsid w:val="004242BD"/>
    <w:rsid w:val="00425A8E"/>
    <w:rsid w:val="00425EA4"/>
    <w:rsid w:val="004267B2"/>
    <w:rsid w:val="0042768E"/>
    <w:rsid w:val="004300A0"/>
    <w:rsid w:val="00430F16"/>
    <w:rsid w:val="00430F1A"/>
    <w:rsid w:val="004312A4"/>
    <w:rsid w:val="004315B1"/>
    <w:rsid w:val="00432E76"/>
    <w:rsid w:val="0043300A"/>
    <w:rsid w:val="0043317F"/>
    <w:rsid w:val="00435509"/>
    <w:rsid w:val="00435EE3"/>
    <w:rsid w:val="0043617D"/>
    <w:rsid w:val="00436202"/>
    <w:rsid w:val="004378E9"/>
    <w:rsid w:val="00437932"/>
    <w:rsid w:val="0044077F"/>
    <w:rsid w:val="0044093D"/>
    <w:rsid w:val="00441743"/>
    <w:rsid w:val="00442319"/>
    <w:rsid w:val="00442E25"/>
    <w:rsid w:val="00443B88"/>
    <w:rsid w:val="00444031"/>
    <w:rsid w:val="004442B0"/>
    <w:rsid w:val="0044473B"/>
    <w:rsid w:val="00444850"/>
    <w:rsid w:val="00444AFC"/>
    <w:rsid w:val="00444FE8"/>
    <w:rsid w:val="0044537D"/>
    <w:rsid w:val="00445F64"/>
    <w:rsid w:val="004468A7"/>
    <w:rsid w:val="00446DC1"/>
    <w:rsid w:val="0044770F"/>
    <w:rsid w:val="00447C12"/>
    <w:rsid w:val="00450446"/>
    <w:rsid w:val="00450A52"/>
    <w:rsid w:val="00450AC9"/>
    <w:rsid w:val="00450FA8"/>
    <w:rsid w:val="004513C8"/>
    <w:rsid w:val="00451F3E"/>
    <w:rsid w:val="00452540"/>
    <w:rsid w:val="00453C8E"/>
    <w:rsid w:val="0045552D"/>
    <w:rsid w:val="00455871"/>
    <w:rsid w:val="00455936"/>
    <w:rsid w:val="004562FD"/>
    <w:rsid w:val="00456443"/>
    <w:rsid w:val="00456CCE"/>
    <w:rsid w:val="00457D02"/>
    <w:rsid w:val="00460241"/>
    <w:rsid w:val="00460741"/>
    <w:rsid w:val="00460A92"/>
    <w:rsid w:val="00461443"/>
    <w:rsid w:val="004614B1"/>
    <w:rsid w:val="00461B91"/>
    <w:rsid w:val="0046216A"/>
    <w:rsid w:val="00462CB3"/>
    <w:rsid w:val="00462D0D"/>
    <w:rsid w:val="00463234"/>
    <w:rsid w:val="00463857"/>
    <w:rsid w:val="004643D5"/>
    <w:rsid w:val="004646DE"/>
    <w:rsid w:val="0046491B"/>
    <w:rsid w:val="00464DA8"/>
    <w:rsid w:val="00464E96"/>
    <w:rsid w:val="004650AF"/>
    <w:rsid w:val="0046529B"/>
    <w:rsid w:val="004659D9"/>
    <w:rsid w:val="00465A60"/>
    <w:rsid w:val="00466175"/>
    <w:rsid w:val="004662E5"/>
    <w:rsid w:val="00466C17"/>
    <w:rsid w:val="00466E0B"/>
    <w:rsid w:val="00467636"/>
    <w:rsid w:val="00467959"/>
    <w:rsid w:val="00467CCE"/>
    <w:rsid w:val="00470C53"/>
    <w:rsid w:val="00472625"/>
    <w:rsid w:val="00473207"/>
    <w:rsid w:val="0047354D"/>
    <w:rsid w:val="004743CA"/>
    <w:rsid w:val="00474B1F"/>
    <w:rsid w:val="004756D3"/>
    <w:rsid w:val="00476387"/>
    <w:rsid w:val="004765F3"/>
    <w:rsid w:val="00477179"/>
    <w:rsid w:val="00477583"/>
    <w:rsid w:val="00477A91"/>
    <w:rsid w:val="0048052D"/>
    <w:rsid w:val="00480E35"/>
    <w:rsid w:val="00480F44"/>
    <w:rsid w:val="00480FFE"/>
    <w:rsid w:val="00481B02"/>
    <w:rsid w:val="00482053"/>
    <w:rsid w:val="004820FB"/>
    <w:rsid w:val="004825F6"/>
    <w:rsid w:val="00482C11"/>
    <w:rsid w:val="00482D07"/>
    <w:rsid w:val="00482EE8"/>
    <w:rsid w:val="004837BE"/>
    <w:rsid w:val="00485655"/>
    <w:rsid w:val="00485E48"/>
    <w:rsid w:val="00487542"/>
    <w:rsid w:val="00487CAE"/>
    <w:rsid w:val="00487D7F"/>
    <w:rsid w:val="0049029A"/>
    <w:rsid w:val="00490765"/>
    <w:rsid w:val="0049114A"/>
    <w:rsid w:val="00491431"/>
    <w:rsid w:val="00491583"/>
    <w:rsid w:val="00491776"/>
    <w:rsid w:val="00491AE9"/>
    <w:rsid w:val="00491B38"/>
    <w:rsid w:val="00492274"/>
    <w:rsid w:val="004926C6"/>
    <w:rsid w:val="00492DC4"/>
    <w:rsid w:val="00493263"/>
    <w:rsid w:val="00493A8A"/>
    <w:rsid w:val="00493F73"/>
    <w:rsid w:val="004940CF"/>
    <w:rsid w:val="0049468E"/>
    <w:rsid w:val="00494E6B"/>
    <w:rsid w:val="00494F5E"/>
    <w:rsid w:val="0049581E"/>
    <w:rsid w:val="00496130"/>
    <w:rsid w:val="0049667F"/>
    <w:rsid w:val="00496C28"/>
    <w:rsid w:val="004A0047"/>
    <w:rsid w:val="004A0129"/>
    <w:rsid w:val="004A0239"/>
    <w:rsid w:val="004A03D2"/>
    <w:rsid w:val="004A05D3"/>
    <w:rsid w:val="004A0672"/>
    <w:rsid w:val="004A10A1"/>
    <w:rsid w:val="004A1842"/>
    <w:rsid w:val="004A1D42"/>
    <w:rsid w:val="004A1ED9"/>
    <w:rsid w:val="004A201A"/>
    <w:rsid w:val="004A212F"/>
    <w:rsid w:val="004A237E"/>
    <w:rsid w:val="004A2A84"/>
    <w:rsid w:val="004A3814"/>
    <w:rsid w:val="004A3A35"/>
    <w:rsid w:val="004A3D2D"/>
    <w:rsid w:val="004A4667"/>
    <w:rsid w:val="004A4FF8"/>
    <w:rsid w:val="004A523E"/>
    <w:rsid w:val="004A5C75"/>
    <w:rsid w:val="004A63B2"/>
    <w:rsid w:val="004A69B0"/>
    <w:rsid w:val="004A6CF9"/>
    <w:rsid w:val="004A6EBF"/>
    <w:rsid w:val="004B01EB"/>
    <w:rsid w:val="004B086C"/>
    <w:rsid w:val="004B1323"/>
    <w:rsid w:val="004B1CEB"/>
    <w:rsid w:val="004B1E32"/>
    <w:rsid w:val="004B24FD"/>
    <w:rsid w:val="004B27A2"/>
    <w:rsid w:val="004B306E"/>
    <w:rsid w:val="004B338C"/>
    <w:rsid w:val="004B4616"/>
    <w:rsid w:val="004B4631"/>
    <w:rsid w:val="004B4C09"/>
    <w:rsid w:val="004B4CE7"/>
    <w:rsid w:val="004B513A"/>
    <w:rsid w:val="004B527E"/>
    <w:rsid w:val="004B7300"/>
    <w:rsid w:val="004B7340"/>
    <w:rsid w:val="004B7B2A"/>
    <w:rsid w:val="004B7F42"/>
    <w:rsid w:val="004C1BE0"/>
    <w:rsid w:val="004C2578"/>
    <w:rsid w:val="004C2DCA"/>
    <w:rsid w:val="004C2EAB"/>
    <w:rsid w:val="004C3483"/>
    <w:rsid w:val="004C3699"/>
    <w:rsid w:val="004C374E"/>
    <w:rsid w:val="004C3852"/>
    <w:rsid w:val="004C3AFA"/>
    <w:rsid w:val="004C3E9F"/>
    <w:rsid w:val="004C4CE4"/>
    <w:rsid w:val="004C588D"/>
    <w:rsid w:val="004C6015"/>
    <w:rsid w:val="004C7552"/>
    <w:rsid w:val="004C7720"/>
    <w:rsid w:val="004C7B37"/>
    <w:rsid w:val="004C7EEA"/>
    <w:rsid w:val="004D0B05"/>
    <w:rsid w:val="004D1445"/>
    <w:rsid w:val="004D1495"/>
    <w:rsid w:val="004D1620"/>
    <w:rsid w:val="004D1A69"/>
    <w:rsid w:val="004D1F9D"/>
    <w:rsid w:val="004D23EC"/>
    <w:rsid w:val="004D250A"/>
    <w:rsid w:val="004D299D"/>
    <w:rsid w:val="004D29DE"/>
    <w:rsid w:val="004D31AF"/>
    <w:rsid w:val="004D347D"/>
    <w:rsid w:val="004D5019"/>
    <w:rsid w:val="004D50D1"/>
    <w:rsid w:val="004D5488"/>
    <w:rsid w:val="004D5E07"/>
    <w:rsid w:val="004D60A7"/>
    <w:rsid w:val="004D6125"/>
    <w:rsid w:val="004D7A3B"/>
    <w:rsid w:val="004E0547"/>
    <w:rsid w:val="004E0764"/>
    <w:rsid w:val="004E09EB"/>
    <w:rsid w:val="004E0E8E"/>
    <w:rsid w:val="004E152C"/>
    <w:rsid w:val="004E185A"/>
    <w:rsid w:val="004E2109"/>
    <w:rsid w:val="004E25CA"/>
    <w:rsid w:val="004E2757"/>
    <w:rsid w:val="004E369D"/>
    <w:rsid w:val="004E4405"/>
    <w:rsid w:val="004E4720"/>
    <w:rsid w:val="004E4DCA"/>
    <w:rsid w:val="004E4EF0"/>
    <w:rsid w:val="004E4FED"/>
    <w:rsid w:val="004E570F"/>
    <w:rsid w:val="004E5738"/>
    <w:rsid w:val="004E57C8"/>
    <w:rsid w:val="004E61AD"/>
    <w:rsid w:val="004E6328"/>
    <w:rsid w:val="004E6541"/>
    <w:rsid w:val="004E65E7"/>
    <w:rsid w:val="004E6D0F"/>
    <w:rsid w:val="004E6FB0"/>
    <w:rsid w:val="004E7761"/>
    <w:rsid w:val="004E7AB4"/>
    <w:rsid w:val="004E7DD6"/>
    <w:rsid w:val="004E7FA4"/>
    <w:rsid w:val="004F10F5"/>
    <w:rsid w:val="004F1718"/>
    <w:rsid w:val="004F1730"/>
    <w:rsid w:val="004F2501"/>
    <w:rsid w:val="004F25EC"/>
    <w:rsid w:val="004F26E8"/>
    <w:rsid w:val="004F38F7"/>
    <w:rsid w:val="004F3951"/>
    <w:rsid w:val="004F3A52"/>
    <w:rsid w:val="004F401D"/>
    <w:rsid w:val="004F4E9F"/>
    <w:rsid w:val="004F66B1"/>
    <w:rsid w:val="004F69DE"/>
    <w:rsid w:val="004F7232"/>
    <w:rsid w:val="0050213A"/>
    <w:rsid w:val="0050355B"/>
    <w:rsid w:val="00503B4B"/>
    <w:rsid w:val="00503F2D"/>
    <w:rsid w:val="00503FBD"/>
    <w:rsid w:val="00504292"/>
    <w:rsid w:val="00504930"/>
    <w:rsid w:val="00505EFC"/>
    <w:rsid w:val="00507192"/>
    <w:rsid w:val="0050747E"/>
    <w:rsid w:val="0050777F"/>
    <w:rsid w:val="00510DC6"/>
    <w:rsid w:val="00511674"/>
    <w:rsid w:val="00511FD3"/>
    <w:rsid w:val="00512430"/>
    <w:rsid w:val="00512F03"/>
    <w:rsid w:val="00513D2A"/>
    <w:rsid w:val="005141A6"/>
    <w:rsid w:val="0051485F"/>
    <w:rsid w:val="00515948"/>
    <w:rsid w:val="005163C9"/>
    <w:rsid w:val="005167D0"/>
    <w:rsid w:val="00516900"/>
    <w:rsid w:val="00516AD4"/>
    <w:rsid w:val="00516B63"/>
    <w:rsid w:val="00516D09"/>
    <w:rsid w:val="00516DFC"/>
    <w:rsid w:val="00517DB1"/>
    <w:rsid w:val="00520146"/>
    <w:rsid w:val="00520778"/>
    <w:rsid w:val="00521BDA"/>
    <w:rsid w:val="00522493"/>
    <w:rsid w:val="00523360"/>
    <w:rsid w:val="00523D25"/>
    <w:rsid w:val="00525362"/>
    <w:rsid w:val="005253E9"/>
    <w:rsid w:val="00525503"/>
    <w:rsid w:val="00525688"/>
    <w:rsid w:val="005261B5"/>
    <w:rsid w:val="005267B8"/>
    <w:rsid w:val="005271BE"/>
    <w:rsid w:val="005278F0"/>
    <w:rsid w:val="00530480"/>
    <w:rsid w:val="00530B47"/>
    <w:rsid w:val="00531D37"/>
    <w:rsid w:val="00531F2B"/>
    <w:rsid w:val="00532117"/>
    <w:rsid w:val="00532EF1"/>
    <w:rsid w:val="00533955"/>
    <w:rsid w:val="00533B6E"/>
    <w:rsid w:val="00533EED"/>
    <w:rsid w:val="00534198"/>
    <w:rsid w:val="0053431A"/>
    <w:rsid w:val="0053463E"/>
    <w:rsid w:val="00535794"/>
    <w:rsid w:val="005359B5"/>
    <w:rsid w:val="00536452"/>
    <w:rsid w:val="00536A4B"/>
    <w:rsid w:val="00536E59"/>
    <w:rsid w:val="00536E6B"/>
    <w:rsid w:val="005379B9"/>
    <w:rsid w:val="00541515"/>
    <w:rsid w:val="005422BA"/>
    <w:rsid w:val="0054235E"/>
    <w:rsid w:val="00542AA0"/>
    <w:rsid w:val="005437C9"/>
    <w:rsid w:val="00543BC6"/>
    <w:rsid w:val="0054412F"/>
    <w:rsid w:val="005446D1"/>
    <w:rsid w:val="00544DE9"/>
    <w:rsid w:val="00545228"/>
    <w:rsid w:val="005456C8"/>
    <w:rsid w:val="00545EEA"/>
    <w:rsid w:val="005468B2"/>
    <w:rsid w:val="00546BE4"/>
    <w:rsid w:val="00546D4C"/>
    <w:rsid w:val="00546F86"/>
    <w:rsid w:val="0054704B"/>
    <w:rsid w:val="00547C92"/>
    <w:rsid w:val="00547D6B"/>
    <w:rsid w:val="005500C4"/>
    <w:rsid w:val="005502F8"/>
    <w:rsid w:val="005503F8"/>
    <w:rsid w:val="00550400"/>
    <w:rsid w:val="00553284"/>
    <w:rsid w:val="00553B51"/>
    <w:rsid w:val="00553E6A"/>
    <w:rsid w:val="00554DFE"/>
    <w:rsid w:val="00554E58"/>
    <w:rsid w:val="00556115"/>
    <w:rsid w:val="00556362"/>
    <w:rsid w:val="00556D5D"/>
    <w:rsid w:val="005570EC"/>
    <w:rsid w:val="00560B0D"/>
    <w:rsid w:val="00560B9F"/>
    <w:rsid w:val="00561AD5"/>
    <w:rsid w:val="00561F19"/>
    <w:rsid w:val="005628F7"/>
    <w:rsid w:val="0056433D"/>
    <w:rsid w:val="00564974"/>
    <w:rsid w:val="00564BB2"/>
    <w:rsid w:val="00564CBE"/>
    <w:rsid w:val="00564D44"/>
    <w:rsid w:val="00564E5D"/>
    <w:rsid w:val="00565598"/>
    <w:rsid w:val="0056686E"/>
    <w:rsid w:val="005669CD"/>
    <w:rsid w:val="00566A84"/>
    <w:rsid w:val="0056765F"/>
    <w:rsid w:val="0056780F"/>
    <w:rsid w:val="00567977"/>
    <w:rsid w:val="005679AA"/>
    <w:rsid w:val="005679CC"/>
    <w:rsid w:val="00567F73"/>
    <w:rsid w:val="00570768"/>
    <w:rsid w:val="00570C46"/>
    <w:rsid w:val="00570C58"/>
    <w:rsid w:val="00570FA8"/>
    <w:rsid w:val="00571437"/>
    <w:rsid w:val="00571BAE"/>
    <w:rsid w:val="00573114"/>
    <w:rsid w:val="00573292"/>
    <w:rsid w:val="00573B81"/>
    <w:rsid w:val="0057447D"/>
    <w:rsid w:val="005744A1"/>
    <w:rsid w:val="005749F6"/>
    <w:rsid w:val="005750C5"/>
    <w:rsid w:val="0057567C"/>
    <w:rsid w:val="005767FD"/>
    <w:rsid w:val="0057680E"/>
    <w:rsid w:val="00576992"/>
    <w:rsid w:val="00577615"/>
    <w:rsid w:val="0058016C"/>
    <w:rsid w:val="00581D17"/>
    <w:rsid w:val="005825BE"/>
    <w:rsid w:val="00584185"/>
    <w:rsid w:val="00584651"/>
    <w:rsid w:val="00584B86"/>
    <w:rsid w:val="00585E9A"/>
    <w:rsid w:val="0058600C"/>
    <w:rsid w:val="005865FC"/>
    <w:rsid w:val="0058755C"/>
    <w:rsid w:val="00587B17"/>
    <w:rsid w:val="0059031A"/>
    <w:rsid w:val="00590EA1"/>
    <w:rsid w:val="005910D7"/>
    <w:rsid w:val="005920CC"/>
    <w:rsid w:val="00594F08"/>
    <w:rsid w:val="00594FCD"/>
    <w:rsid w:val="00595A9A"/>
    <w:rsid w:val="0059608D"/>
    <w:rsid w:val="0059618A"/>
    <w:rsid w:val="0059628D"/>
    <w:rsid w:val="0059679D"/>
    <w:rsid w:val="00597717"/>
    <w:rsid w:val="005A0346"/>
    <w:rsid w:val="005A0559"/>
    <w:rsid w:val="005A1B54"/>
    <w:rsid w:val="005A1B99"/>
    <w:rsid w:val="005A1C0F"/>
    <w:rsid w:val="005A3307"/>
    <w:rsid w:val="005A3B5B"/>
    <w:rsid w:val="005A456B"/>
    <w:rsid w:val="005A4C23"/>
    <w:rsid w:val="005A4F5C"/>
    <w:rsid w:val="005A5441"/>
    <w:rsid w:val="005A602B"/>
    <w:rsid w:val="005A6ADC"/>
    <w:rsid w:val="005A7CCC"/>
    <w:rsid w:val="005B004E"/>
    <w:rsid w:val="005B0A63"/>
    <w:rsid w:val="005B1425"/>
    <w:rsid w:val="005B1DA8"/>
    <w:rsid w:val="005B2680"/>
    <w:rsid w:val="005B2AAD"/>
    <w:rsid w:val="005B2D29"/>
    <w:rsid w:val="005B37CC"/>
    <w:rsid w:val="005B3B1E"/>
    <w:rsid w:val="005B466F"/>
    <w:rsid w:val="005B4A87"/>
    <w:rsid w:val="005B4C36"/>
    <w:rsid w:val="005B5009"/>
    <w:rsid w:val="005B53EF"/>
    <w:rsid w:val="005B54A0"/>
    <w:rsid w:val="005B5A96"/>
    <w:rsid w:val="005B7FA9"/>
    <w:rsid w:val="005C01DD"/>
    <w:rsid w:val="005C02EB"/>
    <w:rsid w:val="005C0FA6"/>
    <w:rsid w:val="005C22D6"/>
    <w:rsid w:val="005C2308"/>
    <w:rsid w:val="005C3798"/>
    <w:rsid w:val="005C4695"/>
    <w:rsid w:val="005C5E65"/>
    <w:rsid w:val="005C6879"/>
    <w:rsid w:val="005C70D7"/>
    <w:rsid w:val="005C72E7"/>
    <w:rsid w:val="005D04CE"/>
    <w:rsid w:val="005D08AA"/>
    <w:rsid w:val="005D1160"/>
    <w:rsid w:val="005D14F4"/>
    <w:rsid w:val="005D17D6"/>
    <w:rsid w:val="005D1856"/>
    <w:rsid w:val="005D1D81"/>
    <w:rsid w:val="005D2458"/>
    <w:rsid w:val="005D3091"/>
    <w:rsid w:val="005D45FC"/>
    <w:rsid w:val="005D47DE"/>
    <w:rsid w:val="005D4E92"/>
    <w:rsid w:val="005D5516"/>
    <w:rsid w:val="005D6B5B"/>
    <w:rsid w:val="005D7144"/>
    <w:rsid w:val="005D75F0"/>
    <w:rsid w:val="005D76A8"/>
    <w:rsid w:val="005E0C84"/>
    <w:rsid w:val="005E10A2"/>
    <w:rsid w:val="005E1FEE"/>
    <w:rsid w:val="005E23EA"/>
    <w:rsid w:val="005E3099"/>
    <w:rsid w:val="005E323F"/>
    <w:rsid w:val="005E3B9B"/>
    <w:rsid w:val="005E3F0E"/>
    <w:rsid w:val="005E4F4B"/>
    <w:rsid w:val="005E4FA9"/>
    <w:rsid w:val="005E542D"/>
    <w:rsid w:val="005E561E"/>
    <w:rsid w:val="005E6501"/>
    <w:rsid w:val="005E7EA8"/>
    <w:rsid w:val="005F0114"/>
    <w:rsid w:val="005F01A5"/>
    <w:rsid w:val="005F0279"/>
    <w:rsid w:val="005F0316"/>
    <w:rsid w:val="005F08CA"/>
    <w:rsid w:val="005F0B13"/>
    <w:rsid w:val="005F2AFE"/>
    <w:rsid w:val="005F2F9F"/>
    <w:rsid w:val="005F3DA4"/>
    <w:rsid w:val="005F3DF8"/>
    <w:rsid w:val="005F5150"/>
    <w:rsid w:val="005F545D"/>
    <w:rsid w:val="005F5B33"/>
    <w:rsid w:val="005F625F"/>
    <w:rsid w:val="005F6359"/>
    <w:rsid w:val="005F6D00"/>
    <w:rsid w:val="005F6D40"/>
    <w:rsid w:val="005F6F10"/>
    <w:rsid w:val="005F7C24"/>
    <w:rsid w:val="006006DD"/>
    <w:rsid w:val="006013A8"/>
    <w:rsid w:val="006018AD"/>
    <w:rsid w:val="00602428"/>
    <w:rsid w:val="006026CA"/>
    <w:rsid w:val="00602F64"/>
    <w:rsid w:val="00603856"/>
    <w:rsid w:val="00603D02"/>
    <w:rsid w:val="00604116"/>
    <w:rsid w:val="006047B4"/>
    <w:rsid w:val="00604DB3"/>
    <w:rsid w:val="006052E7"/>
    <w:rsid w:val="00605691"/>
    <w:rsid w:val="00607238"/>
    <w:rsid w:val="00607A9E"/>
    <w:rsid w:val="00610420"/>
    <w:rsid w:val="0061091B"/>
    <w:rsid w:val="006110E0"/>
    <w:rsid w:val="0061134C"/>
    <w:rsid w:val="00611413"/>
    <w:rsid w:val="00611A0B"/>
    <w:rsid w:val="0061227F"/>
    <w:rsid w:val="006134F6"/>
    <w:rsid w:val="00613C68"/>
    <w:rsid w:val="00613E12"/>
    <w:rsid w:val="0061420F"/>
    <w:rsid w:val="006144AB"/>
    <w:rsid w:val="00615188"/>
    <w:rsid w:val="00615863"/>
    <w:rsid w:val="00615C5E"/>
    <w:rsid w:val="00616C3D"/>
    <w:rsid w:val="006170BC"/>
    <w:rsid w:val="0061721B"/>
    <w:rsid w:val="00617E9D"/>
    <w:rsid w:val="00617EE6"/>
    <w:rsid w:val="00620094"/>
    <w:rsid w:val="0062053D"/>
    <w:rsid w:val="00620D7D"/>
    <w:rsid w:val="00621068"/>
    <w:rsid w:val="006218E7"/>
    <w:rsid w:val="00621A59"/>
    <w:rsid w:val="0062204E"/>
    <w:rsid w:val="0062244F"/>
    <w:rsid w:val="00623728"/>
    <w:rsid w:val="00623ABA"/>
    <w:rsid w:val="00624384"/>
    <w:rsid w:val="00624661"/>
    <w:rsid w:val="006256E9"/>
    <w:rsid w:val="0062579D"/>
    <w:rsid w:val="00625F72"/>
    <w:rsid w:val="00626B35"/>
    <w:rsid w:val="006272CA"/>
    <w:rsid w:val="00627B32"/>
    <w:rsid w:val="0063000D"/>
    <w:rsid w:val="0063018B"/>
    <w:rsid w:val="00630738"/>
    <w:rsid w:val="00630AB2"/>
    <w:rsid w:val="00631BFF"/>
    <w:rsid w:val="00632480"/>
    <w:rsid w:val="006336DE"/>
    <w:rsid w:val="00633B25"/>
    <w:rsid w:val="006340AE"/>
    <w:rsid w:val="006341D0"/>
    <w:rsid w:val="00634564"/>
    <w:rsid w:val="00634FA7"/>
    <w:rsid w:val="00635D87"/>
    <w:rsid w:val="00635EA7"/>
    <w:rsid w:val="00636072"/>
    <w:rsid w:val="006362B3"/>
    <w:rsid w:val="00636C72"/>
    <w:rsid w:val="00637497"/>
    <w:rsid w:val="00637BA7"/>
    <w:rsid w:val="00637CBB"/>
    <w:rsid w:val="00640248"/>
    <w:rsid w:val="00640F09"/>
    <w:rsid w:val="00640F10"/>
    <w:rsid w:val="00640F36"/>
    <w:rsid w:val="00641496"/>
    <w:rsid w:val="0064173F"/>
    <w:rsid w:val="006419D0"/>
    <w:rsid w:val="00642689"/>
    <w:rsid w:val="00642879"/>
    <w:rsid w:val="00643DEF"/>
    <w:rsid w:val="00644359"/>
    <w:rsid w:val="0064472E"/>
    <w:rsid w:val="00645A7C"/>
    <w:rsid w:val="00646865"/>
    <w:rsid w:val="00646979"/>
    <w:rsid w:val="00646A12"/>
    <w:rsid w:val="006502C4"/>
    <w:rsid w:val="006509B6"/>
    <w:rsid w:val="00651068"/>
    <w:rsid w:val="00651161"/>
    <w:rsid w:val="00651410"/>
    <w:rsid w:val="0065189A"/>
    <w:rsid w:val="006518DD"/>
    <w:rsid w:val="006521E0"/>
    <w:rsid w:val="00652A62"/>
    <w:rsid w:val="00652D69"/>
    <w:rsid w:val="006530C7"/>
    <w:rsid w:val="00653CE5"/>
    <w:rsid w:val="0065402C"/>
    <w:rsid w:val="00654687"/>
    <w:rsid w:val="00654CDF"/>
    <w:rsid w:val="006551C7"/>
    <w:rsid w:val="00655FC7"/>
    <w:rsid w:val="00656A75"/>
    <w:rsid w:val="0065771E"/>
    <w:rsid w:val="00657C60"/>
    <w:rsid w:val="00657FBB"/>
    <w:rsid w:val="00660F0E"/>
    <w:rsid w:val="00660F4C"/>
    <w:rsid w:val="00661EF6"/>
    <w:rsid w:val="00662197"/>
    <w:rsid w:val="006629D7"/>
    <w:rsid w:val="0066339A"/>
    <w:rsid w:val="00664283"/>
    <w:rsid w:val="00664925"/>
    <w:rsid w:val="006649FF"/>
    <w:rsid w:val="00665B6D"/>
    <w:rsid w:val="00667200"/>
    <w:rsid w:val="00667708"/>
    <w:rsid w:val="006679EE"/>
    <w:rsid w:val="0067082A"/>
    <w:rsid w:val="00670836"/>
    <w:rsid w:val="0067108D"/>
    <w:rsid w:val="006720F4"/>
    <w:rsid w:val="006736B9"/>
    <w:rsid w:val="00673896"/>
    <w:rsid w:val="006756D5"/>
    <w:rsid w:val="00675E4A"/>
    <w:rsid w:val="00676219"/>
    <w:rsid w:val="00676D91"/>
    <w:rsid w:val="00677275"/>
    <w:rsid w:val="006775F6"/>
    <w:rsid w:val="00677C1B"/>
    <w:rsid w:val="0068078C"/>
    <w:rsid w:val="00680A11"/>
    <w:rsid w:val="00680A9B"/>
    <w:rsid w:val="00680ECA"/>
    <w:rsid w:val="00681071"/>
    <w:rsid w:val="006817CA"/>
    <w:rsid w:val="00682499"/>
    <w:rsid w:val="00682CB9"/>
    <w:rsid w:val="00683CDA"/>
    <w:rsid w:val="0068427A"/>
    <w:rsid w:val="0068447A"/>
    <w:rsid w:val="00684B26"/>
    <w:rsid w:val="00685103"/>
    <w:rsid w:val="00685186"/>
    <w:rsid w:val="00686C3F"/>
    <w:rsid w:val="006917B3"/>
    <w:rsid w:val="00691AAB"/>
    <w:rsid w:val="00692C86"/>
    <w:rsid w:val="00693434"/>
    <w:rsid w:val="00693A51"/>
    <w:rsid w:val="00694603"/>
    <w:rsid w:val="006962DB"/>
    <w:rsid w:val="00696355"/>
    <w:rsid w:val="00696861"/>
    <w:rsid w:val="00696C3A"/>
    <w:rsid w:val="00697959"/>
    <w:rsid w:val="006A02BD"/>
    <w:rsid w:val="006A054B"/>
    <w:rsid w:val="006A0624"/>
    <w:rsid w:val="006A0F3B"/>
    <w:rsid w:val="006A1A19"/>
    <w:rsid w:val="006A1A35"/>
    <w:rsid w:val="006A1F5E"/>
    <w:rsid w:val="006A21AE"/>
    <w:rsid w:val="006A25C6"/>
    <w:rsid w:val="006A2D0D"/>
    <w:rsid w:val="006A366B"/>
    <w:rsid w:val="006A36CF"/>
    <w:rsid w:val="006A4344"/>
    <w:rsid w:val="006A444C"/>
    <w:rsid w:val="006A4852"/>
    <w:rsid w:val="006A5098"/>
    <w:rsid w:val="006A6AEC"/>
    <w:rsid w:val="006A7869"/>
    <w:rsid w:val="006A7BDC"/>
    <w:rsid w:val="006A7DC0"/>
    <w:rsid w:val="006B11E3"/>
    <w:rsid w:val="006B1421"/>
    <w:rsid w:val="006B1511"/>
    <w:rsid w:val="006B22FF"/>
    <w:rsid w:val="006B2A30"/>
    <w:rsid w:val="006B2F2B"/>
    <w:rsid w:val="006B360C"/>
    <w:rsid w:val="006B3864"/>
    <w:rsid w:val="006B5A2B"/>
    <w:rsid w:val="006B6197"/>
    <w:rsid w:val="006B7B19"/>
    <w:rsid w:val="006C09D1"/>
    <w:rsid w:val="006C0BFD"/>
    <w:rsid w:val="006C0D68"/>
    <w:rsid w:val="006C22D9"/>
    <w:rsid w:val="006C2533"/>
    <w:rsid w:val="006C293D"/>
    <w:rsid w:val="006C2B8A"/>
    <w:rsid w:val="006C2BEE"/>
    <w:rsid w:val="006C3ED8"/>
    <w:rsid w:val="006C5106"/>
    <w:rsid w:val="006C54BC"/>
    <w:rsid w:val="006C586A"/>
    <w:rsid w:val="006C6104"/>
    <w:rsid w:val="006C672A"/>
    <w:rsid w:val="006C6AD8"/>
    <w:rsid w:val="006C6E5D"/>
    <w:rsid w:val="006C7888"/>
    <w:rsid w:val="006C7F39"/>
    <w:rsid w:val="006D0122"/>
    <w:rsid w:val="006D0A87"/>
    <w:rsid w:val="006D16A1"/>
    <w:rsid w:val="006D1B8C"/>
    <w:rsid w:val="006D1C83"/>
    <w:rsid w:val="006D23F0"/>
    <w:rsid w:val="006D3866"/>
    <w:rsid w:val="006D59A4"/>
    <w:rsid w:val="006D6132"/>
    <w:rsid w:val="006D6CC0"/>
    <w:rsid w:val="006D6F98"/>
    <w:rsid w:val="006D7159"/>
    <w:rsid w:val="006E1045"/>
    <w:rsid w:val="006E1132"/>
    <w:rsid w:val="006E167C"/>
    <w:rsid w:val="006E33BB"/>
    <w:rsid w:val="006E38FA"/>
    <w:rsid w:val="006E3CA6"/>
    <w:rsid w:val="006E45FE"/>
    <w:rsid w:val="006E496B"/>
    <w:rsid w:val="006E56BF"/>
    <w:rsid w:val="006E5C2B"/>
    <w:rsid w:val="006E5FDC"/>
    <w:rsid w:val="006E7044"/>
    <w:rsid w:val="006E7328"/>
    <w:rsid w:val="006E7413"/>
    <w:rsid w:val="006E7F8D"/>
    <w:rsid w:val="006F085C"/>
    <w:rsid w:val="006F094A"/>
    <w:rsid w:val="006F09E7"/>
    <w:rsid w:val="006F17B9"/>
    <w:rsid w:val="006F1F09"/>
    <w:rsid w:val="006F257B"/>
    <w:rsid w:val="006F2E9E"/>
    <w:rsid w:val="006F3567"/>
    <w:rsid w:val="006F4271"/>
    <w:rsid w:val="006F5081"/>
    <w:rsid w:val="006F59B2"/>
    <w:rsid w:val="006F5FA0"/>
    <w:rsid w:val="006F61FD"/>
    <w:rsid w:val="006F654D"/>
    <w:rsid w:val="006F6C68"/>
    <w:rsid w:val="006F72D3"/>
    <w:rsid w:val="006F751A"/>
    <w:rsid w:val="006F7B54"/>
    <w:rsid w:val="0070005C"/>
    <w:rsid w:val="00702F59"/>
    <w:rsid w:val="00704CB4"/>
    <w:rsid w:val="00704D26"/>
    <w:rsid w:val="00706345"/>
    <w:rsid w:val="00706ED5"/>
    <w:rsid w:val="00706F25"/>
    <w:rsid w:val="0070708B"/>
    <w:rsid w:val="007102F2"/>
    <w:rsid w:val="007117E6"/>
    <w:rsid w:val="00711B12"/>
    <w:rsid w:val="00711B9D"/>
    <w:rsid w:val="00712A1D"/>
    <w:rsid w:val="00714849"/>
    <w:rsid w:val="00714FE2"/>
    <w:rsid w:val="00715B08"/>
    <w:rsid w:val="00715C88"/>
    <w:rsid w:val="007165C5"/>
    <w:rsid w:val="00716A53"/>
    <w:rsid w:val="00717673"/>
    <w:rsid w:val="00717A2B"/>
    <w:rsid w:val="00717A53"/>
    <w:rsid w:val="00717C3B"/>
    <w:rsid w:val="007203A1"/>
    <w:rsid w:val="007208A8"/>
    <w:rsid w:val="00720B35"/>
    <w:rsid w:val="00720EA0"/>
    <w:rsid w:val="00721D96"/>
    <w:rsid w:val="00721E58"/>
    <w:rsid w:val="00722707"/>
    <w:rsid w:val="007227DE"/>
    <w:rsid w:val="0072397A"/>
    <w:rsid w:val="0072402C"/>
    <w:rsid w:val="007253F7"/>
    <w:rsid w:val="0072555D"/>
    <w:rsid w:val="007259F6"/>
    <w:rsid w:val="00725CF2"/>
    <w:rsid w:val="00727766"/>
    <w:rsid w:val="007278F1"/>
    <w:rsid w:val="00727DF3"/>
    <w:rsid w:val="00727EC5"/>
    <w:rsid w:val="007301B1"/>
    <w:rsid w:val="007302CA"/>
    <w:rsid w:val="0073042E"/>
    <w:rsid w:val="00731A9B"/>
    <w:rsid w:val="007325BA"/>
    <w:rsid w:val="00732F0D"/>
    <w:rsid w:val="00733210"/>
    <w:rsid w:val="00733426"/>
    <w:rsid w:val="00733591"/>
    <w:rsid w:val="00734071"/>
    <w:rsid w:val="0073426D"/>
    <w:rsid w:val="0073465A"/>
    <w:rsid w:val="0073488A"/>
    <w:rsid w:val="00734EEF"/>
    <w:rsid w:val="00736580"/>
    <w:rsid w:val="00737272"/>
    <w:rsid w:val="0074045E"/>
    <w:rsid w:val="007405FF"/>
    <w:rsid w:val="00741650"/>
    <w:rsid w:val="00741D0E"/>
    <w:rsid w:val="007420E7"/>
    <w:rsid w:val="007421F2"/>
    <w:rsid w:val="007423E2"/>
    <w:rsid w:val="007436FA"/>
    <w:rsid w:val="00743F16"/>
    <w:rsid w:val="00744345"/>
    <w:rsid w:val="0074455F"/>
    <w:rsid w:val="00744D07"/>
    <w:rsid w:val="007451BF"/>
    <w:rsid w:val="007461EE"/>
    <w:rsid w:val="00746722"/>
    <w:rsid w:val="007468B9"/>
    <w:rsid w:val="007479DA"/>
    <w:rsid w:val="007502CF"/>
    <w:rsid w:val="0075122C"/>
    <w:rsid w:val="0075132B"/>
    <w:rsid w:val="007515BF"/>
    <w:rsid w:val="0075201E"/>
    <w:rsid w:val="00752281"/>
    <w:rsid w:val="00752772"/>
    <w:rsid w:val="0075286F"/>
    <w:rsid w:val="00753322"/>
    <w:rsid w:val="00753C15"/>
    <w:rsid w:val="00754023"/>
    <w:rsid w:val="00757067"/>
    <w:rsid w:val="00757413"/>
    <w:rsid w:val="00757964"/>
    <w:rsid w:val="00761320"/>
    <w:rsid w:val="00761E6E"/>
    <w:rsid w:val="00762181"/>
    <w:rsid w:val="00762F04"/>
    <w:rsid w:val="007635D8"/>
    <w:rsid w:val="00763DA6"/>
    <w:rsid w:val="0076467B"/>
    <w:rsid w:val="00764958"/>
    <w:rsid w:val="007649A7"/>
    <w:rsid w:val="00765CEE"/>
    <w:rsid w:val="00765DBF"/>
    <w:rsid w:val="00766A3A"/>
    <w:rsid w:val="00766BDE"/>
    <w:rsid w:val="007671AF"/>
    <w:rsid w:val="00767A1C"/>
    <w:rsid w:val="00767A3A"/>
    <w:rsid w:val="00767C83"/>
    <w:rsid w:val="0077039B"/>
    <w:rsid w:val="00771231"/>
    <w:rsid w:val="0077145F"/>
    <w:rsid w:val="00771F2C"/>
    <w:rsid w:val="0077223B"/>
    <w:rsid w:val="00772255"/>
    <w:rsid w:val="007728FC"/>
    <w:rsid w:val="00772CB6"/>
    <w:rsid w:val="00773456"/>
    <w:rsid w:val="007735E0"/>
    <w:rsid w:val="007736BB"/>
    <w:rsid w:val="00774D3C"/>
    <w:rsid w:val="0077521E"/>
    <w:rsid w:val="007770D1"/>
    <w:rsid w:val="007772D1"/>
    <w:rsid w:val="00777329"/>
    <w:rsid w:val="00777D98"/>
    <w:rsid w:val="007804DB"/>
    <w:rsid w:val="0078102E"/>
    <w:rsid w:val="0078104A"/>
    <w:rsid w:val="007814F9"/>
    <w:rsid w:val="007826AD"/>
    <w:rsid w:val="007832B1"/>
    <w:rsid w:val="00783360"/>
    <w:rsid w:val="007837F7"/>
    <w:rsid w:val="00783865"/>
    <w:rsid w:val="007848B1"/>
    <w:rsid w:val="00785762"/>
    <w:rsid w:val="00785CD3"/>
    <w:rsid w:val="00786F3C"/>
    <w:rsid w:val="007873E1"/>
    <w:rsid w:val="00787669"/>
    <w:rsid w:val="00790B23"/>
    <w:rsid w:val="00791BF3"/>
    <w:rsid w:val="0079251B"/>
    <w:rsid w:val="00792F62"/>
    <w:rsid w:val="007931EB"/>
    <w:rsid w:val="0079499D"/>
    <w:rsid w:val="00794ED0"/>
    <w:rsid w:val="0079524C"/>
    <w:rsid w:val="007956CA"/>
    <w:rsid w:val="00795E8C"/>
    <w:rsid w:val="00795F00"/>
    <w:rsid w:val="0079656D"/>
    <w:rsid w:val="007967B8"/>
    <w:rsid w:val="00797147"/>
    <w:rsid w:val="007A09BE"/>
    <w:rsid w:val="007A0A35"/>
    <w:rsid w:val="007A2040"/>
    <w:rsid w:val="007A321D"/>
    <w:rsid w:val="007A33C5"/>
    <w:rsid w:val="007A4352"/>
    <w:rsid w:val="007A4420"/>
    <w:rsid w:val="007A51F6"/>
    <w:rsid w:val="007A5617"/>
    <w:rsid w:val="007A6EEF"/>
    <w:rsid w:val="007A7EA5"/>
    <w:rsid w:val="007A7F5D"/>
    <w:rsid w:val="007B06CD"/>
    <w:rsid w:val="007B0CFF"/>
    <w:rsid w:val="007B0DDD"/>
    <w:rsid w:val="007B1825"/>
    <w:rsid w:val="007B1C28"/>
    <w:rsid w:val="007B1E45"/>
    <w:rsid w:val="007B237C"/>
    <w:rsid w:val="007B2E67"/>
    <w:rsid w:val="007B3F04"/>
    <w:rsid w:val="007B417D"/>
    <w:rsid w:val="007B47C0"/>
    <w:rsid w:val="007B4C64"/>
    <w:rsid w:val="007B5330"/>
    <w:rsid w:val="007B5A58"/>
    <w:rsid w:val="007B5CC9"/>
    <w:rsid w:val="007B61D6"/>
    <w:rsid w:val="007B739C"/>
    <w:rsid w:val="007B7CC3"/>
    <w:rsid w:val="007C1375"/>
    <w:rsid w:val="007C1583"/>
    <w:rsid w:val="007C1D4D"/>
    <w:rsid w:val="007C2575"/>
    <w:rsid w:val="007C281E"/>
    <w:rsid w:val="007C2A07"/>
    <w:rsid w:val="007C2B3D"/>
    <w:rsid w:val="007C3A9D"/>
    <w:rsid w:val="007C3D98"/>
    <w:rsid w:val="007C4DA8"/>
    <w:rsid w:val="007C58C7"/>
    <w:rsid w:val="007C6744"/>
    <w:rsid w:val="007C7130"/>
    <w:rsid w:val="007C741F"/>
    <w:rsid w:val="007D0909"/>
    <w:rsid w:val="007D0A53"/>
    <w:rsid w:val="007D0AF5"/>
    <w:rsid w:val="007D13B5"/>
    <w:rsid w:val="007D2364"/>
    <w:rsid w:val="007D2CCC"/>
    <w:rsid w:val="007D2FF1"/>
    <w:rsid w:val="007D473C"/>
    <w:rsid w:val="007D4B33"/>
    <w:rsid w:val="007D4DA0"/>
    <w:rsid w:val="007D63A6"/>
    <w:rsid w:val="007D6FE9"/>
    <w:rsid w:val="007E0C4F"/>
    <w:rsid w:val="007E15A4"/>
    <w:rsid w:val="007E1A5B"/>
    <w:rsid w:val="007E20F5"/>
    <w:rsid w:val="007E2206"/>
    <w:rsid w:val="007E2903"/>
    <w:rsid w:val="007E2DDD"/>
    <w:rsid w:val="007E30D9"/>
    <w:rsid w:val="007E3138"/>
    <w:rsid w:val="007E388B"/>
    <w:rsid w:val="007E5246"/>
    <w:rsid w:val="007E5920"/>
    <w:rsid w:val="007E5D61"/>
    <w:rsid w:val="007E6F8D"/>
    <w:rsid w:val="007E7542"/>
    <w:rsid w:val="007E7FD0"/>
    <w:rsid w:val="007F040B"/>
    <w:rsid w:val="007F07B9"/>
    <w:rsid w:val="007F1358"/>
    <w:rsid w:val="007F13E7"/>
    <w:rsid w:val="007F1649"/>
    <w:rsid w:val="007F1E99"/>
    <w:rsid w:val="007F2A07"/>
    <w:rsid w:val="007F3233"/>
    <w:rsid w:val="007F32BF"/>
    <w:rsid w:val="007F39DF"/>
    <w:rsid w:val="007F3DA8"/>
    <w:rsid w:val="007F467E"/>
    <w:rsid w:val="007F4940"/>
    <w:rsid w:val="007F5BA8"/>
    <w:rsid w:val="007F6634"/>
    <w:rsid w:val="00800FCF"/>
    <w:rsid w:val="00801662"/>
    <w:rsid w:val="008019FE"/>
    <w:rsid w:val="00803195"/>
    <w:rsid w:val="00803742"/>
    <w:rsid w:val="00803CA8"/>
    <w:rsid w:val="00803EDC"/>
    <w:rsid w:val="008045E1"/>
    <w:rsid w:val="0080553D"/>
    <w:rsid w:val="008055F5"/>
    <w:rsid w:val="00806593"/>
    <w:rsid w:val="008071FB"/>
    <w:rsid w:val="0080768B"/>
    <w:rsid w:val="00810A4C"/>
    <w:rsid w:val="00810DCB"/>
    <w:rsid w:val="008110EC"/>
    <w:rsid w:val="008111C3"/>
    <w:rsid w:val="0081194D"/>
    <w:rsid w:val="00812844"/>
    <w:rsid w:val="00812BB5"/>
    <w:rsid w:val="008149ED"/>
    <w:rsid w:val="00814F63"/>
    <w:rsid w:val="008166C1"/>
    <w:rsid w:val="00816BE3"/>
    <w:rsid w:val="00817286"/>
    <w:rsid w:val="00817C53"/>
    <w:rsid w:val="008205C0"/>
    <w:rsid w:val="008210FC"/>
    <w:rsid w:val="008216CE"/>
    <w:rsid w:val="00822252"/>
    <w:rsid w:val="00822322"/>
    <w:rsid w:val="008229E6"/>
    <w:rsid w:val="00822CBC"/>
    <w:rsid w:val="008238E6"/>
    <w:rsid w:val="00823DFA"/>
    <w:rsid w:val="00824343"/>
    <w:rsid w:val="00825415"/>
    <w:rsid w:val="008259E3"/>
    <w:rsid w:val="00825A80"/>
    <w:rsid w:val="00825FEF"/>
    <w:rsid w:val="008262BD"/>
    <w:rsid w:val="00826673"/>
    <w:rsid w:val="00826CDB"/>
    <w:rsid w:val="008276B9"/>
    <w:rsid w:val="00830344"/>
    <w:rsid w:val="008305C8"/>
    <w:rsid w:val="008307CD"/>
    <w:rsid w:val="00830CCA"/>
    <w:rsid w:val="00831B4A"/>
    <w:rsid w:val="008324E2"/>
    <w:rsid w:val="0083301B"/>
    <w:rsid w:val="00833B24"/>
    <w:rsid w:val="00833FCB"/>
    <w:rsid w:val="00834619"/>
    <w:rsid w:val="00835529"/>
    <w:rsid w:val="0083672B"/>
    <w:rsid w:val="0083691B"/>
    <w:rsid w:val="00837A71"/>
    <w:rsid w:val="00840CD7"/>
    <w:rsid w:val="008411A8"/>
    <w:rsid w:val="008411FB"/>
    <w:rsid w:val="008418CB"/>
    <w:rsid w:val="00841FBF"/>
    <w:rsid w:val="00842066"/>
    <w:rsid w:val="00843252"/>
    <w:rsid w:val="008435D9"/>
    <w:rsid w:val="008435E1"/>
    <w:rsid w:val="008438F0"/>
    <w:rsid w:val="00843A3C"/>
    <w:rsid w:val="00843B58"/>
    <w:rsid w:val="00843BDB"/>
    <w:rsid w:val="00844851"/>
    <w:rsid w:val="00844F88"/>
    <w:rsid w:val="0084653C"/>
    <w:rsid w:val="00846784"/>
    <w:rsid w:val="00846AFE"/>
    <w:rsid w:val="00846F91"/>
    <w:rsid w:val="0084740A"/>
    <w:rsid w:val="008475CD"/>
    <w:rsid w:val="008507D5"/>
    <w:rsid w:val="00850D4D"/>
    <w:rsid w:val="00850F8C"/>
    <w:rsid w:val="0085109E"/>
    <w:rsid w:val="00851AF1"/>
    <w:rsid w:val="0085252A"/>
    <w:rsid w:val="00852588"/>
    <w:rsid w:val="00852827"/>
    <w:rsid w:val="00852D11"/>
    <w:rsid w:val="00852E64"/>
    <w:rsid w:val="00853B35"/>
    <w:rsid w:val="00854337"/>
    <w:rsid w:val="00854E11"/>
    <w:rsid w:val="0085556F"/>
    <w:rsid w:val="00855986"/>
    <w:rsid w:val="00855998"/>
    <w:rsid w:val="00855D06"/>
    <w:rsid w:val="00855E16"/>
    <w:rsid w:val="008562D2"/>
    <w:rsid w:val="00857979"/>
    <w:rsid w:val="00860B4F"/>
    <w:rsid w:val="008611F3"/>
    <w:rsid w:val="008617BA"/>
    <w:rsid w:val="00861C1B"/>
    <w:rsid w:val="00862D5C"/>
    <w:rsid w:val="00863E84"/>
    <w:rsid w:val="00863EEC"/>
    <w:rsid w:val="00863F75"/>
    <w:rsid w:val="00864149"/>
    <w:rsid w:val="00864A78"/>
    <w:rsid w:val="008653B6"/>
    <w:rsid w:val="008653F1"/>
    <w:rsid w:val="0086553E"/>
    <w:rsid w:val="00865632"/>
    <w:rsid w:val="00865691"/>
    <w:rsid w:val="00866974"/>
    <w:rsid w:val="00866B14"/>
    <w:rsid w:val="0086757E"/>
    <w:rsid w:val="0086768F"/>
    <w:rsid w:val="008705AA"/>
    <w:rsid w:val="0087129E"/>
    <w:rsid w:val="00872221"/>
    <w:rsid w:val="00872B87"/>
    <w:rsid w:val="00873C81"/>
    <w:rsid w:val="00874066"/>
    <w:rsid w:val="008740BD"/>
    <w:rsid w:val="00874852"/>
    <w:rsid w:val="00874BD2"/>
    <w:rsid w:val="00874E74"/>
    <w:rsid w:val="0087505E"/>
    <w:rsid w:val="0087664E"/>
    <w:rsid w:val="00876D50"/>
    <w:rsid w:val="008770F7"/>
    <w:rsid w:val="008771EE"/>
    <w:rsid w:val="00877813"/>
    <w:rsid w:val="00877BC5"/>
    <w:rsid w:val="00877C1F"/>
    <w:rsid w:val="008803B6"/>
    <w:rsid w:val="00880433"/>
    <w:rsid w:val="00881C46"/>
    <w:rsid w:val="00882172"/>
    <w:rsid w:val="00882F93"/>
    <w:rsid w:val="008838B1"/>
    <w:rsid w:val="00883DB9"/>
    <w:rsid w:val="00884A8A"/>
    <w:rsid w:val="00884D7A"/>
    <w:rsid w:val="008862D7"/>
    <w:rsid w:val="0088689D"/>
    <w:rsid w:val="00886DA6"/>
    <w:rsid w:val="00886DE8"/>
    <w:rsid w:val="008902E3"/>
    <w:rsid w:val="00890B73"/>
    <w:rsid w:val="00891944"/>
    <w:rsid w:val="00891A08"/>
    <w:rsid w:val="00891F6C"/>
    <w:rsid w:val="00892838"/>
    <w:rsid w:val="00892AEA"/>
    <w:rsid w:val="00892B25"/>
    <w:rsid w:val="00892B53"/>
    <w:rsid w:val="00892B57"/>
    <w:rsid w:val="00893251"/>
    <w:rsid w:val="00893317"/>
    <w:rsid w:val="00893E8D"/>
    <w:rsid w:val="00894B8A"/>
    <w:rsid w:val="00894E6E"/>
    <w:rsid w:val="008964B9"/>
    <w:rsid w:val="00896711"/>
    <w:rsid w:val="00896B32"/>
    <w:rsid w:val="00896D1B"/>
    <w:rsid w:val="00897342"/>
    <w:rsid w:val="00897BC7"/>
    <w:rsid w:val="008A0F3B"/>
    <w:rsid w:val="008A206E"/>
    <w:rsid w:val="008A24FE"/>
    <w:rsid w:val="008A257A"/>
    <w:rsid w:val="008A325D"/>
    <w:rsid w:val="008A329D"/>
    <w:rsid w:val="008A5723"/>
    <w:rsid w:val="008A653D"/>
    <w:rsid w:val="008A69B9"/>
    <w:rsid w:val="008A6D5F"/>
    <w:rsid w:val="008A76B5"/>
    <w:rsid w:val="008B03B9"/>
    <w:rsid w:val="008B0791"/>
    <w:rsid w:val="008B122A"/>
    <w:rsid w:val="008B1259"/>
    <w:rsid w:val="008B16FC"/>
    <w:rsid w:val="008B1BD7"/>
    <w:rsid w:val="008B200A"/>
    <w:rsid w:val="008B2182"/>
    <w:rsid w:val="008B23EA"/>
    <w:rsid w:val="008B2464"/>
    <w:rsid w:val="008B339A"/>
    <w:rsid w:val="008B52C2"/>
    <w:rsid w:val="008B6061"/>
    <w:rsid w:val="008B60A4"/>
    <w:rsid w:val="008B62FA"/>
    <w:rsid w:val="008B6D44"/>
    <w:rsid w:val="008C0023"/>
    <w:rsid w:val="008C1090"/>
    <w:rsid w:val="008C385F"/>
    <w:rsid w:val="008C3A1E"/>
    <w:rsid w:val="008C3B90"/>
    <w:rsid w:val="008C41F7"/>
    <w:rsid w:val="008C4AB3"/>
    <w:rsid w:val="008C4E66"/>
    <w:rsid w:val="008C51C4"/>
    <w:rsid w:val="008C5F2C"/>
    <w:rsid w:val="008C7CA8"/>
    <w:rsid w:val="008C7CD3"/>
    <w:rsid w:val="008D0A46"/>
    <w:rsid w:val="008D0BFE"/>
    <w:rsid w:val="008D111D"/>
    <w:rsid w:val="008D1414"/>
    <w:rsid w:val="008D1E7B"/>
    <w:rsid w:val="008D32C5"/>
    <w:rsid w:val="008D4222"/>
    <w:rsid w:val="008D5BC5"/>
    <w:rsid w:val="008D5CF6"/>
    <w:rsid w:val="008D6835"/>
    <w:rsid w:val="008D68CC"/>
    <w:rsid w:val="008D6CE0"/>
    <w:rsid w:val="008D7924"/>
    <w:rsid w:val="008E01E6"/>
    <w:rsid w:val="008E0363"/>
    <w:rsid w:val="008E1784"/>
    <w:rsid w:val="008E189F"/>
    <w:rsid w:val="008E1B62"/>
    <w:rsid w:val="008E1CB5"/>
    <w:rsid w:val="008E33CF"/>
    <w:rsid w:val="008E34B3"/>
    <w:rsid w:val="008E3A29"/>
    <w:rsid w:val="008E4AE7"/>
    <w:rsid w:val="008E504F"/>
    <w:rsid w:val="008E5273"/>
    <w:rsid w:val="008E53EC"/>
    <w:rsid w:val="008E569D"/>
    <w:rsid w:val="008E5CCD"/>
    <w:rsid w:val="008E5DB6"/>
    <w:rsid w:val="008E6360"/>
    <w:rsid w:val="008E6674"/>
    <w:rsid w:val="008F074A"/>
    <w:rsid w:val="008F0E73"/>
    <w:rsid w:val="008F0E9A"/>
    <w:rsid w:val="008F0F9A"/>
    <w:rsid w:val="008F1334"/>
    <w:rsid w:val="008F1EA6"/>
    <w:rsid w:val="008F1F60"/>
    <w:rsid w:val="008F24A3"/>
    <w:rsid w:val="008F4B3E"/>
    <w:rsid w:val="008F50EB"/>
    <w:rsid w:val="008F58DC"/>
    <w:rsid w:val="008F66D3"/>
    <w:rsid w:val="008F7D57"/>
    <w:rsid w:val="00901140"/>
    <w:rsid w:val="00902D62"/>
    <w:rsid w:val="00902EFA"/>
    <w:rsid w:val="00903001"/>
    <w:rsid w:val="00903550"/>
    <w:rsid w:val="009038E7"/>
    <w:rsid w:val="00903D9F"/>
    <w:rsid w:val="00903E3D"/>
    <w:rsid w:val="00903E50"/>
    <w:rsid w:val="00903EC7"/>
    <w:rsid w:val="00904EC7"/>
    <w:rsid w:val="00905500"/>
    <w:rsid w:val="009061EF"/>
    <w:rsid w:val="009064B7"/>
    <w:rsid w:val="009068A1"/>
    <w:rsid w:val="009071A6"/>
    <w:rsid w:val="00907477"/>
    <w:rsid w:val="00907ED5"/>
    <w:rsid w:val="0091015E"/>
    <w:rsid w:val="0091039A"/>
    <w:rsid w:val="0091132A"/>
    <w:rsid w:val="00911FD2"/>
    <w:rsid w:val="009123FC"/>
    <w:rsid w:val="00912B0D"/>
    <w:rsid w:val="00912E9D"/>
    <w:rsid w:val="00913048"/>
    <w:rsid w:val="00913434"/>
    <w:rsid w:val="0091350E"/>
    <w:rsid w:val="0091398C"/>
    <w:rsid w:val="00915A0C"/>
    <w:rsid w:val="00915DFC"/>
    <w:rsid w:val="00915E1B"/>
    <w:rsid w:val="0091681A"/>
    <w:rsid w:val="00916CCC"/>
    <w:rsid w:val="00916E57"/>
    <w:rsid w:val="0091726B"/>
    <w:rsid w:val="009205C2"/>
    <w:rsid w:val="00920AAB"/>
    <w:rsid w:val="00920AD4"/>
    <w:rsid w:val="0092157D"/>
    <w:rsid w:val="0092176E"/>
    <w:rsid w:val="00922339"/>
    <w:rsid w:val="00923E94"/>
    <w:rsid w:val="00924188"/>
    <w:rsid w:val="0092418B"/>
    <w:rsid w:val="0092439B"/>
    <w:rsid w:val="00924B78"/>
    <w:rsid w:val="00924D54"/>
    <w:rsid w:val="00925049"/>
    <w:rsid w:val="00927F62"/>
    <w:rsid w:val="00930823"/>
    <w:rsid w:val="0093099A"/>
    <w:rsid w:val="00931853"/>
    <w:rsid w:val="0093278C"/>
    <w:rsid w:val="009327E8"/>
    <w:rsid w:val="00932C0F"/>
    <w:rsid w:val="00932E7F"/>
    <w:rsid w:val="00933EAF"/>
    <w:rsid w:val="00934C07"/>
    <w:rsid w:val="00934CF8"/>
    <w:rsid w:val="00934EC6"/>
    <w:rsid w:val="00934FFC"/>
    <w:rsid w:val="009357C3"/>
    <w:rsid w:val="00937DEE"/>
    <w:rsid w:val="009404FC"/>
    <w:rsid w:val="00940C6C"/>
    <w:rsid w:val="009414F7"/>
    <w:rsid w:val="009417C4"/>
    <w:rsid w:val="00942727"/>
    <w:rsid w:val="00942790"/>
    <w:rsid w:val="00942D12"/>
    <w:rsid w:val="0094356E"/>
    <w:rsid w:val="00944429"/>
    <w:rsid w:val="00944B87"/>
    <w:rsid w:val="00945261"/>
    <w:rsid w:val="00945783"/>
    <w:rsid w:val="00945EE4"/>
    <w:rsid w:val="0094652F"/>
    <w:rsid w:val="009467B0"/>
    <w:rsid w:val="009467F4"/>
    <w:rsid w:val="009471B7"/>
    <w:rsid w:val="00947A56"/>
    <w:rsid w:val="00947E26"/>
    <w:rsid w:val="00947FF1"/>
    <w:rsid w:val="00950516"/>
    <w:rsid w:val="00950B0C"/>
    <w:rsid w:val="0095107B"/>
    <w:rsid w:val="0095291F"/>
    <w:rsid w:val="009539F1"/>
    <w:rsid w:val="00953A30"/>
    <w:rsid w:val="0095500D"/>
    <w:rsid w:val="00955138"/>
    <w:rsid w:val="00955306"/>
    <w:rsid w:val="00955414"/>
    <w:rsid w:val="0095542C"/>
    <w:rsid w:val="00955715"/>
    <w:rsid w:val="00956C76"/>
    <w:rsid w:val="00957BA9"/>
    <w:rsid w:val="00957E64"/>
    <w:rsid w:val="009602A1"/>
    <w:rsid w:val="00960958"/>
    <w:rsid w:val="00961781"/>
    <w:rsid w:val="00961AB8"/>
    <w:rsid w:val="009620C9"/>
    <w:rsid w:val="00962F67"/>
    <w:rsid w:val="00963A6D"/>
    <w:rsid w:val="00964056"/>
    <w:rsid w:val="0096469C"/>
    <w:rsid w:val="0096499A"/>
    <w:rsid w:val="00965126"/>
    <w:rsid w:val="009668C7"/>
    <w:rsid w:val="009669A2"/>
    <w:rsid w:val="009669AC"/>
    <w:rsid w:val="00966DBD"/>
    <w:rsid w:val="00970F78"/>
    <w:rsid w:val="00971C19"/>
    <w:rsid w:val="009723AE"/>
    <w:rsid w:val="00972821"/>
    <w:rsid w:val="00972BF5"/>
    <w:rsid w:val="00972CF2"/>
    <w:rsid w:val="00973F52"/>
    <w:rsid w:val="00973F59"/>
    <w:rsid w:val="0097486E"/>
    <w:rsid w:val="00974AF0"/>
    <w:rsid w:val="00974EDD"/>
    <w:rsid w:val="00974FA8"/>
    <w:rsid w:val="00975178"/>
    <w:rsid w:val="0097687C"/>
    <w:rsid w:val="00976D75"/>
    <w:rsid w:val="00976D84"/>
    <w:rsid w:val="0097702F"/>
    <w:rsid w:val="00977116"/>
    <w:rsid w:val="00980C0B"/>
    <w:rsid w:val="0098182B"/>
    <w:rsid w:val="0098232F"/>
    <w:rsid w:val="009827B3"/>
    <w:rsid w:val="00982C0D"/>
    <w:rsid w:val="00982DC4"/>
    <w:rsid w:val="00983642"/>
    <w:rsid w:val="0098580E"/>
    <w:rsid w:val="00986D0D"/>
    <w:rsid w:val="00987863"/>
    <w:rsid w:val="00987931"/>
    <w:rsid w:val="0099045B"/>
    <w:rsid w:val="00990900"/>
    <w:rsid w:val="00990D27"/>
    <w:rsid w:val="00991184"/>
    <w:rsid w:val="00991588"/>
    <w:rsid w:val="009915C7"/>
    <w:rsid w:val="00991A20"/>
    <w:rsid w:val="00991B15"/>
    <w:rsid w:val="00991DDC"/>
    <w:rsid w:val="00991FDA"/>
    <w:rsid w:val="00992010"/>
    <w:rsid w:val="0099228E"/>
    <w:rsid w:val="009927A5"/>
    <w:rsid w:val="00992D60"/>
    <w:rsid w:val="00992E98"/>
    <w:rsid w:val="00993678"/>
    <w:rsid w:val="00993F96"/>
    <w:rsid w:val="00994070"/>
    <w:rsid w:val="009947EA"/>
    <w:rsid w:val="0099493F"/>
    <w:rsid w:val="00994BD0"/>
    <w:rsid w:val="00995342"/>
    <w:rsid w:val="00995B9E"/>
    <w:rsid w:val="00995C79"/>
    <w:rsid w:val="009961FA"/>
    <w:rsid w:val="0099688C"/>
    <w:rsid w:val="00996ABD"/>
    <w:rsid w:val="00996BC7"/>
    <w:rsid w:val="00996C07"/>
    <w:rsid w:val="00996DB0"/>
    <w:rsid w:val="0099723F"/>
    <w:rsid w:val="00997940"/>
    <w:rsid w:val="00997E19"/>
    <w:rsid w:val="009A044C"/>
    <w:rsid w:val="009A0868"/>
    <w:rsid w:val="009A1A4A"/>
    <w:rsid w:val="009A1DD0"/>
    <w:rsid w:val="009A21E4"/>
    <w:rsid w:val="009A25FF"/>
    <w:rsid w:val="009A2BE3"/>
    <w:rsid w:val="009A2D8C"/>
    <w:rsid w:val="009A310B"/>
    <w:rsid w:val="009A398F"/>
    <w:rsid w:val="009A4AEF"/>
    <w:rsid w:val="009A55B2"/>
    <w:rsid w:val="009A66E1"/>
    <w:rsid w:val="009A6D32"/>
    <w:rsid w:val="009A7620"/>
    <w:rsid w:val="009A776D"/>
    <w:rsid w:val="009A7CC2"/>
    <w:rsid w:val="009B00DD"/>
    <w:rsid w:val="009B0A8D"/>
    <w:rsid w:val="009B0F0B"/>
    <w:rsid w:val="009B1344"/>
    <w:rsid w:val="009B1AA5"/>
    <w:rsid w:val="009B1CF5"/>
    <w:rsid w:val="009B20A4"/>
    <w:rsid w:val="009B234C"/>
    <w:rsid w:val="009B23DE"/>
    <w:rsid w:val="009B2512"/>
    <w:rsid w:val="009B3A49"/>
    <w:rsid w:val="009B3F77"/>
    <w:rsid w:val="009B41B5"/>
    <w:rsid w:val="009B4366"/>
    <w:rsid w:val="009B49F1"/>
    <w:rsid w:val="009B4B00"/>
    <w:rsid w:val="009B4CA0"/>
    <w:rsid w:val="009B6692"/>
    <w:rsid w:val="009B797B"/>
    <w:rsid w:val="009C113D"/>
    <w:rsid w:val="009C208A"/>
    <w:rsid w:val="009C25DB"/>
    <w:rsid w:val="009C279E"/>
    <w:rsid w:val="009C386B"/>
    <w:rsid w:val="009C53E8"/>
    <w:rsid w:val="009C5D0C"/>
    <w:rsid w:val="009C663F"/>
    <w:rsid w:val="009C7CB9"/>
    <w:rsid w:val="009D005A"/>
    <w:rsid w:val="009D066F"/>
    <w:rsid w:val="009D1AFC"/>
    <w:rsid w:val="009D1E64"/>
    <w:rsid w:val="009D1F38"/>
    <w:rsid w:val="009D1F41"/>
    <w:rsid w:val="009D2317"/>
    <w:rsid w:val="009D232E"/>
    <w:rsid w:val="009D234D"/>
    <w:rsid w:val="009D26B4"/>
    <w:rsid w:val="009D325E"/>
    <w:rsid w:val="009D32DD"/>
    <w:rsid w:val="009D3A9B"/>
    <w:rsid w:val="009D4471"/>
    <w:rsid w:val="009D4C59"/>
    <w:rsid w:val="009D66C1"/>
    <w:rsid w:val="009D6E1A"/>
    <w:rsid w:val="009E08B4"/>
    <w:rsid w:val="009E13BD"/>
    <w:rsid w:val="009E1740"/>
    <w:rsid w:val="009E1CBD"/>
    <w:rsid w:val="009E237B"/>
    <w:rsid w:val="009E3892"/>
    <w:rsid w:val="009E41DC"/>
    <w:rsid w:val="009E5707"/>
    <w:rsid w:val="009E5E51"/>
    <w:rsid w:val="009E5E7A"/>
    <w:rsid w:val="009E5E91"/>
    <w:rsid w:val="009E6100"/>
    <w:rsid w:val="009E63DF"/>
    <w:rsid w:val="009E6915"/>
    <w:rsid w:val="009E6C8E"/>
    <w:rsid w:val="009E73B9"/>
    <w:rsid w:val="009E7880"/>
    <w:rsid w:val="009E79B5"/>
    <w:rsid w:val="009E7AF5"/>
    <w:rsid w:val="009E7E6A"/>
    <w:rsid w:val="009F02BC"/>
    <w:rsid w:val="009F0C73"/>
    <w:rsid w:val="009F0CD9"/>
    <w:rsid w:val="009F159F"/>
    <w:rsid w:val="009F1A9A"/>
    <w:rsid w:val="009F1F8D"/>
    <w:rsid w:val="009F3B0A"/>
    <w:rsid w:val="009F3B9E"/>
    <w:rsid w:val="009F3E88"/>
    <w:rsid w:val="009F41E2"/>
    <w:rsid w:val="009F4B75"/>
    <w:rsid w:val="009F4CF8"/>
    <w:rsid w:val="009F5221"/>
    <w:rsid w:val="009F523B"/>
    <w:rsid w:val="009F5C26"/>
    <w:rsid w:val="009F65AB"/>
    <w:rsid w:val="009F68B6"/>
    <w:rsid w:val="009F6DB3"/>
    <w:rsid w:val="009F7235"/>
    <w:rsid w:val="009F77AF"/>
    <w:rsid w:val="00A00FA3"/>
    <w:rsid w:val="00A018D4"/>
    <w:rsid w:val="00A01C26"/>
    <w:rsid w:val="00A0314D"/>
    <w:rsid w:val="00A03183"/>
    <w:rsid w:val="00A041D4"/>
    <w:rsid w:val="00A04402"/>
    <w:rsid w:val="00A047D0"/>
    <w:rsid w:val="00A04A2F"/>
    <w:rsid w:val="00A04DDE"/>
    <w:rsid w:val="00A05784"/>
    <w:rsid w:val="00A05A32"/>
    <w:rsid w:val="00A05C82"/>
    <w:rsid w:val="00A05E36"/>
    <w:rsid w:val="00A06430"/>
    <w:rsid w:val="00A06C32"/>
    <w:rsid w:val="00A0712D"/>
    <w:rsid w:val="00A0742E"/>
    <w:rsid w:val="00A076C0"/>
    <w:rsid w:val="00A10527"/>
    <w:rsid w:val="00A10E57"/>
    <w:rsid w:val="00A1138B"/>
    <w:rsid w:val="00A11425"/>
    <w:rsid w:val="00A12E05"/>
    <w:rsid w:val="00A13395"/>
    <w:rsid w:val="00A13AE2"/>
    <w:rsid w:val="00A13CD7"/>
    <w:rsid w:val="00A15219"/>
    <w:rsid w:val="00A15375"/>
    <w:rsid w:val="00A153F5"/>
    <w:rsid w:val="00A15C91"/>
    <w:rsid w:val="00A15E90"/>
    <w:rsid w:val="00A16AD2"/>
    <w:rsid w:val="00A16D1D"/>
    <w:rsid w:val="00A16F8B"/>
    <w:rsid w:val="00A1792F"/>
    <w:rsid w:val="00A2037B"/>
    <w:rsid w:val="00A210F5"/>
    <w:rsid w:val="00A21B91"/>
    <w:rsid w:val="00A22888"/>
    <w:rsid w:val="00A22A68"/>
    <w:rsid w:val="00A23303"/>
    <w:rsid w:val="00A235AB"/>
    <w:rsid w:val="00A23953"/>
    <w:rsid w:val="00A23AA0"/>
    <w:rsid w:val="00A23E94"/>
    <w:rsid w:val="00A25F07"/>
    <w:rsid w:val="00A2651C"/>
    <w:rsid w:val="00A27058"/>
    <w:rsid w:val="00A278C9"/>
    <w:rsid w:val="00A31365"/>
    <w:rsid w:val="00A3198C"/>
    <w:rsid w:val="00A31BC2"/>
    <w:rsid w:val="00A31D06"/>
    <w:rsid w:val="00A31D49"/>
    <w:rsid w:val="00A332BD"/>
    <w:rsid w:val="00A333FC"/>
    <w:rsid w:val="00A33DBB"/>
    <w:rsid w:val="00A356CD"/>
    <w:rsid w:val="00A35964"/>
    <w:rsid w:val="00A36869"/>
    <w:rsid w:val="00A36D0D"/>
    <w:rsid w:val="00A36E8B"/>
    <w:rsid w:val="00A36ECD"/>
    <w:rsid w:val="00A3712A"/>
    <w:rsid w:val="00A37FEE"/>
    <w:rsid w:val="00A41787"/>
    <w:rsid w:val="00A41B6D"/>
    <w:rsid w:val="00A428D8"/>
    <w:rsid w:val="00A42C1A"/>
    <w:rsid w:val="00A43212"/>
    <w:rsid w:val="00A44A12"/>
    <w:rsid w:val="00A44BBB"/>
    <w:rsid w:val="00A44FD3"/>
    <w:rsid w:val="00A45100"/>
    <w:rsid w:val="00A45D7A"/>
    <w:rsid w:val="00A45E8E"/>
    <w:rsid w:val="00A4623B"/>
    <w:rsid w:val="00A46FE0"/>
    <w:rsid w:val="00A4776B"/>
    <w:rsid w:val="00A503C9"/>
    <w:rsid w:val="00A504D1"/>
    <w:rsid w:val="00A50C10"/>
    <w:rsid w:val="00A516AC"/>
    <w:rsid w:val="00A5274B"/>
    <w:rsid w:val="00A52EF5"/>
    <w:rsid w:val="00A5315E"/>
    <w:rsid w:val="00A53DF4"/>
    <w:rsid w:val="00A54082"/>
    <w:rsid w:val="00A5440E"/>
    <w:rsid w:val="00A54487"/>
    <w:rsid w:val="00A548C6"/>
    <w:rsid w:val="00A55E9F"/>
    <w:rsid w:val="00A566AB"/>
    <w:rsid w:val="00A5739A"/>
    <w:rsid w:val="00A57453"/>
    <w:rsid w:val="00A5799D"/>
    <w:rsid w:val="00A61241"/>
    <w:rsid w:val="00A619B1"/>
    <w:rsid w:val="00A61CF7"/>
    <w:rsid w:val="00A623D5"/>
    <w:rsid w:val="00A62688"/>
    <w:rsid w:val="00A626C1"/>
    <w:rsid w:val="00A6394A"/>
    <w:rsid w:val="00A6456B"/>
    <w:rsid w:val="00A64D9B"/>
    <w:rsid w:val="00A65D4D"/>
    <w:rsid w:val="00A66B5C"/>
    <w:rsid w:val="00A67AD6"/>
    <w:rsid w:val="00A67BB6"/>
    <w:rsid w:val="00A67C5D"/>
    <w:rsid w:val="00A67F89"/>
    <w:rsid w:val="00A701D1"/>
    <w:rsid w:val="00A709E0"/>
    <w:rsid w:val="00A710CD"/>
    <w:rsid w:val="00A717E5"/>
    <w:rsid w:val="00A71EE4"/>
    <w:rsid w:val="00A7230A"/>
    <w:rsid w:val="00A73FB8"/>
    <w:rsid w:val="00A755F6"/>
    <w:rsid w:val="00A779D2"/>
    <w:rsid w:val="00A80A11"/>
    <w:rsid w:val="00A80DD5"/>
    <w:rsid w:val="00A81533"/>
    <w:rsid w:val="00A83083"/>
    <w:rsid w:val="00A83148"/>
    <w:rsid w:val="00A83330"/>
    <w:rsid w:val="00A83769"/>
    <w:rsid w:val="00A83E01"/>
    <w:rsid w:val="00A843FC"/>
    <w:rsid w:val="00A844C8"/>
    <w:rsid w:val="00A84AD3"/>
    <w:rsid w:val="00A84F46"/>
    <w:rsid w:val="00A862D2"/>
    <w:rsid w:val="00A8776E"/>
    <w:rsid w:val="00A90EB3"/>
    <w:rsid w:val="00A9131C"/>
    <w:rsid w:val="00A91A75"/>
    <w:rsid w:val="00A92663"/>
    <w:rsid w:val="00A92A51"/>
    <w:rsid w:val="00A9369D"/>
    <w:rsid w:val="00A9389E"/>
    <w:rsid w:val="00A93F49"/>
    <w:rsid w:val="00A940CC"/>
    <w:rsid w:val="00A94673"/>
    <w:rsid w:val="00A946FF"/>
    <w:rsid w:val="00A95216"/>
    <w:rsid w:val="00A9540F"/>
    <w:rsid w:val="00A95A95"/>
    <w:rsid w:val="00A96236"/>
    <w:rsid w:val="00A97297"/>
    <w:rsid w:val="00A97A50"/>
    <w:rsid w:val="00A97F8A"/>
    <w:rsid w:val="00AA0988"/>
    <w:rsid w:val="00AA1C05"/>
    <w:rsid w:val="00AA219C"/>
    <w:rsid w:val="00AA2B5B"/>
    <w:rsid w:val="00AA2DF7"/>
    <w:rsid w:val="00AA2F14"/>
    <w:rsid w:val="00AA3420"/>
    <w:rsid w:val="00AA3AF7"/>
    <w:rsid w:val="00AA3B84"/>
    <w:rsid w:val="00AA44C0"/>
    <w:rsid w:val="00AA4B0C"/>
    <w:rsid w:val="00AA4E62"/>
    <w:rsid w:val="00AA59BE"/>
    <w:rsid w:val="00AA75B0"/>
    <w:rsid w:val="00AB0912"/>
    <w:rsid w:val="00AB10D6"/>
    <w:rsid w:val="00AB10F0"/>
    <w:rsid w:val="00AB176F"/>
    <w:rsid w:val="00AB2D35"/>
    <w:rsid w:val="00AB3A6A"/>
    <w:rsid w:val="00AB41E9"/>
    <w:rsid w:val="00AB43ED"/>
    <w:rsid w:val="00AB4788"/>
    <w:rsid w:val="00AB57F7"/>
    <w:rsid w:val="00AB7205"/>
    <w:rsid w:val="00AB72E8"/>
    <w:rsid w:val="00AC0597"/>
    <w:rsid w:val="00AC155C"/>
    <w:rsid w:val="00AC15CB"/>
    <w:rsid w:val="00AC2184"/>
    <w:rsid w:val="00AC24FD"/>
    <w:rsid w:val="00AC36FC"/>
    <w:rsid w:val="00AC374B"/>
    <w:rsid w:val="00AC3924"/>
    <w:rsid w:val="00AC395F"/>
    <w:rsid w:val="00AC540E"/>
    <w:rsid w:val="00AC72EA"/>
    <w:rsid w:val="00AC7A16"/>
    <w:rsid w:val="00AC7ADF"/>
    <w:rsid w:val="00AD0F67"/>
    <w:rsid w:val="00AD14C4"/>
    <w:rsid w:val="00AD1620"/>
    <w:rsid w:val="00AD16B0"/>
    <w:rsid w:val="00AD2286"/>
    <w:rsid w:val="00AD254B"/>
    <w:rsid w:val="00AD2CDC"/>
    <w:rsid w:val="00AD2F32"/>
    <w:rsid w:val="00AD32E9"/>
    <w:rsid w:val="00AD347D"/>
    <w:rsid w:val="00AD4699"/>
    <w:rsid w:val="00AD503D"/>
    <w:rsid w:val="00AD5349"/>
    <w:rsid w:val="00AD57D2"/>
    <w:rsid w:val="00AD6035"/>
    <w:rsid w:val="00AD62D6"/>
    <w:rsid w:val="00AD6952"/>
    <w:rsid w:val="00AD706B"/>
    <w:rsid w:val="00AD746A"/>
    <w:rsid w:val="00AD76FF"/>
    <w:rsid w:val="00AD7B31"/>
    <w:rsid w:val="00AD7CFC"/>
    <w:rsid w:val="00AE03EB"/>
    <w:rsid w:val="00AE043E"/>
    <w:rsid w:val="00AE1FD1"/>
    <w:rsid w:val="00AE2BA8"/>
    <w:rsid w:val="00AE43AD"/>
    <w:rsid w:val="00AE4649"/>
    <w:rsid w:val="00AE46BC"/>
    <w:rsid w:val="00AE49E1"/>
    <w:rsid w:val="00AE4D7A"/>
    <w:rsid w:val="00AE56A6"/>
    <w:rsid w:val="00AE574E"/>
    <w:rsid w:val="00AE5CB4"/>
    <w:rsid w:val="00AE607D"/>
    <w:rsid w:val="00AE6C85"/>
    <w:rsid w:val="00AE76A2"/>
    <w:rsid w:val="00AE77B4"/>
    <w:rsid w:val="00AE7954"/>
    <w:rsid w:val="00AE7B19"/>
    <w:rsid w:val="00AF0198"/>
    <w:rsid w:val="00AF0253"/>
    <w:rsid w:val="00AF0831"/>
    <w:rsid w:val="00AF0DB7"/>
    <w:rsid w:val="00AF12F7"/>
    <w:rsid w:val="00AF1BF4"/>
    <w:rsid w:val="00AF2089"/>
    <w:rsid w:val="00AF2360"/>
    <w:rsid w:val="00AF24B3"/>
    <w:rsid w:val="00AF263C"/>
    <w:rsid w:val="00AF47BB"/>
    <w:rsid w:val="00AF49EE"/>
    <w:rsid w:val="00AF4C42"/>
    <w:rsid w:val="00AF56D7"/>
    <w:rsid w:val="00AF5882"/>
    <w:rsid w:val="00AF5B72"/>
    <w:rsid w:val="00AF5DDA"/>
    <w:rsid w:val="00AF5F2F"/>
    <w:rsid w:val="00AF69BF"/>
    <w:rsid w:val="00AF7742"/>
    <w:rsid w:val="00AF78E4"/>
    <w:rsid w:val="00AF7C4E"/>
    <w:rsid w:val="00AF7D80"/>
    <w:rsid w:val="00B014C6"/>
    <w:rsid w:val="00B01602"/>
    <w:rsid w:val="00B01736"/>
    <w:rsid w:val="00B01E88"/>
    <w:rsid w:val="00B023F1"/>
    <w:rsid w:val="00B02472"/>
    <w:rsid w:val="00B02506"/>
    <w:rsid w:val="00B026C7"/>
    <w:rsid w:val="00B02889"/>
    <w:rsid w:val="00B02F07"/>
    <w:rsid w:val="00B03A1D"/>
    <w:rsid w:val="00B04920"/>
    <w:rsid w:val="00B05AC9"/>
    <w:rsid w:val="00B05ADC"/>
    <w:rsid w:val="00B060FD"/>
    <w:rsid w:val="00B10720"/>
    <w:rsid w:val="00B10EC0"/>
    <w:rsid w:val="00B113D5"/>
    <w:rsid w:val="00B11478"/>
    <w:rsid w:val="00B1193A"/>
    <w:rsid w:val="00B12C26"/>
    <w:rsid w:val="00B13A1C"/>
    <w:rsid w:val="00B13BB4"/>
    <w:rsid w:val="00B14870"/>
    <w:rsid w:val="00B14A42"/>
    <w:rsid w:val="00B15D50"/>
    <w:rsid w:val="00B160CF"/>
    <w:rsid w:val="00B16580"/>
    <w:rsid w:val="00B16866"/>
    <w:rsid w:val="00B169CD"/>
    <w:rsid w:val="00B16BA6"/>
    <w:rsid w:val="00B16CBF"/>
    <w:rsid w:val="00B20D27"/>
    <w:rsid w:val="00B20E5A"/>
    <w:rsid w:val="00B21169"/>
    <w:rsid w:val="00B219FC"/>
    <w:rsid w:val="00B224D1"/>
    <w:rsid w:val="00B226C5"/>
    <w:rsid w:val="00B2272E"/>
    <w:rsid w:val="00B228AA"/>
    <w:rsid w:val="00B23497"/>
    <w:rsid w:val="00B24383"/>
    <w:rsid w:val="00B250B9"/>
    <w:rsid w:val="00B261C2"/>
    <w:rsid w:val="00B26230"/>
    <w:rsid w:val="00B27118"/>
    <w:rsid w:val="00B27AB8"/>
    <w:rsid w:val="00B27BC1"/>
    <w:rsid w:val="00B308CF"/>
    <w:rsid w:val="00B3195C"/>
    <w:rsid w:val="00B32CCA"/>
    <w:rsid w:val="00B32FA8"/>
    <w:rsid w:val="00B3382D"/>
    <w:rsid w:val="00B33874"/>
    <w:rsid w:val="00B3401A"/>
    <w:rsid w:val="00B34095"/>
    <w:rsid w:val="00B351BF"/>
    <w:rsid w:val="00B357EE"/>
    <w:rsid w:val="00B361E2"/>
    <w:rsid w:val="00B364EE"/>
    <w:rsid w:val="00B3683C"/>
    <w:rsid w:val="00B36941"/>
    <w:rsid w:val="00B3751B"/>
    <w:rsid w:val="00B37A86"/>
    <w:rsid w:val="00B40099"/>
    <w:rsid w:val="00B4040E"/>
    <w:rsid w:val="00B40D9E"/>
    <w:rsid w:val="00B412B0"/>
    <w:rsid w:val="00B41A82"/>
    <w:rsid w:val="00B42696"/>
    <w:rsid w:val="00B42B7D"/>
    <w:rsid w:val="00B43250"/>
    <w:rsid w:val="00B4389D"/>
    <w:rsid w:val="00B43ADD"/>
    <w:rsid w:val="00B44D0D"/>
    <w:rsid w:val="00B44FD4"/>
    <w:rsid w:val="00B461A3"/>
    <w:rsid w:val="00B50F79"/>
    <w:rsid w:val="00B5126C"/>
    <w:rsid w:val="00B52D78"/>
    <w:rsid w:val="00B536C4"/>
    <w:rsid w:val="00B53AE7"/>
    <w:rsid w:val="00B5435E"/>
    <w:rsid w:val="00B54407"/>
    <w:rsid w:val="00B556AD"/>
    <w:rsid w:val="00B56335"/>
    <w:rsid w:val="00B56718"/>
    <w:rsid w:val="00B60FB3"/>
    <w:rsid w:val="00B61122"/>
    <w:rsid w:val="00B613CC"/>
    <w:rsid w:val="00B6210A"/>
    <w:rsid w:val="00B6280E"/>
    <w:rsid w:val="00B6393E"/>
    <w:rsid w:val="00B63CC2"/>
    <w:rsid w:val="00B64486"/>
    <w:rsid w:val="00B65059"/>
    <w:rsid w:val="00B66321"/>
    <w:rsid w:val="00B668E4"/>
    <w:rsid w:val="00B66B53"/>
    <w:rsid w:val="00B672E4"/>
    <w:rsid w:val="00B72303"/>
    <w:rsid w:val="00B73220"/>
    <w:rsid w:val="00B73ACD"/>
    <w:rsid w:val="00B73C3A"/>
    <w:rsid w:val="00B74DBE"/>
    <w:rsid w:val="00B753BC"/>
    <w:rsid w:val="00B75E21"/>
    <w:rsid w:val="00B75E84"/>
    <w:rsid w:val="00B77F76"/>
    <w:rsid w:val="00B801CD"/>
    <w:rsid w:val="00B80C7D"/>
    <w:rsid w:val="00B80F16"/>
    <w:rsid w:val="00B81AC7"/>
    <w:rsid w:val="00B81E4E"/>
    <w:rsid w:val="00B8201A"/>
    <w:rsid w:val="00B82404"/>
    <w:rsid w:val="00B82579"/>
    <w:rsid w:val="00B82DBA"/>
    <w:rsid w:val="00B82FC9"/>
    <w:rsid w:val="00B8313E"/>
    <w:rsid w:val="00B83F1D"/>
    <w:rsid w:val="00B84556"/>
    <w:rsid w:val="00B84667"/>
    <w:rsid w:val="00B84689"/>
    <w:rsid w:val="00B84CA0"/>
    <w:rsid w:val="00B850A2"/>
    <w:rsid w:val="00B85F18"/>
    <w:rsid w:val="00B8673A"/>
    <w:rsid w:val="00B867A6"/>
    <w:rsid w:val="00B86922"/>
    <w:rsid w:val="00B86D75"/>
    <w:rsid w:val="00B9011B"/>
    <w:rsid w:val="00B9027D"/>
    <w:rsid w:val="00B90985"/>
    <w:rsid w:val="00B90A05"/>
    <w:rsid w:val="00B912C4"/>
    <w:rsid w:val="00B912C6"/>
    <w:rsid w:val="00B914ED"/>
    <w:rsid w:val="00B9208B"/>
    <w:rsid w:val="00B925A6"/>
    <w:rsid w:val="00B92F7B"/>
    <w:rsid w:val="00B935C9"/>
    <w:rsid w:val="00B94F6E"/>
    <w:rsid w:val="00B951C1"/>
    <w:rsid w:val="00B951D8"/>
    <w:rsid w:val="00B957FD"/>
    <w:rsid w:val="00B95CA7"/>
    <w:rsid w:val="00B964D4"/>
    <w:rsid w:val="00B96A28"/>
    <w:rsid w:val="00B96C51"/>
    <w:rsid w:val="00B96CB4"/>
    <w:rsid w:val="00B9713F"/>
    <w:rsid w:val="00B971DD"/>
    <w:rsid w:val="00B9745D"/>
    <w:rsid w:val="00B97D66"/>
    <w:rsid w:val="00BA052C"/>
    <w:rsid w:val="00BA139D"/>
    <w:rsid w:val="00BA1B28"/>
    <w:rsid w:val="00BA1D63"/>
    <w:rsid w:val="00BA28D6"/>
    <w:rsid w:val="00BA35B7"/>
    <w:rsid w:val="00BA397B"/>
    <w:rsid w:val="00BA3ECD"/>
    <w:rsid w:val="00BA42CE"/>
    <w:rsid w:val="00BA45D4"/>
    <w:rsid w:val="00BA5824"/>
    <w:rsid w:val="00BA59DD"/>
    <w:rsid w:val="00BA5BE3"/>
    <w:rsid w:val="00BA5EB1"/>
    <w:rsid w:val="00BA660D"/>
    <w:rsid w:val="00BA6CDE"/>
    <w:rsid w:val="00BA7033"/>
    <w:rsid w:val="00BA70DB"/>
    <w:rsid w:val="00BA70E7"/>
    <w:rsid w:val="00BA7BAA"/>
    <w:rsid w:val="00BA7E3E"/>
    <w:rsid w:val="00BB0A85"/>
    <w:rsid w:val="00BB0A99"/>
    <w:rsid w:val="00BB0AB2"/>
    <w:rsid w:val="00BB0D14"/>
    <w:rsid w:val="00BB12D0"/>
    <w:rsid w:val="00BB14BF"/>
    <w:rsid w:val="00BB1FBC"/>
    <w:rsid w:val="00BB2828"/>
    <w:rsid w:val="00BB2B35"/>
    <w:rsid w:val="00BB2BFB"/>
    <w:rsid w:val="00BB39FF"/>
    <w:rsid w:val="00BB3A5C"/>
    <w:rsid w:val="00BB48D2"/>
    <w:rsid w:val="00BB61B0"/>
    <w:rsid w:val="00BB6DFE"/>
    <w:rsid w:val="00BB6E4A"/>
    <w:rsid w:val="00BB70EA"/>
    <w:rsid w:val="00BB7398"/>
    <w:rsid w:val="00BC08B8"/>
    <w:rsid w:val="00BC09FA"/>
    <w:rsid w:val="00BC1028"/>
    <w:rsid w:val="00BC1732"/>
    <w:rsid w:val="00BC220F"/>
    <w:rsid w:val="00BC3EDB"/>
    <w:rsid w:val="00BC4C0F"/>
    <w:rsid w:val="00BC4EAD"/>
    <w:rsid w:val="00BC5572"/>
    <w:rsid w:val="00BC56A1"/>
    <w:rsid w:val="00BC5FDC"/>
    <w:rsid w:val="00BC633D"/>
    <w:rsid w:val="00BC7465"/>
    <w:rsid w:val="00BC76C6"/>
    <w:rsid w:val="00BC7952"/>
    <w:rsid w:val="00BC7CE7"/>
    <w:rsid w:val="00BD01EE"/>
    <w:rsid w:val="00BD0B6A"/>
    <w:rsid w:val="00BD0ED3"/>
    <w:rsid w:val="00BD1227"/>
    <w:rsid w:val="00BD1356"/>
    <w:rsid w:val="00BD1476"/>
    <w:rsid w:val="00BD28C8"/>
    <w:rsid w:val="00BD2F88"/>
    <w:rsid w:val="00BD37D7"/>
    <w:rsid w:val="00BD37EA"/>
    <w:rsid w:val="00BD3D8A"/>
    <w:rsid w:val="00BD3F3A"/>
    <w:rsid w:val="00BD440B"/>
    <w:rsid w:val="00BD44C2"/>
    <w:rsid w:val="00BD47B6"/>
    <w:rsid w:val="00BD523B"/>
    <w:rsid w:val="00BD5900"/>
    <w:rsid w:val="00BE03E9"/>
    <w:rsid w:val="00BE1417"/>
    <w:rsid w:val="00BE198C"/>
    <w:rsid w:val="00BE1A17"/>
    <w:rsid w:val="00BE1E32"/>
    <w:rsid w:val="00BE2E41"/>
    <w:rsid w:val="00BE305B"/>
    <w:rsid w:val="00BE40C2"/>
    <w:rsid w:val="00BE50B2"/>
    <w:rsid w:val="00BE519A"/>
    <w:rsid w:val="00BE5294"/>
    <w:rsid w:val="00BE6341"/>
    <w:rsid w:val="00BE6493"/>
    <w:rsid w:val="00BE6618"/>
    <w:rsid w:val="00BE6710"/>
    <w:rsid w:val="00BE6AC8"/>
    <w:rsid w:val="00BE7775"/>
    <w:rsid w:val="00BE7A7D"/>
    <w:rsid w:val="00BE7EFB"/>
    <w:rsid w:val="00BF01D8"/>
    <w:rsid w:val="00BF0476"/>
    <w:rsid w:val="00BF2416"/>
    <w:rsid w:val="00BF40D9"/>
    <w:rsid w:val="00BF4375"/>
    <w:rsid w:val="00BF451F"/>
    <w:rsid w:val="00BF491E"/>
    <w:rsid w:val="00BF6169"/>
    <w:rsid w:val="00BF61A1"/>
    <w:rsid w:val="00BF691B"/>
    <w:rsid w:val="00BF6DFE"/>
    <w:rsid w:val="00BF73D3"/>
    <w:rsid w:val="00BF779A"/>
    <w:rsid w:val="00BF7F75"/>
    <w:rsid w:val="00C00B1F"/>
    <w:rsid w:val="00C00F5F"/>
    <w:rsid w:val="00C01030"/>
    <w:rsid w:val="00C0158D"/>
    <w:rsid w:val="00C020DF"/>
    <w:rsid w:val="00C03F12"/>
    <w:rsid w:val="00C0485F"/>
    <w:rsid w:val="00C04A3F"/>
    <w:rsid w:val="00C04BE5"/>
    <w:rsid w:val="00C054B0"/>
    <w:rsid w:val="00C05722"/>
    <w:rsid w:val="00C05C70"/>
    <w:rsid w:val="00C05DC8"/>
    <w:rsid w:val="00C05E4D"/>
    <w:rsid w:val="00C07C77"/>
    <w:rsid w:val="00C10B35"/>
    <w:rsid w:val="00C10EB7"/>
    <w:rsid w:val="00C11072"/>
    <w:rsid w:val="00C118F7"/>
    <w:rsid w:val="00C12887"/>
    <w:rsid w:val="00C136E2"/>
    <w:rsid w:val="00C13DA9"/>
    <w:rsid w:val="00C14E0E"/>
    <w:rsid w:val="00C156B7"/>
    <w:rsid w:val="00C15D43"/>
    <w:rsid w:val="00C17348"/>
    <w:rsid w:val="00C175E8"/>
    <w:rsid w:val="00C17E6C"/>
    <w:rsid w:val="00C2093C"/>
    <w:rsid w:val="00C20A4D"/>
    <w:rsid w:val="00C21086"/>
    <w:rsid w:val="00C21EF5"/>
    <w:rsid w:val="00C237CF"/>
    <w:rsid w:val="00C23C48"/>
    <w:rsid w:val="00C23F4D"/>
    <w:rsid w:val="00C240E3"/>
    <w:rsid w:val="00C2427F"/>
    <w:rsid w:val="00C2450A"/>
    <w:rsid w:val="00C24FBB"/>
    <w:rsid w:val="00C25D75"/>
    <w:rsid w:val="00C25E11"/>
    <w:rsid w:val="00C26025"/>
    <w:rsid w:val="00C262FD"/>
    <w:rsid w:val="00C26C22"/>
    <w:rsid w:val="00C30966"/>
    <w:rsid w:val="00C30F3E"/>
    <w:rsid w:val="00C326B2"/>
    <w:rsid w:val="00C328FB"/>
    <w:rsid w:val="00C32A8E"/>
    <w:rsid w:val="00C32E2E"/>
    <w:rsid w:val="00C33BCE"/>
    <w:rsid w:val="00C33F3D"/>
    <w:rsid w:val="00C34125"/>
    <w:rsid w:val="00C343F6"/>
    <w:rsid w:val="00C34D65"/>
    <w:rsid w:val="00C35A22"/>
    <w:rsid w:val="00C35AB4"/>
    <w:rsid w:val="00C363A1"/>
    <w:rsid w:val="00C36B00"/>
    <w:rsid w:val="00C378EC"/>
    <w:rsid w:val="00C37E11"/>
    <w:rsid w:val="00C40915"/>
    <w:rsid w:val="00C40FD2"/>
    <w:rsid w:val="00C412A9"/>
    <w:rsid w:val="00C4132D"/>
    <w:rsid w:val="00C4153E"/>
    <w:rsid w:val="00C41AF1"/>
    <w:rsid w:val="00C41B5E"/>
    <w:rsid w:val="00C41C7F"/>
    <w:rsid w:val="00C42D04"/>
    <w:rsid w:val="00C43209"/>
    <w:rsid w:val="00C43921"/>
    <w:rsid w:val="00C44009"/>
    <w:rsid w:val="00C44035"/>
    <w:rsid w:val="00C444CD"/>
    <w:rsid w:val="00C44B61"/>
    <w:rsid w:val="00C44D70"/>
    <w:rsid w:val="00C4531E"/>
    <w:rsid w:val="00C46807"/>
    <w:rsid w:val="00C46A48"/>
    <w:rsid w:val="00C472C5"/>
    <w:rsid w:val="00C479C4"/>
    <w:rsid w:val="00C47F69"/>
    <w:rsid w:val="00C502C3"/>
    <w:rsid w:val="00C52465"/>
    <w:rsid w:val="00C52599"/>
    <w:rsid w:val="00C52C5D"/>
    <w:rsid w:val="00C5307A"/>
    <w:rsid w:val="00C5308F"/>
    <w:rsid w:val="00C53A78"/>
    <w:rsid w:val="00C54061"/>
    <w:rsid w:val="00C545F8"/>
    <w:rsid w:val="00C5460B"/>
    <w:rsid w:val="00C54E76"/>
    <w:rsid w:val="00C54F7C"/>
    <w:rsid w:val="00C55027"/>
    <w:rsid w:val="00C55DFF"/>
    <w:rsid w:val="00C560A1"/>
    <w:rsid w:val="00C5675D"/>
    <w:rsid w:val="00C570B1"/>
    <w:rsid w:val="00C5712C"/>
    <w:rsid w:val="00C57924"/>
    <w:rsid w:val="00C60C5E"/>
    <w:rsid w:val="00C618F4"/>
    <w:rsid w:val="00C625F3"/>
    <w:rsid w:val="00C62FB8"/>
    <w:rsid w:val="00C63E0E"/>
    <w:rsid w:val="00C63E4C"/>
    <w:rsid w:val="00C640FC"/>
    <w:rsid w:val="00C649DB"/>
    <w:rsid w:val="00C6638A"/>
    <w:rsid w:val="00C66B96"/>
    <w:rsid w:val="00C67080"/>
    <w:rsid w:val="00C67689"/>
    <w:rsid w:val="00C70108"/>
    <w:rsid w:val="00C713B2"/>
    <w:rsid w:val="00C71D9E"/>
    <w:rsid w:val="00C72B79"/>
    <w:rsid w:val="00C745BD"/>
    <w:rsid w:val="00C745F6"/>
    <w:rsid w:val="00C74B97"/>
    <w:rsid w:val="00C75945"/>
    <w:rsid w:val="00C75DC3"/>
    <w:rsid w:val="00C760AD"/>
    <w:rsid w:val="00C76DD8"/>
    <w:rsid w:val="00C77334"/>
    <w:rsid w:val="00C77A29"/>
    <w:rsid w:val="00C80683"/>
    <w:rsid w:val="00C80847"/>
    <w:rsid w:val="00C80980"/>
    <w:rsid w:val="00C80DFE"/>
    <w:rsid w:val="00C81FFE"/>
    <w:rsid w:val="00C82ADB"/>
    <w:rsid w:val="00C82B89"/>
    <w:rsid w:val="00C84908"/>
    <w:rsid w:val="00C8542D"/>
    <w:rsid w:val="00C854D8"/>
    <w:rsid w:val="00C85752"/>
    <w:rsid w:val="00C864F9"/>
    <w:rsid w:val="00C90151"/>
    <w:rsid w:val="00C90E12"/>
    <w:rsid w:val="00C9103B"/>
    <w:rsid w:val="00C9167E"/>
    <w:rsid w:val="00C92251"/>
    <w:rsid w:val="00C925F3"/>
    <w:rsid w:val="00C92F17"/>
    <w:rsid w:val="00C93307"/>
    <w:rsid w:val="00C9350F"/>
    <w:rsid w:val="00C935BC"/>
    <w:rsid w:val="00C9382E"/>
    <w:rsid w:val="00C94663"/>
    <w:rsid w:val="00C94DCC"/>
    <w:rsid w:val="00C95538"/>
    <w:rsid w:val="00C95707"/>
    <w:rsid w:val="00C9719D"/>
    <w:rsid w:val="00C97401"/>
    <w:rsid w:val="00C97CAC"/>
    <w:rsid w:val="00C97F9B"/>
    <w:rsid w:val="00CA0B97"/>
    <w:rsid w:val="00CA0BA5"/>
    <w:rsid w:val="00CA0C71"/>
    <w:rsid w:val="00CA12CA"/>
    <w:rsid w:val="00CA13ED"/>
    <w:rsid w:val="00CA152E"/>
    <w:rsid w:val="00CA16C2"/>
    <w:rsid w:val="00CA1747"/>
    <w:rsid w:val="00CA1C3A"/>
    <w:rsid w:val="00CA2AAB"/>
    <w:rsid w:val="00CA2F4F"/>
    <w:rsid w:val="00CA357F"/>
    <w:rsid w:val="00CA35A8"/>
    <w:rsid w:val="00CA6529"/>
    <w:rsid w:val="00CB039A"/>
    <w:rsid w:val="00CB0955"/>
    <w:rsid w:val="00CB0D7A"/>
    <w:rsid w:val="00CB0E68"/>
    <w:rsid w:val="00CB1789"/>
    <w:rsid w:val="00CB1968"/>
    <w:rsid w:val="00CB2BA7"/>
    <w:rsid w:val="00CB2E14"/>
    <w:rsid w:val="00CB360C"/>
    <w:rsid w:val="00CB3F3F"/>
    <w:rsid w:val="00CB47AF"/>
    <w:rsid w:val="00CB4875"/>
    <w:rsid w:val="00CB5279"/>
    <w:rsid w:val="00CB5390"/>
    <w:rsid w:val="00CB541D"/>
    <w:rsid w:val="00CB5A61"/>
    <w:rsid w:val="00CB605C"/>
    <w:rsid w:val="00CB63FE"/>
    <w:rsid w:val="00CB70C9"/>
    <w:rsid w:val="00CB7287"/>
    <w:rsid w:val="00CB7A88"/>
    <w:rsid w:val="00CC0C6D"/>
    <w:rsid w:val="00CC197B"/>
    <w:rsid w:val="00CC24F2"/>
    <w:rsid w:val="00CC27FE"/>
    <w:rsid w:val="00CC2D9D"/>
    <w:rsid w:val="00CC2DFB"/>
    <w:rsid w:val="00CC2EFA"/>
    <w:rsid w:val="00CC35EA"/>
    <w:rsid w:val="00CC41B0"/>
    <w:rsid w:val="00CC444F"/>
    <w:rsid w:val="00CC495E"/>
    <w:rsid w:val="00CC50BC"/>
    <w:rsid w:val="00CC54A9"/>
    <w:rsid w:val="00CC5CE9"/>
    <w:rsid w:val="00CC668B"/>
    <w:rsid w:val="00CC67A9"/>
    <w:rsid w:val="00CC7034"/>
    <w:rsid w:val="00CC73D4"/>
    <w:rsid w:val="00CC787D"/>
    <w:rsid w:val="00CC799C"/>
    <w:rsid w:val="00CD1127"/>
    <w:rsid w:val="00CD174A"/>
    <w:rsid w:val="00CD27CA"/>
    <w:rsid w:val="00CD2BE6"/>
    <w:rsid w:val="00CD47A4"/>
    <w:rsid w:val="00CD4C1D"/>
    <w:rsid w:val="00CD4ED1"/>
    <w:rsid w:val="00CD5227"/>
    <w:rsid w:val="00CD54D7"/>
    <w:rsid w:val="00CD5713"/>
    <w:rsid w:val="00CD60AF"/>
    <w:rsid w:val="00CD6A21"/>
    <w:rsid w:val="00CD6EBB"/>
    <w:rsid w:val="00CD75D6"/>
    <w:rsid w:val="00CD7700"/>
    <w:rsid w:val="00CD78F4"/>
    <w:rsid w:val="00CD7E04"/>
    <w:rsid w:val="00CE01DA"/>
    <w:rsid w:val="00CE1D6D"/>
    <w:rsid w:val="00CE2BF3"/>
    <w:rsid w:val="00CE31DE"/>
    <w:rsid w:val="00CE3715"/>
    <w:rsid w:val="00CE37F8"/>
    <w:rsid w:val="00CE3CB1"/>
    <w:rsid w:val="00CE3F52"/>
    <w:rsid w:val="00CE4165"/>
    <w:rsid w:val="00CE42BD"/>
    <w:rsid w:val="00CE46C7"/>
    <w:rsid w:val="00CE4A4A"/>
    <w:rsid w:val="00CE519E"/>
    <w:rsid w:val="00CE5578"/>
    <w:rsid w:val="00CE5AFD"/>
    <w:rsid w:val="00CE6B7D"/>
    <w:rsid w:val="00CE6E79"/>
    <w:rsid w:val="00CE77C0"/>
    <w:rsid w:val="00CF08A0"/>
    <w:rsid w:val="00CF2818"/>
    <w:rsid w:val="00CF2C36"/>
    <w:rsid w:val="00CF2CE5"/>
    <w:rsid w:val="00CF3003"/>
    <w:rsid w:val="00CF30A4"/>
    <w:rsid w:val="00CF3780"/>
    <w:rsid w:val="00CF3BE3"/>
    <w:rsid w:val="00CF554B"/>
    <w:rsid w:val="00CF62AA"/>
    <w:rsid w:val="00CF62BB"/>
    <w:rsid w:val="00CF64E0"/>
    <w:rsid w:val="00CF7373"/>
    <w:rsid w:val="00CF7756"/>
    <w:rsid w:val="00CF7FA1"/>
    <w:rsid w:val="00D003AD"/>
    <w:rsid w:val="00D0046A"/>
    <w:rsid w:val="00D0169F"/>
    <w:rsid w:val="00D03D73"/>
    <w:rsid w:val="00D041BB"/>
    <w:rsid w:val="00D04850"/>
    <w:rsid w:val="00D04DFA"/>
    <w:rsid w:val="00D056F7"/>
    <w:rsid w:val="00D05A05"/>
    <w:rsid w:val="00D0652F"/>
    <w:rsid w:val="00D0730C"/>
    <w:rsid w:val="00D07D67"/>
    <w:rsid w:val="00D07FFB"/>
    <w:rsid w:val="00D10E98"/>
    <w:rsid w:val="00D1161D"/>
    <w:rsid w:val="00D1193A"/>
    <w:rsid w:val="00D11AAB"/>
    <w:rsid w:val="00D125E3"/>
    <w:rsid w:val="00D1275F"/>
    <w:rsid w:val="00D12832"/>
    <w:rsid w:val="00D1345B"/>
    <w:rsid w:val="00D14ABB"/>
    <w:rsid w:val="00D15323"/>
    <w:rsid w:val="00D159E6"/>
    <w:rsid w:val="00D160BC"/>
    <w:rsid w:val="00D162FF"/>
    <w:rsid w:val="00D1662C"/>
    <w:rsid w:val="00D1716B"/>
    <w:rsid w:val="00D176B8"/>
    <w:rsid w:val="00D202CF"/>
    <w:rsid w:val="00D20CAD"/>
    <w:rsid w:val="00D20E0F"/>
    <w:rsid w:val="00D212C2"/>
    <w:rsid w:val="00D21D6E"/>
    <w:rsid w:val="00D22066"/>
    <w:rsid w:val="00D22622"/>
    <w:rsid w:val="00D229E1"/>
    <w:rsid w:val="00D23C1B"/>
    <w:rsid w:val="00D244E6"/>
    <w:rsid w:val="00D24551"/>
    <w:rsid w:val="00D24E50"/>
    <w:rsid w:val="00D25751"/>
    <w:rsid w:val="00D2690D"/>
    <w:rsid w:val="00D26C58"/>
    <w:rsid w:val="00D2712A"/>
    <w:rsid w:val="00D27488"/>
    <w:rsid w:val="00D2754D"/>
    <w:rsid w:val="00D2783F"/>
    <w:rsid w:val="00D27CFA"/>
    <w:rsid w:val="00D27DBE"/>
    <w:rsid w:val="00D30136"/>
    <w:rsid w:val="00D30C00"/>
    <w:rsid w:val="00D30ED9"/>
    <w:rsid w:val="00D310BA"/>
    <w:rsid w:val="00D3131B"/>
    <w:rsid w:val="00D315FF"/>
    <w:rsid w:val="00D32114"/>
    <w:rsid w:val="00D330BD"/>
    <w:rsid w:val="00D332B2"/>
    <w:rsid w:val="00D334B2"/>
    <w:rsid w:val="00D33D80"/>
    <w:rsid w:val="00D34221"/>
    <w:rsid w:val="00D34FC0"/>
    <w:rsid w:val="00D35851"/>
    <w:rsid w:val="00D36099"/>
    <w:rsid w:val="00D3618D"/>
    <w:rsid w:val="00D3650F"/>
    <w:rsid w:val="00D36EA9"/>
    <w:rsid w:val="00D40BAB"/>
    <w:rsid w:val="00D41078"/>
    <w:rsid w:val="00D423E1"/>
    <w:rsid w:val="00D426FE"/>
    <w:rsid w:val="00D4398F"/>
    <w:rsid w:val="00D44142"/>
    <w:rsid w:val="00D4427D"/>
    <w:rsid w:val="00D44728"/>
    <w:rsid w:val="00D44AEC"/>
    <w:rsid w:val="00D44D64"/>
    <w:rsid w:val="00D44FC4"/>
    <w:rsid w:val="00D451F1"/>
    <w:rsid w:val="00D45465"/>
    <w:rsid w:val="00D457A2"/>
    <w:rsid w:val="00D47726"/>
    <w:rsid w:val="00D47ACE"/>
    <w:rsid w:val="00D47F4E"/>
    <w:rsid w:val="00D50564"/>
    <w:rsid w:val="00D5072F"/>
    <w:rsid w:val="00D50AC9"/>
    <w:rsid w:val="00D51487"/>
    <w:rsid w:val="00D51601"/>
    <w:rsid w:val="00D523CA"/>
    <w:rsid w:val="00D52EA5"/>
    <w:rsid w:val="00D53410"/>
    <w:rsid w:val="00D53C84"/>
    <w:rsid w:val="00D55E15"/>
    <w:rsid w:val="00D562CE"/>
    <w:rsid w:val="00D56611"/>
    <w:rsid w:val="00D56930"/>
    <w:rsid w:val="00D575FE"/>
    <w:rsid w:val="00D6074A"/>
    <w:rsid w:val="00D62220"/>
    <w:rsid w:val="00D625F4"/>
    <w:rsid w:val="00D6283F"/>
    <w:rsid w:val="00D63CD9"/>
    <w:rsid w:val="00D64333"/>
    <w:rsid w:val="00D652AB"/>
    <w:rsid w:val="00D65811"/>
    <w:rsid w:val="00D6589D"/>
    <w:rsid w:val="00D6606B"/>
    <w:rsid w:val="00D6697D"/>
    <w:rsid w:val="00D66BA2"/>
    <w:rsid w:val="00D672FA"/>
    <w:rsid w:val="00D71143"/>
    <w:rsid w:val="00D71276"/>
    <w:rsid w:val="00D7253E"/>
    <w:rsid w:val="00D72801"/>
    <w:rsid w:val="00D728F8"/>
    <w:rsid w:val="00D7308D"/>
    <w:rsid w:val="00D731FB"/>
    <w:rsid w:val="00D740D9"/>
    <w:rsid w:val="00D743D4"/>
    <w:rsid w:val="00D74722"/>
    <w:rsid w:val="00D74E6F"/>
    <w:rsid w:val="00D7519C"/>
    <w:rsid w:val="00D75621"/>
    <w:rsid w:val="00D75F11"/>
    <w:rsid w:val="00D77225"/>
    <w:rsid w:val="00D800D0"/>
    <w:rsid w:val="00D81D0B"/>
    <w:rsid w:val="00D81D92"/>
    <w:rsid w:val="00D8239B"/>
    <w:rsid w:val="00D83BE1"/>
    <w:rsid w:val="00D84194"/>
    <w:rsid w:val="00D84BD4"/>
    <w:rsid w:val="00D84C36"/>
    <w:rsid w:val="00D855EA"/>
    <w:rsid w:val="00D85D57"/>
    <w:rsid w:val="00D85ECF"/>
    <w:rsid w:val="00D863A5"/>
    <w:rsid w:val="00D86736"/>
    <w:rsid w:val="00D8719A"/>
    <w:rsid w:val="00D877B5"/>
    <w:rsid w:val="00D91541"/>
    <w:rsid w:val="00D91EEA"/>
    <w:rsid w:val="00D91F4B"/>
    <w:rsid w:val="00D931BF"/>
    <w:rsid w:val="00D9376B"/>
    <w:rsid w:val="00D9483C"/>
    <w:rsid w:val="00D948B2"/>
    <w:rsid w:val="00D94AA5"/>
    <w:rsid w:val="00D95004"/>
    <w:rsid w:val="00D9629D"/>
    <w:rsid w:val="00D97737"/>
    <w:rsid w:val="00D97969"/>
    <w:rsid w:val="00DA067B"/>
    <w:rsid w:val="00DA242B"/>
    <w:rsid w:val="00DA2478"/>
    <w:rsid w:val="00DA2895"/>
    <w:rsid w:val="00DA2A1A"/>
    <w:rsid w:val="00DA2EEA"/>
    <w:rsid w:val="00DA2F25"/>
    <w:rsid w:val="00DA3CEF"/>
    <w:rsid w:val="00DA3ED0"/>
    <w:rsid w:val="00DA45E1"/>
    <w:rsid w:val="00DA4638"/>
    <w:rsid w:val="00DA562D"/>
    <w:rsid w:val="00DA59D2"/>
    <w:rsid w:val="00DA5FEF"/>
    <w:rsid w:val="00DA602D"/>
    <w:rsid w:val="00DA6A32"/>
    <w:rsid w:val="00DA7125"/>
    <w:rsid w:val="00DA7B6E"/>
    <w:rsid w:val="00DB024F"/>
    <w:rsid w:val="00DB0619"/>
    <w:rsid w:val="00DB0E1A"/>
    <w:rsid w:val="00DB2198"/>
    <w:rsid w:val="00DB2372"/>
    <w:rsid w:val="00DB2834"/>
    <w:rsid w:val="00DB301F"/>
    <w:rsid w:val="00DB324B"/>
    <w:rsid w:val="00DB3616"/>
    <w:rsid w:val="00DB4A8F"/>
    <w:rsid w:val="00DB4EEB"/>
    <w:rsid w:val="00DB4FE2"/>
    <w:rsid w:val="00DB5876"/>
    <w:rsid w:val="00DB6BEF"/>
    <w:rsid w:val="00DB736B"/>
    <w:rsid w:val="00DB7A22"/>
    <w:rsid w:val="00DC2CF8"/>
    <w:rsid w:val="00DC3014"/>
    <w:rsid w:val="00DC4B90"/>
    <w:rsid w:val="00DC6693"/>
    <w:rsid w:val="00DC671E"/>
    <w:rsid w:val="00DC6B08"/>
    <w:rsid w:val="00DC7D53"/>
    <w:rsid w:val="00DD0C1B"/>
    <w:rsid w:val="00DD0C5F"/>
    <w:rsid w:val="00DD17E8"/>
    <w:rsid w:val="00DD1C5D"/>
    <w:rsid w:val="00DD2355"/>
    <w:rsid w:val="00DD27E5"/>
    <w:rsid w:val="00DD3A8A"/>
    <w:rsid w:val="00DD3E84"/>
    <w:rsid w:val="00DD4362"/>
    <w:rsid w:val="00DD6404"/>
    <w:rsid w:val="00DD6F0A"/>
    <w:rsid w:val="00DD7312"/>
    <w:rsid w:val="00DD7443"/>
    <w:rsid w:val="00DE0C8A"/>
    <w:rsid w:val="00DE0D5B"/>
    <w:rsid w:val="00DE17A6"/>
    <w:rsid w:val="00DE1CDD"/>
    <w:rsid w:val="00DE2029"/>
    <w:rsid w:val="00DE256C"/>
    <w:rsid w:val="00DE2CA5"/>
    <w:rsid w:val="00DE3519"/>
    <w:rsid w:val="00DE3543"/>
    <w:rsid w:val="00DE516D"/>
    <w:rsid w:val="00DE60FA"/>
    <w:rsid w:val="00DE64F7"/>
    <w:rsid w:val="00DE724B"/>
    <w:rsid w:val="00DE7366"/>
    <w:rsid w:val="00DE7659"/>
    <w:rsid w:val="00DE781F"/>
    <w:rsid w:val="00DE79E2"/>
    <w:rsid w:val="00DF00AF"/>
    <w:rsid w:val="00DF0D07"/>
    <w:rsid w:val="00DF2559"/>
    <w:rsid w:val="00DF2686"/>
    <w:rsid w:val="00DF378D"/>
    <w:rsid w:val="00DF37A1"/>
    <w:rsid w:val="00DF3866"/>
    <w:rsid w:val="00DF42EA"/>
    <w:rsid w:val="00DF5466"/>
    <w:rsid w:val="00DF5AC5"/>
    <w:rsid w:val="00DF61C6"/>
    <w:rsid w:val="00DF723D"/>
    <w:rsid w:val="00DF75AB"/>
    <w:rsid w:val="00DF7A84"/>
    <w:rsid w:val="00DF7AC8"/>
    <w:rsid w:val="00E001FA"/>
    <w:rsid w:val="00E00BD1"/>
    <w:rsid w:val="00E00F53"/>
    <w:rsid w:val="00E01008"/>
    <w:rsid w:val="00E01EDC"/>
    <w:rsid w:val="00E0217B"/>
    <w:rsid w:val="00E035CC"/>
    <w:rsid w:val="00E0367B"/>
    <w:rsid w:val="00E03C50"/>
    <w:rsid w:val="00E03DC3"/>
    <w:rsid w:val="00E03E6B"/>
    <w:rsid w:val="00E042BB"/>
    <w:rsid w:val="00E04488"/>
    <w:rsid w:val="00E05022"/>
    <w:rsid w:val="00E0608C"/>
    <w:rsid w:val="00E06131"/>
    <w:rsid w:val="00E06199"/>
    <w:rsid w:val="00E0670E"/>
    <w:rsid w:val="00E0693D"/>
    <w:rsid w:val="00E06A57"/>
    <w:rsid w:val="00E07231"/>
    <w:rsid w:val="00E10343"/>
    <w:rsid w:val="00E10467"/>
    <w:rsid w:val="00E105BD"/>
    <w:rsid w:val="00E10AC5"/>
    <w:rsid w:val="00E1149C"/>
    <w:rsid w:val="00E11A0A"/>
    <w:rsid w:val="00E11DBE"/>
    <w:rsid w:val="00E13B13"/>
    <w:rsid w:val="00E1505B"/>
    <w:rsid w:val="00E150AB"/>
    <w:rsid w:val="00E16F97"/>
    <w:rsid w:val="00E17764"/>
    <w:rsid w:val="00E17D23"/>
    <w:rsid w:val="00E219D7"/>
    <w:rsid w:val="00E21F28"/>
    <w:rsid w:val="00E2244F"/>
    <w:rsid w:val="00E22858"/>
    <w:rsid w:val="00E22BE8"/>
    <w:rsid w:val="00E22E78"/>
    <w:rsid w:val="00E22FDE"/>
    <w:rsid w:val="00E233A5"/>
    <w:rsid w:val="00E23529"/>
    <w:rsid w:val="00E235BE"/>
    <w:rsid w:val="00E238CE"/>
    <w:rsid w:val="00E249B8"/>
    <w:rsid w:val="00E26A21"/>
    <w:rsid w:val="00E30382"/>
    <w:rsid w:val="00E312C6"/>
    <w:rsid w:val="00E33614"/>
    <w:rsid w:val="00E33FD4"/>
    <w:rsid w:val="00E343F3"/>
    <w:rsid w:val="00E348A4"/>
    <w:rsid w:val="00E34CED"/>
    <w:rsid w:val="00E36215"/>
    <w:rsid w:val="00E36465"/>
    <w:rsid w:val="00E364B6"/>
    <w:rsid w:val="00E36EE3"/>
    <w:rsid w:val="00E37090"/>
    <w:rsid w:val="00E370F5"/>
    <w:rsid w:val="00E37546"/>
    <w:rsid w:val="00E3756E"/>
    <w:rsid w:val="00E400E1"/>
    <w:rsid w:val="00E4018E"/>
    <w:rsid w:val="00E402E5"/>
    <w:rsid w:val="00E408A1"/>
    <w:rsid w:val="00E40943"/>
    <w:rsid w:val="00E4096E"/>
    <w:rsid w:val="00E41012"/>
    <w:rsid w:val="00E41225"/>
    <w:rsid w:val="00E4140A"/>
    <w:rsid w:val="00E41C8C"/>
    <w:rsid w:val="00E41CEB"/>
    <w:rsid w:val="00E42A71"/>
    <w:rsid w:val="00E43C02"/>
    <w:rsid w:val="00E43C9F"/>
    <w:rsid w:val="00E43F9E"/>
    <w:rsid w:val="00E45083"/>
    <w:rsid w:val="00E469DB"/>
    <w:rsid w:val="00E46C0B"/>
    <w:rsid w:val="00E4706C"/>
    <w:rsid w:val="00E5000B"/>
    <w:rsid w:val="00E51737"/>
    <w:rsid w:val="00E52171"/>
    <w:rsid w:val="00E53FCE"/>
    <w:rsid w:val="00E54ED7"/>
    <w:rsid w:val="00E552BF"/>
    <w:rsid w:val="00E55C0D"/>
    <w:rsid w:val="00E55F9E"/>
    <w:rsid w:val="00E561CF"/>
    <w:rsid w:val="00E56BFF"/>
    <w:rsid w:val="00E56E11"/>
    <w:rsid w:val="00E56FFA"/>
    <w:rsid w:val="00E573DA"/>
    <w:rsid w:val="00E57B6A"/>
    <w:rsid w:val="00E602D6"/>
    <w:rsid w:val="00E60FA6"/>
    <w:rsid w:val="00E61498"/>
    <w:rsid w:val="00E61608"/>
    <w:rsid w:val="00E63D5F"/>
    <w:rsid w:val="00E63E87"/>
    <w:rsid w:val="00E64A63"/>
    <w:rsid w:val="00E65301"/>
    <w:rsid w:val="00E65DC3"/>
    <w:rsid w:val="00E66A04"/>
    <w:rsid w:val="00E70AC9"/>
    <w:rsid w:val="00E718E9"/>
    <w:rsid w:val="00E71BEE"/>
    <w:rsid w:val="00E71D23"/>
    <w:rsid w:val="00E726AE"/>
    <w:rsid w:val="00E7299A"/>
    <w:rsid w:val="00E72A6F"/>
    <w:rsid w:val="00E72E26"/>
    <w:rsid w:val="00E73BD3"/>
    <w:rsid w:val="00E740DA"/>
    <w:rsid w:val="00E74234"/>
    <w:rsid w:val="00E74E26"/>
    <w:rsid w:val="00E750EB"/>
    <w:rsid w:val="00E75B4C"/>
    <w:rsid w:val="00E75BF5"/>
    <w:rsid w:val="00E75E7B"/>
    <w:rsid w:val="00E76686"/>
    <w:rsid w:val="00E7677B"/>
    <w:rsid w:val="00E768EE"/>
    <w:rsid w:val="00E770BA"/>
    <w:rsid w:val="00E77465"/>
    <w:rsid w:val="00E80576"/>
    <w:rsid w:val="00E81433"/>
    <w:rsid w:val="00E81E11"/>
    <w:rsid w:val="00E83654"/>
    <w:rsid w:val="00E84AEC"/>
    <w:rsid w:val="00E851C0"/>
    <w:rsid w:val="00E85BC3"/>
    <w:rsid w:val="00E866DE"/>
    <w:rsid w:val="00E86D2D"/>
    <w:rsid w:val="00E87039"/>
    <w:rsid w:val="00E87041"/>
    <w:rsid w:val="00E87437"/>
    <w:rsid w:val="00E90F63"/>
    <w:rsid w:val="00E91438"/>
    <w:rsid w:val="00E91623"/>
    <w:rsid w:val="00E92AB2"/>
    <w:rsid w:val="00E92CFE"/>
    <w:rsid w:val="00E939CA"/>
    <w:rsid w:val="00E9440C"/>
    <w:rsid w:val="00E94502"/>
    <w:rsid w:val="00E94564"/>
    <w:rsid w:val="00E95264"/>
    <w:rsid w:val="00E9627A"/>
    <w:rsid w:val="00E96674"/>
    <w:rsid w:val="00E9763C"/>
    <w:rsid w:val="00E97C64"/>
    <w:rsid w:val="00E97F02"/>
    <w:rsid w:val="00EA04A3"/>
    <w:rsid w:val="00EA0761"/>
    <w:rsid w:val="00EA0D4F"/>
    <w:rsid w:val="00EA0DC3"/>
    <w:rsid w:val="00EA102E"/>
    <w:rsid w:val="00EA1061"/>
    <w:rsid w:val="00EA1C24"/>
    <w:rsid w:val="00EA1D58"/>
    <w:rsid w:val="00EA305A"/>
    <w:rsid w:val="00EA3B29"/>
    <w:rsid w:val="00EA3BEA"/>
    <w:rsid w:val="00EA3E55"/>
    <w:rsid w:val="00EA46E8"/>
    <w:rsid w:val="00EA4E2A"/>
    <w:rsid w:val="00EA5537"/>
    <w:rsid w:val="00EA5BEF"/>
    <w:rsid w:val="00EA7E92"/>
    <w:rsid w:val="00EB01D0"/>
    <w:rsid w:val="00EB01E7"/>
    <w:rsid w:val="00EB0508"/>
    <w:rsid w:val="00EB0961"/>
    <w:rsid w:val="00EB0C3E"/>
    <w:rsid w:val="00EB1C8E"/>
    <w:rsid w:val="00EB2852"/>
    <w:rsid w:val="00EB2D72"/>
    <w:rsid w:val="00EB2EA5"/>
    <w:rsid w:val="00EB415B"/>
    <w:rsid w:val="00EB5954"/>
    <w:rsid w:val="00EB6AB2"/>
    <w:rsid w:val="00EB6D52"/>
    <w:rsid w:val="00EB77E5"/>
    <w:rsid w:val="00EB7902"/>
    <w:rsid w:val="00EB7C10"/>
    <w:rsid w:val="00EC087B"/>
    <w:rsid w:val="00EC0B76"/>
    <w:rsid w:val="00EC10A3"/>
    <w:rsid w:val="00EC1397"/>
    <w:rsid w:val="00EC1768"/>
    <w:rsid w:val="00EC1788"/>
    <w:rsid w:val="00EC1A1C"/>
    <w:rsid w:val="00EC1CDE"/>
    <w:rsid w:val="00EC309E"/>
    <w:rsid w:val="00EC3844"/>
    <w:rsid w:val="00EC38C7"/>
    <w:rsid w:val="00EC3DBA"/>
    <w:rsid w:val="00EC4003"/>
    <w:rsid w:val="00EC4DFD"/>
    <w:rsid w:val="00EC4F91"/>
    <w:rsid w:val="00EC5F9A"/>
    <w:rsid w:val="00EC622C"/>
    <w:rsid w:val="00EC74E4"/>
    <w:rsid w:val="00ED0110"/>
    <w:rsid w:val="00ED1426"/>
    <w:rsid w:val="00ED14E4"/>
    <w:rsid w:val="00ED16AA"/>
    <w:rsid w:val="00ED1B49"/>
    <w:rsid w:val="00ED1EDD"/>
    <w:rsid w:val="00ED2CE3"/>
    <w:rsid w:val="00ED3757"/>
    <w:rsid w:val="00ED4A84"/>
    <w:rsid w:val="00ED53FD"/>
    <w:rsid w:val="00ED53FF"/>
    <w:rsid w:val="00ED681E"/>
    <w:rsid w:val="00ED6846"/>
    <w:rsid w:val="00ED6B28"/>
    <w:rsid w:val="00ED6FE4"/>
    <w:rsid w:val="00ED74EF"/>
    <w:rsid w:val="00EE0557"/>
    <w:rsid w:val="00EE0E9A"/>
    <w:rsid w:val="00EE1603"/>
    <w:rsid w:val="00EE168B"/>
    <w:rsid w:val="00EE1CC6"/>
    <w:rsid w:val="00EE22AD"/>
    <w:rsid w:val="00EE2713"/>
    <w:rsid w:val="00EE3BE1"/>
    <w:rsid w:val="00EE44BA"/>
    <w:rsid w:val="00EE44D2"/>
    <w:rsid w:val="00EE45E0"/>
    <w:rsid w:val="00EE470C"/>
    <w:rsid w:val="00EE4A07"/>
    <w:rsid w:val="00EE4B70"/>
    <w:rsid w:val="00EE50A7"/>
    <w:rsid w:val="00EE55B2"/>
    <w:rsid w:val="00EE5AAA"/>
    <w:rsid w:val="00EE6FBA"/>
    <w:rsid w:val="00EE79E1"/>
    <w:rsid w:val="00EF0E79"/>
    <w:rsid w:val="00EF18D6"/>
    <w:rsid w:val="00EF20E1"/>
    <w:rsid w:val="00EF2757"/>
    <w:rsid w:val="00EF3890"/>
    <w:rsid w:val="00EF4905"/>
    <w:rsid w:val="00EF5059"/>
    <w:rsid w:val="00EF6DEB"/>
    <w:rsid w:val="00EF70B5"/>
    <w:rsid w:val="00EF779D"/>
    <w:rsid w:val="00EF77CC"/>
    <w:rsid w:val="00EF7B96"/>
    <w:rsid w:val="00F02A72"/>
    <w:rsid w:val="00F03AAA"/>
    <w:rsid w:val="00F0427F"/>
    <w:rsid w:val="00F04F2F"/>
    <w:rsid w:val="00F05D26"/>
    <w:rsid w:val="00F0717F"/>
    <w:rsid w:val="00F0732D"/>
    <w:rsid w:val="00F0798B"/>
    <w:rsid w:val="00F07F92"/>
    <w:rsid w:val="00F11107"/>
    <w:rsid w:val="00F11206"/>
    <w:rsid w:val="00F112FB"/>
    <w:rsid w:val="00F113E4"/>
    <w:rsid w:val="00F12175"/>
    <w:rsid w:val="00F13C62"/>
    <w:rsid w:val="00F14560"/>
    <w:rsid w:val="00F1459F"/>
    <w:rsid w:val="00F14616"/>
    <w:rsid w:val="00F1656A"/>
    <w:rsid w:val="00F166C8"/>
    <w:rsid w:val="00F1762B"/>
    <w:rsid w:val="00F20E6C"/>
    <w:rsid w:val="00F20ECC"/>
    <w:rsid w:val="00F21B42"/>
    <w:rsid w:val="00F2278E"/>
    <w:rsid w:val="00F22E3F"/>
    <w:rsid w:val="00F22F2B"/>
    <w:rsid w:val="00F22FDE"/>
    <w:rsid w:val="00F23425"/>
    <w:rsid w:val="00F23440"/>
    <w:rsid w:val="00F23D5B"/>
    <w:rsid w:val="00F241CD"/>
    <w:rsid w:val="00F24B00"/>
    <w:rsid w:val="00F255CC"/>
    <w:rsid w:val="00F25ACE"/>
    <w:rsid w:val="00F26CBC"/>
    <w:rsid w:val="00F27A34"/>
    <w:rsid w:val="00F27B37"/>
    <w:rsid w:val="00F27D8E"/>
    <w:rsid w:val="00F30FF9"/>
    <w:rsid w:val="00F32490"/>
    <w:rsid w:val="00F32621"/>
    <w:rsid w:val="00F32E4C"/>
    <w:rsid w:val="00F32F63"/>
    <w:rsid w:val="00F33369"/>
    <w:rsid w:val="00F335C0"/>
    <w:rsid w:val="00F338C2"/>
    <w:rsid w:val="00F33DBE"/>
    <w:rsid w:val="00F3610D"/>
    <w:rsid w:val="00F366CA"/>
    <w:rsid w:val="00F369F6"/>
    <w:rsid w:val="00F374FB"/>
    <w:rsid w:val="00F4015C"/>
    <w:rsid w:val="00F40B05"/>
    <w:rsid w:val="00F40F68"/>
    <w:rsid w:val="00F410C7"/>
    <w:rsid w:val="00F41BA1"/>
    <w:rsid w:val="00F41C0A"/>
    <w:rsid w:val="00F42186"/>
    <w:rsid w:val="00F422EF"/>
    <w:rsid w:val="00F42B60"/>
    <w:rsid w:val="00F43776"/>
    <w:rsid w:val="00F439C9"/>
    <w:rsid w:val="00F43B32"/>
    <w:rsid w:val="00F4419F"/>
    <w:rsid w:val="00F44C78"/>
    <w:rsid w:val="00F46ABF"/>
    <w:rsid w:val="00F5051B"/>
    <w:rsid w:val="00F51340"/>
    <w:rsid w:val="00F523A8"/>
    <w:rsid w:val="00F5338F"/>
    <w:rsid w:val="00F53F2F"/>
    <w:rsid w:val="00F56484"/>
    <w:rsid w:val="00F56771"/>
    <w:rsid w:val="00F57232"/>
    <w:rsid w:val="00F57F66"/>
    <w:rsid w:val="00F60666"/>
    <w:rsid w:val="00F612B0"/>
    <w:rsid w:val="00F61A6A"/>
    <w:rsid w:val="00F61BA0"/>
    <w:rsid w:val="00F61C9C"/>
    <w:rsid w:val="00F61ED2"/>
    <w:rsid w:val="00F630C3"/>
    <w:rsid w:val="00F6508B"/>
    <w:rsid w:val="00F658C4"/>
    <w:rsid w:val="00F65B0F"/>
    <w:rsid w:val="00F671EC"/>
    <w:rsid w:val="00F675ED"/>
    <w:rsid w:val="00F6764E"/>
    <w:rsid w:val="00F703B8"/>
    <w:rsid w:val="00F7044F"/>
    <w:rsid w:val="00F70B7E"/>
    <w:rsid w:val="00F70FBB"/>
    <w:rsid w:val="00F729BF"/>
    <w:rsid w:val="00F732E0"/>
    <w:rsid w:val="00F73476"/>
    <w:rsid w:val="00F73768"/>
    <w:rsid w:val="00F75023"/>
    <w:rsid w:val="00F75354"/>
    <w:rsid w:val="00F7565C"/>
    <w:rsid w:val="00F7670D"/>
    <w:rsid w:val="00F76DBF"/>
    <w:rsid w:val="00F7722D"/>
    <w:rsid w:val="00F77436"/>
    <w:rsid w:val="00F77999"/>
    <w:rsid w:val="00F77F23"/>
    <w:rsid w:val="00F80559"/>
    <w:rsid w:val="00F83073"/>
    <w:rsid w:val="00F83F08"/>
    <w:rsid w:val="00F8419C"/>
    <w:rsid w:val="00F84EC5"/>
    <w:rsid w:val="00F8553F"/>
    <w:rsid w:val="00F85890"/>
    <w:rsid w:val="00F85947"/>
    <w:rsid w:val="00F86C78"/>
    <w:rsid w:val="00F87F5A"/>
    <w:rsid w:val="00F87FC9"/>
    <w:rsid w:val="00F90CEC"/>
    <w:rsid w:val="00F910B0"/>
    <w:rsid w:val="00F92270"/>
    <w:rsid w:val="00F92303"/>
    <w:rsid w:val="00F93142"/>
    <w:rsid w:val="00F936E2"/>
    <w:rsid w:val="00F94254"/>
    <w:rsid w:val="00F948D6"/>
    <w:rsid w:val="00F95B4A"/>
    <w:rsid w:val="00F95D74"/>
    <w:rsid w:val="00F96327"/>
    <w:rsid w:val="00F96328"/>
    <w:rsid w:val="00F9692A"/>
    <w:rsid w:val="00F96B29"/>
    <w:rsid w:val="00F96D5C"/>
    <w:rsid w:val="00F972B7"/>
    <w:rsid w:val="00F974DE"/>
    <w:rsid w:val="00F97BC7"/>
    <w:rsid w:val="00FA097F"/>
    <w:rsid w:val="00FA1549"/>
    <w:rsid w:val="00FA1CDA"/>
    <w:rsid w:val="00FA273A"/>
    <w:rsid w:val="00FA2A24"/>
    <w:rsid w:val="00FA32A0"/>
    <w:rsid w:val="00FA3624"/>
    <w:rsid w:val="00FA3E2E"/>
    <w:rsid w:val="00FA3EEF"/>
    <w:rsid w:val="00FA438A"/>
    <w:rsid w:val="00FA5236"/>
    <w:rsid w:val="00FA5F06"/>
    <w:rsid w:val="00FA5FF3"/>
    <w:rsid w:val="00FA6BB0"/>
    <w:rsid w:val="00FA6D8D"/>
    <w:rsid w:val="00FA7180"/>
    <w:rsid w:val="00FA7B77"/>
    <w:rsid w:val="00FA7F11"/>
    <w:rsid w:val="00FB065B"/>
    <w:rsid w:val="00FB0A42"/>
    <w:rsid w:val="00FB0BB9"/>
    <w:rsid w:val="00FB12CD"/>
    <w:rsid w:val="00FB3B2F"/>
    <w:rsid w:val="00FB41D5"/>
    <w:rsid w:val="00FB43FA"/>
    <w:rsid w:val="00FB5655"/>
    <w:rsid w:val="00FB5A2F"/>
    <w:rsid w:val="00FB5F5D"/>
    <w:rsid w:val="00FB6334"/>
    <w:rsid w:val="00FB6479"/>
    <w:rsid w:val="00FB7607"/>
    <w:rsid w:val="00FB7D9E"/>
    <w:rsid w:val="00FB7F99"/>
    <w:rsid w:val="00FC0054"/>
    <w:rsid w:val="00FC01A6"/>
    <w:rsid w:val="00FC02C6"/>
    <w:rsid w:val="00FC05A4"/>
    <w:rsid w:val="00FC0694"/>
    <w:rsid w:val="00FC0F49"/>
    <w:rsid w:val="00FC11EE"/>
    <w:rsid w:val="00FC177F"/>
    <w:rsid w:val="00FC1814"/>
    <w:rsid w:val="00FC1BD5"/>
    <w:rsid w:val="00FC20B2"/>
    <w:rsid w:val="00FC2B3F"/>
    <w:rsid w:val="00FC3336"/>
    <w:rsid w:val="00FC36BB"/>
    <w:rsid w:val="00FC375E"/>
    <w:rsid w:val="00FC4106"/>
    <w:rsid w:val="00FC54E2"/>
    <w:rsid w:val="00FC590A"/>
    <w:rsid w:val="00FC6216"/>
    <w:rsid w:val="00FC718D"/>
    <w:rsid w:val="00FD01D8"/>
    <w:rsid w:val="00FD0D97"/>
    <w:rsid w:val="00FD1019"/>
    <w:rsid w:val="00FD180A"/>
    <w:rsid w:val="00FD2127"/>
    <w:rsid w:val="00FD2E26"/>
    <w:rsid w:val="00FD3FDE"/>
    <w:rsid w:val="00FD4345"/>
    <w:rsid w:val="00FD5808"/>
    <w:rsid w:val="00FD59A3"/>
    <w:rsid w:val="00FD75AE"/>
    <w:rsid w:val="00FD7735"/>
    <w:rsid w:val="00FE004D"/>
    <w:rsid w:val="00FE0609"/>
    <w:rsid w:val="00FE1062"/>
    <w:rsid w:val="00FE165C"/>
    <w:rsid w:val="00FE2DEE"/>
    <w:rsid w:val="00FE3406"/>
    <w:rsid w:val="00FE3CD6"/>
    <w:rsid w:val="00FE3E28"/>
    <w:rsid w:val="00FE4015"/>
    <w:rsid w:val="00FE50C5"/>
    <w:rsid w:val="00FE5A06"/>
    <w:rsid w:val="00FE62C2"/>
    <w:rsid w:val="00FE6353"/>
    <w:rsid w:val="00FE660A"/>
    <w:rsid w:val="00FE7326"/>
    <w:rsid w:val="00FE76E8"/>
    <w:rsid w:val="00FE7720"/>
    <w:rsid w:val="00FE7784"/>
    <w:rsid w:val="00FE7B96"/>
    <w:rsid w:val="00FF0374"/>
    <w:rsid w:val="00FF0797"/>
    <w:rsid w:val="00FF0F35"/>
    <w:rsid w:val="00FF0FA0"/>
    <w:rsid w:val="00FF3161"/>
    <w:rsid w:val="00FF347B"/>
    <w:rsid w:val="00FF36DC"/>
    <w:rsid w:val="00FF4A02"/>
    <w:rsid w:val="00FF4FA5"/>
    <w:rsid w:val="00FF53FB"/>
    <w:rsid w:val="00FF587F"/>
    <w:rsid w:val="00FF7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AAFED33"/>
  <w15:docId w15:val="{563431FC-A676-40EE-BFF6-E347B45C4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4" w:unhideWhenUsed="1"/>
    <w:lsdException w:name="annotation text" w:semiHidden="1" w:unhideWhenUsed="1"/>
    <w:lsdException w:name="header" w:semiHidden="1" w:uiPriority="49" w:unhideWhenUsed="1"/>
    <w:lsdException w:name="footer" w:semiHidden="1" w:uiPriority="4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10B"/>
    <w:pPr>
      <w:spacing w:after="220" w:line="240" w:lineRule="atLeast"/>
    </w:pPr>
    <w:rPr>
      <w:rFonts w:ascii="Arial" w:hAnsi="Arial"/>
      <w:sz w:val="20"/>
      <w:lang w:val="en-GB"/>
    </w:rPr>
  </w:style>
  <w:style w:type="paragraph" w:styleId="Heading1">
    <w:name w:val="heading 1"/>
    <w:basedOn w:val="Para0"/>
    <w:next w:val="Para0"/>
    <w:link w:val="Heading1Char"/>
    <w:qFormat/>
    <w:rsid w:val="00AF0253"/>
    <w:pPr>
      <w:keepNext/>
      <w:keepLines/>
      <w:pageBreakBefore/>
      <w:numPr>
        <w:numId w:val="7"/>
      </w:numPr>
      <w:spacing w:line="360" w:lineRule="exact"/>
      <w:ind w:left="851" w:hanging="851"/>
      <w:outlineLvl w:val="0"/>
    </w:pPr>
    <w:rPr>
      <w:rFonts w:eastAsiaTheme="majorEastAsia" w:cstheme="majorBidi"/>
      <w:b/>
      <w:bCs/>
      <w:color w:val="00338D"/>
      <w:sz w:val="32"/>
      <w:szCs w:val="32"/>
    </w:rPr>
  </w:style>
  <w:style w:type="paragraph" w:styleId="Heading2">
    <w:name w:val="heading 2"/>
    <w:basedOn w:val="Para0"/>
    <w:next w:val="Para0"/>
    <w:link w:val="Heading2Char"/>
    <w:qFormat/>
    <w:rsid w:val="00AD7CFC"/>
    <w:pPr>
      <w:keepNext/>
      <w:keepLines/>
      <w:numPr>
        <w:ilvl w:val="1"/>
        <w:numId w:val="7"/>
      </w:numPr>
      <w:outlineLvl w:val="1"/>
    </w:pPr>
    <w:rPr>
      <w:rFonts w:eastAsiaTheme="majorEastAsia" w:cstheme="majorBidi"/>
      <w:b/>
      <w:bCs/>
      <w:color w:val="00338D"/>
      <w:sz w:val="24"/>
      <w:szCs w:val="26"/>
    </w:rPr>
  </w:style>
  <w:style w:type="paragraph" w:styleId="Heading3">
    <w:name w:val="heading 3"/>
    <w:basedOn w:val="Para0"/>
    <w:next w:val="Para0"/>
    <w:link w:val="Heading3Char"/>
    <w:qFormat/>
    <w:rsid w:val="00A940CC"/>
    <w:pPr>
      <w:keepNext/>
      <w:keepLines/>
      <w:numPr>
        <w:ilvl w:val="2"/>
        <w:numId w:val="7"/>
      </w:numPr>
      <w:outlineLvl w:val="2"/>
    </w:pPr>
    <w:rPr>
      <w:rFonts w:eastAsiaTheme="majorEastAsia" w:cstheme="majorBidi"/>
      <w:b/>
      <w:bCs/>
    </w:rPr>
  </w:style>
  <w:style w:type="paragraph" w:styleId="Heading4">
    <w:name w:val="heading 4"/>
    <w:basedOn w:val="Para0"/>
    <w:next w:val="Para0"/>
    <w:link w:val="Heading4Char"/>
    <w:qFormat/>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qFormat/>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qFormat/>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qFormat/>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32547E"/>
    <w:pPr>
      <w:numPr>
        <w:ilvl w:val="7"/>
      </w:numPr>
      <w:outlineLvl w:val="7"/>
    </w:pPr>
  </w:style>
  <w:style w:type="paragraph" w:styleId="Heading9">
    <w:name w:val="heading 9"/>
    <w:aliases w:val="Appendix"/>
    <w:basedOn w:val="Para0"/>
    <w:next w:val="Para0"/>
    <w:link w:val="Heading9Char"/>
    <w:uiPriority w:val="99"/>
    <w:qFormat/>
    <w:rsid w:val="00CB63FE"/>
    <w:pPr>
      <w:pageBreakBefore/>
      <w:numPr>
        <w:numId w:val="8"/>
      </w:numPr>
      <w:spacing w:line="360" w:lineRule="exact"/>
      <w:ind w:left="1956" w:hanging="1956"/>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Normal +Centre:  3 pt,Line spacing:  1.5 lines"/>
    <w:basedOn w:val="Normal"/>
    <w:link w:val="Para0Char"/>
    <w:uiPriority w:val="4"/>
    <w:qFormat/>
    <w:rsid w:val="0032547E"/>
    <w:pPr>
      <w:spacing w:before="240" w:after="120"/>
    </w:pPr>
  </w:style>
  <w:style w:type="character" w:customStyle="1" w:styleId="Heading1Char">
    <w:name w:val="Heading 1 Char"/>
    <w:basedOn w:val="DefaultParagraphFont"/>
    <w:link w:val="Heading1"/>
    <w:rsid w:val="007B0DDD"/>
    <w:rPr>
      <w:rFonts w:ascii="Arial" w:eastAsiaTheme="majorEastAsia" w:hAnsi="Arial" w:cstheme="majorBidi"/>
      <w:b/>
      <w:bCs/>
      <w:color w:val="00338D"/>
      <w:sz w:val="32"/>
      <w:szCs w:val="32"/>
      <w:lang w:val="en-GB"/>
    </w:rPr>
  </w:style>
  <w:style w:type="character" w:customStyle="1" w:styleId="Heading2Char">
    <w:name w:val="Heading 2 Char"/>
    <w:basedOn w:val="DefaultParagraphFont"/>
    <w:link w:val="Heading2"/>
    <w:rsid w:val="007B0DDD"/>
    <w:rPr>
      <w:rFonts w:ascii="Arial" w:eastAsiaTheme="majorEastAsia" w:hAnsi="Arial" w:cstheme="majorBidi"/>
      <w:b/>
      <w:bCs/>
      <w:color w:val="00338D"/>
      <w:szCs w:val="26"/>
      <w:lang w:val="en-GB"/>
    </w:rPr>
  </w:style>
  <w:style w:type="character" w:customStyle="1" w:styleId="Heading3Char">
    <w:name w:val="Heading 3 Char"/>
    <w:basedOn w:val="DefaultParagraphFont"/>
    <w:link w:val="Heading3"/>
    <w:rsid w:val="00A940CC"/>
    <w:rPr>
      <w:rFonts w:ascii="Arial" w:eastAsiaTheme="majorEastAsia" w:hAnsi="Arial" w:cstheme="majorBidi"/>
      <w:b/>
      <w:bCs/>
      <w:sz w:val="20"/>
      <w:lang w:val="en-GB"/>
    </w:rPr>
  </w:style>
  <w:style w:type="character" w:customStyle="1" w:styleId="Heading4Char">
    <w:name w:val="Heading 4 Char"/>
    <w:basedOn w:val="DefaultParagraphFont"/>
    <w:link w:val="Heading4"/>
    <w:rsid w:val="001F418B"/>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338D"/>
      <w:szCs w:val="26"/>
      <w:lang w:val="en-GB"/>
    </w:rPr>
  </w:style>
  <w:style w:type="character" w:customStyle="1" w:styleId="Heading9Char">
    <w:name w:val="Heading 9 Char"/>
    <w:aliases w:val="Appendix Char"/>
    <w:basedOn w:val="DefaultParagraphFont"/>
    <w:link w:val="Heading9"/>
    <w:uiPriority w:val="99"/>
    <w:rsid w:val="00CB63FE"/>
    <w:rPr>
      <w:rFonts w:ascii="Arial" w:hAnsi="Arial"/>
      <w:b/>
      <w:color w:val="00338D"/>
      <w:sz w:val="32"/>
      <w:lang w:val="en-GB"/>
    </w:rPr>
  </w:style>
  <w:style w:type="paragraph" w:customStyle="1" w:styleId="ContentBold">
    <w:name w:val="Content Bold"/>
    <w:basedOn w:val="Para0"/>
    <w:next w:val="Para0"/>
    <w:uiPriority w:val="99"/>
    <w:semiHidden/>
    <w:qFormat/>
    <w:rsid w:val="0032547E"/>
    <w:rPr>
      <w:b/>
    </w:rPr>
  </w:style>
  <w:style w:type="paragraph" w:customStyle="1" w:styleId="CoverHeading">
    <w:name w:val="Cover Heading"/>
    <w:basedOn w:val="Normal"/>
    <w:next w:val="CoverSubheading"/>
    <w:uiPriority w:val="99"/>
    <w:rsid w:val="0032547E"/>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uiPriority w:val="99"/>
    <w:rsid w:val="0032547E"/>
    <w:pPr>
      <w:spacing w:line="280" w:lineRule="exact"/>
    </w:pPr>
    <w:rPr>
      <w:rFonts w:ascii="Arial" w:hAnsi="Arial"/>
      <w:sz w:val="22"/>
      <w:szCs w:val="22"/>
    </w:rPr>
  </w:style>
  <w:style w:type="paragraph" w:customStyle="1" w:styleId="CoverDate">
    <w:name w:val="Cover Date"/>
    <w:basedOn w:val="CoverHeading"/>
    <w:next w:val="Para0"/>
    <w:uiPriority w:val="99"/>
    <w:rsid w:val="0032547E"/>
    <w:pPr>
      <w:spacing w:line="280" w:lineRule="exact"/>
    </w:pPr>
    <w:rPr>
      <w:rFonts w:ascii="Arial" w:hAnsi="Arial"/>
      <w:sz w:val="22"/>
    </w:rPr>
  </w:style>
  <w:style w:type="paragraph" w:customStyle="1" w:styleId="PageTitle">
    <w:name w:val="Page Title"/>
    <w:basedOn w:val="Para0"/>
    <w:uiPriority w:val="99"/>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uiPriority w:val="99"/>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uiPriority w:val="99"/>
    <w:semiHidden/>
    <w:qFormat/>
    <w:rsid w:val="0032547E"/>
    <w:pPr>
      <w:spacing w:after="0" w:line="200" w:lineRule="exact"/>
      <w:ind w:left="567" w:right="284"/>
    </w:pPr>
    <w:rPr>
      <w:rFonts w:ascii="Arial Narrow" w:hAnsi="Arial Narrow"/>
      <w:b/>
      <w:sz w:val="16"/>
    </w:rPr>
  </w:style>
  <w:style w:type="paragraph" w:customStyle="1" w:styleId="Tablebullet">
    <w:name w:val="Table bullet"/>
    <w:basedOn w:val="Tabletext"/>
    <w:uiPriority w:val="99"/>
    <w:qFormat/>
    <w:rsid w:val="0032547E"/>
    <w:pPr>
      <w:numPr>
        <w:numId w:val="25"/>
      </w:numPr>
    </w:pPr>
  </w:style>
  <w:style w:type="paragraph" w:customStyle="1" w:styleId="Tableheading">
    <w:name w:val="Table heading"/>
    <w:basedOn w:val="Normal"/>
    <w:qFormat/>
    <w:rsid w:val="0032547E"/>
    <w:pPr>
      <w:keepNext/>
      <w:spacing w:before="100" w:after="100"/>
    </w:pPr>
    <w:rPr>
      <w:rFonts w:ascii="Arial Black" w:hAnsi="Arial Black"/>
      <w:sz w:val="16"/>
    </w:rPr>
  </w:style>
  <w:style w:type="paragraph" w:styleId="BalloonText">
    <w:name w:val="Balloon Text"/>
    <w:basedOn w:val="Normal"/>
    <w:link w:val="BalloonTextChar"/>
    <w:uiPriority w:val="99"/>
    <w:unhideWhenUsed/>
    <w:rsid w:val="0032547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AD7CFC"/>
    <w:rPr>
      <w:rFonts w:ascii="Lucida Grande" w:hAnsi="Lucida Grande" w:cs="Lucida Grande"/>
      <w:sz w:val="18"/>
      <w:szCs w:val="18"/>
      <w:lang w:val="en-GB"/>
    </w:rPr>
  </w:style>
  <w:style w:type="paragraph" w:customStyle="1" w:styleId="ContentBulletsLetter">
    <w:name w:val="Content Bullets Letter"/>
    <w:basedOn w:val="Para0"/>
    <w:uiPriority w:val="99"/>
    <w:semiHidden/>
    <w:qFormat/>
    <w:rsid w:val="0032547E"/>
    <w:pPr>
      <w:numPr>
        <w:numId w:val="3"/>
      </w:numPr>
    </w:pPr>
  </w:style>
  <w:style w:type="paragraph" w:customStyle="1" w:styleId="ContentBulletsRound">
    <w:name w:val="Content Bullets Round"/>
    <w:basedOn w:val="Para0"/>
    <w:uiPriority w:val="99"/>
    <w:semiHidden/>
    <w:qFormat/>
    <w:rsid w:val="0032547E"/>
    <w:pPr>
      <w:numPr>
        <w:numId w:val="6"/>
      </w:numPr>
    </w:pPr>
    <w:rPr>
      <w:color w:val="000000"/>
    </w:rPr>
  </w:style>
  <w:style w:type="paragraph" w:styleId="Caption">
    <w:name w:val="caption"/>
    <w:basedOn w:val="Tableheading"/>
    <w:next w:val="Para0"/>
    <w:link w:val="CaptionChar"/>
    <w:uiPriority w:val="35"/>
    <w:qFormat/>
    <w:rsid w:val="00AD7CFC"/>
    <w:pPr>
      <w:spacing w:before="240"/>
    </w:pPr>
    <w:rPr>
      <w:rFonts w:ascii="Arial Narrow" w:hAnsi="Arial Narrow"/>
      <w:b/>
      <w:sz w:val="20"/>
    </w:rPr>
  </w:style>
  <w:style w:type="paragraph" w:customStyle="1" w:styleId="ContentBulletsArrow">
    <w:name w:val="Content Bullets Arrow"/>
    <w:basedOn w:val="Para0"/>
    <w:uiPriority w:val="99"/>
    <w:semiHidden/>
    <w:qFormat/>
    <w:rsid w:val="0032547E"/>
    <w:pPr>
      <w:numPr>
        <w:numId w:val="1"/>
      </w:numPr>
    </w:pPr>
    <w:rPr>
      <w:color w:val="42145F"/>
    </w:rPr>
  </w:style>
  <w:style w:type="paragraph" w:customStyle="1" w:styleId="ContentBulletsNumber">
    <w:name w:val="Content Bullets Number"/>
    <w:basedOn w:val="Para0"/>
    <w:uiPriority w:val="99"/>
    <w:semiHidden/>
    <w:qFormat/>
    <w:rsid w:val="0032547E"/>
    <w:pPr>
      <w:numPr>
        <w:numId w:val="4"/>
      </w:numPr>
    </w:pPr>
  </w:style>
  <w:style w:type="paragraph" w:styleId="FootnoteText">
    <w:name w:val="footnote text"/>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uiPriority w:val="14"/>
    <w:qFormat/>
    <w:rsid w:val="0032547E"/>
    <w:pPr>
      <w:spacing w:before="60" w:after="60"/>
    </w:pPr>
  </w:style>
  <w:style w:type="table" w:styleId="TableGrid">
    <w:name w:val="Table Grid"/>
    <w:basedOn w:val="TableNormal"/>
    <w:uiPriority w:val="5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32547E"/>
  </w:style>
  <w:style w:type="paragraph" w:customStyle="1" w:styleId="ProjectName">
    <w:name w:val="Project Name"/>
    <w:basedOn w:val="CoverHeading"/>
    <w:next w:val="Para0"/>
    <w:uiPriority w:val="99"/>
    <w:rsid w:val="004300A0"/>
    <w:pPr>
      <w:spacing w:after="0" w:line="240" w:lineRule="auto"/>
      <w:ind w:right="0"/>
      <w:jc w:val="left"/>
    </w:pPr>
    <w:rPr>
      <w:rFonts w:ascii="Arial" w:hAnsi="Arial"/>
      <w:b/>
      <w:color w:val="00338D"/>
      <w:sz w:val="24"/>
    </w:rPr>
  </w:style>
  <w:style w:type="paragraph" w:customStyle="1" w:styleId="PageHeading">
    <w:name w:val="Page Heading"/>
    <w:basedOn w:val="PageTitle"/>
    <w:next w:val="Para0"/>
    <w:uiPriority w:val="99"/>
    <w:semiHidden/>
    <w:rsid w:val="00AD7CFC"/>
    <w:pPr>
      <w:spacing w:after="240"/>
    </w:pPr>
    <w:rPr>
      <w:sz w:val="22"/>
    </w:rPr>
  </w:style>
  <w:style w:type="paragraph" w:customStyle="1" w:styleId="Tableletter">
    <w:name w:val="Table letter"/>
    <w:basedOn w:val="Tablebullet"/>
    <w:uiPriority w:val="99"/>
    <w:qFormat/>
    <w:rsid w:val="0032547E"/>
    <w:pPr>
      <w:numPr>
        <w:numId w:val="27"/>
      </w:numPr>
    </w:pPr>
  </w:style>
  <w:style w:type="paragraph" w:styleId="TOC1">
    <w:name w:val="toc 1"/>
    <w:basedOn w:val="Normal"/>
    <w:next w:val="Normal"/>
    <w:autoRedefine/>
    <w:uiPriority w:val="39"/>
    <w:unhideWhenUsed/>
    <w:qFormat/>
    <w:rsid w:val="00E17764"/>
    <w:pPr>
      <w:tabs>
        <w:tab w:val="right" w:leader="dot" w:pos="9923"/>
      </w:tabs>
      <w:spacing w:after="100" w:line="240" w:lineRule="auto"/>
      <w:ind w:left="709" w:right="454" w:hanging="709"/>
    </w:pPr>
    <w:rPr>
      <w:b/>
      <w:noProof/>
    </w:rPr>
  </w:style>
  <w:style w:type="paragraph" w:styleId="TOC2">
    <w:name w:val="toc 2"/>
    <w:basedOn w:val="Normal"/>
    <w:next w:val="Normal"/>
    <w:autoRedefine/>
    <w:uiPriority w:val="39"/>
    <w:unhideWhenUsed/>
    <w:rsid w:val="0032547E"/>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24"/>
    <w:rsid w:val="00AD7CFC"/>
    <w:rPr>
      <w:rFonts w:ascii="Arial" w:hAnsi="Arial"/>
      <w:sz w:val="15"/>
      <w:vertAlign w:val="superscript"/>
    </w:rPr>
  </w:style>
  <w:style w:type="paragraph" w:styleId="TOC3">
    <w:name w:val="toc 3"/>
    <w:basedOn w:val="Normal"/>
    <w:next w:val="Normal"/>
    <w:autoRedefine/>
    <w:uiPriority w:val="99"/>
    <w:unhideWhenUsed/>
    <w:rsid w:val="0032547E"/>
    <w:pPr>
      <w:tabs>
        <w:tab w:val="right" w:leader="dot" w:pos="9923"/>
      </w:tabs>
      <w:spacing w:after="100"/>
      <w:ind w:left="675" w:right="454" w:hanging="675"/>
    </w:pPr>
    <w:rPr>
      <w:noProof/>
    </w:rPr>
  </w:style>
  <w:style w:type="paragraph" w:customStyle="1" w:styleId="FooterNumbering">
    <w:name w:val="Footer Numbering"/>
    <w:basedOn w:val="FooterText"/>
    <w:next w:val="Para0"/>
    <w:uiPriority w:val="99"/>
    <w:semiHidden/>
    <w:unhideWhenUsed/>
    <w:qFormat/>
    <w:rsid w:val="0032547E"/>
    <w:pPr>
      <w:ind w:left="0"/>
      <w:jc w:val="right"/>
    </w:pPr>
  </w:style>
  <w:style w:type="paragraph" w:customStyle="1" w:styleId="ContentBulletsDash">
    <w:name w:val="Content Bullets Dash"/>
    <w:basedOn w:val="Para0"/>
    <w:uiPriority w:val="99"/>
    <w:semiHidden/>
    <w:qFormat/>
    <w:rsid w:val="0032547E"/>
    <w:pPr>
      <w:numPr>
        <w:numId w:val="2"/>
      </w:numPr>
    </w:pPr>
  </w:style>
  <w:style w:type="paragraph" w:customStyle="1" w:styleId="ContentBulletsRomanNumeral">
    <w:name w:val="Content Bullets Roman Numeral"/>
    <w:basedOn w:val="Para0"/>
    <w:uiPriority w:val="99"/>
    <w:semiHidden/>
    <w:qFormat/>
    <w:rsid w:val="0032547E"/>
    <w:pPr>
      <w:numPr>
        <w:numId w:val="5"/>
      </w:numPr>
    </w:pPr>
  </w:style>
  <w:style w:type="paragraph" w:customStyle="1" w:styleId="Tablenumber">
    <w:name w:val="Table number"/>
    <w:basedOn w:val="Tablebullet"/>
    <w:uiPriority w:val="99"/>
    <w:qFormat/>
    <w:rsid w:val="0032547E"/>
    <w:pPr>
      <w:numPr>
        <w:numId w:val="26"/>
      </w:numPr>
    </w:pPr>
  </w:style>
  <w:style w:type="paragraph" w:customStyle="1" w:styleId="Tablesmalltext">
    <w:name w:val="Table small text"/>
    <w:basedOn w:val="Normal"/>
    <w:uiPriority w:val="15"/>
    <w:qFormat/>
    <w:rsid w:val="0032547E"/>
    <w:pPr>
      <w:spacing w:before="40" w:after="40"/>
    </w:pPr>
    <w:rPr>
      <w:sz w:val="16"/>
    </w:rPr>
  </w:style>
  <w:style w:type="paragraph" w:customStyle="1" w:styleId="Tablesmallbullet">
    <w:name w:val="Table small bullet"/>
    <w:basedOn w:val="Tablesmalltext"/>
    <w:uiPriority w:val="99"/>
    <w:qFormat/>
    <w:rsid w:val="0032547E"/>
    <w:pPr>
      <w:numPr>
        <w:numId w:val="21"/>
      </w:numPr>
    </w:pPr>
  </w:style>
  <w:style w:type="paragraph" w:customStyle="1" w:styleId="Tablesmallheading">
    <w:name w:val="Table small heading"/>
    <w:basedOn w:val="Tableheading"/>
    <w:uiPriority w:val="15"/>
    <w:qFormat/>
    <w:rsid w:val="0032547E"/>
    <w:pPr>
      <w:spacing w:before="60" w:after="60"/>
    </w:pPr>
    <w:rPr>
      <w:rFonts w:ascii="Arial" w:hAnsi="Arial"/>
      <w:b/>
    </w:rPr>
  </w:style>
  <w:style w:type="paragraph" w:customStyle="1" w:styleId="Tablesmallletter">
    <w:name w:val="Table small letter"/>
    <w:basedOn w:val="Tablesmallbullet"/>
    <w:uiPriority w:val="99"/>
    <w:qFormat/>
    <w:rsid w:val="0032547E"/>
    <w:pPr>
      <w:numPr>
        <w:numId w:val="23"/>
      </w:numPr>
    </w:pPr>
  </w:style>
  <w:style w:type="paragraph" w:customStyle="1" w:styleId="Tablesmallnumber">
    <w:name w:val="Table small number"/>
    <w:basedOn w:val="Tablesmallbullet"/>
    <w:uiPriority w:val="99"/>
    <w:qFormat/>
    <w:rsid w:val="0032547E"/>
    <w:pPr>
      <w:numPr>
        <w:numId w:val="22"/>
      </w:numPr>
    </w:pPr>
  </w:style>
  <w:style w:type="paragraph" w:customStyle="1" w:styleId="Sectionheading">
    <w:name w:val="Section heading"/>
    <w:basedOn w:val="Summary"/>
    <w:next w:val="Para0"/>
    <w:uiPriority w:val="99"/>
    <w:qFormat/>
    <w:rsid w:val="0032547E"/>
    <w:pPr>
      <w:spacing w:line="360" w:lineRule="exact"/>
    </w:pPr>
  </w:style>
  <w:style w:type="paragraph" w:styleId="Header">
    <w:name w:val="header"/>
    <w:basedOn w:val="PageTitle"/>
    <w:link w:val="HeaderChar"/>
    <w:uiPriority w:val="49"/>
    <w:rsid w:val="00B867A6"/>
    <w:pPr>
      <w:ind w:left="142"/>
    </w:pPr>
    <w:rPr>
      <w:rFonts w:ascii="Arial" w:hAnsi="Arial"/>
      <w:b/>
      <w:color w:val="666666"/>
      <w:sz w:val="22"/>
    </w:rPr>
  </w:style>
  <w:style w:type="character" w:customStyle="1" w:styleId="HeaderChar">
    <w:name w:val="Header Char"/>
    <w:basedOn w:val="DefaultParagraphFont"/>
    <w:link w:val="Header"/>
    <w:uiPriority w:val="49"/>
    <w:rsid w:val="00B867A6"/>
    <w:rPr>
      <w:rFonts w:ascii="Arial" w:hAnsi="Arial"/>
      <w:b/>
      <w:color w:val="666666"/>
      <w:sz w:val="22"/>
    </w:rPr>
  </w:style>
  <w:style w:type="paragraph" w:styleId="Footer">
    <w:name w:val="footer"/>
    <w:basedOn w:val="Normal"/>
    <w:link w:val="FooterChar"/>
    <w:uiPriority w:val="4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49"/>
    <w:rsid w:val="009F5221"/>
    <w:rPr>
      <w:rFonts w:ascii="Arial" w:eastAsia="Times" w:hAnsi="Arial" w:cs="Times New Roman"/>
      <w:color w:val="999999"/>
      <w:sz w:val="16"/>
      <w:szCs w:val="20"/>
    </w:rPr>
  </w:style>
  <w:style w:type="paragraph" w:styleId="TOCHeading">
    <w:name w:val="TOC Heading"/>
    <w:basedOn w:val="Heading1"/>
    <w:next w:val="Normal"/>
    <w:uiPriority w:val="99"/>
    <w:qFormat/>
    <w:rsid w:val="0032547E"/>
    <w:pPr>
      <w:pageBreakBefore w:val="0"/>
      <w:numPr>
        <w:numId w:val="0"/>
      </w:num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32547E"/>
    <w:rPr>
      <w:color w:val="0000FF" w:themeColor="hyperlink"/>
      <w:u w:val="single"/>
    </w:rPr>
  </w:style>
  <w:style w:type="paragraph" w:customStyle="1" w:styleId="Sidebarheading">
    <w:name w:val="Sidebar heading"/>
    <w:basedOn w:val="Normal"/>
    <w:next w:val="Sidebartext"/>
    <w:uiPriority w:val="99"/>
    <w:qFormat/>
    <w:rsid w:val="0032547E"/>
    <w:pPr>
      <w:framePr w:hSpace="181" w:wrap="around" w:hAnchor="margin" w:x="109" w:y="182"/>
      <w:spacing w:before="40" w:after="120"/>
    </w:pPr>
    <w:rPr>
      <w:b/>
      <w:caps/>
      <w:color w:val="00338D"/>
      <w:sz w:val="18"/>
    </w:rPr>
  </w:style>
  <w:style w:type="paragraph" w:customStyle="1" w:styleId="Sidebartext">
    <w:name w:val="Sidebar text"/>
    <w:basedOn w:val="Sidebarheading"/>
    <w:uiPriority w:val="99"/>
    <w:qFormat/>
    <w:rsid w:val="0032547E"/>
    <w:pPr>
      <w:framePr w:wrap="around"/>
    </w:pPr>
    <w:rPr>
      <w:b w:val="0"/>
      <w:caps w:val="0"/>
      <w:color w:val="auto"/>
    </w:rPr>
  </w:style>
  <w:style w:type="paragraph" w:customStyle="1" w:styleId="ContactDetails">
    <w:name w:val="Contact Details"/>
    <w:basedOn w:val="Normal"/>
    <w:uiPriority w:val="99"/>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99"/>
    <w:qFormat/>
    <w:rsid w:val="0032547E"/>
    <w:pPr>
      <w:framePr w:wrap="around"/>
      <w:numPr>
        <w:numId w:val="20"/>
      </w:numPr>
      <w:spacing w:after="60"/>
    </w:pPr>
  </w:style>
  <w:style w:type="paragraph" w:customStyle="1" w:styleId="Collateralheading">
    <w:name w:val="Collateral heading"/>
    <w:basedOn w:val="Normal"/>
    <w:next w:val="Normal"/>
    <w:uiPriority w:val="99"/>
    <w:semiHidden/>
    <w:unhideWhenUsed/>
    <w:rsid w:val="0032547E"/>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uiPriority w:val="99"/>
    <w:semiHidden/>
    <w:unhideWhenUsed/>
    <w:rsid w:val="0032547E"/>
    <w:pPr>
      <w:widowControl w:val="0"/>
      <w:spacing w:after="160"/>
    </w:pPr>
    <w:rPr>
      <w:rFonts w:ascii="Arial" w:hAnsi="Arial"/>
      <w:b/>
      <w:sz w:val="19"/>
    </w:rPr>
  </w:style>
  <w:style w:type="paragraph" w:customStyle="1" w:styleId="Name1">
    <w:name w:val="Name 1"/>
    <w:basedOn w:val="Normal"/>
    <w:uiPriority w:val="99"/>
    <w:semiHidden/>
    <w:rsid w:val="00CD27CA"/>
    <w:pPr>
      <w:spacing w:after="160" w:line="320" w:lineRule="exact"/>
      <w:jc w:val="right"/>
    </w:pPr>
    <w:rPr>
      <w:rFonts w:ascii="Arial Black" w:hAnsi="Arial Black"/>
      <w:color w:val="00338D"/>
      <w:sz w:val="36"/>
    </w:rPr>
  </w:style>
  <w:style w:type="paragraph" w:styleId="ListBullet">
    <w:name w:val="List Bullet"/>
    <w:basedOn w:val="Normal"/>
    <w:uiPriority w:val="99"/>
    <w:unhideWhenUsed/>
    <w:rsid w:val="0032547E"/>
    <w:pPr>
      <w:tabs>
        <w:tab w:val="num" w:pos="370"/>
      </w:tabs>
      <w:ind w:left="370" w:hanging="360"/>
      <w:contextualSpacing/>
    </w:pPr>
  </w:style>
  <w:style w:type="paragraph" w:customStyle="1" w:styleId="Name2">
    <w:name w:val="Name 2"/>
    <w:basedOn w:val="Name1"/>
    <w:uiPriority w:val="99"/>
    <w:semiHidden/>
    <w:rsid w:val="00CD27CA"/>
    <w:pPr>
      <w:spacing w:after="0"/>
      <w:jc w:val="left"/>
    </w:pPr>
    <w:rPr>
      <w:sz w:val="20"/>
    </w:rPr>
  </w:style>
  <w:style w:type="paragraph" w:customStyle="1" w:styleId="Projectrole1">
    <w:name w:val="Project role 1"/>
    <w:basedOn w:val="Normal"/>
    <w:uiPriority w:val="99"/>
    <w:semiHidden/>
    <w:rsid w:val="00CD27CA"/>
    <w:pPr>
      <w:spacing w:after="160"/>
      <w:jc w:val="right"/>
    </w:pPr>
    <w:rPr>
      <w:caps/>
      <w:color w:val="00338D"/>
    </w:rPr>
  </w:style>
  <w:style w:type="paragraph" w:customStyle="1" w:styleId="Projectrole2">
    <w:name w:val="Project role 2"/>
    <w:basedOn w:val="Projectrole1"/>
    <w:uiPriority w:val="99"/>
    <w:semiHidden/>
    <w:rsid w:val="00CD27CA"/>
    <w:pPr>
      <w:jc w:val="left"/>
    </w:pPr>
    <w:rPr>
      <w:sz w:val="14"/>
      <w:szCs w:val="16"/>
    </w:rPr>
  </w:style>
  <w:style w:type="paragraph" w:customStyle="1" w:styleId="Bodynarrow">
    <w:name w:val="Body narrow"/>
    <w:basedOn w:val="Normal"/>
    <w:uiPriority w:val="10"/>
    <w:qFormat/>
    <w:rsid w:val="0032547E"/>
    <w:pPr>
      <w:spacing w:before="40" w:after="120"/>
      <w:ind w:left="3402"/>
    </w:pPr>
  </w:style>
  <w:style w:type="paragraph" w:customStyle="1" w:styleId="Bodynarrowbullet">
    <w:name w:val="Body narrow bullet"/>
    <w:basedOn w:val="Bodynarrow"/>
    <w:uiPriority w:val="99"/>
    <w:qFormat/>
    <w:rsid w:val="0032547E"/>
    <w:pPr>
      <w:numPr>
        <w:numId w:val="12"/>
      </w:numPr>
      <w:tabs>
        <w:tab w:val="left" w:pos="198"/>
      </w:tabs>
      <w:spacing w:after="60"/>
    </w:pPr>
  </w:style>
  <w:style w:type="paragraph" w:customStyle="1" w:styleId="Bodynarrowarrow">
    <w:name w:val="Body narrow arrow"/>
    <w:basedOn w:val="Bodynarrowbullet"/>
    <w:uiPriority w:val="99"/>
    <w:qFormat/>
    <w:rsid w:val="0032547E"/>
    <w:pPr>
      <w:numPr>
        <w:ilvl w:val="1"/>
      </w:numPr>
      <w:tabs>
        <w:tab w:val="clear" w:pos="198"/>
      </w:tabs>
    </w:pPr>
  </w:style>
  <w:style w:type="paragraph" w:customStyle="1" w:styleId="Disclaimer1">
    <w:name w:val="Disclaimer 1"/>
    <w:basedOn w:val="Normal"/>
    <w:uiPriority w:val="99"/>
    <w:semiHidden/>
    <w:unhideWhenUsed/>
    <w:rsid w:val="0032547E"/>
    <w:pPr>
      <w:framePr w:hSpace="181" w:wrap="around" w:vAnchor="page" w:hAnchor="margin" w:y="12811"/>
      <w:spacing w:after="200" w:line="200" w:lineRule="exact"/>
    </w:pPr>
    <w:rPr>
      <w:b/>
      <w:color w:val="999999"/>
      <w:sz w:val="17"/>
    </w:rPr>
  </w:style>
  <w:style w:type="paragraph" w:customStyle="1" w:styleId="Disclaimer2">
    <w:name w:val="Disclaimer 2"/>
    <w:basedOn w:val="Disclaimer1"/>
    <w:uiPriority w:val="99"/>
    <w:semiHidden/>
    <w:unhideWhenUsed/>
    <w:rsid w:val="0032547E"/>
    <w:pPr>
      <w:framePr w:wrap="around"/>
      <w:spacing w:before="80" w:after="40" w:line="180" w:lineRule="atLeast"/>
    </w:pPr>
    <w:rPr>
      <w:sz w:val="14"/>
    </w:rPr>
  </w:style>
  <w:style w:type="paragraph" w:customStyle="1" w:styleId="Para0narrow">
    <w:name w:val="Para 0 narrow"/>
    <w:basedOn w:val="Para0"/>
    <w:next w:val="Para0"/>
    <w:uiPriority w:val="99"/>
    <w:semiHidden/>
    <w:qFormat/>
    <w:rsid w:val="0032547E"/>
  </w:style>
  <w:style w:type="paragraph" w:customStyle="1" w:styleId="Para0narrowbullet">
    <w:name w:val="Para 0 narrow bullet"/>
    <w:basedOn w:val="Para0bullet"/>
    <w:next w:val="Para0bullet"/>
    <w:uiPriority w:val="99"/>
    <w:semiHidden/>
    <w:qFormat/>
    <w:rsid w:val="0032547E"/>
  </w:style>
  <w:style w:type="paragraph" w:customStyle="1" w:styleId="SummaryHeading">
    <w:name w:val="SummaryHeading"/>
    <w:basedOn w:val="Sectionheading"/>
    <w:uiPriority w:val="99"/>
    <w:semiHidden/>
    <w:qFormat/>
    <w:rsid w:val="0032547E"/>
  </w:style>
  <w:style w:type="paragraph" w:customStyle="1" w:styleId="Para0bold">
    <w:name w:val="Para 0 bold"/>
    <w:basedOn w:val="Para0"/>
    <w:uiPriority w:val="99"/>
    <w:qFormat/>
    <w:rsid w:val="0032547E"/>
    <w:rPr>
      <w:b/>
    </w:rPr>
  </w:style>
  <w:style w:type="paragraph" w:customStyle="1" w:styleId="Para0number">
    <w:name w:val="Para 0 number"/>
    <w:basedOn w:val="Para0"/>
    <w:uiPriority w:val="99"/>
    <w:qFormat/>
    <w:rsid w:val="0032547E"/>
    <w:pPr>
      <w:numPr>
        <w:numId w:val="17"/>
      </w:numPr>
      <w:tabs>
        <w:tab w:val="left" w:pos="851"/>
      </w:tabs>
      <w:spacing w:before="0"/>
    </w:pPr>
  </w:style>
  <w:style w:type="paragraph" w:customStyle="1" w:styleId="Para0arrow">
    <w:name w:val="Para 0 arrow"/>
    <w:basedOn w:val="Para0"/>
    <w:uiPriority w:val="99"/>
    <w:qFormat/>
    <w:rsid w:val="0032547E"/>
    <w:pPr>
      <w:numPr>
        <w:numId w:val="15"/>
      </w:numPr>
      <w:tabs>
        <w:tab w:val="left" w:pos="851"/>
      </w:tabs>
      <w:spacing w:before="0"/>
    </w:pPr>
  </w:style>
  <w:style w:type="paragraph" w:customStyle="1" w:styleId="Para0dash">
    <w:name w:val="Para 0 dash"/>
    <w:basedOn w:val="Para0"/>
    <w:uiPriority w:val="4"/>
    <w:qFormat/>
    <w:rsid w:val="0032547E"/>
    <w:pPr>
      <w:numPr>
        <w:numId w:val="14"/>
      </w:numPr>
      <w:tabs>
        <w:tab w:val="left" w:pos="851"/>
      </w:tabs>
      <w:spacing w:before="0"/>
    </w:pPr>
  </w:style>
  <w:style w:type="paragraph" w:customStyle="1" w:styleId="Para0roman">
    <w:name w:val="Para 0 roman"/>
    <w:basedOn w:val="Para0"/>
    <w:uiPriority w:val="99"/>
    <w:qFormat/>
    <w:rsid w:val="0032547E"/>
    <w:pPr>
      <w:numPr>
        <w:numId w:val="19"/>
      </w:numPr>
      <w:tabs>
        <w:tab w:val="left" w:pos="851"/>
      </w:tabs>
      <w:spacing w:before="0"/>
    </w:pPr>
  </w:style>
  <w:style w:type="paragraph" w:customStyle="1" w:styleId="Para0letter">
    <w:name w:val="Para 0 letter"/>
    <w:basedOn w:val="Para0"/>
    <w:uiPriority w:val="99"/>
    <w:qFormat/>
    <w:rsid w:val="0032547E"/>
    <w:pPr>
      <w:numPr>
        <w:numId w:val="18"/>
      </w:numPr>
      <w:tabs>
        <w:tab w:val="left" w:pos="851"/>
      </w:tabs>
      <w:spacing w:before="0"/>
    </w:pPr>
  </w:style>
  <w:style w:type="paragraph" w:customStyle="1" w:styleId="Para0bullet">
    <w:name w:val="Para 0 bullet"/>
    <w:basedOn w:val="Para0"/>
    <w:link w:val="Para0bulletChar"/>
    <w:uiPriority w:val="4"/>
    <w:qFormat/>
    <w:rsid w:val="0032547E"/>
    <w:pPr>
      <w:numPr>
        <w:numId w:val="13"/>
      </w:numPr>
      <w:tabs>
        <w:tab w:val="left" w:pos="851"/>
      </w:tabs>
      <w:spacing w:before="0"/>
    </w:pPr>
  </w:style>
  <w:style w:type="paragraph" w:styleId="TOC9">
    <w:name w:val="toc 9"/>
    <w:basedOn w:val="Normal"/>
    <w:next w:val="Normal"/>
    <w:autoRedefine/>
    <w:uiPriority w:val="99"/>
    <w:unhideWhenUsed/>
    <w:rsid w:val="0032547E"/>
    <w:pPr>
      <w:tabs>
        <w:tab w:val="right" w:leader="dot" w:pos="9923"/>
      </w:tabs>
      <w:spacing w:after="100"/>
    </w:pPr>
    <w:rPr>
      <w:b/>
      <w:noProof/>
    </w:rPr>
  </w:style>
  <w:style w:type="paragraph" w:customStyle="1" w:styleId="CVName">
    <w:name w:val="CVName"/>
    <w:basedOn w:val="Normal"/>
    <w:uiPriority w:val="99"/>
    <w:semiHidden/>
    <w:rsid w:val="00AD7CFC"/>
  </w:style>
  <w:style w:type="paragraph" w:customStyle="1" w:styleId="Content">
    <w:name w:val="Content"/>
    <w:basedOn w:val="Normal"/>
    <w:uiPriority w:val="99"/>
    <w:semiHidden/>
    <w:unhideWhenUsed/>
    <w:qFormat/>
    <w:rsid w:val="0032547E"/>
    <w:pPr>
      <w:spacing w:line="280" w:lineRule="exact"/>
    </w:pPr>
  </w:style>
  <w:style w:type="paragraph" w:styleId="TOC4">
    <w:name w:val="toc 4"/>
    <w:basedOn w:val="Normal"/>
    <w:next w:val="Normal"/>
    <w:autoRedefine/>
    <w:uiPriority w:val="99"/>
    <w:unhideWhenUsed/>
    <w:rsid w:val="0032547E"/>
    <w:pPr>
      <w:tabs>
        <w:tab w:val="right" w:leader="dot" w:pos="9906"/>
      </w:tabs>
      <w:spacing w:after="100"/>
      <w:ind w:left="1315" w:hanging="1315"/>
    </w:pPr>
  </w:style>
  <w:style w:type="paragraph" w:styleId="TOC5">
    <w:name w:val="toc 5"/>
    <w:basedOn w:val="Normal"/>
    <w:next w:val="Normal"/>
    <w:autoRedefine/>
    <w:uiPriority w:val="99"/>
    <w:unhideWhenUsed/>
    <w:rsid w:val="0032547E"/>
    <w:pPr>
      <w:tabs>
        <w:tab w:val="right" w:leader="dot" w:pos="9923"/>
      </w:tabs>
      <w:spacing w:after="100"/>
      <w:ind w:left="1315" w:hanging="1315"/>
    </w:pPr>
  </w:style>
  <w:style w:type="paragraph" w:styleId="TOC6">
    <w:name w:val="toc 6"/>
    <w:basedOn w:val="Normal"/>
    <w:next w:val="Normal"/>
    <w:autoRedefine/>
    <w:uiPriority w:val="99"/>
    <w:unhideWhenUsed/>
    <w:rsid w:val="0032547E"/>
    <w:pPr>
      <w:tabs>
        <w:tab w:val="left" w:pos="1315"/>
        <w:tab w:val="right" w:leader="dot" w:pos="9923"/>
      </w:tabs>
      <w:spacing w:after="100"/>
      <w:ind w:left="675" w:hanging="675"/>
    </w:pPr>
  </w:style>
  <w:style w:type="paragraph" w:styleId="TOC7">
    <w:name w:val="toc 7"/>
    <w:basedOn w:val="Normal"/>
    <w:next w:val="Normal"/>
    <w:autoRedefine/>
    <w:uiPriority w:val="99"/>
    <w:unhideWhenUsed/>
    <w:rsid w:val="0032547E"/>
    <w:pPr>
      <w:tabs>
        <w:tab w:val="left" w:pos="1315"/>
        <w:tab w:val="right" w:leader="dot" w:pos="9923"/>
      </w:tabs>
      <w:spacing w:after="100"/>
      <w:ind w:left="675" w:hanging="675"/>
    </w:pPr>
  </w:style>
  <w:style w:type="paragraph" w:styleId="TOC8">
    <w:name w:val="toc 8"/>
    <w:basedOn w:val="Normal"/>
    <w:next w:val="Normal"/>
    <w:autoRedefine/>
    <w:uiPriority w:val="99"/>
    <w:unhideWhenUsed/>
    <w:rsid w:val="0032547E"/>
    <w:pPr>
      <w:tabs>
        <w:tab w:val="left" w:pos="1315"/>
        <w:tab w:val="right" w:leader="dot" w:pos="9923"/>
      </w:tabs>
      <w:spacing w:after="100"/>
      <w:ind w:left="675" w:hanging="675"/>
    </w:pPr>
  </w:style>
  <w:style w:type="paragraph" w:customStyle="1" w:styleId="Para1narrowarrow">
    <w:name w:val="Para 1 narrow arrow"/>
    <w:basedOn w:val="Para0narrowbullet"/>
    <w:uiPriority w:val="5"/>
    <w:unhideWhenUsed/>
    <w:rsid w:val="0032547E"/>
    <w:pPr>
      <w:numPr>
        <w:ilvl w:val="1"/>
      </w:numPr>
    </w:pPr>
  </w:style>
  <w:style w:type="paragraph" w:customStyle="1" w:styleId="Bodyheading">
    <w:name w:val="Body heading"/>
    <w:basedOn w:val="Collateralheading"/>
    <w:next w:val="Bodynarrow"/>
    <w:uiPriority w:val="99"/>
    <w:qFormat/>
    <w:rsid w:val="0032547E"/>
    <w:pPr>
      <w:widowControl w:val="0"/>
      <w:ind w:left="3402"/>
    </w:pPr>
  </w:style>
  <w:style w:type="paragraph" w:customStyle="1" w:styleId="Bodysubheading">
    <w:name w:val="Body sub heading"/>
    <w:basedOn w:val="Bodynarrow"/>
    <w:next w:val="Bodynarrow"/>
    <w:uiPriority w:val="99"/>
    <w:qFormat/>
    <w:rsid w:val="0032547E"/>
    <w:pPr>
      <w:spacing w:before="120"/>
    </w:pPr>
    <w:rPr>
      <w:b/>
    </w:rPr>
  </w:style>
  <w:style w:type="paragraph" w:customStyle="1" w:styleId="CVTitle">
    <w:name w:val="CVTitle"/>
    <w:basedOn w:val="Projectrole1"/>
    <w:uiPriority w:val="99"/>
    <w:semiHidden/>
    <w:rsid w:val="00AD7CFC"/>
  </w:style>
  <w:style w:type="paragraph" w:customStyle="1" w:styleId="CVHead">
    <w:name w:val="CVHead"/>
    <w:basedOn w:val="Collateralheading"/>
    <w:uiPriority w:val="99"/>
    <w:semiHidden/>
    <w:rsid w:val="00AD7CFC"/>
  </w:style>
  <w:style w:type="paragraph" w:customStyle="1" w:styleId="PHHeading1">
    <w:name w:val="PHHeading 1"/>
    <w:basedOn w:val="CVHead"/>
    <w:uiPriority w:val="99"/>
    <w:semiHidden/>
    <w:rsid w:val="00AD7CFC"/>
  </w:style>
  <w:style w:type="paragraph" w:customStyle="1" w:styleId="PHHeading2">
    <w:name w:val="PHHeading 2"/>
    <w:basedOn w:val="Collateralsubheading"/>
    <w:uiPriority w:val="99"/>
    <w:semiHidden/>
    <w:rsid w:val="00AD7CFC"/>
  </w:style>
  <w:style w:type="paragraph" w:customStyle="1" w:styleId="PHHeading3">
    <w:name w:val="PHHeading 3"/>
    <w:basedOn w:val="PHHeading2"/>
    <w:uiPriority w:val="99"/>
    <w:semiHidden/>
    <w:rsid w:val="00AD7CFC"/>
  </w:style>
  <w:style w:type="paragraph" w:customStyle="1" w:styleId="Para1">
    <w:name w:val="Para 1"/>
    <w:basedOn w:val="Para0"/>
    <w:uiPriority w:val="99"/>
    <w:rsid w:val="00E33614"/>
    <w:pPr>
      <w:ind w:left="425"/>
    </w:pPr>
  </w:style>
  <w:style w:type="paragraph" w:customStyle="1" w:styleId="Para1bullet">
    <w:name w:val="Para 1 bullet"/>
    <w:basedOn w:val="Para0bullet"/>
    <w:uiPriority w:val="99"/>
    <w:rsid w:val="00101052"/>
    <w:pPr>
      <w:ind w:left="850"/>
    </w:pPr>
  </w:style>
  <w:style w:type="paragraph" w:customStyle="1" w:styleId="Para1dash">
    <w:name w:val="Para 1 dash"/>
    <w:basedOn w:val="Para0dash"/>
    <w:uiPriority w:val="99"/>
    <w:rsid w:val="00101052"/>
    <w:pPr>
      <w:ind w:left="850"/>
    </w:pPr>
  </w:style>
  <w:style w:type="paragraph" w:customStyle="1" w:styleId="Para1letter">
    <w:name w:val="Para 1 letter"/>
    <w:basedOn w:val="Para0letter"/>
    <w:uiPriority w:val="99"/>
    <w:rsid w:val="00101052"/>
    <w:pPr>
      <w:ind w:left="850"/>
    </w:pPr>
  </w:style>
  <w:style w:type="paragraph" w:customStyle="1" w:styleId="Para1number">
    <w:name w:val="Para 1 number"/>
    <w:basedOn w:val="Para1bullet"/>
    <w:uiPriority w:val="99"/>
    <w:rsid w:val="00534198"/>
    <w:pPr>
      <w:numPr>
        <w:numId w:val="9"/>
      </w:numPr>
      <w:ind w:left="850" w:hanging="425"/>
    </w:pPr>
  </w:style>
  <w:style w:type="paragraph" w:customStyle="1" w:styleId="Summary">
    <w:name w:val="Summary"/>
    <w:basedOn w:val="Normal"/>
    <w:next w:val="Para0"/>
    <w:uiPriority w:val="1"/>
    <w:qFormat/>
    <w:rsid w:val="0032547E"/>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32547E"/>
    <w:pPr>
      <w:numPr>
        <w:ilvl w:val="0"/>
        <w:numId w:val="0"/>
      </w:numPr>
    </w:pPr>
  </w:style>
  <w:style w:type="paragraph" w:customStyle="1" w:styleId="SectionSubheading2">
    <w:name w:val="Section Sub heading 2"/>
    <w:basedOn w:val="Heading3"/>
    <w:next w:val="Para0"/>
    <w:uiPriority w:val="99"/>
    <w:qFormat/>
    <w:rsid w:val="0032547E"/>
    <w:pPr>
      <w:numPr>
        <w:ilvl w:val="0"/>
        <w:numId w:val="0"/>
      </w:numPr>
    </w:pPr>
  </w:style>
  <w:style w:type="paragraph" w:customStyle="1" w:styleId="DocumentTitle">
    <w:name w:val="Document Title"/>
    <w:basedOn w:val="Normal"/>
    <w:uiPriority w:val="99"/>
    <w:rsid w:val="00267DD3"/>
    <w:pPr>
      <w:spacing w:after="60"/>
    </w:pPr>
  </w:style>
  <w:style w:type="paragraph" w:customStyle="1" w:styleId="Para2">
    <w:name w:val="Para 2"/>
    <w:basedOn w:val="Para1"/>
    <w:uiPriority w:val="99"/>
    <w:rsid w:val="00264230"/>
    <w:pPr>
      <w:ind w:left="851"/>
    </w:pPr>
  </w:style>
  <w:style w:type="paragraph" w:customStyle="1" w:styleId="Para2bullet">
    <w:name w:val="Para 2 bullet"/>
    <w:basedOn w:val="Para1bullet"/>
    <w:uiPriority w:val="99"/>
    <w:rsid w:val="00534198"/>
    <w:pPr>
      <w:ind w:left="1276"/>
    </w:pPr>
  </w:style>
  <w:style w:type="paragraph" w:customStyle="1" w:styleId="Para2dash">
    <w:name w:val="Para 2 dash"/>
    <w:basedOn w:val="Para1dash"/>
    <w:uiPriority w:val="99"/>
    <w:rsid w:val="00534198"/>
    <w:pPr>
      <w:ind w:left="1276"/>
    </w:pPr>
  </w:style>
  <w:style w:type="paragraph" w:customStyle="1" w:styleId="Para2letter">
    <w:name w:val="Para 2 letter"/>
    <w:basedOn w:val="Para1letter"/>
    <w:uiPriority w:val="99"/>
    <w:rsid w:val="00534198"/>
    <w:pPr>
      <w:ind w:left="1276"/>
    </w:pPr>
  </w:style>
  <w:style w:type="paragraph" w:customStyle="1" w:styleId="Contents">
    <w:name w:val="Contents"/>
    <w:basedOn w:val="PageHeading"/>
    <w:next w:val="Para0"/>
    <w:uiPriority w:val="99"/>
    <w:rsid w:val="004300A0"/>
    <w:pPr>
      <w:pageBreakBefore/>
      <w:spacing w:after="100"/>
      <w:ind w:left="0"/>
    </w:pPr>
    <w:rPr>
      <w:rFonts w:ascii="Arial" w:hAnsi="Arial"/>
      <w:b/>
      <w:color w:val="00338D"/>
      <w:sz w:val="24"/>
    </w:rPr>
  </w:style>
  <w:style w:type="paragraph" w:customStyle="1" w:styleId="Tablecaption">
    <w:name w:val="Table caption"/>
    <w:basedOn w:val="Caption"/>
    <w:next w:val="Para0"/>
    <w:uiPriority w:val="99"/>
    <w:rsid w:val="0083301B"/>
    <w:rPr>
      <w:rFonts w:ascii="Arial" w:hAnsi="Arial"/>
    </w:rPr>
  </w:style>
  <w:style w:type="paragraph" w:customStyle="1" w:styleId="Figurecaption">
    <w:name w:val="Figure caption"/>
    <w:basedOn w:val="Caption"/>
    <w:next w:val="Para0"/>
    <w:uiPriority w:val="99"/>
    <w:semiHidden/>
    <w:rsid w:val="00AD7CFC"/>
  </w:style>
  <w:style w:type="paragraph" w:customStyle="1" w:styleId="Appendixsubheading1">
    <w:name w:val="Appendix subheading 1"/>
    <w:basedOn w:val="Normal"/>
    <w:next w:val="Para0"/>
    <w:uiPriority w:val="99"/>
    <w:qFormat/>
    <w:rsid w:val="0032547E"/>
    <w:pPr>
      <w:numPr>
        <w:ilvl w:val="1"/>
        <w:numId w:val="8"/>
      </w:numPr>
      <w:spacing w:before="240" w:after="120" w:line="280" w:lineRule="exact"/>
    </w:pPr>
    <w:rPr>
      <w:b/>
      <w:color w:val="00338D"/>
      <w:sz w:val="24"/>
    </w:rPr>
  </w:style>
  <w:style w:type="paragraph" w:customStyle="1" w:styleId="Appendixsubheading2">
    <w:name w:val="Appendix subheading 2"/>
    <w:basedOn w:val="Normal"/>
    <w:next w:val="Para0"/>
    <w:uiPriority w:val="99"/>
    <w:qFormat/>
    <w:rsid w:val="0032547E"/>
    <w:pPr>
      <w:numPr>
        <w:ilvl w:val="2"/>
        <w:numId w:val="8"/>
      </w:numPr>
      <w:spacing w:before="240" w:after="120"/>
    </w:pPr>
    <w:rPr>
      <w:b/>
      <w:color w:val="00338D"/>
    </w:rPr>
  </w:style>
  <w:style w:type="paragraph" w:customStyle="1" w:styleId="Image">
    <w:name w:val="Image"/>
    <w:basedOn w:val="Normal"/>
    <w:uiPriority w:val="99"/>
    <w:semiHidden/>
    <w:rsid w:val="00AD7CFC"/>
    <w:pPr>
      <w:spacing w:after="0" w:line="240" w:lineRule="auto"/>
    </w:pPr>
  </w:style>
  <w:style w:type="paragraph" w:customStyle="1" w:styleId="Para1bold">
    <w:name w:val="Para 1 bold"/>
    <w:basedOn w:val="Para1"/>
    <w:uiPriority w:val="99"/>
    <w:rsid w:val="00264230"/>
    <w:rPr>
      <w:b/>
    </w:rPr>
  </w:style>
  <w:style w:type="paragraph" w:customStyle="1" w:styleId="Para1roman">
    <w:name w:val="Para 1 roman"/>
    <w:basedOn w:val="Para0roman"/>
    <w:uiPriority w:val="99"/>
    <w:rsid w:val="00534198"/>
    <w:pPr>
      <w:ind w:left="850"/>
    </w:pPr>
  </w:style>
  <w:style w:type="paragraph" w:customStyle="1" w:styleId="Para2bold">
    <w:name w:val="Para 2 bold"/>
    <w:basedOn w:val="Para2"/>
    <w:uiPriority w:val="99"/>
    <w:rsid w:val="00264230"/>
    <w:rPr>
      <w:b/>
    </w:rPr>
  </w:style>
  <w:style w:type="paragraph" w:customStyle="1" w:styleId="Para2number">
    <w:name w:val="Para 2 number"/>
    <w:basedOn w:val="Para1number"/>
    <w:uiPriority w:val="99"/>
    <w:rsid w:val="007C1375"/>
    <w:pPr>
      <w:ind w:left="1276"/>
    </w:pPr>
  </w:style>
  <w:style w:type="paragraph" w:customStyle="1" w:styleId="Para2roman">
    <w:name w:val="Para 2 roman"/>
    <w:basedOn w:val="Para2number"/>
    <w:uiPriority w:val="99"/>
    <w:rsid w:val="0032547E"/>
    <w:pPr>
      <w:numPr>
        <w:ilvl w:val="2"/>
        <w:numId w:val="17"/>
      </w:numPr>
    </w:pPr>
  </w:style>
  <w:style w:type="paragraph" w:customStyle="1" w:styleId="TableContent">
    <w:name w:val="Table Content"/>
    <w:basedOn w:val="Normal"/>
    <w:uiPriority w:val="99"/>
    <w:semiHidden/>
    <w:qFormat/>
    <w:rsid w:val="0032547E"/>
    <w:pPr>
      <w:spacing w:before="60" w:after="60" w:line="240" w:lineRule="exact"/>
    </w:pPr>
  </w:style>
  <w:style w:type="character" w:customStyle="1" w:styleId="Bodynarrowbold">
    <w:name w:val="Body narrow bold"/>
    <w:uiPriority w:val="99"/>
    <w:rsid w:val="00F70B7E"/>
    <w:rPr>
      <w:rFonts w:ascii="Arial" w:hAnsi="Arial"/>
      <w:b/>
      <w:sz w:val="20"/>
    </w:rPr>
  </w:style>
  <w:style w:type="numbering" w:customStyle="1" w:styleId="JacobsNumberedList1">
    <w:name w:val="Jacobs Numbered List 1"/>
    <w:rsid w:val="007A33C5"/>
    <w:pPr>
      <w:numPr>
        <w:numId w:val="17"/>
      </w:numPr>
    </w:pPr>
  </w:style>
  <w:style w:type="numbering" w:customStyle="1" w:styleId="JacobsNumberedList2">
    <w:name w:val="Jacobs Numbered List 2"/>
    <w:rsid w:val="007A33C5"/>
    <w:pPr>
      <w:numPr>
        <w:numId w:val="18"/>
      </w:numPr>
    </w:pPr>
  </w:style>
  <w:style w:type="numbering" w:customStyle="1" w:styleId="JacobsNumberedList3">
    <w:name w:val="Jacobs Numbered List 3"/>
    <w:rsid w:val="007A33C5"/>
    <w:pPr>
      <w:numPr>
        <w:numId w:val="19"/>
      </w:numPr>
    </w:pPr>
  </w:style>
  <w:style w:type="numbering" w:customStyle="1" w:styleId="JacobsBulletList1">
    <w:name w:val="Jacobs Bullet List 1"/>
    <w:uiPriority w:val="99"/>
    <w:rsid w:val="007A33C5"/>
    <w:pPr>
      <w:numPr>
        <w:numId w:val="13"/>
      </w:numPr>
    </w:pPr>
  </w:style>
  <w:style w:type="numbering" w:customStyle="1" w:styleId="JacobsBulletList2">
    <w:name w:val="Jacobs Bullet List 2"/>
    <w:uiPriority w:val="99"/>
    <w:rsid w:val="007A33C5"/>
    <w:pPr>
      <w:numPr>
        <w:numId w:val="14"/>
      </w:numPr>
    </w:pPr>
  </w:style>
  <w:style w:type="paragraph" w:customStyle="1" w:styleId="PurpleHeading">
    <w:name w:val="Purple Heading"/>
    <w:basedOn w:val="Normal"/>
    <w:uiPriority w:val="99"/>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uiPriority w:val="99"/>
    <w:semiHidden/>
    <w:rsid w:val="00AD7CFC"/>
    <w:pPr>
      <w:framePr w:wrap="around"/>
      <w:spacing w:before="0"/>
    </w:pPr>
    <w:rPr>
      <w:rFonts w:ascii="Arial" w:hAnsi="Arial"/>
      <w:b w:val="0"/>
      <w:caps/>
      <w:sz w:val="18"/>
    </w:rPr>
  </w:style>
  <w:style w:type="table" w:styleId="MediumList2">
    <w:name w:val="Medium List 2"/>
    <w:basedOn w:val="TableNormal"/>
    <w:uiPriority w:val="99"/>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99"/>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Lucida Grande" w:hAnsi="Lucida Grande"/>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Lucida Grande" w:hAnsi="Lucida Grande"/>
        <w:b/>
        <w:color w:val="000000"/>
        <w:sz w:val="50"/>
      </w:rPr>
      <w:tblPr/>
      <w:tcPr>
        <w:shd w:val="clear" w:color="auto" w:fill="CFCAC7"/>
      </w:tcPr>
    </w:tblStylePr>
  </w:style>
  <w:style w:type="paragraph" w:customStyle="1" w:styleId="PenPicBodyheading">
    <w:name w:val="Pen Pic Body heading"/>
    <w:basedOn w:val="Bodyheading"/>
    <w:uiPriority w:val="99"/>
    <w:semiHidden/>
    <w:rsid w:val="00AD7CFC"/>
    <w:pPr>
      <w:ind w:left="284"/>
    </w:pPr>
  </w:style>
  <w:style w:type="paragraph" w:customStyle="1" w:styleId="PenPicSidebartext">
    <w:name w:val="Pen Pic Sidebar text"/>
    <w:basedOn w:val="Normal"/>
    <w:uiPriority w:val="99"/>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uiPriority w:val="99"/>
    <w:rsid w:val="000A0E10"/>
    <w:pPr>
      <w:framePr w:hSpace="0" w:wrap="auto" w:hAnchor="text" w:xAlign="left" w:yAlign="inline"/>
      <w:numPr>
        <w:numId w:val="10"/>
      </w:numPr>
    </w:pPr>
    <w:rPr>
      <w:color w:val="000000"/>
      <w:sz w:val="19"/>
    </w:rPr>
  </w:style>
  <w:style w:type="numbering" w:customStyle="1" w:styleId="JacobsBulletList3">
    <w:name w:val="Jacobs Bullet List 3"/>
    <w:rsid w:val="007A33C5"/>
    <w:pPr>
      <w:numPr>
        <w:numId w:val="15"/>
      </w:numPr>
    </w:pPr>
  </w:style>
  <w:style w:type="numbering" w:customStyle="1" w:styleId="JacobsTableList1">
    <w:name w:val="Jacobs Table List 1"/>
    <w:rsid w:val="007A33C5"/>
    <w:pPr>
      <w:numPr>
        <w:numId w:val="25"/>
      </w:numPr>
    </w:pPr>
  </w:style>
  <w:style w:type="numbering" w:customStyle="1" w:styleId="JacobsTableNumberedList1">
    <w:name w:val="Jacobs Table Numbered List 1"/>
    <w:rsid w:val="007A33C5"/>
    <w:pPr>
      <w:numPr>
        <w:numId w:val="26"/>
      </w:numPr>
    </w:pPr>
  </w:style>
  <w:style w:type="numbering" w:customStyle="1" w:styleId="JacobsTableNumberedList2">
    <w:name w:val="Jacobs Table Numbered List 2"/>
    <w:rsid w:val="007A33C5"/>
    <w:pPr>
      <w:numPr>
        <w:numId w:val="27"/>
      </w:numPr>
    </w:pPr>
  </w:style>
  <w:style w:type="numbering" w:customStyle="1" w:styleId="JacobsSmallTableList1">
    <w:name w:val="Jacobs Small Table List 1"/>
    <w:rsid w:val="007A33C5"/>
    <w:pPr>
      <w:numPr>
        <w:numId w:val="21"/>
      </w:numPr>
    </w:pPr>
  </w:style>
  <w:style w:type="numbering" w:customStyle="1" w:styleId="JacobsSmallTableNumberedList1">
    <w:name w:val="Jacobs Small Table Numbered List 1"/>
    <w:rsid w:val="007A33C5"/>
    <w:pPr>
      <w:numPr>
        <w:numId w:val="22"/>
      </w:numPr>
    </w:pPr>
  </w:style>
  <w:style w:type="numbering" w:customStyle="1" w:styleId="JacobsSmallTableNumberedList2">
    <w:name w:val="Jacobs Small Table Numbered List 2"/>
    <w:rsid w:val="007A33C5"/>
    <w:pPr>
      <w:numPr>
        <w:numId w:val="23"/>
      </w:numPr>
    </w:pPr>
  </w:style>
  <w:style w:type="numbering" w:customStyle="1" w:styleId="JacobsBodyList">
    <w:name w:val="Jacobs Body List"/>
    <w:rsid w:val="007A33C5"/>
    <w:pPr>
      <w:numPr>
        <w:numId w:val="12"/>
      </w:numPr>
    </w:pPr>
  </w:style>
  <w:style w:type="numbering" w:customStyle="1" w:styleId="JacobsNarrowList">
    <w:name w:val="Jacobs Narrow List"/>
    <w:rsid w:val="007A33C5"/>
    <w:pPr>
      <w:numPr>
        <w:numId w:val="16"/>
      </w:numPr>
    </w:pPr>
  </w:style>
  <w:style w:type="numbering" w:customStyle="1" w:styleId="JacobsSidebarList">
    <w:name w:val="Jacobs Sidebar List"/>
    <w:rsid w:val="007A33C5"/>
    <w:pPr>
      <w:numPr>
        <w:numId w:val="20"/>
      </w:numPr>
    </w:pPr>
  </w:style>
  <w:style w:type="paragraph" w:customStyle="1" w:styleId="Reference">
    <w:name w:val="Reference"/>
    <w:basedOn w:val="Para0"/>
    <w:uiPriority w:val="99"/>
    <w:rsid w:val="00AD7CFC"/>
    <w:pPr>
      <w:spacing w:before="0"/>
      <w:contextualSpacing/>
    </w:pPr>
    <w:rPr>
      <w:i/>
      <w:sz w:val="14"/>
    </w:rPr>
  </w:style>
  <w:style w:type="paragraph" w:styleId="EndnoteText">
    <w:name w:val="endnote text"/>
    <w:basedOn w:val="Normal"/>
    <w:link w:val="EndnoteTextChar"/>
    <w:uiPriority w:val="99"/>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99"/>
    <w:rsid w:val="008B6D44"/>
    <w:rPr>
      <w:rFonts w:ascii="Arial" w:hAnsi="Arial"/>
      <w:sz w:val="15"/>
      <w:szCs w:val="20"/>
      <w:lang w:val="en-AU"/>
    </w:rPr>
  </w:style>
  <w:style w:type="character" w:styleId="EndnoteReference">
    <w:name w:val="endnote reference"/>
    <w:basedOn w:val="DefaultParagraphFont"/>
    <w:uiPriority w:val="99"/>
    <w:rsid w:val="00AD7CFC"/>
    <w:rPr>
      <w:rFonts w:ascii="Arial" w:hAnsi="Arial"/>
      <w:sz w:val="15"/>
      <w:vertAlign w:val="superscript"/>
    </w:rPr>
  </w:style>
  <w:style w:type="paragraph" w:customStyle="1" w:styleId="CoverTitle">
    <w:name w:val="Cover Title"/>
    <w:basedOn w:val="CoverHeading2"/>
    <w:uiPriority w:val="99"/>
    <w:rsid w:val="00AD7CFC"/>
    <w:rPr>
      <w:sz w:val="24"/>
    </w:rPr>
  </w:style>
  <w:style w:type="paragraph" w:customStyle="1" w:styleId="CoverHeading2">
    <w:name w:val="Cover Heading 2"/>
    <w:basedOn w:val="CoverHeading"/>
    <w:uiPriority w:val="99"/>
    <w:rsid w:val="00AD7CFC"/>
    <w:rPr>
      <w:color w:val="00338D"/>
    </w:rPr>
  </w:style>
  <w:style w:type="paragraph" w:customStyle="1" w:styleId="CoverSubheading2">
    <w:name w:val="Cover Subheading 2"/>
    <w:basedOn w:val="CoverHeading2"/>
    <w:uiPriority w:val="99"/>
    <w:rsid w:val="00903EC7"/>
    <w:pPr>
      <w:spacing w:line="280" w:lineRule="exact"/>
    </w:pPr>
    <w:rPr>
      <w:rFonts w:ascii="Arial" w:hAnsi="Arial"/>
      <w:color w:val="6C6F70"/>
      <w:sz w:val="24"/>
    </w:rPr>
  </w:style>
  <w:style w:type="paragraph" w:customStyle="1" w:styleId="CoverDate2">
    <w:name w:val="Cover Date 2"/>
    <w:basedOn w:val="CoverDate"/>
    <w:uiPriority w:val="99"/>
    <w:rsid w:val="00AD7CFC"/>
    <w:rPr>
      <w:color w:val="6C6F70"/>
      <w:sz w:val="24"/>
    </w:rPr>
  </w:style>
  <w:style w:type="paragraph" w:customStyle="1" w:styleId="Tableitem">
    <w:name w:val="Table item"/>
    <w:basedOn w:val="Tabletext"/>
    <w:uiPriority w:val="99"/>
    <w:rsid w:val="00AD7CFC"/>
    <w:pPr>
      <w:numPr>
        <w:numId w:val="24"/>
      </w:numPr>
    </w:pPr>
  </w:style>
  <w:style w:type="paragraph" w:customStyle="1" w:styleId="Tablesmallitem">
    <w:name w:val="Table small item"/>
    <w:basedOn w:val="Tablesmalltext"/>
    <w:uiPriority w:val="99"/>
    <w:rsid w:val="00AD7CFC"/>
    <w:pPr>
      <w:numPr>
        <w:numId w:val="28"/>
      </w:numPr>
    </w:pPr>
  </w:style>
  <w:style w:type="numbering" w:customStyle="1" w:styleId="JacobsTableItem">
    <w:name w:val="Jacobs Table Item"/>
    <w:rsid w:val="007A33C5"/>
    <w:pPr>
      <w:numPr>
        <w:numId w:val="24"/>
      </w:numPr>
    </w:pPr>
  </w:style>
  <w:style w:type="numbering" w:customStyle="1" w:styleId="JacobsTablesmallitem">
    <w:name w:val="Jacobs Table small item"/>
    <w:rsid w:val="007A33C5"/>
    <w:pPr>
      <w:numPr>
        <w:numId w:val="28"/>
      </w:numPr>
    </w:pPr>
  </w:style>
  <w:style w:type="paragraph" w:customStyle="1" w:styleId="Appendixsubheading3">
    <w:name w:val="Appendix subheading 3"/>
    <w:basedOn w:val="Appendixsubheading2"/>
    <w:next w:val="Para0"/>
    <w:uiPriority w:val="99"/>
    <w:rsid w:val="001F418B"/>
    <w:pPr>
      <w:numPr>
        <w:ilvl w:val="3"/>
      </w:numPr>
    </w:pPr>
    <w:rPr>
      <w:color w:val="auto"/>
    </w:rPr>
  </w:style>
  <w:style w:type="paragraph" w:customStyle="1" w:styleId="Para3">
    <w:name w:val="Para 3"/>
    <w:basedOn w:val="Para2"/>
    <w:uiPriority w:val="99"/>
    <w:rsid w:val="00AD7CFC"/>
    <w:pPr>
      <w:ind w:left="1276"/>
    </w:pPr>
  </w:style>
  <w:style w:type="paragraph" w:customStyle="1" w:styleId="Para3bold">
    <w:name w:val="Para 3 bold"/>
    <w:basedOn w:val="Para2bold"/>
    <w:uiPriority w:val="99"/>
    <w:rsid w:val="00AD7CFC"/>
    <w:pPr>
      <w:ind w:left="1276"/>
    </w:pPr>
  </w:style>
  <w:style w:type="paragraph" w:customStyle="1" w:styleId="Para3bullet">
    <w:name w:val="Para 3 bullet"/>
    <w:basedOn w:val="Para2bullet"/>
    <w:uiPriority w:val="99"/>
    <w:rsid w:val="007C1375"/>
    <w:pPr>
      <w:ind w:left="1701"/>
    </w:pPr>
  </w:style>
  <w:style w:type="paragraph" w:customStyle="1" w:styleId="Para3dash">
    <w:name w:val="Para 3 dash"/>
    <w:basedOn w:val="Para2dash"/>
    <w:uiPriority w:val="99"/>
    <w:rsid w:val="007C1375"/>
    <w:pPr>
      <w:ind w:left="1701"/>
    </w:pPr>
  </w:style>
  <w:style w:type="paragraph" w:customStyle="1" w:styleId="Para3number">
    <w:name w:val="Para 3 number"/>
    <w:basedOn w:val="Para2number"/>
    <w:uiPriority w:val="99"/>
    <w:rsid w:val="007C1375"/>
    <w:pPr>
      <w:ind w:left="1701"/>
    </w:pPr>
  </w:style>
  <w:style w:type="paragraph" w:customStyle="1" w:styleId="Para3letter">
    <w:name w:val="Para 3 letter"/>
    <w:basedOn w:val="Para2letter"/>
    <w:uiPriority w:val="99"/>
    <w:rsid w:val="007C1375"/>
    <w:pPr>
      <w:ind w:left="1701"/>
    </w:pPr>
  </w:style>
  <w:style w:type="paragraph" w:customStyle="1" w:styleId="Para3roman">
    <w:name w:val="Para 3 roman"/>
    <w:basedOn w:val="Para2roman"/>
    <w:uiPriority w:val="99"/>
    <w:rsid w:val="0032547E"/>
    <w:pPr>
      <w:ind w:left="1701"/>
    </w:pPr>
  </w:style>
  <w:style w:type="paragraph" w:customStyle="1" w:styleId="Para4">
    <w:name w:val="Para 4"/>
    <w:basedOn w:val="Para3"/>
    <w:uiPriority w:val="99"/>
    <w:rsid w:val="00AD7CFC"/>
    <w:pPr>
      <w:ind w:left="1701"/>
    </w:pPr>
  </w:style>
  <w:style w:type="paragraph" w:customStyle="1" w:styleId="Para4bold">
    <w:name w:val="Para 4 bold"/>
    <w:basedOn w:val="Para3bold"/>
    <w:uiPriority w:val="99"/>
    <w:rsid w:val="00AD7CFC"/>
    <w:pPr>
      <w:ind w:left="1701"/>
    </w:pPr>
  </w:style>
  <w:style w:type="paragraph" w:customStyle="1" w:styleId="Para4bullet">
    <w:name w:val="Para 4 bullet"/>
    <w:basedOn w:val="Para3bullet"/>
    <w:uiPriority w:val="99"/>
    <w:rsid w:val="0066339A"/>
    <w:pPr>
      <w:ind w:left="2126"/>
    </w:pPr>
  </w:style>
  <w:style w:type="paragraph" w:customStyle="1" w:styleId="Para4dash">
    <w:name w:val="Para 4 dash"/>
    <w:basedOn w:val="Para3dash"/>
    <w:uiPriority w:val="99"/>
    <w:rsid w:val="0066339A"/>
    <w:pPr>
      <w:ind w:left="2126"/>
    </w:pPr>
  </w:style>
  <w:style w:type="paragraph" w:customStyle="1" w:styleId="Para4number">
    <w:name w:val="Para 4 number"/>
    <w:basedOn w:val="Para3number"/>
    <w:uiPriority w:val="99"/>
    <w:rsid w:val="0066339A"/>
    <w:pPr>
      <w:ind w:left="2126"/>
    </w:pPr>
  </w:style>
  <w:style w:type="paragraph" w:customStyle="1" w:styleId="Para4letter">
    <w:name w:val="Para 4 letter"/>
    <w:basedOn w:val="Para3letter"/>
    <w:uiPriority w:val="99"/>
    <w:rsid w:val="0066339A"/>
    <w:pPr>
      <w:ind w:left="2126"/>
    </w:pPr>
  </w:style>
  <w:style w:type="paragraph" w:customStyle="1" w:styleId="Para4roman">
    <w:name w:val="Para 4 roman"/>
    <w:basedOn w:val="Para3roman"/>
    <w:uiPriority w:val="99"/>
    <w:rsid w:val="0032547E"/>
    <w:pPr>
      <w:ind w:left="2126"/>
    </w:pPr>
  </w:style>
  <w:style w:type="paragraph" w:customStyle="1" w:styleId="ClientName">
    <w:name w:val="Client Name"/>
    <w:basedOn w:val="Tabletext"/>
    <w:uiPriority w:val="99"/>
    <w:qFormat/>
    <w:rsid w:val="0032547E"/>
    <w:pPr>
      <w:spacing w:before="0"/>
    </w:pPr>
  </w:style>
  <w:style w:type="character" w:customStyle="1" w:styleId="Para0Char">
    <w:name w:val="Para 0 Char"/>
    <w:aliases w:val="Auto Char,After:  3 pt Char Char"/>
    <w:basedOn w:val="DefaultParagraphFont"/>
    <w:link w:val="Para0"/>
    <w:uiPriority w:val="4"/>
    <w:rsid w:val="00E33614"/>
    <w:rPr>
      <w:rFonts w:ascii="Arial" w:hAnsi="Arial"/>
      <w:sz w:val="20"/>
      <w:lang w:val="en-GB"/>
    </w:rPr>
  </w:style>
  <w:style w:type="paragraph" w:styleId="IntenseQuote">
    <w:name w:val="Intense Quote"/>
    <w:basedOn w:val="Normal"/>
    <w:next w:val="Normal"/>
    <w:link w:val="IntenseQuoteChar"/>
    <w:uiPriority w:val="99"/>
    <w:qFormat/>
    <w:rsid w:val="0032547E"/>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99"/>
    <w:rsid w:val="00AD7CFC"/>
    <w:rPr>
      <w:rFonts w:ascii="Arial" w:hAnsi="Arial"/>
      <w:b/>
      <w:bCs/>
      <w:i/>
      <w:iCs/>
      <w:color w:val="00338D" w:themeColor="accent1"/>
      <w:sz w:val="20"/>
      <w:lang w:val="en-GB"/>
    </w:rPr>
  </w:style>
  <w:style w:type="paragraph" w:customStyle="1" w:styleId="ProjectNo">
    <w:name w:val="Project No"/>
    <w:basedOn w:val="Tabletext"/>
    <w:uiPriority w:val="99"/>
    <w:rsid w:val="00AD7CFC"/>
    <w:pPr>
      <w:spacing w:before="0"/>
    </w:pPr>
  </w:style>
  <w:style w:type="paragraph" w:styleId="Quote">
    <w:name w:val="Quote"/>
    <w:basedOn w:val="Normal"/>
    <w:next w:val="Normal"/>
    <w:link w:val="QuoteChar"/>
    <w:uiPriority w:val="99"/>
    <w:qFormat/>
    <w:rsid w:val="00AD7CFC"/>
    <w:rPr>
      <w:i/>
      <w:iCs/>
      <w:color w:val="00338D"/>
    </w:rPr>
  </w:style>
  <w:style w:type="character" w:customStyle="1" w:styleId="QuoteChar">
    <w:name w:val="Quote Char"/>
    <w:basedOn w:val="DefaultParagraphFont"/>
    <w:link w:val="Quote"/>
    <w:uiPriority w:val="99"/>
    <w:rsid w:val="00AD7CFC"/>
    <w:rPr>
      <w:rFonts w:ascii="Arial" w:hAnsi="Arial"/>
      <w:i/>
      <w:iCs/>
      <w:color w:val="00338D"/>
      <w:sz w:val="20"/>
      <w:lang w:val="en-AU"/>
    </w:rPr>
  </w:style>
  <w:style w:type="paragraph" w:styleId="Subtitle">
    <w:name w:val="Subtitle"/>
    <w:basedOn w:val="Normal"/>
    <w:next w:val="Normal"/>
    <w:link w:val="SubtitleChar"/>
    <w:uiPriority w:val="99"/>
    <w:qFormat/>
    <w:rsid w:val="0032547E"/>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99"/>
    <w:rsid w:val="00AD7CFC"/>
    <w:rPr>
      <w:rFonts w:asciiTheme="majorHAnsi" w:eastAsiaTheme="majorEastAsia" w:hAnsiTheme="majorHAnsi" w:cstheme="majorBidi"/>
      <w:i/>
      <w:iCs/>
      <w:color w:val="00338D" w:themeColor="accent1"/>
      <w:spacing w:val="15"/>
      <w:lang w:val="en-GB"/>
    </w:rPr>
  </w:style>
  <w:style w:type="paragraph" w:customStyle="1" w:styleId="EmptyHeader">
    <w:name w:val="Empty Header"/>
    <w:basedOn w:val="Header"/>
    <w:uiPriority w:val="99"/>
    <w:rsid w:val="0085252A"/>
    <w:pPr>
      <w:spacing w:line="20" w:lineRule="exact"/>
    </w:pPr>
    <w:rPr>
      <w:sz w:val="2"/>
    </w:rPr>
  </w:style>
  <w:style w:type="paragraph" w:customStyle="1" w:styleId="HeaderSpacer">
    <w:name w:val="Header Spacer"/>
    <w:basedOn w:val="Header"/>
    <w:rsid w:val="00014CF3"/>
    <w:pPr>
      <w:spacing w:line="480" w:lineRule="exact"/>
      <w:ind w:left="0"/>
    </w:p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99"/>
    <w:rsid w:val="00CD27CA"/>
    <w:pPr>
      <w:ind w:left="3402"/>
      <w:jc w:val="left"/>
    </w:pPr>
  </w:style>
  <w:style w:type="paragraph" w:customStyle="1" w:styleId="CVRole">
    <w:name w:val="CV Role"/>
    <w:basedOn w:val="Projectrole1"/>
    <w:next w:val="Bodynarrow"/>
    <w:uiPriority w:val="99"/>
    <w:rsid w:val="00CD27CA"/>
    <w:pPr>
      <w:ind w:left="3402"/>
      <w:jc w:val="left"/>
    </w:pPr>
  </w:style>
  <w:style w:type="paragraph" w:customStyle="1" w:styleId="Name3">
    <w:name w:val="Name 3"/>
    <w:basedOn w:val="Name1"/>
    <w:uiPriority w:val="99"/>
    <w:semiHidden/>
    <w:rsid w:val="00CD27CA"/>
    <w:pPr>
      <w:ind w:left="3402"/>
      <w:jc w:val="left"/>
    </w:pPr>
  </w:style>
  <w:style w:type="paragraph" w:customStyle="1" w:styleId="PDLocation">
    <w:name w:val="PD Location"/>
    <w:basedOn w:val="Normal"/>
    <w:uiPriority w:val="99"/>
    <w:rsid w:val="00CD27CA"/>
    <w:pPr>
      <w:spacing w:after="160"/>
      <w:ind w:left="3402"/>
    </w:pPr>
    <w:rPr>
      <w:caps/>
      <w:color w:val="00338D"/>
    </w:rPr>
  </w:style>
  <w:style w:type="paragraph" w:customStyle="1" w:styleId="PDName">
    <w:name w:val="PD Name"/>
    <w:basedOn w:val="Normal"/>
    <w:uiPriority w:val="99"/>
    <w:rsid w:val="001449D8"/>
    <w:pPr>
      <w:spacing w:after="160" w:line="400" w:lineRule="exact"/>
      <w:ind w:left="3402"/>
    </w:pPr>
    <w:rPr>
      <w:rFonts w:ascii="Arial Black" w:hAnsi="Arial Black"/>
      <w:color w:val="00338D"/>
      <w:sz w:val="36"/>
    </w:rPr>
  </w:style>
  <w:style w:type="paragraph" w:customStyle="1" w:styleId="SummaryBoxBullet">
    <w:name w:val="Summary Box Bullet"/>
    <w:basedOn w:val="Normal"/>
    <w:uiPriority w:val="99"/>
    <w:unhideWhenUsed/>
    <w:rsid w:val="0032547E"/>
    <w:pPr>
      <w:numPr>
        <w:numId w:val="11"/>
      </w:numPr>
    </w:pPr>
    <w:rPr>
      <w:rFonts w:cs="Arial"/>
      <w:color w:val="666666"/>
      <w:szCs w:val="18"/>
    </w:rPr>
  </w:style>
  <w:style w:type="paragraph" w:customStyle="1" w:styleId="SummaryBoxHeading">
    <w:name w:val="Summary Box Heading"/>
    <w:basedOn w:val="Normal"/>
    <w:next w:val="Normal"/>
    <w:uiPriority w:val="99"/>
    <w:unhideWhenUsed/>
    <w:rsid w:val="0032547E"/>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iPriority w:val="99"/>
    <w:unhideWhenUsed/>
    <w:rsid w:val="0032547E"/>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iPriority w:val="99"/>
    <w:unhideWhenUsed/>
    <w:rsid w:val="0032547E"/>
    <w:pPr>
      <w:spacing w:after="60" w:line="240" w:lineRule="auto"/>
    </w:pPr>
    <w:rPr>
      <w:rFonts w:cs="Arial"/>
      <w:b/>
      <w:color w:val="00338D"/>
      <w:szCs w:val="20"/>
      <w:lang w:val="en-AU"/>
    </w:rPr>
  </w:style>
  <w:style w:type="paragraph" w:customStyle="1" w:styleId="QuoteBoxSubtextItalics">
    <w:name w:val="Quote Box Subtext Italics"/>
    <w:basedOn w:val="QuoteBoxSubtext"/>
    <w:uiPriority w:val="99"/>
    <w:unhideWhenUsed/>
    <w:rsid w:val="0032547E"/>
    <w:rPr>
      <w:b w:val="0"/>
      <w:i/>
    </w:rPr>
  </w:style>
  <w:style w:type="paragraph" w:customStyle="1" w:styleId="QuoteBoxText">
    <w:name w:val="Quote Box Text"/>
    <w:basedOn w:val="Normal"/>
    <w:uiPriority w:val="99"/>
    <w:unhideWhenUsed/>
    <w:rsid w:val="0032547E"/>
    <w:rPr>
      <w:rFonts w:cs="Arial"/>
      <w:b/>
      <w:color w:val="00338D"/>
      <w:sz w:val="24"/>
    </w:rPr>
  </w:style>
  <w:style w:type="paragraph" w:customStyle="1" w:styleId="ImageCaptionHeading">
    <w:name w:val="Image Caption Heading"/>
    <w:basedOn w:val="Normal"/>
    <w:next w:val="Normal"/>
    <w:uiPriority w:val="99"/>
    <w:unhideWhenUsed/>
    <w:rsid w:val="0032547E"/>
    <w:pPr>
      <w:spacing w:after="0" w:line="200" w:lineRule="exact"/>
    </w:pPr>
    <w:rPr>
      <w:rFonts w:cs="Arial"/>
      <w:b/>
      <w:color w:val="999999"/>
      <w:sz w:val="16"/>
      <w:szCs w:val="16"/>
      <w:lang w:val="en-AU"/>
    </w:rPr>
  </w:style>
  <w:style w:type="paragraph" w:customStyle="1" w:styleId="ImageCaptionSubtext">
    <w:name w:val="Image Caption Subtext"/>
    <w:basedOn w:val="ImageCaptionHeading"/>
    <w:uiPriority w:val="99"/>
    <w:unhideWhenUsed/>
    <w:rsid w:val="0032547E"/>
    <w:rPr>
      <w:b w:val="0"/>
    </w:rPr>
  </w:style>
  <w:style w:type="paragraph" w:customStyle="1" w:styleId="CoverHeading10ptText1Right0cm">
    <w:name w:val="Cover Heading + 10 pt Text 1 Right:  0 cm"/>
    <w:basedOn w:val="CoverHeading"/>
    <w:uiPriority w:val="99"/>
    <w:rsid w:val="0023226C"/>
    <w:pPr>
      <w:ind w:right="0"/>
    </w:pPr>
    <w:rPr>
      <w:rFonts w:eastAsia="Times New Roman" w:cs="Times New Roman"/>
      <w:color w:val="00338D"/>
      <w:sz w:val="20"/>
      <w:szCs w:val="20"/>
    </w:rPr>
  </w:style>
  <w:style w:type="table" w:styleId="TableProfessional">
    <w:name w:val="Table Professional"/>
    <w:basedOn w:val="TableNormal"/>
    <w:uiPriority w:val="99"/>
    <w:rsid w:val="0023226C"/>
    <w:pPr>
      <w:spacing w:before="60" w:after="120"/>
    </w:pPr>
    <w:rPr>
      <w:rFonts w:ascii="Arial" w:eastAsia="Times New Roman" w:hAnsi="Arial"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Followon">
    <w:name w:val="Follow on"/>
    <w:basedOn w:val="Body"/>
    <w:uiPriority w:val="99"/>
    <w:rsid w:val="0023226C"/>
    <w:pPr>
      <w:tabs>
        <w:tab w:val="left" w:pos="567"/>
      </w:tabs>
      <w:spacing w:before="0" w:after="40" w:line="240" w:lineRule="auto"/>
      <w:ind w:left="567" w:hanging="567"/>
      <w:jc w:val="left"/>
    </w:pPr>
    <w:rPr>
      <w:sz w:val="16"/>
      <w:szCs w:val="22"/>
    </w:rPr>
  </w:style>
  <w:style w:type="paragraph" w:customStyle="1" w:styleId="AppendixContents">
    <w:name w:val="Appendix Contents"/>
    <w:uiPriority w:val="99"/>
    <w:rsid w:val="0023226C"/>
    <w:pPr>
      <w:spacing w:after="120" w:line="336" w:lineRule="atLeast"/>
      <w:ind w:left="1559"/>
      <w:jc w:val="right"/>
    </w:pPr>
    <w:rPr>
      <w:rFonts w:ascii="Arial" w:eastAsia="Times New Roman" w:hAnsi="Arial" w:cs="Times New Roman"/>
      <w:sz w:val="28"/>
      <w:szCs w:val="20"/>
      <w:lang w:val="en-AU"/>
    </w:rPr>
  </w:style>
  <w:style w:type="paragraph" w:customStyle="1" w:styleId="AppendixHeading">
    <w:name w:val="Appendix Heading"/>
    <w:next w:val="AppendixContents"/>
    <w:uiPriority w:val="99"/>
    <w:rsid w:val="0023226C"/>
    <w:pPr>
      <w:spacing w:after="480" w:line="336" w:lineRule="atLeast"/>
      <w:ind w:left="1559"/>
      <w:jc w:val="right"/>
    </w:pPr>
    <w:rPr>
      <w:rFonts w:ascii="Arial" w:eastAsia="Times New Roman" w:hAnsi="Arial" w:cs="Times New Roman"/>
      <w:sz w:val="40"/>
      <w:szCs w:val="20"/>
      <w:lang w:val="en-AU"/>
    </w:rPr>
  </w:style>
  <w:style w:type="paragraph" w:customStyle="1" w:styleId="ProjectSubject">
    <w:name w:val="Project + Subject"/>
    <w:basedOn w:val="Normal"/>
    <w:uiPriority w:val="99"/>
    <w:rsid w:val="0023226C"/>
    <w:pPr>
      <w:spacing w:before="520" w:after="520" w:line="240" w:lineRule="auto"/>
      <w:jc w:val="center"/>
    </w:pPr>
    <w:rPr>
      <w:rFonts w:ascii="Arial Bold" w:eastAsia="Times New Roman" w:hAnsi="Arial Bold" w:cs="Arial"/>
      <w:b/>
      <w:smallCaps/>
      <w:sz w:val="52"/>
      <w:szCs w:val="52"/>
    </w:rPr>
  </w:style>
  <w:style w:type="paragraph" w:customStyle="1" w:styleId="Client">
    <w:name w:val="Client"/>
    <w:basedOn w:val="Normal"/>
    <w:uiPriority w:val="99"/>
    <w:rsid w:val="0023226C"/>
    <w:pPr>
      <w:spacing w:before="520" w:after="520" w:line="240" w:lineRule="auto"/>
      <w:jc w:val="center"/>
    </w:pPr>
    <w:rPr>
      <w:rFonts w:eastAsia="Times New Roman" w:cs="Arial"/>
      <w:smallCaps/>
      <w:sz w:val="52"/>
      <w:szCs w:val="52"/>
      <w:lang w:val="en"/>
    </w:rPr>
  </w:style>
  <w:style w:type="paragraph" w:customStyle="1" w:styleId="ExecutiveSummary">
    <w:name w:val="Executive Summary"/>
    <w:basedOn w:val="Heading1"/>
    <w:next w:val="Body"/>
    <w:uiPriority w:val="99"/>
    <w:rsid w:val="0023226C"/>
    <w:pPr>
      <w:keepLines w:val="0"/>
      <w:numPr>
        <w:numId w:val="0"/>
      </w:numPr>
      <w:pBdr>
        <w:bottom w:val="single" w:sz="12" w:space="1" w:color="auto"/>
      </w:pBdr>
      <w:spacing w:before="380" w:after="80" w:line="280" w:lineRule="atLeast"/>
    </w:pPr>
    <w:rPr>
      <w:rFonts w:ascii="Arial Bold" w:eastAsia="Times New Roman" w:hAnsi="Arial Bold" w:cs="Times New Roman"/>
      <w:bCs w:val="0"/>
      <w:caps/>
      <w:color w:val="auto"/>
      <w:sz w:val="28"/>
      <w:lang w:eastAsia="x-none"/>
    </w:rPr>
  </w:style>
  <w:style w:type="paragraph" w:customStyle="1" w:styleId="TOCHeadings">
    <w:name w:val="TOC Headings"/>
    <w:basedOn w:val="Bold"/>
    <w:next w:val="Body"/>
    <w:uiPriority w:val="99"/>
    <w:rsid w:val="0023226C"/>
    <w:pPr>
      <w:pBdr>
        <w:bottom w:val="single" w:sz="4" w:space="1" w:color="auto"/>
      </w:pBdr>
    </w:pPr>
    <w:rPr>
      <w:rFonts w:ascii="Arial Bold" w:hAnsi="Arial Bold"/>
      <w:caps/>
    </w:rPr>
  </w:style>
  <w:style w:type="character" w:styleId="FollowedHyperlink">
    <w:name w:val="FollowedHyperlink"/>
    <w:uiPriority w:val="99"/>
    <w:rsid w:val="0023226C"/>
    <w:rPr>
      <w:rFonts w:ascii="Arial" w:hAnsi="Arial"/>
      <w:color w:val="800080"/>
      <w:sz w:val="22"/>
      <w:u w:val="single"/>
    </w:rPr>
  </w:style>
  <w:style w:type="paragraph" w:styleId="TableofFigures">
    <w:name w:val="table of figures"/>
    <w:basedOn w:val="Normal"/>
    <w:next w:val="Normal"/>
    <w:uiPriority w:val="99"/>
    <w:rsid w:val="0023226C"/>
    <w:pPr>
      <w:spacing w:before="60" w:after="120" w:line="280" w:lineRule="atLeast"/>
      <w:jc w:val="both"/>
    </w:pPr>
    <w:rPr>
      <w:rFonts w:eastAsia="Times New Roman" w:cs="Times New Roman"/>
      <w:szCs w:val="20"/>
    </w:rPr>
  </w:style>
  <w:style w:type="paragraph" w:customStyle="1" w:styleId="Bullet2">
    <w:name w:val="Bullet2"/>
    <w:aliases w:val="b2"/>
    <w:basedOn w:val="Body"/>
    <w:uiPriority w:val="99"/>
    <w:rsid w:val="0023226C"/>
    <w:pPr>
      <w:numPr>
        <w:numId w:val="30"/>
      </w:numPr>
      <w:tabs>
        <w:tab w:val="clear" w:pos="567"/>
        <w:tab w:val="left" w:pos="851"/>
      </w:tabs>
      <w:spacing w:before="0" w:after="60"/>
      <w:ind w:left="851" w:hanging="284"/>
    </w:pPr>
  </w:style>
  <w:style w:type="paragraph" w:customStyle="1" w:styleId="Bullet">
    <w:name w:val="Bullet"/>
    <w:aliases w:val="b1"/>
    <w:basedOn w:val="Body"/>
    <w:uiPriority w:val="99"/>
    <w:rsid w:val="0023226C"/>
    <w:pPr>
      <w:numPr>
        <w:numId w:val="29"/>
      </w:numPr>
      <w:tabs>
        <w:tab w:val="left" w:pos="567"/>
      </w:tabs>
      <w:spacing w:before="0" w:after="100"/>
      <w:ind w:left="4298" w:hanging="851"/>
    </w:pPr>
  </w:style>
  <w:style w:type="paragraph" w:customStyle="1" w:styleId="Body">
    <w:name w:val="Body"/>
    <w:aliases w:val="b,bullet,bu,B,b Char Char Char Char Char Char Char Char,Text,Block,First,Indent,Macro,Plain,Body1,b3,b Char Char Char,b Char Char Char Char Char Char,b Char Char,Body Char1 Char1,body,Body Char Char,ba,A,body1,bu1,Body11"/>
    <w:link w:val="BodyChar"/>
    <w:rsid w:val="0023226C"/>
    <w:pPr>
      <w:spacing w:before="60" w:after="120" w:line="280" w:lineRule="atLeast"/>
      <w:jc w:val="both"/>
    </w:pPr>
    <w:rPr>
      <w:rFonts w:ascii="Arial" w:eastAsia="Times New Roman" w:hAnsi="Arial" w:cs="Arial"/>
      <w:sz w:val="22"/>
      <w:szCs w:val="20"/>
      <w:lang w:val="en-AU"/>
    </w:rPr>
  </w:style>
  <w:style w:type="paragraph" w:customStyle="1" w:styleId="Bold">
    <w:name w:val="Bold"/>
    <w:aliases w:val="bs"/>
    <w:basedOn w:val="Body"/>
    <w:next w:val="Body"/>
    <w:uiPriority w:val="99"/>
    <w:rsid w:val="0023226C"/>
    <w:pPr>
      <w:keepNext/>
      <w:keepLines/>
      <w:spacing w:before="240" w:after="60" w:line="240" w:lineRule="auto"/>
    </w:pPr>
    <w:rPr>
      <w:b/>
    </w:rPr>
  </w:style>
  <w:style w:type="paragraph" w:customStyle="1" w:styleId="BoldItalics">
    <w:name w:val="Bold/Italics"/>
    <w:aliases w:val="bi"/>
    <w:basedOn w:val="Body"/>
    <w:next w:val="Body"/>
    <w:uiPriority w:val="99"/>
    <w:rsid w:val="0023226C"/>
    <w:pPr>
      <w:keepNext/>
      <w:keepLines/>
      <w:spacing w:before="240" w:after="60" w:line="240" w:lineRule="auto"/>
    </w:pPr>
    <w:rPr>
      <w:b/>
      <w:i/>
    </w:rPr>
  </w:style>
  <w:style w:type="paragraph" w:customStyle="1" w:styleId="BulletNumber">
    <w:name w:val="Bullet Number"/>
    <w:aliases w:val="bn"/>
    <w:basedOn w:val="Body"/>
    <w:uiPriority w:val="99"/>
    <w:rsid w:val="0023226C"/>
    <w:pPr>
      <w:numPr>
        <w:numId w:val="31"/>
      </w:numPr>
      <w:tabs>
        <w:tab w:val="clear" w:pos="567"/>
      </w:tabs>
      <w:spacing w:before="0" w:after="100"/>
      <w:ind w:left="1418" w:hanging="851"/>
    </w:pPr>
  </w:style>
  <w:style w:type="paragraph" w:customStyle="1" w:styleId="StyleCaptionJustified">
    <w:name w:val="Style Caption + Justified"/>
    <w:basedOn w:val="Caption"/>
    <w:uiPriority w:val="99"/>
    <w:rsid w:val="0023226C"/>
    <w:pPr>
      <w:keepNext w:val="0"/>
      <w:spacing w:before="120" w:after="120" w:line="240" w:lineRule="auto"/>
      <w:ind w:left="1418" w:hanging="1418"/>
    </w:pPr>
    <w:rPr>
      <w:rFonts w:ascii="Arial" w:eastAsia="Times New Roman" w:hAnsi="Arial" w:cs="Times New Roman"/>
      <w:bCs/>
      <w:sz w:val="22"/>
      <w:szCs w:val="20"/>
    </w:rPr>
  </w:style>
  <w:style w:type="paragraph" w:styleId="Title">
    <w:name w:val="Title"/>
    <w:basedOn w:val="Normal"/>
    <w:next w:val="Normal"/>
    <w:link w:val="TitleChar"/>
    <w:uiPriority w:val="99"/>
    <w:qFormat/>
    <w:rsid w:val="0023226C"/>
    <w:pPr>
      <w:spacing w:before="240" w:after="60" w:line="280" w:lineRule="atLeast"/>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23226C"/>
    <w:rPr>
      <w:rFonts w:ascii="Cambria" w:eastAsia="Times New Roman" w:hAnsi="Cambria" w:cs="Times New Roman"/>
      <w:b/>
      <w:bCs/>
      <w:kern w:val="28"/>
      <w:sz w:val="32"/>
      <w:szCs w:val="32"/>
      <w:lang w:val="en-GB"/>
    </w:rPr>
  </w:style>
  <w:style w:type="character" w:styleId="Strong">
    <w:name w:val="Strong"/>
    <w:uiPriority w:val="22"/>
    <w:qFormat/>
    <w:rsid w:val="0023226C"/>
    <w:rPr>
      <w:b/>
      <w:bCs/>
    </w:rPr>
  </w:style>
  <w:style w:type="character" w:styleId="Emphasis">
    <w:name w:val="Emphasis"/>
    <w:uiPriority w:val="99"/>
    <w:qFormat/>
    <w:rsid w:val="0023226C"/>
    <w:rPr>
      <w:i/>
      <w:iCs/>
    </w:rPr>
  </w:style>
  <w:style w:type="paragraph" w:styleId="NoSpacing">
    <w:name w:val="No Spacing"/>
    <w:basedOn w:val="Normal"/>
    <w:uiPriority w:val="99"/>
    <w:qFormat/>
    <w:rsid w:val="0023226C"/>
    <w:pPr>
      <w:spacing w:after="0" w:line="240" w:lineRule="auto"/>
      <w:jc w:val="both"/>
    </w:pPr>
    <w:rPr>
      <w:rFonts w:eastAsia="Times New Roman" w:cs="Times New Roman"/>
      <w:sz w:val="22"/>
      <w:szCs w:val="20"/>
    </w:rPr>
  </w:style>
  <w:style w:type="paragraph" w:styleId="ListParagraph">
    <w:name w:val="List Paragraph"/>
    <w:basedOn w:val="Normal"/>
    <w:link w:val="ListParagraphChar"/>
    <w:uiPriority w:val="34"/>
    <w:qFormat/>
    <w:rsid w:val="0023226C"/>
    <w:pPr>
      <w:spacing w:before="60" w:after="120" w:line="280" w:lineRule="atLeast"/>
      <w:ind w:left="720"/>
      <w:jc w:val="both"/>
    </w:pPr>
    <w:rPr>
      <w:rFonts w:eastAsia="Times New Roman" w:cs="Times New Roman"/>
      <w:sz w:val="22"/>
      <w:szCs w:val="20"/>
    </w:rPr>
  </w:style>
  <w:style w:type="character" w:styleId="SubtleEmphasis">
    <w:name w:val="Subtle Emphasis"/>
    <w:uiPriority w:val="99"/>
    <w:qFormat/>
    <w:rsid w:val="0023226C"/>
    <w:rPr>
      <w:i/>
      <w:iCs/>
      <w:color w:val="808080"/>
    </w:rPr>
  </w:style>
  <w:style w:type="character" w:styleId="IntenseEmphasis">
    <w:name w:val="Intense Emphasis"/>
    <w:uiPriority w:val="99"/>
    <w:qFormat/>
    <w:rsid w:val="0023226C"/>
    <w:rPr>
      <w:b/>
      <w:bCs/>
      <w:i/>
      <w:iCs/>
      <w:color w:val="4F81BD"/>
    </w:rPr>
  </w:style>
  <w:style w:type="character" w:styleId="SubtleReference">
    <w:name w:val="Subtle Reference"/>
    <w:uiPriority w:val="99"/>
    <w:qFormat/>
    <w:rsid w:val="0023226C"/>
    <w:rPr>
      <w:smallCaps/>
      <w:color w:val="C0504D"/>
      <w:u w:val="single"/>
    </w:rPr>
  </w:style>
  <w:style w:type="character" w:styleId="IntenseReference">
    <w:name w:val="Intense Reference"/>
    <w:uiPriority w:val="99"/>
    <w:qFormat/>
    <w:rsid w:val="0023226C"/>
    <w:rPr>
      <w:b/>
      <w:bCs/>
      <w:smallCaps/>
      <w:color w:val="C0504D"/>
      <w:spacing w:val="5"/>
      <w:u w:val="single"/>
    </w:rPr>
  </w:style>
  <w:style w:type="character" w:styleId="BookTitle">
    <w:name w:val="Book Title"/>
    <w:uiPriority w:val="99"/>
    <w:qFormat/>
    <w:rsid w:val="0023226C"/>
    <w:rPr>
      <w:b/>
      <w:bCs/>
      <w:smallCaps/>
      <w:spacing w:val="5"/>
    </w:rPr>
  </w:style>
  <w:style w:type="paragraph" w:customStyle="1" w:styleId="Filename">
    <w:name w:val="Filename"/>
    <w:autoRedefine/>
    <w:uiPriority w:val="99"/>
    <w:rsid w:val="0023226C"/>
    <w:pPr>
      <w:framePr w:w="2200" w:h="386" w:hRule="exact" w:hSpace="181" w:vSpace="181" w:wrap="around" w:vAnchor="text" w:hAnchor="page" w:x="1669" w:y="-1"/>
    </w:pPr>
    <w:rPr>
      <w:rFonts w:ascii="Arial" w:eastAsia="Times New Roman" w:hAnsi="Arial" w:cs="Times New Roman"/>
      <w:sz w:val="16"/>
      <w:szCs w:val="20"/>
      <w:lang w:val="en-AU"/>
    </w:rPr>
  </w:style>
  <w:style w:type="character" w:customStyle="1" w:styleId="BodyChar">
    <w:name w:val="Body Char"/>
    <w:aliases w:val="b Char,bullet Char,bu Char,B Char,b Char Char Char Char Char Char Char Char Char,Text Char,Block Char,First Char,Indent Char,Macro Char,Plain Char,Body1 Char,b3 Char,b Char Char Char Char,b Char Char Char Char Char Char Char,b Char Char Char1"/>
    <w:link w:val="Body"/>
    <w:locked/>
    <w:rsid w:val="0023226C"/>
    <w:rPr>
      <w:rFonts w:ascii="Arial" w:eastAsia="Times New Roman" w:hAnsi="Arial" w:cs="Arial"/>
      <w:sz w:val="22"/>
      <w:szCs w:val="20"/>
      <w:lang w:val="en-AU"/>
    </w:rPr>
  </w:style>
  <w:style w:type="character" w:styleId="CommentReference">
    <w:name w:val="annotation reference"/>
    <w:basedOn w:val="DefaultParagraphFont"/>
    <w:uiPriority w:val="99"/>
    <w:rsid w:val="0023226C"/>
    <w:rPr>
      <w:sz w:val="16"/>
      <w:szCs w:val="16"/>
    </w:rPr>
  </w:style>
  <w:style w:type="paragraph" w:styleId="CommentText">
    <w:name w:val="annotation text"/>
    <w:basedOn w:val="Normal"/>
    <w:link w:val="CommentTextChar"/>
    <w:uiPriority w:val="99"/>
    <w:rsid w:val="0023226C"/>
    <w:pPr>
      <w:spacing w:line="240" w:lineRule="auto"/>
    </w:pPr>
    <w:rPr>
      <w:szCs w:val="20"/>
    </w:rPr>
  </w:style>
  <w:style w:type="character" w:customStyle="1" w:styleId="CommentTextChar">
    <w:name w:val="Comment Text Char"/>
    <w:basedOn w:val="DefaultParagraphFont"/>
    <w:link w:val="CommentText"/>
    <w:uiPriority w:val="99"/>
    <w:rsid w:val="0023226C"/>
    <w:rPr>
      <w:rFonts w:ascii="Arial" w:hAnsi="Arial"/>
      <w:sz w:val="20"/>
      <w:szCs w:val="20"/>
      <w:lang w:val="en-GB"/>
    </w:rPr>
  </w:style>
  <w:style w:type="table" w:customStyle="1" w:styleId="TableGrid3">
    <w:name w:val="Table Grid3"/>
    <w:basedOn w:val="TableNormal"/>
    <w:next w:val="TableGrid"/>
    <w:uiPriority w:val="99"/>
    <w:rsid w:val="00232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232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23226C"/>
    <w:rPr>
      <w:rFonts w:ascii="Arial" w:eastAsia="Times New Roman" w:hAnsi="Arial" w:cs="Times New Roman"/>
      <w:sz w:val="22"/>
      <w:szCs w:val="20"/>
      <w:lang w:val="en-GB"/>
    </w:rPr>
  </w:style>
  <w:style w:type="character" w:customStyle="1" w:styleId="CaptionChar">
    <w:name w:val="Caption Char"/>
    <w:link w:val="Caption"/>
    <w:uiPriority w:val="35"/>
    <w:locked/>
    <w:rsid w:val="0023226C"/>
    <w:rPr>
      <w:rFonts w:ascii="Arial Narrow" w:hAnsi="Arial Narrow"/>
      <w:b/>
      <w:sz w:val="20"/>
      <w:lang w:val="en-GB"/>
    </w:rPr>
  </w:style>
  <w:style w:type="paragraph" w:styleId="NormalWeb">
    <w:name w:val="Normal (Web)"/>
    <w:basedOn w:val="Normal"/>
    <w:uiPriority w:val="99"/>
    <w:unhideWhenUsed/>
    <w:rsid w:val="0032547E"/>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journaltitle">
    <w:name w:val="journaltitle"/>
    <w:basedOn w:val="DefaultParagraphFont"/>
    <w:uiPriority w:val="99"/>
    <w:rsid w:val="0023226C"/>
  </w:style>
  <w:style w:type="paragraph" w:customStyle="1" w:styleId="icon--meta-keyline-before">
    <w:name w:val="icon--meta-keyline-before"/>
    <w:basedOn w:val="Normal"/>
    <w:uiPriority w:val="99"/>
    <w:rsid w:val="0023226C"/>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articlecitationyear">
    <w:name w:val="articlecitation_year"/>
    <w:basedOn w:val="DefaultParagraphFont"/>
    <w:uiPriority w:val="99"/>
    <w:rsid w:val="0023226C"/>
  </w:style>
  <w:style w:type="character" w:customStyle="1" w:styleId="articlecitationvolume">
    <w:name w:val="articlecitation_volume"/>
    <w:basedOn w:val="DefaultParagraphFont"/>
    <w:uiPriority w:val="99"/>
    <w:rsid w:val="0023226C"/>
  </w:style>
  <w:style w:type="character" w:customStyle="1" w:styleId="articlecitationpages">
    <w:name w:val="articlecitation_pages"/>
    <w:basedOn w:val="DefaultParagraphFont"/>
    <w:uiPriority w:val="99"/>
    <w:rsid w:val="0023226C"/>
  </w:style>
  <w:style w:type="character" w:customStyle="1" w:styleId="u-inline-block">
    <w:name w:val="u-inline-block"/>
    <w:basedOn w:val="DefaultParagraphFont"/>
    <w:uiPriority w:val="99"/>
    <w:rsid w:val="0023226C"/>
  </w:style>
  <w:style w:type="character" w:customStyle="1" w:styleId="authorsname">
    <w:name w:val="authors__name"/>
    <w:basedOn w:val="DefaultParagraphFont"/>
    <w:uiPriority w:val="99"/>
    <w:rsid w:val="0023226C"/>
  </w:style>
  <w:style w:type="character" w:customStyle="1" w:styleId="authorscontact">
    <w:name w:val="authors__contact"/>
    <w:basedOn w:val="DefaultParagraphFont"/>
    <w:uiPriority w:val="99"/>
    <w:rsid w:val="0023226C"/>
  </w:style>
  <w:style w:type="character" w:customStyle="1" w:styleId="affiliationcount">
    <w:name w:val="affiliation__count"/>
    <w:basedOn w:val="DefaultParagraphFont"/>
    <w:uiPriority w:val="99"/>
    <w:rsid w:val="0023226C"/>
  </w:style>
  <w:style w:type="character" w:customStyle="1" w:styleId="test-render-category">
    <w:name w:val="test-render-category"/>
    <w:basedOn w:val="DefaultParagraphFont"/>
    <w:uiPriority w:val="99"/>
    <w:rsid w:val="0023226C"/>
  </w:style>
  <w:style w:type="character" w:customStyle="1" w:styleId="article-dateslabel">
    <w:name w:val="article-dates__label"/>
    <w:basedOn w:val="DefaultParagraphFont"/>
    <w:uiPriority w:val="99"/>
    <w:rsid w:val="0023226C"/>
  </w:style>
  <w:style w:type="character" w:customStyle="1" w:styleId="article-datesfirst-online">
    <w:name w:val="article-dates__first-online"/>
    <w:basedOn w:val="DefaultParagraphFont"/>
    <w:uiPriority w:val="99"/>
    <w:rsid w:val="0023226C"/>
  </w:style>
  <w:style w:type="character" w:customStyle="1" w:styleId="apple-converted-space">
    <w:name w:val="apple-converted-space"/>
    <w:uiPriority w:val="99"/>
    <w:rsid w:val="0023226C"/>
  </w:style>
  <w:style w:type="table" w:customStyle="1" w:styleId="TableGrid5">
    <w:name w:val="Table Grid5"/>
    <w:basedOn w:val="TableNormal"/>
    <w:next w:val="TableGrid"/>
    <w:uiPriority w:val="99"/>
    <w:rsid w:val="00232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232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232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0bulletChar">
    <w:name w:val="Para 0 bullet Char"/>
    <w:basedOn w:val="Para0Char"/>
    <w:link w:val="Para0bullet"/>
    <w:uiPriority w:val="4"/>
    <w:rsid w:val="0023226C"/>
    <w:rPr>
      <w:rFonts w:ascii="Arial" w:hAnsi="Arial"/>
      <w:sz w:val="20"/>
      <w:lang w:val="en-GB"/>
    </w:rPr>
  </w:style>
  <w:style w:type="paragraph" w:customStyle="1" w:styleId="head">
    <w:name w:val="head"/>
    <w:basedOn w:val="Normal"/>
    <w:uiPriority w:val="99"/>
    <w:rsid w:val="0023226C"/>
    <w:pPr>
      <w:spacing w:before="100" w:beforeAutospacing="1" w:after="100" w:afterAutospacing="1" w:line="240" w:lineRule="auto"/>
    </w:pPr>
    <w:rPr>
      <w:rFonts w:ascii="Times New Roman" w:eastAsia="Times New Roman" w:hAnsi="Times New Roman" w:cs="Times New Roman"/>
      <w:sz w:val="24"/>
      <w:lang w:val="en-AU" w:eastAsia="en-AU"/>
    </w:rPr>
  </w:style>
  <w:style w:type="paragraph" w:styleId="BodyText">
    <w:name w:val="Body Text"/>
    <w:basedOn w:val="Normal"/>
    <w:link w:val="BodyTextChar"/>
    <w:uiPriority w:val="99"/>
    <w:qFormat/>
    <w:rsid w:val="0032547E"/>
    <w:pPr>
      <w:widowControl w:val="0"/>
      <w:spacing w:after="0" w:line="240" w:lineRule="auto"/>
      <w:ind w:left="139" w:firstLine="297"/>
    </w:pPr>
    <w:rPr>
      <w:rFonts w:ascii="Times New Roman" w:eastAsia="Times New Roman" w:hAnsi="Times New Roman"/>
      <w:sz w:val="17"/>
      <w:szCs w:val="17"/>
      <w:lang w:val="en-US"/>
    </w:rPr>
  </w:style>
  <w:style w:type="character" w:customStyle="1" w:styleId="BodyTextChar">
    <w:name w:val="Body Text Char"/>
    <w:basedOn w:val="DefaultParagraphFont"/>
    <w:link w:val="BodyText"/>
    <w:uiPriority w:val="99"/>
    <w:rsid w:val="0023226C"/>
    <w:rPr>
      <w:rFonts w:ascii="Times New Roman" w:eastAsia="Times New Roman" w:hAnsi="Times New Roman"/>
      <w:sz w:val="17"/>
      <w:szCs w:val="17"/>
    </w:rPr>
  </w:style>
  <w:style w:type="character" w:styleId="HTMLCite">
    <w:name w:val="HTML Cite"/>
    <w:basedOn w:val="DefaultParagraphFont"/>
    <w:uiPriority w:val="99"/>
    <w:unhideWhenUsed/>
    <w:rsid w:val="0032547E"/>
    <w:rPr>
      <w:i/>
      <w:iCs/>
    </w:rPr>
  </w:style>
  <w:style w:type="character" w:customStyle="1" w:styleId="reference-accessdate">
    <w:name w:val="reference-accessdate"/>
    <w:basedOn w:val="DefaultParagraphFont"/>
    <w:uiPriority w:val="99"/>
    <w:rsid w:val="0023226C"/>
  </w:style>
  <w:style w:type="character" w:customStyle="1" w:styleId="nowrap">
    <w:name w:val="nowrap"/>
    <w:basedOn w:val="DefaultParagraphFont"/>
    <w:uiPriority w:val="99"/>
    <w:rsid w:val="0023226C"/>
  </w:style>
  <w:style w:type="paragraph" w:customStyle="1" w:styleId="shortt">
    <w:name w:val="shortt"/>
    <w:basedOn w:val="Normal"/>
    <w:uiPriority w:val="99"/>
    <w:rsid w:val="0023226C"/>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actno">
    <w:name w:val="actno"/>
    <w:basedOn w:val="Normal"/>
    <w:uiPriority w:val="99"/>
    <w:rsid w:val="0023226C"/>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longt">
    <w:name w:val="longt"/>
    <w:basedOn w:val="Normal"/>
    <w:uiPriority w:val="99"/>
    <w:rsid w:val="0023226C"/>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charamschno">
    <w:name w:val="charamschno"/>
    <w:basedOn w:val="DefaultParagraphFont"/>
    <w:uiPriority w:val="99"/>
    <w:rsid w:val="0023226C"/>
  </w:style>
  <w:style w:type="character" w:customStyle="1" w:styleId="charamschtext">
    <w:name w:val="charamschtext"/>
    <w:basedOn w:val="DefaultParagraphFont"/>
    <w:uiPriority w:val="99"/>
    <w:rsid w:val="0023226C"/>
  </w:style>
  <w:style w:type="character" w:customStyle="1" w:styleId="charampartno">
    <w:name w:val="charampartno"/>
    <w:basedOn w:val="DefaultParagraphFont"/>
    <w:uiPriority w:val="99"/>
    <w:rsid w:val="0023226C"/>
  </w:style>
  <w:style w:type="character" w:customStyle="1" w:styleId="charamparttext">
    <w:name w:val="charamparttext"/>
    <w:basedOn w:val="DefaultParagraphFont"/>
    <w:uiPriority w:val="99"/>
    <w:rsid w:val="0023226C"/>
  </w:style>
  <w:style w:type="paragraph" w:customStyle="1" w:styleId="Default">
    <w:name w:val="Default"/>
    <w:rsid w:val="0023226C"/>
    <w:pPr>
      <w:autoSpaceDE w:val="0"/>
      <w:autoSpaceDN w:val="0"/>
      <w:adjustRightInd w:val="0"/>
    </w:pPr>
    <w:rPr>
      <w:rFonts w:ascii="Arial" w:eastAsia="Times New Roman" w:hAnsi="Arial" w:cs="Arial"/>
      <w:color w:val="000000"/>
      <w:lang w:val="en-AU" w:eastAsia="en-AU"/>
    </w:rPr>
  </w:style>
  <w:style w:type="character" w:customStyle="1" w:styleId="addmd">
    <w:name w:val="addmd"/>
    <w:basedOn w:val="DefaultParagraphFont"/>
    <w:uiPriority w:val="99"/>
    <w:rsid w:val="0023226C"/>
  </w:style>
  <w:style w:type="paragraph" w:styleId="CommentSubject">
    <w:name w:val="annotation subject"/>
    <w:basedOn w:val="CommentText"/>
    <w:next w:val="CommentText"/>
    <w:link w:val="CommentSubjectChar"/>
    <w:uiPriority w:val="99"/>
    <w:rsid w:val="0023226C"/>
    <w:pPr>
      <w:spacing w:before="60" w:after="120"/>
      <w:jc w:val="both"/>
    </w:pPr>
    <w:rPr>
      <w:rFonts w:eastAsia="Times New Roman" w:cs="Times New Roman"/>
      <w:b/>
      <w:bCs/>
    </w:rPr>
  </w:style>
  <w:style w:type="character" w:customStyle="1" w:styleId="CommentSubjectChar">
    <w:name w:val="Comment Subject Char"/>
    <w:basedOn w:val="CommentTextChar"/>
    <w:link w:val="CommentSubject"/>
    <w:uiPriority w:val="99"/>
    <w:rsid w:val="0023226C"/>
    <w:rPr>
      <w:rFonts w:ascii="Arial" w:eastAsia="Times New Roman" w:hAnsi="Arial" w:cs="Times New Roman"/>
      <w:b/>
      <w:bCs/>
      <w:sz w:val="20"/>
      <w:szCs w:val="20"/>
      <w:lang w:val="en-GB"/>
    </w:rPr>
  </w:style>
  <w:style w:type="paragraph" w:styleId="Bibliography">
    <w:name w:val="Bibliography"/>
    <w:basedOn w:val="Normal"/>
    <w:next w:val="Normal"/>
    <w:uiPriority w:val="99"/>
    <w:unhideWhenUsed/>
    <w:rsid w:val="0032547E"/>
    <w:pPr>
      <w:spacing w:before="60" w:after="120" w:line="280" w:lineRule="atLeast"/>
      <w:jc w:val="both"/>
    </w:pPr>
    <w:rPr>
      <w:rFonts w:eastAsia="Times New Roman" w:cs="Times New Roman"/>
      <w:sz w:val="22"/>
      <w:szCs w:val="20"/>
      <w:lang w:val="en-AU"/>
    </w:rPr>
  </w:style>
  <w:style w:type="paragraph" w:styleId="Revision">
    <w:name w:val="Revision"/>
    <w:hidden/>
    <w:uiPriority w:val="99"/>
    <w:semiHidden/>
    <w:rsid w:val="007C741F"/>
    <w:rPr>
      <w:rFonts w:ascii="Arial" w:hAnsi="Arial"/>
      <w:sz w:val="20"/>
      <w:lang w:val="en-GB"/>
    </w:rPr>
  </w:style>
  <w:style w:type="character" w:customStyle="1" w:styleId="ind">
    <w:name w:val="ind"/>
    <w:basedOn w:val="DefaultParagraphFont"/>
    <w:uiPriority w:val="99"/>
    <w:rsid w:val="0032547E"/>
    <w:rPr>
      <w:rFonts w:cs="Times New Roman"/>
    </w:rPr>
  </w:style>
  <w:style w:type="character" w:customStyle="1" w:styleId="UnresolvedMention1">
    <w:name w:val="Unresolved Mention1"/>
    <w:basedOn w:val="DefaultParagraphFont"/>
    <w:uiPriority w:val="99"/>
    <w:semiHidden/>
    <w:unhideWhenUsed/>
    <w:rsid w:val="002B1ACA"/>
    <w:rPr>
      <w:color w:val="808080"/>
      <w:shd w:val="clear" w:color="auto" w:fill="E6E6E6"/>
    </w:rPr>
  </w:style>
  <w:style w:type="table" w:styleId="ListTable3-Accent1">
    <w:name w:val="List Table 3 Accent 1"/>
    <w:basedOn w:val="TableNormal"/>
    <w:uiPriority w:val="48"/>
    <w:rsid w:val="000B3094"/>
    <w:tblPr>
      <w:tblStyleRowBandSize w:val="1"/>
      <w:tblStyleColBandSize w:val="1"/>
      <w:tblBorders>
        <w:top w:val="single" w:sz="4" w:space="0" w:color="00338D" w:themeColor="accent1"/>
        <w:left w:val="single" w:sz="4" w:space="0" w:color="00338D" w:themeColor="accent1"/>
        <w:bottom w:val="single" w:sz="4" w:space="0" w:color="00338D" w:themeColor="accent1"/>
        <w:right w:val="single" w:sz="4" w:space="0" w:color="00338D" w:themeColor="accent1"/>
      </w:tblBorders>
    </w:tblPr>
    <w:tblStylePr w:type="firstRow">
      <w:rPr>
        <w:b/>
        <w:bCs/>
        <w:color w:val="FFFFFF" w:themeColor="background1"/>
      </w:rPr>
      <w:tblPr/>
      <w:tcPr>
        <w:shd w:val="clear" w:color="auto" w:fill="00338D" w:themeFill="accent1"/>
      </w:tcPr>
    </w:tblStylePr>
    <w:tblStylePr w:type="lastRow">
      <w:rPr>
        <w:b/>
        <w:bCs/>
      </w:rPr>
      <w:tblPr/>
      <w:tcPr>
        <w:tcBorders>
          <w:top w:val="double" w:sz="4" w:space="0" w:color="0033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8D" w:themeColor="accent1"/>
          <w:right w:val="single" w:sz="4" w:space="0" w:color="00338D" w:themeColor="accent1"/>
        </w:tcBorders>
      </w:tcPr>
    </w:tblStylePr>
    <w:tblStylePr w:type="band1Horz">
      <w:tblPr/>
      <w:tcPr>
        <w:tcBorders>
          <w:top w:val="single" w:sz="4" w:space="0" w:color="00338D" w:themeColor="accent1"/>
          <w:bottom w:val="single" w:sz="4" w:space="0" w:color="0033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8D" w:themeColor="accent1"/>
          <w:left w:val="nil"/>
        </w:tcBorders>
      </w:tcPr>
    </w:tblStylePr>
    <w:tblStylePr w:type="swCell">
      <w:tblPr/>
      <w:tcPr>
        <w:tcBorders>
          <w:top w:val="double" w:sz="4" w:space="0" w:color="00338D" w:themeColor="accent1"/>
          <w:right w:val="nil"/>
        </w:tcBorders>
      </w:tcPr>
    </w:tblStylePr>
  </w:style>
  <w:style w:type="character" w:styleId="UnresolvedMention">
    <w:name w:val="Unresolved Mention"/>
    <w:basedOn w:val="DefaultParagraphFont"/>
    <w:uiPriority w:val="99"/>
    <w:semiHidden/>
    <w:unhideWhenUsed/>
    <w:rsid w:val="00EF6D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1354">
      <w:bodyDiv w:val="1"/>
      <w:marLeft w:val="0"/>
      <w:marRight w:val="0"/>
      <w:marTop w:val="0"/>
      <w:marBottom w:val="0"/>
      <w:divBdr>
        <w:top w:val="none" w:sz="0" w:space="0" w:color="auto"/>
        <w:left w:val="none" w:sz="0" w:space="0" w:color="auto"/>
        <w:bottom w:val="none" w:sz="0" w:space="0" w:color="auto"/>
        <w:right w:val="none" w:sz="0" w:space="0" w:color="auto"/>
      </w:divBdr>
    </w:div>
    <w:div w:id="38209182">
      <w:bodyDiv w:val="1"/>
      <w:marLeft w:val="0"/>
      <w:marRight w:val="0"/>
      <w:marTop w:val="0"/>
      <w:marBottom w:val="0"/>
      <w:divBdr>
        <w:top w:val="none" w:sz="0" w:space="0" w:color="auto"/>
        <w:left w:val="none" w:sz="0" w:space="0" w:color="auto"/>
        <w:bottom w:val="none" w:sz="0" w:space="0" w:color="auto"/>
        <w:right w:val="none" w:sz="0" w:space="0" w:color="auto"/>
      </w:divBdr>
    </w:div>
    <w:div w:id="81417911">
      <w:bodyDiv w:val="1"/>
      <w:marLeft w:val="0"/>
      <w:marRight w:val="0"/>
      <w:marTop w:val="0"/>
      <w:marBottom w:val="0"/>
      <w:divBdr>
        <w:top w:val="none" w:sz="0" w:space="0" w:color="auto"/>
        <w:left w:val="none" w:sz="0" w:space="0" w:color="auto"/>
        <w:bottom w:val="none" w:sz="0" w:space="0" w:color="auto"/>
        <w:right w:val="none" w:sz="0" w:space="0" w:color="auto"/>
      </w:divBdr>
    </w:div>
    <w:div w:id="89938992">
      <w:bodyDiv w:val="1"/>
      <w:marLeft w:val="0"/>
      <w:marRight w:val="0"/>
      <w:marTop w:val="0"/>
      <w:marBottom w:val="0"/>
      <w:divBdr>
        <w:top w:val="none" w:sz="0" w:space="0" w:color="auto"/>
        <w:left w:val="none" w:sz="0" w:space="0" w:color="auto"/>
        <w:bottom w:val="none" w:sz="0" w:space="0" w:color="auto"/>
        <w:right w:val="none" w:sz="0" w:space="0" w:color="auto"/>
      </w:divBdr>
    </w:div>
    <w:div w:id="109713578">
      <w:bodyDiv w:val="1"/>
      <w:marLeft w:val="0"/>
      <w:marRight w:val="0"/>
      <w:marTop w:val="0"/>
      <w:marBottom w:val="0"/>
      <w:divBdr>
        <w:top w:val="none" w:sz="0" w:space="0" w:color="auto"/>
        <w:left w:val="none" w:sz="0" w:space="0" w:color="auto"/>
        <w:bottom w:val="none" w:sz="0" w:space="0" w:color="auto"/>
        <w:right w:val="none" w:sz="0" w:space="0" w:color="auto"/>
      </w:divBdr>
    </w:div>
    <w:div w:id="113326136">
      <w:bodyDiv w:val="1"/>
      <w:marLeft w:val="0"/>
      <w:marRight w:val="0"/>
      <w:marTop w:val="0"/>
      <w:marBottom w:val="0"/>
      <w:divBdr>
        <w:top w:val="none" w:sz="0" w:space="0" w:color="auto"/>
        <w:left w:val="none" w:sz="0" w:space="0" w:color="auto"/>
        <w:bottom w:val="none" w:sz="0" w:space="0" w:color="auto"/>
        <w:right w:val="none" w:sz="0" w:space="0" w:color="auto"/>
      </w:divBdr>
    </w:div>
    <w:div w:id="132456424">
      <w:bodyDiv w:val="1"/>
      <w:marLeft w:val="0"/>
      <w:marRight w:val="0"/>
      <w:marTop w:val="0"/>
      <w:marBottom w:val="0"/>
      <w:divBdr>
        <w:top w:val="none" w:sz="0" w:space="0" w:color="auto"/>
        <w:left w:val="none" w:sz="0" w:space="0" w:color="auto"/>
        <w:bottom w:val="none" w:sz="0" w:space="0" w:color="auto"/>
        <w:right w:val="none" w:sz="0" w:space="0" w:color="auto"/>
      </w:divBdr>
    </w:div>
    <w:div w:id="163403355">
      <w:bodyDiv w:val="1"/>
      <w:marLeft w:val="0"/>
      <w:marRight w:val="0"/>
      <w:marTop w:val="0"/>
      <w:marBottom w:val="0"/>
      <w:divBdr>
        <w:top w:val="none" w:sz="0" w:space="0" w:color="auto"/>
        <w:left w:val="none" w:sz="0" w:space="0" w:color="auto"/>
        <w:bottom w:val="none" w:sz="0" w:space="0" w:color="auto"/>
        <w:right w:val="none" w:sz="0" w:space="0" w:color="auto"/>
      </w:divBdr>
    </w:div>
    <w:div w:id="174544367">
      <w:bodyDiv w:val="1"/>
      <w:marLeft w:val="0"/>
      <w:marRight w:val="0"/>
      <w:marTop w:val="0"/>
      <w:marBottom w:val="0"/>
      <w:divBdr>
        <w:top w:val="none" w:sz="0" w:space="0" w:color="auto"/>
        <w:left w:val="none" w:sz="0" w:space="0" w:color="auto"/>
        <w:bottom w:val="none" w:sz="0" w:space="0" w:color="auto"/>
        <w:right w:val="none" w:sz="0" w:space="0" w:color="auto"/>
      </w:divBdr>
    </w:div>
    <w:div w:id="177160225">
      <w:bodyDiv w:val="1"/>
      <w:marLeft w:val="0"/>
      <w:marRight w:val="0"/>
      <w:marTop w:val="0"/>
      <w:marBottom w:val="0"/>
      <w:divBdr>
        <w:top w:val="none" w:sz="0" w:space="0" w:color="auto"/>
        <w:left w:val="none" w:sz="0" w:space="0" w:color="auto"/>
        <w:bottom w:val="none" w:sz="0" w:space="0" w:color="auto"/>
        <w:right w:val="none" w:sz="0" w:space="0" w:color="auto"/>
      </w:divBdr>
    </w:div>
    <w:div w:id="195655788">
      <w:bodyDiv w:val="1"/>
      <w:marLeft w:val="0"/>
      <w:marRight w:val="0"/>
      <w:marTop w:val="0"/>
      <w:marBottom w:val="0"/>
      <w:divBdr>
        <w:top w:val="none" w:sz="0" w:space="0" w:color="auto"/>
        <w:left w:val="none" w:sz="0" w:space="0" w:color="auto"/>
        <w:bottom w:val="none" w:sz="0" w:space="0" w:color="auto"/>
        <w:right w:val="none" w:sz="0" w:space="0" w:color="auto"/>
      </w:divBdr>
    </w:div>
    <w:div w:id="233508789">
      <w:bodyDiv w:val="1"/>
      <w:marLeft w:val="0"/>
      <w:marRight w:val="0"/>
      <w:marTop w:val="0"/>
      <w:marBottom w:val="0"/>
      <w:divBdr>
        <w:top w:val="none" w:sz="0" w:space="0" w:color="auto"/>
        <w:left w:val="none" w:sz="0" w:space="0" w:color="auto"/>
        <w:bottom w:val="none" w:sz="0" w:space="0" w:color="auto"/>
        <w:right w:val="none" w:sz="0" w:space="0" w:color="auto"/>
      </w:divBdr>
    </w:div>
    <w:div w:id="255407381">
      <w:bodyDiv w:val="1"/>
      <w:marLeft w:val="0"/>
      <w:marRight w:val="0"/>
      <w:marTop w:val="0"/>
      <w:marBottom w:val="0"/>
      <w:divBdr>
        <w:top w:val="none" w:sz="0" w:space="0" w:color="auto"/>
        <w:left w:val="none" w:sz="0" w:space="0" w:color="auto"/>
        <w:bottom w:val="none" w:sz="0" w:space="0" w:color="auto"/>
        <w:right w:val="none" w:sz="0" w:space="0" w:color="auto"/>
      </w:divBdr>
    </w:div>
    <w:div w:id="258953315">
      <w:bodyDiv w:val="1"/>
      <w:marLeft w:val="0"/>
      <w:marRight w:val="0"/>
      <w:marTop w:val="0"/>
      <w:marBottom w:val="0"/>
      <w:divBdr>
        <w:top w:val="none" w:sz="0" w:space="0" w:color="auto"/>
        <w:left w:val="none" w:sz="0" w:space="0" w:color="auto"/>
        <w:bottom w:val="none" w:sz="0" w:space="0" w:color="auto"/>
        <w:right w:val="none" w:sz="0" w:space="0" w:color="auto"/>
      </w:divBdr>
    </w:div>
    <w:div w:id="268002373">
      <w:bodyDiv w:val="1"/>
      <w:marLeft w:val="0"/>
      <w:marRight w:val="0"/>
      <w:marTop w:val="0"/>
      <w:marBottom w:val="0"/>
      <w:divBdr>
        <w:top w:val="none" w:sz="0" w:space="0" w:color="auto"/>
        <w:left w:val="none" w:sz="0" w:space="0" w:color="auto"/>
        <w:bottom w:val="none" w:sz="0" w:space="0" w:color="auto"/>
        <w:right w:val="none" w:sz="0" w:space="0" w:color="auto"/>
      </w:divBdr>
    </w:div>
    <w:div w:id="315957192">
      <w:bodyDiv w:val="1"/>
      <w:marLeft w:val="0"/>
      <w:marRight w:val="0"/>
      <w:marTop w:val="0"/>
      <w:marBottom w:val="0"/>
      <w:divBdr>
        <w:top w:val="none" w:sz="0" w:space="0" w:color="auto"/>
        <w:left w:val="none" w:sz="0" w:space="0" w:color="auto"/>
        <w:bottom w:val="none" w:sz="0" w:space="0" w:color="auto"/>
        <w:right w:val="none" w:sz="0" w:space="0" w:color="auto"/>
      </w:divBdr>
    </w:div>
    <w:div w:id="371686646">
      <w:bodyDiv w:val="1"/>
      <w:marLeft w:val="0"/>
      <w:marRight w:val="0"/>
      <w:marTop w:val="0"/>
      <w:marBottom w:val="0"/>
      <w:divBdr>
        <w:top w:val="none" w:sz="0" w:space="0" w:color="auto"/>
        <w:left w:val="none" w:sz="0" w:space="0" w:color="auto"/>
        <w:bottom w:val="none" w:sz="0" w:space="0" w:color="auto"/>
        <w:right w:val="none" w:sz="0" w:space="0" w:color="auto"/>
      </w:divBdr>
    </w:div>
    <w:div w:id="379020078">
      <w:bodyDiv w:val="1"/>
      <w:marLeft w:val="0"/>
      <w:marRight w:val="0"/>
      <w:marTop w:val="0"/>
      <w:marBottom w:val="0"/>
      <w:divBdr>
        <w:top w:val="none" w:sz="0" w:space="0" w:color="auto"/>
        <w:left w:val="none" w:sz="0" w:space="0" w:color="auto"/>
        <w:bottom w:val="none" w:sz="0" w:space="0" w:color="auto"/>
        <w:right w:val="none" w:sz="0" w:space="0" w:color="auto"/>
      </w:divBdr>
    </w:div>
    <w:div w:id="401295356">
      <w:bodyDiv w:val="1"/>
      <w:marLeft w:val="0"/>
      <w:marRight w:val="0"/>
      <w:marTop w:val="0"/>
      <w:marBottom w:val="0"/>
      <w:divBdr>
        <w:top w:val="none" w:sz="0" w:space="0" w:color="auto"/>
        <w:left w:val="none" w:sz="0" w:space="0" w:color="auto"/>
        <w:bottom w:val="none" w:sz="0" w:space="0" w:color="auto"/>
        <w:right w:val="none" w:sz="0" w:space="0" w:color="auto"/>
      </w:divBdr>
    </w:div>
    <w:div w:id="496194499">
      <w:bodyDiv w:val="1"/>
      <w:marLeft w:val="0"/>
      <w:marRight w:val="0"/>
      <w:marTop w:val="0"/>
      <w:marBottom w:val="0"/>
      <w:divBdr>
        <w:top w:val="none" w:sz="0" w:space="0" w:color="auto"/>
        <w:left w:val="none" w:sz="0" w:space="0" w:color="auto"/>
        <w:bottom w:val="none" w:sz="0" w:space="0" w:color="auto"/>
        <w:right w:val="none" w:sz="0" w:space="0" w:color="auto"/>
      </w:divBdr>
    </w:div>
    <w:div w:id="535167274">
      <w:bodyDiv w:val="1"/>
      <w:marLeft w:val="0"/>
      <w:marRight w:val="0"/>
      <w:marTop w:val="0"/>
      <w:marBottom w:val="0"/>
      <w:divBdr>
        <w:top w:val="none" w:sz="0" w:space="0" w:color="auto"/>
        <w:left w:val="none" w:sz="0" w:space="0" w:color="auto"/>
        <w:bottom w:val="none" w:sz="0" w:space="0" w:color="auto"/>
        <w:right w:val="none" w:sz="0" w:space="0" w:color="auto"/>
      </w:divBdr>
    </w:div>
    <w:div w:id="681010753">
      <w:bodyDiv w:val="1"/>
      <w:marLeft w:val="0"/>
      <w:marRight w:val="0"/>
      <w:marTop w:val="0"/>
      <w:marBottom w:val="0"/>
      <w:divBdr>
        <w:top w:val="none" w:sz="0" w:space="0" w:color="auto"/>
        <w:left w:val="none" w:sz="0" w:space="0" w:color="auto"/>
        <w:bottom w:val="none" w:sz="0" w:space="0" w:color="auto"/>
        <w:right w:val="none" w:sz="0" w:space="0" w:color="auto"/>
      </w:divBdr>
    </w:div>
    <w:div w:id="735931778">
      <w:bodyDiv w:val="1"/>
      <w:marLeft w:val="0"/>
      <w:marRight w:val="0"/>
      <w:marTop w:val="0"/>
      <w:marBottom w:val="0"/>
      <w:divBdr>
        <w:top w:val="none" w:sz="0" w:space="0" w:color="auto"/>
        <w:left w:val="none" w:sz="0" w:space="0" w:color="auto"/>
        <w:bottom w:val="none" w:sz="0" w:space="0" w:color="auto"/>
        <w:right w:val="none" w:sz="0" w:space="0" w:color="auto"/>
      </w:divBdr>
    </w:div>
    <w:div w:id="738476318">
      <w:bodyDiv w:val="1"/>
      <w:marLeft w:val="0"/>
      <w:marRight w:val="0"/>
      <w:marTop w:val="0"/>
      <w:marBottom w:val="0"/>
      <w:divBdr>
        <w:top w:val="none" w:sz="0" w:space="0" w:color="auto"/>
        <w:left w:val="none" w:sz="0" w:space="0" w:color="auto"/>
        <w:bottom w:val="none" w:sz="0" w:space="0" w:color="auto"/>
        <w:right w:val="none" w:sz="0" w:space="0" w:color="auto"/>
      </w:divBdr>
    </w:div>
    <w:div w:id="764961093">
      <w:bodyDiv w:val="1"/>
      <w:marLeft w:val="0"/>
      <w:marRight w:val="0"/>
      <w:marTop w:val="0"/>
      <w:marBottom w:val="0"/>
      <w:divBdr>
        <w:top w:val="none" w:sz="0" w:space="0" w:color="auto"/>
        <w:left w:val="none" w:sz="0" w:space="0" w:color="auto"/>
        <w:bottom w:val="none" w:sz="0" w:space="0" w:color="auto"/>
        <w:right w:val="none" w:sz="0" w:space="0" w:color="auto"/>
      </w:divBdr>
    </w:div>
    <w:div w:id="786192229">
      <w:bodyDiv w:val="1"/>
      <w:marLeft w:val="0"/>
      <w:marRight w:val="0"/>
      <w:marTop w:val="0"/>
      <w:marBottom w:val="0"/>
      <w:divBdr>
        <w:top w:val="none" w:sz="0" w:space="0" w:color="auto"/>
        <w:left w:val="none" w:sz="0" w:space="0" w:color="auto"/>
        <w:bottom w:val="none" w:sz="0" w:space="0" w:color="auto"/>
        <w:right w:val="none" w:sz="0" w:space="0" w:color="auto"/>
      </w:divBdr>
    </w:div>
    <w:div w:id="812716767">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837116437">
      <w:bodyDiv w:val="1"/>
      <w:marLeft w:val="0"/>
      <w:marRight w:val="0"/>
      <w:marTop w:val="0"/>
      <w:marBottom w:val="0"/>
      <w:divBdr>
        <w:top w:val="none" w:sz="0" w:space="0" w:color="auto"/>
        <w:left w:val="none" w:sz="0" w:space="0" w:color="auto"/>
        <w:bottom w:val="none" w:sz="0" w:space="0" w:color="auto"/>
        <w:right w:val="none" w:sz="0" w:space="0" w:color="auto"/>
      </w:divBdr>
    </w:div>
    <w:div w:id="860626330">
      <w:bodyDiv w:val="1"/>
      <w:marLeft w:val="0"/>
      <w:marRight w:val="0"/>
      <w:marTop w:val="0"/>
      <w:marBottom w:val="0"/>
      <w:divBdr>
        <w:top w:val="none" w:sz="0" w:space="0" w:color="auto"/>
        <w:left w:val="none" w:sz="0" w:space="0" w:color="auto"/>
        <w:bottom w:val="none" w:sz="0" w:space="0" w:color="auto"/>
        <w:right w:val="none" w:sz="0" w:space="0" w:color="auto"/>
      </w:divBdr>
    </w:div>
    <w:div w:id="870460933">
      <w:bodyDiv w:val="1"/>
      <w:marLeft w:val="0"/>
      <w:marRight w:val="0"/>
      <w:marTop w:val="0"/>
      <w:marBottom w:val="0"/>
      <w:divBdr>
        <w:top w:val="none" w:sz="0" w:space="0" w:color="auto"/>
        <w:left w:val="none" w:sz="0" w:space="0" w:color="auto"/>
        <w:bottom w:val="none" w:sz="0" w:space="0" w:color="auto"/>
        <w:right w:val="none" w:sz="0" w:space="0" w:color="auto"/>
      </w:divBdr>
    </w:div>
    <w:div w:id="890307718">
      <w:bodyDiv w:val="1"/>
      <w:marLeft w:val="0"/>
      <w:marRight w:val="0"/>
      <w:marTop w:val="0"/>
      <w:marBottom w:val="0"/>
      <w:divBdr>
        <w:top w:val="none" w:sz="0" w:space="0" w:color="auto"/>
        <w:left w:val="none" w:sz="0" w:space="0" w:color="auto"/>
        <w:bottom w:val="none" w:sz="0" w:space="0" w:color="auto"/>
        <w:right w:val="none" w:sz="0" w:space="0" w:color="auto"/>
      </w:divBdr>
    </w:div>
    <w:div w:id="993221553">
      <w:bodyDiv w:val="1"/>
      <w:marLeft w:val="0"/>
      <w:marRight w:val="0"/>
      <w:marTop w:val="0"/>
      <w:marBottom w:val="0"/>
      <w:divBdr>
        <w:top w:val="none" w:sz="0" w:space="0" w:color="auto"/>
        <w:left w:val="none" w:sz="0" w:space="0" w:color="auto"/>
        <w:bottom w:val="none" w:sz="0" w:space="0" w:color="auto"/>
        <w:right w:val="none" w:sz="0" w:space="0" w:color="auto"/>
      </w:divBdr>
    </w:div>
    <w:div w:id="1023096001">
      <w:bodyDiv w:val="1"/>
      <w:marLeft w:val="0"/>
      <w:marRight w:val="0"/>
      <w:marTop w:val="0"/>
      <w:marBottom w:val="0"/>
      <w:divBdr>
        <w:top w:val="none" w:sz="0" w:space="0" w:color="auto"/>
        <w:left w:val="none" w:sz="0" w:space="0" w:color="auto"/>
        <w:bottom w:val="none" w:sz="0" w:space="0" w:color="auto"/>
        <w:right w:val="none" w:sz="0" w:space="0" w:color="auto"/>
      </w:divBdr>
    </w:div>
    <w:div w:id="1054501804">
      <w:bodyDiv w:val="1"/>
      <w:marLeft w:val="0"/>
      <w:marRight w:val="0"/>
      <w:marTop w:val="0"/>
      <w:marBottom w:val="0"/>
      <w:divBdr>
        <w:top w:val="none" w:sz="0" w:space="0" w:color="auto"/>
        <w:left w:val="none" w:sz="0" w:space="0" w:color="auto"/>
        <w:bottom w:val="none" w:sz="0" w:space="0" w:color="auto"/>
        <w:right w:val="none" w:sz="0" w:space="0" w:color="auto"/>
      </w:divBdr>
    </w:div>
    <w:div w:id="1101334137">
      <w:bodyDiv w:val="1"/>
      <w:marLeft w:val="0"/>
      <w:marRight w:val="0"/>
      <w:marTop w:val="0"/>
      <w:marBottom w:val="0"/>
      <w:divBdr>
        <w:top w:val="none" w:sz="0" w:space="0" w:color="auto"/>
        <w:left w:val="none" w:sz="0" w:space="0" w:color="auto"/>
        <w:bottom w:val="none" w:sz="0" w:space="0" w:color="auto"/>
        <w:right w:val="none" w:sz="0" w:space="0" w:color="auto"/>
      </w:divBdr>
    </w:div>
    <w:div w:id="1149326820">
      <w:bodyDiv w:val="1"/>
      <w:marLeft w:val="0"/>
      <w:marRight w:val="0"/>
      <w:marTop w:val="0"/>
      <w:marBottom w:val="0"/>
      <w:divBdr>
        <w:top w:val="none" w:sz="0" w:space="0" w:color="auto"/>
        <w:left w:val="none" w:sz="0" w:space="0" w:color="auto"/>
        <w:bottom w:val="none" w:sz="0" w:space="0" w:color="auto"/>
        <w:right w:val="none" w:sz="0" w:space="0" w:color="auto"/>
      </w:divBdr>
    </w:div>
    <w:div w:id="1220897795">
      <w:bodyDiv w:val="1"/>
      <w:marLeft w:val="0"/>
      <w:marRight w:val="0"/>
      <w:marTop w:val="0"/>
      <w:marBottom w:val="0"/>
      <w:divBdr>
        <w:top w:val="none" w:sz="0" w:space="0" w:color="auto"/>
        <w:left w:val="none" w:sz="0" w:space="0" w:color="auto"/>
        <w:bottom w:val="none" w:sz="0" w:space="0" w:color="auto"/>
        <w:right w:val="none" w:sz="0" w:space="0" w:color="auto"/>
      </w:divBdr>
    </w:div>
    <w:div w:id="1228345317">
      <w:bodyDiv w:val="1"/>
      <w:marLeft w:val="0"/>
      <w:marRight w:val="0"/>
      <w:marTop w:val="0"/>
      <w:marBottom w:val="0"/>
      <w:divBdr>
        <w:top w:val="none" w:sz="0" w:space="0" w:color="auto"/>
        <w:left w:val="none" w:sz="0" w:space="0" w:color="auto"/>
        <w:bottom w:val="none" w:sz="0" w:space="0" w:color="auto"/>
        <w:right w:val="none" w:sz="0" w:space="0" w:color="auto"/>
      </w:divBdr>
    </w:div>
    <w:div w:id="1240863725">
      <w:bodyDiv w:val="1"/>
      <w:marLeft w:val="0"/>
      <w:marRight w:val="0"/>
      <w:marTop w:val="0"/>
      <w:marBottom w:val="0"/>
      <w:divBdr>
        <w:top w:val="none" w:sz="0" w:space="0" w:color="auto"/>
        <w:left w:val="none" w:sz="0" w:space="0" w:color="auto"/>
        <w:bottom w:val="none" w:sz="0" w:space="0" w:color="auto"/>
        <w:right w:val="none" w:sz="0" w:space="0" w:color="auto"/>
      </w:divBdr>
    </w:div>
    <w:div w:id="1241789501">
      <w:bodyDiv w:val="1"/>
      <w:marLeft w:val="0"/>
      <w:marRight w:val="0"/>
      <w:marTop w:val="0"/>
      <w:marBottom w:val="0"/>
      <w:divBdr>
        <w:top w:val="none" w:sz="0" w:space="0" w:color="auto"/>
        <w:left w:val="none" w:sz="0" w:space="0" w:color="auto"/>
        <w:bottom w:val="none" w:sz="0" w:space="0" w:color="auto"/>
        <w:right w:val="none" w:sz="0" w:space="0" w:color="auto"/>
      </w:divBdr>
    </w:div>
    <w:div w:id="1299335808">
      <w:marLeft w:val="0"/>
      <w:marRight w:val="0"/>
      <w:marTop w:val="0"/>
      <w:marBottom w:val="0"/>
      <w:divBdr>
        <w:top w:val="none" w:sz="0" w:space="0" w:color="auto"/>
        <w:left w:val="none" w:sz="0" w:space="0" w:color="auto"/>
        <w:bottom w:val="none" w:sz="0" w:space="0" w:color="auto"/>
        <w:right w:val="none" w:sz="0" w:space="0" w:color="auto"/>
      </w:divBdr>
    </w:div>
    <w:div w:id="1299335809">
      <w:marLeft w:val="0"/>
      <w:marRight w:val="0"/>
      <w:marTop w:val="0"/>
      <w:marBottom w:val="0"/>
      <w:divBdr>
        <w:top w:val="none" w:sz="0" w:space="0" w:color="auto"/>
        <w:left w:val="none" w:sz="0" w:space="0" w:color="auto"/>
        <w:bottom w:val="none" w:sz="0" w:space="0" w:color="auto"/>
        <w:right w:val="none" w:sz="0" w:space="0" w:color="auto"/>
      </w:divBdr>
    </w:div>
    <w:div w:id="1299335810">
      <w:marLeft w:val="0"/>
      <w:marRight w:val="0"/>
      <w:marTop w:val="0"/>
      <w:marBottom w:val="0"/>
      <w:divBdr>
        <w:top w:val="none" w:sz="0" w:space="0" w:color="auto"/>
        <w:left w:val="none" w:sz="0" w:space="0" w:color="auto"/>
        <w:bottom w:val="none" w:sz="0" w:space="0" w:color="auto"/>
        <w:right w:val="none" w:sz="0" w:space="0" w:color="auto"/>
      </w:divBdr>
    </w:div>
    <w:div w:id="1299335811">
      <w:marLeft w:val="0"/>
      <w:marRight w:val="0"/>
      <w:marTop w:val="0"/>
      <w:marBottom w:val="0"/>
      <w:divBdr>
        <w:top w:val="none" w:sz="0" w:space="0" w:color="auto"/>
        <w:left w:val="none" w:sz="0" w:space="0" w:color="auto"/>
        <w:bottom w:val="none" w:sz="0" w:space="0" w:color="auto"/>
        <w:right w:val="none" w:sz="0" w:space="0" w:color="auto"/>
      </w:divBdr>
    </w:div>
    <w:div w:id="1299335812">
      <w:marLeft w:val="0"/>
      <w:marRight w:val="0"/>
      <w:marTop w:val="0"/>
      <w:marBottom w:val="0"/>
      <w:divBdr>
        <w:top w:val="none" w:sz="0" w:space="0" w:color="auto"/>
        <w:left w:val="none" w:sz="0" w:space="0" w:color="auto"/>
        <w:bottom w:val="none" w:sz="0" w:space="0" w:color="auto"/>
        <w:right w:val="none" w:sz="0" w:space="0" w:color="auto"/>
      </w:divBdr>
    </w:div>
    <w:div w:id="1299335813">
      <w:marLeft w:val="0"/>
      <w:marRight w:val="0"/>
      <w:marTop w:val="0"/>
      <w:marBottom w:val="0"/>
      <w:divBdr>
        <w:top w:val="none" w:sz="0" w:space="0" w:color="auto"/>
        <w:left w:val="none" w:sz="0" w:space="0" w:color="auto"/>
        <w:bottom w:val="none" w:sz="0" w:space="0" w:color="auto"/>
        <w:right w:val="none" w:sz="0" w:space="0" w:color="auto"/>
      </w:divBdr>
    </w:div>
    <w:div w:id="1299335814">
      <w:marLeft w:val="0"/>
      <w:marRight w:val="0"/>
      <w:marTop w:val="0"/>
      <w:marBottom w:val="0"/>
      <w:divBdr>
        <w:top w:val="none" w:sz="0" w:space="0" w:color="auto"/>
        <w:left w:val="none" w:sz="0" w:space="0" w:color="auto"/>
        <w:bottom w:val="none" w:sz="0" w:space="0" w:color="auto"/>
        <w:right w:val="none" w:sz="0" w:space="0" w:color="auto"/>
      </w:divBdr>
    </w:div>
    <w:div w:id="1299335815">
      <w:marLeft w:val="0"/>
      <w:marRight w:val="0"/>
      <w:marTop w:val="0"/>
      <w:marBottom w:val="0"/>
      <w:divBdr>
        <w:top w:val="none" w:sz="0" w:space="0" w:color="auto"/>
        <w:left w:val="none" w:sz="0" w:space="0" w:color="auto"/>
        <w:bottom w:val="none" w:sz="0" w:space="0" w:color="auto"/>
        <w:right w:val="none" w:sz="0" w:space="0" w:color="auto"/>
      </w:divBdr>
    </w:div>
    <w:div w:id="1299335816">
      <w:marLeft w:val="0"/>
      <w:marRight w:val="0"/>
      <w:marTop w:val="0"/>
      <w:marBottom w:val="0"/>
      <w:divBdr>
        <w:top w:val="none" w:sz="0" w:space="0" w:color="auto"/>
        <w:left w:val="none" w:sz="0" w:space="0" w:color="auto"/>
        <w:bottom w:val="none" w:sz="0" w:space="0" w:color="auto"/>
        <w:right w:val="none" w:sz="0" w:space="0" w:color="auto"/>
      </w:divBdr>
    </w:div>
    <w:div w:id="1299335817">
      <w:marLeft w:val="0"/>
      <w:marRight w:val="0"/>
      <w:marTop w:val="0"/>
      <w:marBottom w:val="0"/>
      <w:divBdr>
        <w:top w:val="none" w:sz="0" w:space="0" w:color="auto"/>
        <w:left w:val="none" w:sz="0" w:space="0" w:color="auto"/>
        <w:bottom w:val="none" w:sz="0" w:space="0" w:color="auto"/>
        <w:right w:val="none" w:sz="0" w:space="0" w:color="auto"/>
      </w:divBdr>
    </w:div>
    <w:div w:id="1299335818">
      <w:marLeft w:val="0"/>
      <w:marRight w:val="0"/>
      <w:marTop w:val="0"/>
      <w:marBottom w:val="0"/>
      <w:divBdr>
        <w:top w:val="none" w:sz="0" w:space="0" w:color="auto"/>
        <w:left w:val="none" w:sz="0" w:space="0" w:color="auto"/>
        <w:bottom w:val="none" w:sz="0" w:space="0" w:color="auto"/>
        <w:right w:val="none" w:sz="0" w:space="0" w:color="auto"/>
      </w:divBdr>
    </w:div>
    <w:div w:id="1299335819">
      <w:marLeft w:val="0"/>
      <w:marRight w:val="0"/>
      <w:marTop w:val="0"/>
      <w:marBottom w:val="0"/>
      <w:divBdr>
        <w:top w:val="none" w:sz="0" w:space="0" w:color="auto"/>
        <w:left w:val="none" w:sz="0" w:space="0" w:color="auto"/>
        <w:bottom w:val="none" w:sz="0" w:space="0" w:color="auto"/>
        <w:right w:val="none" w:sz="0" w:space="0" w:color="auto"/>
      </w:divBdr>
    </w:div>
    <w:div w:id="1299335820">
      <w:marLeft w:val="0"/>
      <w:marRight w:val="0"/>
      <w:marTop w:val="0"/>
      <w:marBottom w:val="0"/>
      <w:divBdr>
        <w:top w:val="none" w:sz="0" w:space="0" w:color="auto"/>
        <w:left w:val="none" w:sz="0" w:space="0" w:color="auto"/>
        <w:bottom w:val="none" w:sz="0" w:space="0" w:color="auto"/>
        <w:right w:val="none" w:sz="0" w:space="0" w:color="auto"/>
      </w:divBdr>
    </w:div>
    <w:div w:id="1299335821">
      <w:marLeft w:val="0"/>
      <w:marRight w:val="0"/>
      <w:marTop w:val="0"/>
      <w:marBottom w:val="0"/>
      <w:divBdr>
        <w:top w:val="none" w:sz="0" w:space="0" w:color="auto"/>
        <w:left w:val="none" w:sz="0" w:space="0" w:color="auto"/>
        <w:bottom w:val="none" w:sz="0" w:space="0" w:color="auto"/>
        <w:right w:val="none" w:sz="0" w:space="0" w:color="auto"/>
      </w:divBdr>
    </w:div>
    <w:div w:id="1299335822">
      <w:marLeft w:val="0"/>
      <w:marRight w:val="0"/>
      <w:marTop w:val="0"/>
      <w:marBottom w:val="0"/>
      <w:divBdr>
        <w:top w:val="none" w:sz="0" w:space="0" w:color="auto"/>
        <w:left w:val="none" w:sz="0" w:space="0" w:color="auto"/>
        <w:bottom w:val="none" w:sz="0" w:space="0" w:color="auto"/>
        <w:right w:val="none" w:sz="0" w:space="0" w:color="auto"/>
      </w:divBdr>
    </w:div>
    <w:div w:id="1299335823">
      <w:marLeft w:val="0"/>
      <w:marRight w:val="0"/>
      <w:marTop w:val="0"/>
      <w:marBottom w:val="0"/>
      <w:divBdr>
        <w:top w:val="none" w:sz="0" w:space="0" w:color="auto"/>
        <w:left w:val="none" w:sz="0" w:space="0" w:color="auto"/>
        <w:bottom w:val="none" w:sz="0" w:space="0" w:color="auto"/>
        <w:right w:val="none" w:sz="0" w:space="0" w:color="auto"/>
      </w:divBdr>
    </w:div>
    <w:div w:id="1299335824">
      <w:marLeft w:val="0"/>
      <w:marRight w:val="0"/>
      <w:marTop w:val="0"/>
      <w:marBottom w:val="0"/>
      <w:divBdr>
        <w:top w:val="none" w:sz="0" w:space="0" w:color="auto"/>
        <w:left w:val="none" w:sz="0" w:space="0" w:color="auto"/>
        <w:bottom w:val="none" w:sz="0" w:space="0" w:color="auto"/>
        <w:right w:val="none" w:sz="0" w:space="0" w:color="auto"/>
      </w:divBdr>
    </w:div>
    <w:div w:id="1299335825">
      <w:marLeft w:val="0"/>
      <w:marRight w:val="0"/>
      <w:marTop w:val="0"/>
      <w:marBottom w:val="0"/>
      <w:divBdr>
        <w:top w:val="none" w:sz="0" w:space="0" w:color="auto"/>
        <w:left w:val="none" w:sz="0" w:space="0" w:color="auto"/>
        <w:bottom w:val="none" w:sz="0" w:space="0" w:color="auto"/>
        <w:right w:val="none" w:sz="0" w:space="0" w:color="auto"/>
      </w:divBdr>
    </w:div>
    <w:div w:id="1299335826">
      <w:marLeft w:val="0"/>
      <w:marRight w:val="0"/>
      <w:marTop w:val="0"/>
      <w:marBottom w:val="0"/>
      <w:divBdr>
        <w:top w:val="none" w:sz="0" w:space="0" w:color="auto"/>
        <w:left w:val="none" w:sz="0" w:space="0" w:color="auto"/>
        <w:bottom w:val="none" w:sz="0" w:space="0" w:color="auto"/>
        <w:right w:val="none" w:sz="0" w:space="0" w:color="auto"/>
      </w:divBdr>
    </w:div>
    <w:div w:id="1299335827">
      <w:marLeft w:val="0"/>
      <w:marRight w:val="0"/>
      <w:marTop w:val="0"/>
      <w:marBottom w:val="0"/>
      <w:divBdr>
        <w:top w:val="none" w:sz="0" w:space="0" w:color="auto"/>
        <w:left w:val="none" w:sz="0" w:space="0" w:color="auto"/>
        <w:bottom w:val="none" w:sz="0" w:space="0" w:color="auto"/>
        <w:right w:val="none" w:sz="0" w:space="0" w:color="auto"/>
      </w:divBdr>
    </w:div>
    <w:div w:id="1299335828">
      <w:marLeft w:val="0"/>
      <w:marRight w:val="0"/>
      <w:marTop w:val="0"/>
      <w:marBottom w:val="0"/>
      <w:divBdr>
        <w:top w:val="none" w:sz="0" w:space="0" w:color="auto"/>
        <w:left w:val="none" w:sz="0" w:space="0" w:color="auto"/>
        <w:bottom w:val="none" w:sz="0" w:space="0" w:color="auto"/>
        <w:right w:val="none" w:sz="0" w:space="0" w:color="auto"/>
      </w:divBdr>
    </w:div>
    <w:div w:id="1299335829">
      <w:marLeft w:val="0"/>
      <w:marRight w:val="0"/>
      <w:marTop w:val="0"/>
      <w:marBottom w:val="0"/>
      <w:divBdr>
        <w:top w:val="none" w:sz="0" w:space="0" w:color="auto"/>
        <w:left w:val="none" w:sz="0" w:space="0" w:color="auto"/>
        <w:bottom w:val="none" w:sz="0" w:space="0" w:color="auto"/>
        <w:right w:val="none" w:sz="0" w:space="0" w:color="auto"/>
      </w:divBdr>
    </w:div>
    <w:div w:id="1299335830">
      <w:marLeft w:val="0"/>
      <w:marRight w:val="0"/>
      <w:marTop w:val="0"/>
      <w:marBottom w:val="0"/>
      <w:divBdr>
        <w:top w:val="none" w:sz="0" w:space="0" w:color="auto"/>
        <w:left w:val="none" w:sz="0" w:space="0" w:color="auto"/>
        <w:bottom w:val="none" w:sz="0" w:space="0" w:color="auto"/>
        <w:right w:val="none" w:sz="0" w:space="0" w:color="auto"/>
      </w:divBdr>
    </w:div>
    <w:div w:id="1299335831">
      <w:marLeft w:val="0"/>
      <w:marRight w:val="0"/>
      <w:marTop w:val="0"/>
      <w:marBottom w:val="0"/>
      <w:divBdr>
        <w:top w:val="none" w:sz="0" w:space="0" w:color="auto"/>
        <w:left w:val="none" w:sz="0" w:space="0" w:color="auto"/>
        <w:bottom w:val="none" w:sz="0" w:space="0" w:color="auto"/>
        <w:right w:val="none" w:sz="0" w:space="0" w:color="auto"/>
      </w:divBdr>
    </w:div>
    <w:div w:id="1299335832">
      <w:marLeft w:val="0"/>
      <w:marRight w:val="0"/>
      <w:marTop w:val="0"/>
      <w:marBottom w:val="0"/>
      <w:divBdr>
        <w:top w:val="none" w:sz="0" w:space="0" w:color="auto"/>
        <w:left w:val="none" w:sz="0" w:space="0" w:color="auto"/>
        <w:bottom w:val="none" w:sz="0" w:space="0" w:color="auto"/>
        <w:right w:val="none" w:sz="0" w:space="0" w:color="auto"/>
      </w:divBdr>
    </w:div>
    <w:div w:id="1299335833">
      <w:marLeft w:val="0"/>
      <w:marRight w:val="0"/>
      <w:marTop w:val="0"/>
      <w:marBottom w:val="0"/>
      <w:divBdr>
        <w:top w:val="none" w:sz="0" w:space="0" w:color="auto"/>
        <w:left w:val="none" w:sz="0" w:space="0" w:color="auto"/>
        <w:bottom w:val="none" w:sz="0" w:space="0" w:color="auto"/>
        <w:right w:val="none" w:sz="0" w:space="0" w:color="auto"/>
      </w:divBdr>
    </w:div>
    <w:div w:id="1299335834">
      <w:marLeft w:val="0"/>
      <w:marRight w:val="0"/>
      <w:marTop w:val="0"/>
      <w:marBottom w:val="0"/>
      <w:divBdr>
        <w:top w:val="none" w:sz="0" w:space="0" w:color="auto"/>
        <w:left w:val="none" w:sz="0" w:space="0" w:color="auto"/>
        <w:bottom w:val="none" w:sz="0" w:space="0" w:color="auto"/>
        <w:right w:val="none" w:sz="0" w:space="0" w:color="auto"/>
      </w:divBdr>
    </w:div>
    <w:div w:id="1299335835">
      <w:marLeft w:val="0"/>
      <w:marRight w:val="0"/>
      <w:marTop w:val="0"/>
      <w:marBottom w:val="0"/>
      <w:divBdr>
        <w:top w:val="none" w:sz="0" w:space="0" w:color="auto"/>
        <w:left w:val="none" w:sz="0" w:space="0" w:color="auto"/>
        <w:bottom w:val="none" w:sz="0" w:space="0" w:color="auto"/>
        <w:right w:val="none" w:sz="0" w:space="0" w:color="auto"/>
      </w:divBdr>
    </w:div>
    <w:div w:id="1299335836">
      <w:marLeft w:val="0"/>
      <w:marRight w:val="0"/>
      <w:marTop w:val="0"/>
      <w:marBottom w:val="0"/>
      <w:divBdr>
        <w:top w:val="none" w:sz="0" w:space="0" w:color="auto"/>
        <w:left w:val="none" w:sz="0" w:space="0" w:color="auto"/>
        <w:bottom w:val="none" w:sz="0" w:space="0" w:color="auto"/>
        <w:right w:val="none" w:sz="0" w:space="0" w:color="auto"/>
      </w:divBdr>
    </w:div>
    <w:div w:id="1299335837">
      <w:marLeft w:val="0"/>
      <w:marRight w:val="0"/>
      <w:marTop w:val="0"/>
      <w:marBottom w:val="0"/>
      <w:divBdr>
        <w:top w:val="none" w:sz="0" w:space="0" w:color="auto"/>
        <w:left w:val="none" w:sz="0" w:space="0" w:color="auto"/>
        <w:bottom w:val="none" w:sz="0" w:space="0" w:color="auto"/>
        <w:right w:val="none" w:sz="0" w:space="0" w:color="auto"/>
      </w:divBdr>
    </w:div>
    <w:div w:id="1299335838">
      <w:marLeft w:val="0"/>
      <w:marRight w:val="0"/>
      <w:marTop w:val="0"/>
      <w:marBottom w:val="0"/>
      <w:divBdr>
        <w:top w:val="none" w:sz="0" w:space="0" w:color="auto"/>
        <w:left w:val="none" w:sz="0" w:space="0" w:color="auto"/>
        <w:bottom w:val="none" w:sz="0" w:space="0" w:color="auto"/>
        <w:right w:val="none" w:sz="0" w:space="0" w:color="auto"/>
      </w:divBdr>
    </w:div>
    <w:div w:id="1299335839">
      <w:marLeft w:val="0"/>
      <w:marRight w:val="0"/>
      <w:marTop w:val="0"/>
      <w:marBottom w:val="0"/>
      <w:divBdr>
        <w:top w:val="none" w:sz="0" w:space="0" w:color="auto"/>
        <w:left w:val="none" w:sz="0" w:space="0" w:color="auto"/>
        <w:bottom w:val="none" w:sz="0" w:space="0" w:color="auto"/>
        <w:right w:val="none" w:sz="0" w:space="0" w:color="auto"/>
      </w:divBdr>
    </w:div>
    <w:div w:id="1299335840">
      <w:marLeft w:val="0"/>
      <w:marRight w:val="0"/>
      <w:marTop w:val="0"/>
      <w:marBottom w:val="0"/>
      <w:divBdr>
        <w:top w:val="none" w:sz="0" w:space="0" w:color="auto"/>
        <w:left w:val="none" w:sz="0" w:space="0" w:color="auto"/>
        <w:bottom w:val="none" w:sz="0" w:space="0" w:color="auto"/>
        <w:right w:val="none" w:sz="0" w:space="0" w:color="auto"/>
      </w:divBdr>
    </w:div>
    <w:div w:id="1299335841">
      <w:marLeft w:val="0"/>
      <w:marRight w:val="0"/>
      <w:marTop w:val="0"/>
      <w:marBottom w:val="0"/>
      <w:divBdr>
        <w:top w:val="none" w:sz="0" w:space="0" w:color="auto"/>
        <w:left w:val="none" w:sz="0" w:space="0" w:color="auto"/>
        <w:bottom w:val="none" w:sz="0" w:space="0" w:color="auto"/>
        <w:right w:val="none" w:sz="0" w:space="0" w:color="auto"/>
      </w:divBdr>
    </w:div>
    <w:div w:id="1299335842">
      <w:marLeft w:val="0"/>
      <w:marRight w:val="0"/>
      <w:marTop w:val="0"/>
      <w:marBottom w:val="0"/>
      <w:divBdr>
        <w:top w:val="none" w:sz="0" w:space="0" w:color="auto"/>
        <w:left w:val="none" w:sz="0" w:space="0" w:color="auto"/>
        <w:bottom w:val="none" w:sz="0" w:space="0" w:color="auto"/>
        <w:right w:val="none" w:sz="0" w:space="0" w:color="auto"/>
      </w:divBdr>
    </w:div>
    <w:div w:id="1299335843">
      <w:marLeft w:val="0"/>
      <w:marRight w:val="0"/>
      <w:marTop w:val="0"/>
      <w:marBottom w:val="0"/>
      <w:divBdr>
        <w:top w:val="none" w:sz="0" w:space="0" w:color="auto"/>
        <w:left w:val="none" w:sz="0" w:space="0" w:color="auto"/>
        <w:bottom w:val="none" w:sz="0" w:space="0" w:color="auto"/>
        <w:right w:val="none" w:sz="0" w:space="0" w:color="auto"/>
      </w:divBdr>
    </w:div>
    <w:div w:id="1299335844">
      <w:marLeft w:val="0"/>
      <w:marRight w:val="0"/>
      <w:marTop w:val="0"/>
      <w:marBottom w:val="0"/>
      <w:divBdr>
        <w:top w:val="none" w:sz="0" w:space="0" w:color="auto"/>
        <w:left w:val="none" w:sz="0" w:space="0" w:color="auto"/>
        <w:bottom w:val="none" w:sz="0" w:space="0" w:color="auto"/>
        <w:right w:val="none" w:sz="0" w:space="0" w:color="auto"/>
      </w:divBdr>
    </w:div>
    <w:div w:id="1299335845">
      <w:marLeft w:val="0"/>
      <w:marRight w:val="0"/>
      <w:marTop w:val="0"/>
      <w:marBottom w:val="0"/>
      <w:divBdr>
        <w:top w:val="none" w:sz="0" w:space="0" w:color="auto"/>
        <w:left w:val="none" w:sz="0" w:space="0" w:color="auto"/>
        <w:bottom w:val="none" w:sz="0" w:space="0" w:color="auto"/>
        <w:right w:val="none" w:sz="0" w:space="0" w:color="auto"/>
      </w:divBdr>
    </w:div>
    <w:div w:id="1299335846">
      <w:marLeft w:val="0"/>
      <w:marRight w:val="0"/>
      <w:marTop w:val="0"/>
      <w:marBottom w:val="0"/>
      <w:divBdr>
        <w:top w:val="none" w:sz="0" w:space="0" w:color="auto"/>
        <w:left w:val="none" w:sz="0" w:space="0" w:color="auto"/>
        <w:bottom w:val="none" w:sz="0" w:space="0" w:color="auto"/>
        <w:right w:val="none" w:sz="0" w:space="0" w:color="auto"/>
      </w:divBdr>
    </w:div>
    <w:div w:id="1299335847">
      <w:marLeft w:val="0"/>
      <w:marRight w:val="0"/>
      <w:marTop w:val="0"/>
      <w:marBottom w:val="0"/>
      <w:divBdr>
        <w:top w:val="none" w:sz="0" w:space="0" w:color="auto"/>
        <w:left w:val="none" w:sz="0" w:space="0" w:color="auto"/>
        <w:bottom w:val="none" w:sz="0" w:space="0" w:color="auto"/>
        <w:right w:val="none" w:sz="0" w:space="0" w:color="auto"/>
      </w:divBdr>
    </w:div>
    <w:div w:id="1299335848">
      <w:marLeft w:val="0"/>
      <w:marRight w:val="0"/>
      <w:marTop w:val="0"/>
      <w:marBottom w:val="0"/>
      <w:divBdr>
        <w:top w:val="none" w:sz="0" w:space="0" w:color="auto"/>
        <w:left w:val="none" w:sz="0" w:space="0" w:color="auto"/>
        <w:bottom w:val="none" w:sz="0" w:space="0" w:color="auto"/>
        <w:right w:val="none" w:sz="0" w:space="0" w:color="auto"/>
      </w:divBdr>
    </w:div>
    <w:div w:id="1299335849">
      <w:marLeft w:val="0"/>
      <w:marRight w:val="0"/>
      <w:marTop w:val="0"/>
      <w:marBottom w:val="0"/>
      <w:divBdr>
        <w:top w:val="none" w:sz="0" w:space="0" w:color="auto"/>
        <w:left w:val="none" w:sz="0" w:space="0" w:color="auto"/>
        <w:bottom w:val="none" w:sz="0" w:space="0" w:color="auto"/>
        <w:right w:val="none" w:sz="0" w:space="0" w:color="auto"/>
      </w:divBdr>
    </w:div>
    <w:div w:id="1299335850">
      <w:marLeft w:val="0"/>
      <w:marRight w:val="0"/>
      <w:marTop w:val="0"/>
      <w:marBottom w:val="0"/>
      <w:divBdr>
        <w:top w:val="none" w:sz="0" w:space="0" w:color="auto"/>
        <w:left w:val="none" w:sz="0" w:space="0" w:color="auto"/>
        <w:bottom w:val="none" w:sz="0" w:space="0" w:color="auto"/>
        <w:right w:val="none" w:sz="0" w:space="0" w:color="auto"/>
      </w:divBdr>
    </w:div>
    <w:div w:id="1299335851">
      <w:marLeft w:val="0"/>
      <w:marRight w:val="0"/>
      <w:marTop w:val="0"/>
      <w:marBottom w:val="0"/>
      <w:divBdr>
        <w:top w:val="none" w:sz="0" w:space="0" w:color="auto"/>
        <w:left w:val="none" w:sz="0" w:space="0" w:color="auto"/>
        <w:bottom w:val="none" w:sz="0" w:space="0" w:color="auto"/>
        <w:right w:val="none" w:sz="0" w:space="0" w:color="auto"/>
      </w:divBdr>
    </w:div>
    <w:div w:id="1299335852">
      <w:marLeft w:val="0"/>
      <w:marRight w:val="0"/>
      <w:marTop w:val="0"/>
      <w:marBottom w:val="0"/>
      <w:divBdr>
        <w:top w:val="none" w:sz="0" w:space="0" w:color="auto"/>
        <w:left w:val="none" w:sz="0" w:space="0" w:color="auto"/>
        <w:bottom w:val="none" w:sz="0" w:space="0" w:color="auto"/>
        <w:right w:val="none" w:sz="0" w:space="0" w:color="auto"/>
      </w:divBdr>
    </w:div>
    <w:div w:id="1299335853">
      <w:marLeft w:val="0"/>
      <w:marRight w:val="0"/>
      <w:marTop w:val="0"/>
      <w:marBottom w:val="0"/>
      <w:divBdr>
        <w:top w:val="none" w:sz="0" w:space="0" w:color="auto"/>
        <w:left w:val="none" w:sz="0" w:space="0" w:color="auto"/>
        <w:bottom w:val="none" w:sz="0" w:space="0" w:color="auto"/>
        <w:right w:val="none" w:sz="0" w:space="0" w:color="auto"/>
      </w:divBdr>
    </w:div>
    <w:div w:id="1299335854">
      <w:marLeft w:val="0"/>
      <w:marRight w:val="0"/>
      <w:marTop w:val="0"/>
      <w:marBottom w:val="0"/>
      <w:divBdr>
        <w:top w:val="none" w:sz="0" w:space="0" w:color="auto"/>
        <w:left w:val="none" w:sz="0" w:space="0" w:color="auto"/>
        <w:bottom w:val="none" w:sz="0" w:space="0" w:color="auto"/>
        <w:right w:val="none" w:sz="0" w:space="0" w:color="auto"/>
      </w:divBdr>
    </w:div>
    <w:div w:id="1299335855">
      <w:marLeft w:val="0"/>
      <w:marRight w:val="0"/>
      <w:marTop w:val="0"/>
      <w:marBottom w:val="0"/>
      <w:divBdr>
        <w:top w:val="none" w:sz="0" w:space="0" w:color="auto"/>
        <w:left w:val="none" w:sz="0" w:space="0" w:color="auto"/>
        <w:bottom w:val="none" w:sz="0" w:space="0" w:color="auto"/>
        <w:right w:val="none" w:sz="0" w:space="0" w:color="auto"/>
      </w:divBdr>
    </w:div>
    <w:div w:id="1299335856">
      <w:marLeft w:val="0"/>
      <w:marRight w:val="0"/>
      <w:marTop w:val="0"/>
      <w:marBottom w:val="0"/>
      <w:divBdr>
        <w:top w:val="none" w:sz="0" w:space="0" w:color="auto"/>
        <w:left w:val="none" w:sz="0" w:space="0" w:color="auto"/>
        <w:bottom w:val="none" w:sz="0" w:space="0" w:color="auto"/>
        <w:right w:val="none" w:sz="0" w:space="0" w:color="auto"/>
      </w:divBdr>
    </w:div>
    <w:div w:id="1299335857">
      <w:marLeft w:val="0"/>
      <w:marRight w:val="0"/>
      <w:marTop w:val="0"/>
      <w:marBottom w:val="0"/>
      <w:divBdr>
        <w:top w:val="none" w:sz="0" w:space="0" w:color="auto"/>
        <w:left w:val="none" w:sz="0" w:space="0" w:color="auto"/>
        <w:bottom w:val="none" w:sz="0" w:space="0" w:color="auto"/>
        <w:right w:val="none" w:sz="0" w:space="0" w:color="auto"/>
      </w:divBdr>
    </w:div>
    <w:div w:id="1299335858">
      <w:marLeft w:val="0"/>
      <w:marRight w:val="0"/>
      <w:marTop w:val="0"/>
      <w:marBottom w:val="0"/>
      <w:divBdr>
        <w:top w:val="none" w:sz="0" w:space="0" w:color="auto"/>
        <w:left w:val="none" w:sz="0" w:space="0" w:color="auto"/>
        <w:bottom w:val="none" w:sz="0" w:space="0" w:color="auto"/>
        <w:right w:val="none" w:sz="0" w:space="0" w:color="auto"/>
      </w:divBdr>
    </w:div>
    <w:div w:id="1299335859">
      <w:marLeft w:val="0"/>
      <w:marRight w:val="0"/>
      <w:marTop w:val="0"/>
      <w:marBottom w:val="0"/>
      <w:divBdr>
        <w:top w:val="none" w:sz="0" w:space="0" w:color="auto"/>
        <w:left w:val="none" w:sz="0" w:space="0" w:color="auto"/>
        <w:bottom w:val="none" w:sz="0" w:space="0" w:color="auto"/>
        <w:right w:val="none" w:sz="0" w:space="0" w:color="auto"/>
      </w:divBdr>
    </w:div>
    <w:div w:id="1299335860">
      <w:marLeft w:val="0"/>
      <w:marRight w:val="0"/>
      <w:marTop w:val="0"/>
      <w:marBottom w:val="0"/>
      <w:divBdr>
        <w:top w:val="none" w:sz="0" w:space="0" w:color="auto"/>
        <w:left w:val="none" w:sz="0" w:space="0" w:color="auto"/>
        <w:bottom w:val="none" w:sz="0" w:space="0" w:color="auto"/>
        <w:right w:val="none" w:sz="0" w:space="0" w:color="auto"/>
      </w:divBdr>
    </w:div>
    <w:div w:id="1299335861">
      <w:marLeft w:val="0"/>
      <w:marRight w:val="0"/>
      <w:marTop w:val="0"/>
      <w:marBottom w:val="0"/>
      <w:divBdr>
        <w:top w:val="none" w:sz="0" w:space="0" w:color="auto"/>
        <w:left w:val="none" w:sz="0" w:space="0" w:color="auto"/>
        <w:bottom w:val="none" w:sz="0" w:space="0" w:color="auto"/>
        <w:right w:val="none" w:sz="0" w:space="0" w:color="auto"/>
      </w:divBdr>
    </w:div>
    <w:div w:id="1299335862">
      <w:marLeft w:val="0"/>
      <w:marRight w:val="0"/>
      <w:marTop w:val="0"/>
      <w:marBottom w:val="0"/>
      <w:divBdr>
        <w:top w:val="none" w:sz="0" w:space="0" w:color="auto"/>
        <w:left w:val="none" w:sz="0" w:space="0" w:color="auto"/>
        <w:bottom w:val="none" w:sz="0" w:space="0" w:color="auto"/>
        <w:right w:val="none" w:sz="0" w:space="0" w:color="auto"/>
      </w:divBdr>
    </w:div>
    <w:div w:id="1299335863">
      <w:marLeft w:val="0"/>
      <w:marRight w:val="0"/>
      <w:marTop w:val="0"/>
      <w:marBottom w:val="0"/>
      <w:divBdr>
        <w:top w:val="none" w:sz="0" w:space="0" w:color="auto"/>
        <w:left w:val="none" w:sz="0" w:space="0" w:color="auto"/>
        <w:bottom w:val="none" w:sz="0" w:space="0" w:color="auto"/>
        <w:right w:val="none" w:sz="0" w:space="0" w:color="auto"/>
      </w:divBdr>
    </w:div>
    <w:div w:id="1299335864">
      <w:marLeft w:val="0"/>
      <w:marRight w:val="0"/>
      <w:marTop w:val="0"/>
      <w:marBottom w:val="0"/>
      <w:divBdr>
        <w:top w:val="none" w:sz="0" w:space="0" w:color="auto"/>
        <w:left w:val="none" w:sz="0" w:space="0" w:color="auto"/>
        <w:bottom w:val="none" w:sz="0" w:space="0" w:color="auto"/>
        <w:right w:val="none" w:sz="0" w:space="0" w:color="auto"/>
      </w:divBdr>
    </w:div>
    <w:div w:id="1299335865">
      <w:marLeft w:val="0"/>
      <w:marRight w:val="0"/>
      <w:marTop w:val="0"/>
      <w:marBottom w:val="0"/>
      <w:divBdr>
        <w:top w:val="none" w:sz="0" w:space="0" w:color="auto"/>
        <w:left w:val="none" w:sz="0" w:space="0" w:color="auto"/>
        <w:bottom w:val="none" w:sz="0" w:space="0" w:color="auto"/>
        <w:right w:val="none" w:sz="0" w:space="0" w:color="auto"/>
      </w:divBdr>
    </w:div>
    <w:div w:id="1316032159">
      <w:bodyDiv w:val="1"/>
      <w:marLeft w:val="0"/>
      <w:marRight w:val="0"/>
      <w:marTop w:val="0"/>
      <w:marBottom w:val="0"/>
      <w:divBdr>
        <w:top w:val="none" w:sz="0" w:space="0" w:color="auto"/>
        <w:left w:val="none" w:sz="0" w:space="0" w:color="auto"/>
        <w:bottom w:val="none" w:sz="0" w:space="0" w:color="auto"/>
        <w:right w:val="none" w:sz="0" w:space="0" w:color="auto"/>
      </w:divBdr>
    </w:div>
    <w:div w:id="1319075043">
      <w:bodyDiv w:val="1"/>
      <w:marLeft w:val="0"/>
      <w:marRight w:val="0"/>
      <w:marTop w:val="0"/>
      <w:marBottom w:val="0"/>
      <w:divBdr>
        <w:top w:val="none" w:sz="0" w:space="0" w:color="auto"/>
        <w:left w:val="none" w:sz="0" w:space="0" w:color="auto"/>
        <w:bottom w:val="none" w:sz="0" w:space="0" w:color="auto"/>
        <w:right w:val="none" w:sz="0" w:space="0" w:color="auto"/>
      </w:divBdr>
    </w:div>
    <w:div w:id="1376344412">
      <w:bodyDiv w:val="1"/>
      <w:marLeft w:val="0"/>
      <w:marRight w:val="0"/>
      <w:marTop w:val="0"/>
      <w:marBottom w:val="0"/>
      <w:divBdr>
        <w:top w:val="none" w:sz="0" w:space="0" w:color="auto"/>
        <w:left w:val="none" w:sz="0" w:space="0" w:color="auto"/>
        <w:bottom w:val="none" w:sz="0" w:space="0" w:color="auto"/>
        <w:right w:val="none" w:sz="0" w:space="0" w:color="auto"/>
      </w:divBdr>
    </w:div>
    <w:div w:id="1411731093">
      <w:bodyDiv w:val="1"/>
      <w:marLeft w:val="0"/>
      <w:marRight w:val="0"/>
      <w:marTop w:val="0"/>
      <w:marBottom w:val="0"/>
      <w:divBdr>
        <w:top w:val="none" w:sz="0" w:space="0" w:color="auto"/>
        <w:left w:val="none" w:sz="0" w:space="0" w:color="auto"/>
        <w:bottom w:val="none" w:sz="0" w:space="0" w:color="auto"/>
        <w:right w:val="none" w:sz="0" w:space="0" w:color="auto"/>
      </w:divBdr>
    </w:div>
    <w:div w:id="1513764754">
      <w:bodyDiv w:val="1"/>
      <w:marLeft w:val="0"/>
      <w:marRight w:val="0"/>
      <w:marTop w:val="0"/>
      <w:marBottom w:val="0"/>
      <w:divBdr>
        <w:top w:val="none" w:sz="0" w:space="0" w:color="auto"/>
        <w:left w:val="none" w:sz="0" w:space="0" w:color="auto"/>
        <w:bottom w:val="none" w:sz="0" w:space="0" w:color="auto"/>
        <w:right w:val="none" w:sz="0" w:space="0" w:color="auto"/>
      </w:divBdr>
    </w:div>
    <w:div w:id="1517504605">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594896019">
      <w:bodyDiv w:val="1"/>
      <w:marLeft w:val="0"/>
      <w:marRight w:val="0"/>
      <w:marTop w:val="0"/>
      <w:marBottom w:val="0"/>
      <w:divBdr>
        <w:top w:val="none" w:sz="0" w:space="0" w:color="auto"/>
        <w:left w:val="none" w:sz="0" w:space="0" w:color="auto"/>
        <w:bottom w:val="none" w:sz="0" w:space="0" w:color="auto"/>
        <w:right w:val="none" w:sz="0" w:space="0" w:color="auto"/>
      </w:divBdr>
    </w:div>
    <w:div w:id="1630089218">
      <w:bodyDiv w:val="1"/>
      <w:marLeft w:val="0"/>
      <w:marRight w:val="0"/>
      <w:marTop w:val="0"/>
      <w:marBottom w:val="0"/>
      <w:divBdr>
        <w:top w:val="none" w:sz="0" w:space="0" w:color="auto"/>
        <w:left w:val="none" w:sz="0" w:space="0" w:color="auto"/>
        <w:bottom w:val="none" w:sz="0" w:space="0" w:color="auto"/>
        <w:right w:val="none" w:sz="0" w:space="0" w:color="auto"/>
      </w:divBdr>
    </w:div>
    <w:div w:id="1675374957">
      <w:bodyDiv w:val="1"/>
      <w:marLeft w:val="0"/>
      <w:marRight w:val="0"/>
      <w:marTop w:val="0"/>
      <w:marBottom w:val="0"/>
      <w:divBdr>
        <w:top w:val="none" w:sz="0" w:space="0" w:color="auto"/>
        <w:left w:val="none" w:sz="0" w:space="0" w:color="auto"/>
        <w:bottom w:val="none" w:sz="0" w:space="0" w:color="auto"/>
        <w:right w:val="none" w:sz="0" w:space="0" w:color="auto"/>
      </w:divBdr>
    </w:div>
    <w:div w:id="1687243929">
      <w:bodyDiv w:val="1"/>
      <w:marLeft w:val="0"/>
      <w:marRight w:val="0"/>
      <w:marTop w:val="0"/>
      <w:marBottom w:val="0"/>
      <w:divBdr>
        <w:top w:val="none" w:sz="0" w:space="0" w:color="auto"/>
        <w:left w:val="none" w:sz="0" w:space="0" w:color="auto"/>
        <w:bottom w:val="none" w:sz="0" w:space="0" w:color="auto"/>
        <w:right w:val="none" w:sz="0" w:space="0" w:color="auto"/>
      </w:divBdr>
    </w:div>
    <w:div w:id="1722098365">
      <w:bodyDiv w:val="1"/>
      <w:marLeft w:val="0"/>
      <w:marRight w:val="0"/>
      <w:marTop w:val="0"/>
      <w:marBottom w:val="0"/>
      <w:divBdr>
        <w:top w:val="none" w:sz="0" w:space="0" w:color="auto"/>
        <w:left w:val="none" w:sz="0" w:space="0" w:color="auto"/>
        <w:bottom w:val="none" w:sz="0" w:space="0" w:color="auto"/>
        <w:right w:val="none" w:sz="0" w:space="0" w:color="auto"/>
      </w:divBdr>
    </w:div>
    <w:div w:id="1767384041">
      <w:bodyDiv w:val="1"/>
      <w:marLeft w:val="0"/>
      <w:marRight w:val="0"/>
      <w:marTop w:val="0"/>
      <w:marBottom w:val="0"/>
      <w:divBdr>
        <w:top w:val="none" w:sz="0" w:space="0" w:color="auto"/>
        <w:left w:val="none" w:sz="0" w:space="0" w:color="auto"/>
        <w:bottom w:val="none" w:sz="0" w:space="0" w:color="auto"/>
        <w:right w:val="none" w:sz="0" w:space="0" w:color="auto"/>
      </w:divBdr>
    </w:div>
    <w:div w:id="1769039268">
      <w:bodyDiv w:val="1"/>
      <w:marLeft w:val="0"/>
      <w:marRight w:val="0"/>
      <w:marTop w:val="0"/>
      <w:marBottom w:val="0"/>
      <w:divBdr>
        <w:top w:val="none" w:sz="0" w:space="0" w:color="auto"/>
        <w:left w:val="none" w:sz="0" w:space="0" w:color="auto"/>
        <w:bottom w:val="none" w:sz="0" w:space="0" w:color="auto"/>
        <w:right w:val="none" w:sz="0" w:space="0" w:color="auto"/>
      </w:divBdr>
    </w:div>
    <w:div w:id="1769734750">
      <w:bodyDiv w:val="1"/>
      <w:marLeft w:val="0"/>
      <w:marRight w:val="0"/>
      <w:marTop w:val="0"/>
      <w:marBottom w:val="0"/>
      <w:divBdr>
        <w:top w:val="none" w:sz="0" w:space="0" w:color="auto"/>
        <w:left w:val="none" w:sz="0" w:space="0" w:color="auto"/>
        <w:bottom w:val="none" w:sz="0" w:space="0" w:color="auto"/>
        <w:right w:val="none" w:sz="0" w:space="0" w:color="auto"/>
      </w:divBdr>
    </w:div>
    <w:div w:id="1784380577">
      <w:bodyDiv w:val="1"/>
      <w:marLeft w:val="0"/>
      <w:marRight w:val="0"/>
      <w:marTop w:val="0"/>
      <w:marBottom w:val="0"/>
      <w:divBdr>
        <w:top w:val="none" w:sz="0" w:space="0" w:color="auto"/>
        <w:left w:val="none" w:sz="0" w:space="0" w:color="auto"/>
        <w:bottom w:val="none" w:sz="0" w:space="0" w:color="auto"/>
        <w:right w:val="none" w:sz="0" w:space="0" w:color="auto"/>
      </w:divBdr>
    </w:div>
    <w:div w:id="1798836872">
      <w:bodyDiv w:val="1"/>
      <w:marLeft w:val="0"/>
      <w:marRight w:val="0"/>
      <w:marTop w:val="0"/>
      <w:marBottom w:val="0"/>
      <w:divBdr>
        <w:top w:val="none" w:sz="0" w:space="0" w:color="auto"/>
        <w:left w:val="none" w:sz="0" w:space="0" w:color="auto"/>
        <w:bottom w:val="none" w:sz="0" w:space="0" w:color="auto"/>
        <w:right w:val="none" w:sz="0" w:space="0" w:color="auto"/>
      </w:divBdr>
    </w:div>
    <w:div w:id="1851018944">
      <w:bodyDiv w:val="1"/>
      <w:marLeft w:val="0"/>
      <w:marRight w:val="0"/>
      <w:marTop w:val="0"/>
      <w:marBottom w:val="0"/>
      <w:divBdr>
        <w:top w:val="none" w:sz="0" w:space="0" w:color="auto"/>
        <w:left w:val="none" w:sz="0" w:space="0" w:color="auto"/>
        <w:bottom w:val="none" w:sz="0" w:space="0" w:color="auto"/>
        <w:right w:val="none" w:sz="0" w:space="0" w:color="auto"/>
      </w:divBdr>
    </w:div>
    <w:div w:id="1958297056">
      <w:bodyDiv w:val="1"/>
      <w:marLeft w:val="0"/>
      <w:marRight w:val="0"/>
      <w:marTop w:val="0"/>
      <w:marBottom w:val="0"/>
      <w:divBdr>
        <w:top w:val="none" w:sz="0" w:space="0" w:color="auto"/>
        <w:left w:val="none" w:sz="0" w:space="0" w:color="auto"/>
        <w:bottom w:val="none" w:sz="0" w:space="0" w:color="auto"/>
        <w:right w:val="none" w:sz="0" w:space="0" w:color="auto"/>
      </w:divBdr>
    </w:div>
    <w:div w:id="1989897944">
      <w:bodyDiv w:val="1"/>
      <w:marLeft w:val="0"/>
      <w:marRight w:val="0"/>
      <w:marTop w:val="0"/>
      <w:marBottom w:val="0"/>
      <w:divBdr>
        <w:top w:val="none" w:sz="0" w:space="0" w:color="auto"/>
        <w:left w:val="none" w:sz="0" w:space="0" w:color="auto"/>
        <w:bottom w:val="none" w:sz="0" w:space="0" w:color="auto"/>
        <w:right w:val="none" w:sz="0" w:space="0" w:color="auto"/>
      </w:divBdr>
    </w:div>
    <w:div w:id="1992904665">
      <w:bodyDiv w:val="1"/>
      <w:marLeft w:val="0"/>
      <w:marRight w:val="0"/>
      <w:marTop w:val="0"/>
      <w:marBottom w:val="0"/>
      <w:divBdr>
        <w:top w:val="none" w:sz="0" w:space="0" w:color="auto"/>
        <w:left w:val="none" w:sz="0" w:space="0" w:color="auto"/>
        <w:bottom w:val="none" w:sz="0" w:space="0" w:color="auto"/>
        <w:right w:val="none" w:sz="0" w:space="0" w:color="auto"/>
      </w:divBdr>
    </w:div>
    <w:div w:id="1999336801">
      <w:bodyDiv w:val="1"/>
      <w:marLeft w:val="0"/>
      <w:marRight w:val="0"/>
      <w:marTop w:val="0"/>
      <w:marBottom w:val="0"/>
      <w:divBdr>
        <w:top w:val="none" w:sz="0" w:space="0" w:color="auto"/>
        <w:left w:val="none" w:sz="0" w:space="0" w:color="auto"/>
        <w:bottom w:val="none" w:sz="0" w:space="0" w:color="auto"/>
        <w:right w:val="none" w:sz="0" w:space="0" w:color="auto"/>
      </w:divBdr>
    </w:div>
    <w:div w:id="2076049964">
      <w:bodyDiv w:val="1"/>
      <w:marLeft w:val="0"/>
      <w:marRight w:val="0"/>
      <w:marTop w:val="0"/>
      <w:marBottom w:val="0"/>
      <w:divBdr>
        <w:top w:val="none" w:sz="0" w:space="0" w:color="auto"/>
        <w:left w:val="none" w:sz="0" w:space="0" w:color="auto"/>
        <w:bottom w:val="none" w:sz="0" w:space="0" w:color="auto"/>
        <w:right w:val="none" w:sz="0" w:space="0" w:color="auto"/>
      </w:divBdr>
    </w:div>
    <w:div w:id="2087798717">
      <w:bodyDiv w:val="1"/>
      <w:marLeft w:val="0"/>
      <w:marRight w:val="0"/>
      <w:marTop w:val="0"/>
      <w:marBottom w:val="0"/>
      <w:divBdr>
        <w:top w:val="none" w:sz="0" w:space="0" w:color="auto"/>
        <w:left w:val="none" w:sz="0" w:space="0" w:color="auto"/>
        <w:bottom w:val="none" w:sz="0" w:space="0" w:color="auto"/>
        <w:right w:val="none" w:sz="0" w:space="0" w:color="auto"/>
      </w:divBdr>
    </w:div>
    <w:div w:id="2093118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ntTable" Target="fontTable.xml"/><Relationship Id="rId21" Type="http://schemas.openxmlformats.org/officeDocument/2006/relationships/header" Target="header4.xml"/><Relationship Id="rId42" Type="http://schemas.openxmlformats.org/officeDocument/2006/relationships/image" Target="media/image10.png"/><Relationship Id="rId47" Type="http://schemas.openxmlformats.org/officeDocument/2006/relationships/footer" Target="footer12.xml"/><Relationship Id="rId63" Type="http://schemas.openxmlformats.org/officeDocument/2006/relationships/image" Target="media/image20.png"/><Relationship Id="rId68" Type="http://schemas.openxmlformats.org/officeDocument/2006/relationships/image" Target="media/image24.png"/><Relationship Id="rId84" Type="http://schemas.openxmlformats.org/officeDocument/2006/relationships/header" Target="header22.xml"/><Relationship Id="rId89" Type="http://schemas.openxmlformats.org/officeDocument/2006/relationships/hyperlink" Target="http://www.austlii.edu.au/cgi-bin/viewdb/au/legis/vic/num_reg/gsqr2017n89o2017427/" TargetMode="External"/><Relationship Id="rId112" Type="http://schemas.openxmlformats.org/officeDocument/2006/relationships/footer" Target="footer16.xml"/><Relationship Id="rId16" Type="http://schemas.openxmlformats.org/officeDocument/2006/relationships/footer" Target="footer1.xml"/><Relationship Id="rId107" Type="http://schemas.openxmlformats.org/officeDocument/2006/relationships/image" Target="media/image38.png"/><Relationship Id="rId11" Type="http://schemas.openxmlformats.org/officeDocument/2006/relationships/hyperlink" Target="https://earthresources.vic.gov.au/__data/assets/pdf_file/0011/558884/Latrobe-Valley-Regional-Rehabilitation-Strategy.pdf" TargetMode="Externa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footer" Target="footer11.xml"/><Relationship Id="rId53" Type="http://schemas.openxmlformats.org/officeDocument/2006/relationships/hyperlink" Target="http://www.standards.org.au/" TargetMode="External"/><Relationship Id="rId58" Type="http://schemas.openxmlformats.org/officeDocument/2006/relationships/hyperlink" Target="http://www.austlii.edu.au/au/legis/vic/consol_reg/gsir2008382/" TargetMode="External"/><Relationship Id="rId66" Type="http://schemas.openxmlformats.org/officeDocument/2006/relationships/hyperlink" Target="http://www.standards.org.au/" TargetMode="External"/><Relationship Id="rId74" Type="http://schemas.openxmlformats.org/officeDocument/2006/relationships/image" Target="media/image29.png"/><Relationship Id="rId79" Type="http://schemas.openxmlformats.org/officeDocument/2006/relationships/footer" Target="footer13.xml"/><Relationship Id="rId87" Type="http://schemas.openxmlformats.org/officeDocument/2006/relationships/hyperlink" Target="http://www.austlii.edu.au/au/legis/vic/consol_reg/gsir2008382/" TargetMode="External"/><Relationship Id="rId102" Type="http://schemas.openxmlformats.org/officeDocument/2006/relationships/image" Target="media/image34.png"/><Relationship Id="rId110" Type="http://schemas.openxmlformats.org/officeDocument/2006/relationships/header" Target="header24.xml"/><Relationship Id="rId115" Type="http://schemas.openxmlformats.org/officeDocument/2006/relationships/header" Target="header28.xml"/><Relationship Id="rId5" Type="http://schemas.openxmlformats.org/officeDocument/2006/relationships/numbering" Target="numbering.xml"/><Relationship Id="rId61" Type="http://schemas.openxmlformats.org/officeDocument/2006/relationships/hyperlink" Target="http://www.standards.org.au/" TargetMode="External"/><Relationship Id="rId82" Type="http://schemas.openxmlformats.org/officeDocument/2006/relationships/header" Target="header21.xml"/><Relationship Id="rId90" Type="http://schemas.openxmlformats.org/officeDocument/2006/relationships/hyperlink" Target="http://www.standards.org.au/" TargetMode="External"/><Relationship Id="rId95" Type="http://schemas.openxmlformats.org/officeDocument/2006/relationships/hyperlink" Target="http://apga.org.au/wp-content/uploads/2009/10/2008-Hydrotest-Guidelines.pdf"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image" Target="media/image8.jpeg"/><Relationship Id="rId43" Type="http://schemas.openxmlformats.org/officeDocument/2006/relationships/header" Target="header14.xml"/><Relationship Id="rId48" Type="http://schemas.openxmlformats.org/officeDocument/2006/relationships/image" Target="media/image12.png"/><Relationship Id="rId56" Type="http://schemas.openxmlformats.org/officeDocument/2006/relationships/image" Target="media/image19.jpg"/><Relationship Id="rId64" Type="http://schemas.openxmlformats.org/officeDocument/2006/relationships/image" Target="media/image21.png"/><Relationship Id="rId69" Type="http://schemas.openxmlformats.org/officeDocument/2006/relationships/image" Target="media/image25.png"/><Relationship Id="rId77" Type="http://schemas.openxmlformats.org/officeDocument/2006/relationships/header" Target="header18.xml"/><Relationship Id="rId100" Type="http://schemas.openxmlformats.org/officeDocument/2006/relationships/image" Target="media/image33.png"/><Relationship Id="rId105" Type="http://schemas.openxmlformats.org/officeDocument/2006/relationships/hyperlink" Target="http://www.standards.org.au/" TargetMode="External"/><Relationship Id="rId113" Type="http://schemas.openxmlformats.org/officeDocument/2006/relationships/header" Target="header26.xml"/><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image" Target="media/image27.png"/><Relationship Id="rId80" Type="http://schemas.openxmlformats.org/officeDocument/2006/relationships/image" Target="media/image31.png"/><Relationship Id="rId85" Type="http://schemas.openxmlformats.org/officeDocument/2006/relationships/footer" Target="footer15.xml"/><Relationship Id="rId93" Type="http://schemas.openxmlformats.org/officeDocument/2006/relationships/hyperlink" Target="http://apga.org.au/wp-content/uploads/2009/10/APIA-Land-use-investigation-Guideline.pdf" TargetMode="External"/><Relationship Id="rId98"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hyperlink" Target="http://www.austlii.edu.au/au/legis/vic/consol_reg/gscr2008318/" TargetMode="External"/><Relationship Id="rId67" Type="http://schemas.openxmlformats.org/officeDocument/2006/relationships/image" Target="media/image23.png"/><Relationship Id="rId103" Type="http://schemas.openxmlformats.org/officeDocument/2006/relationships/image" Target="media/image35.png"/><Relationship Id="rId108" Type="http://schemas.openxmlformats.org/officeDocument/2006/relationships/image" Target="media/image39.png"/><Relationship Id="rId116" Type="http://schemas.openxmlformats.org/officeDocument/2006/relationships/footer" Target="footer17.xml"/><Relationship Id="rId20" Type="http://schemas.openxmlformats.org/officeDocument/2006/relationships/image" Target="media/image3.jpeg"/><Relationship Id="rId41" Type="http://schemas.openxmlformats.org/officeDocument/2006/relationships/footer" Target="footer10.xml"/><Relationship Id="rId54" Type="http://schemas.openxmlformats.org/officeDocument/2006/relationships/image" Target="media/image17.jpg"/><Relationship Id="rId62" Type="http://schemas.openxmlformats.org/officeDocument/2006/relationships/hyperlink" Target="http://www.apga.org.au/wp-content/uploads/2009/10/IECA-2008.-Best-Practice-Erosion-and-Sediment-Control-Appendix-P-Land-Based-Pipeline-Construction.pdf" TargetMode="External"/><Relationship Id="rId70" Type="http://schemas.openxmlformats.org/officeDocument/2006/relationships/image" Target="media/image26.png"/><Relationship Id="rId75" Type="http://schemas.openxmlformats.org/officeDocument/2006/relationships/image" Target="media/image30.png"/><Relationship Id="rId83" Type="http://schemas.openxmlformats.org/officeDocument/2006/relationships/footer" Target="footer14.xml"/><Relationship Id="rId88" Type="http://schemas.openxmlformats.org/officeDocument/2006/relationships/hyperlink" Target="http://www.austlii.edu.au/au/legis/vic/consol_reg/gscr2008318/" TargetMode="External"/><Relationship Id="rId91" Type="http://schemas.openxmlformats.org/officeDocument/2006/relationships/hyperlink" Target="http://apga.org.au/wp-content/uploads/2009/10/CMIT-2005-259AnalysisofHydrostaticTest.pdf.pdf" TargetMode="External"/><Relationship Id="rId96" Type="http://schemas.openxmlformats.org/officeDocument/2006/relationships/hyperlink" Target="http://apga.org.au/wp-content/uploads/2009/10/APIA-VFF-Guidelines-November-2009.pdf" TargetMode="External"/><Relationship Id="rId11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9.png"/><Relationship Id="rId49" Type="http://schemas.openxmlformats.org/officeDocument/2006/relationships/image" Target="media/image13.png"/><Relationship Id="rId57" Type="http://schemas.openxmlformats.org/officeDocument/2006/relationships/hyperlink" Target="http://www.austlii.edu.au/au/legis/vic/consol_act/gsa1997115/" TargetMode="External"/><Relationship Id="rId106" Type="http://schemas.openxmlformats.org/officeDocument/2006/relationships/image" Target="media/image37.png"/><Relationship Id="rId114"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header" Target="header15.xml"/><Relationship Id="rId52" Type="http://schemas.openxmlformats.org/officeDocument/2006/relationships/image" Target="media/image16.png"/><Relationship Id="rId60" Type="http://schemas.openxmlformats.org/officeDocument/2006/relationships/hyperlink" Target="http://www.austlii.edu.au/cgi-bin/viewdb/au/legis/vic/num_reg/gsqr2017n89o2017427/" TargetMode="External"/><Relationship Id="rId65" Type="http://schemas.openxmlformats.org/officeDocument/2006/relationships/image" Target="media/image22.jpeg"/><Relationship Id="rId73" Type="http://schemas.openxmlformats.org/officeDocument/2006/relationships/image" Target="media/image28.png"/><Relationship Id="rId78" Type="http://schemas.openxmlformats.org/officeDocument/2006/relationships/header" Target="header19.xml"/><Relationship Id="rId81" Type="http://schemas.openxmlformats.org/officeDocument/2006/relationships/header" Target="header20.xml"/><Relationship Id="rId86" Type="http://schemas.openxmlformats.org/officeDocument/2006/relationships/hyperlink" Target="http://www.austlii.edu.au/au/legis/vic/consol_act/gsa1997115/" TargetMode="External"/><Relationship Id="rId94" Type="http://schemas.openxmlformats.org/officeDocument/2006/relationships/hyperlink" Target="http://apga.org.au/wp-content/uploads/2009/10/Elec-Hazard-Guidelines-140115.pdf" TargetMode="External"/><Relationship Id="rId99" Type="http://schemas.openxmlformats.org/officeDocument/2006/relationships/hyperlink" Target="http://www.standards.org.au/" TargetMode="External"/><Relationship Id="rId101" Type="http://schemas.openxmlformats.org/officeDocument/2006/relationships/hyperlink" Target="http://www.standards.org.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footer" Target="footer9.xml"/><Relationship Id="rId109" Type="http://schemas.openxmlformats.org/officeDocument/2006/relationships/header" Target="header23.xml"/><Relationship Id="rId34" Type="http://schemas.openxmlformats.org/officeDocument/2006/relationships/image" Target="media/image7.png"/><Relationship Id="rId50" Type="http://schemas.openxmlformats.org/officeDocument/2006/relationships/image" Target="media/image14.png"/><Relationship Id="rId55" Type="http://schemas.openxmlformats.org/officeDocument/2006/relationships/image" Target="media/image18.png"/><Relationship Id="rId76" Type="http://schemas.openxmlformats.org/officeDocument/2006/relationships/header" Target="header17.xml"/><Relationship Id="rId97" Type="http://schemas.openxmlformats.org/officeDocument/2006/relationships/hyperlink" Target="http://www.apga.org.au/wp-content/uploads/2009/10/IECA-2008.-Best-Practice-Erosion-and-Sediment-Control-Appendix-P-Land-Based-Pipeline-Construction.pdf" TargetMode="External"/><Relationship Id="rId104"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hyperlink" Target="http://www.standards.org.au/" TargetMode="External"/><Relationship Id="rId92" Type="http://schemas.openxmlformats.org/officeDocument/2006/relationships/hyperlink" Target="http://www.apga.org.au/news-room/guidelines-and-publications/code-of-practice-in-the-coal-seam-gas-industry/" TargetMode="External"/><Relationship Id="rId2" Type="http://schemas.openxmlformats.org/officeDocument/2006/relationships/customXml" Target="../customXml/item2.xml"/><Relationship Id="rId29" Type="http://schemas.openxmlformats.org/officeDocument/2006/relationships/header" Target="header8.xml"/></Relationships>
</file>

<file path=word/_rels/header1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_rels/header2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1.jpeg"/></Relationships>
</file>

<file path=word/_rels/header2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rporate%20Templates\Templates\Report.dotm" TargetMode="External"/></Relationships>
</file>

<file path=word/theme/theme1.xml><?xml version="1.0" encoding="utf-8"?>
<a:theme xmlns:a="http://schemas.openxmlformats.org/drawingml/2006/main" name="Jacobs Document">
  <a:themeElements>
    <a:clrScheme name="Jacobs Document">
      <a:dk1>
        <a:sysClr val="windowText" lastClr="000000"/>
      </a:dk1>
      <a:lt1>
        <a:sysClr val="window" lastClr="FFFFFF"/>
      </a:lt1>
      <a:dk2>
        <a:srgbClr val="00338D"/>
      </a:dk2>
      <a:lt2>
        <a:srgbClr val="CCCCCC"/>
      </a:lt2>
      <a:accent1>
        <a:srgbClr val="00338D"/>
      </a:accent1>
      <a:accent2>
        <a:srgbClr val="CCCCCC"/>
      </a:accent2>
      <a:accent3>
        <a:srgbClr val="2CC6CE"/>
      </a:accent3>
      <a:accent4>
        <a:srgbClr val="97BC33"/>
      </a:accent4>
      <a:accent5>
        <a:srgbClr val="FFDE00"/>
      </a:accent5>
      <a:accent6>
        <a:srgbClr val="EF821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Qiu</b:Tag>
    <b:SourceType>Report</b:SourceType>
    <b:Guid>{7B8910CF-A5BB-46D3-A4BF-AF877D9AA98B}</b:Guid>
    <b:Title>Reservoir-induced Seismicity</b:Title>
    <b:City>London</b:City>
    <b:Publisher>Imperial College</b:Publisher>
    <b:Author>
      <b:Author>
        <b:NameList>
          <b:Person>
            <b:Last>Qiu</b:Last>
            <b:First>X</b:First>
          </b:Person>
        </b:NameList>
      </b:Author>
    </b:Author>
    <b:Pages>101-113</b:Pages>
    <b:Comments>Unpublished MEng Disseration</b:Comments>
    <b:Year>2012</b:Year>
    <b:RefOrder>1</b:RefOrder>
  </b:Source>
  <b:Source>
    <b:Tag>Gib13</b:Tag>
    <b:SourceType>Report</b:SourceType>
    <b:Guid>{DF7995AF-F908-442F-9E28-14019FEB547A}</b:Guid>
    <b:Title>Seismicity and Induced Earthquakes</b:Title>
    <b:Year>2013</b:Year>
    <b:Publisher>Melbourne Energy Institute, The University of Melbourne</b:Publisher>
    <b:City>Melbourne</b:City>
    <b:Author>
      <b:Author>
        <b:NameList>
          <b:Person>
            <b:Last>Gibson</b:Last>
            <b:First>Gary</b:First>
          </b:Person>
          <b:Person>
            <b:Last>Sandiford</b:Last>
            <b:First>Mike</b:First>
          </b:Person>
        </b:NameList>
      </b:Author>
    </b:Author>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5E2F10D362E873449B04B1E790BDC8AC" ma:contentTypeVersion="13" ma:contentTypeDescription="Create a new document." ma:contentTypeScope="" ma:versionID="ba4f782f020476edc8a674756eab7053">
  <xsd:schema xmlns:xsd="http://www.w3.org/2001/XMLSchema" xmlns:xs="http://www.w3.org/2001/XMLSchema" xmlns:p="http://schemas.microsoft.com/office/2006/metadata/properties" xmlns:ns3="b539432b-9291-4bd2-a421-e6e382081da8" xmlns:ns4="eaeb0f4b-d9ae-4f61-98a8-2420d1045d84" targetNamespace="http://schemas.microsoft.com/office/2006/metadata/properties" ma:root="true" ma:fieldsID="5ab326553cd392ff991da2dae8d663d2" ns3:_="" ns4:_="">
    <xsd:import namespace="b539432b-9291-4bd2-a421-e6e382081da8"/>
    <xsd:import namespace="eaeb0f4b-d9ae-4f61-98a8-2420d1045d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9432b-9291-4bd2-a421-e6e382081da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eb0f4b-d9ae-4f61-98a8-2420d1045d8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A3F093-D4F4-4502-A6E5-40D7C7A437C4}">
  <ds:schemaRefs>
    <ds:schemaRef ds:uri="http://schemas.openxmlformats.org/officeDocument/2006/bibliography"/>
  </ds:schemaRefs>
</ds:datastoreItem>
</file>

<file path=customXml/itemProps2.xml><?xml version="1.0" encoding="utf-8"?>
<ds:datastoreItem xmlns:ds="http://schemas.openxmlformats.org/officeDocument/2006/customXml" ds:itemID="{9CC88740-87D4-4AEE-84AD-4134C4816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9432b-9291-4bd2-a421-e6e382081da8"/>
    <ds:schemaRef ds:uri="eaeb0f4b-d9ae-4f61-98a8-2420d1045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82D96B-CE05-478D-9E48-91A45BEDB404}">
  <ds:schemaRefs>
    <ds:schemaRef ds:uri="http://schemas.microsoft.com/sharepoint/v3/contenttype/forms"/>
  </ds:schemaRefs>
</ds:datastoreItem>
</file>

<file path=customXml/itemProps4.xml><?xml version="1.0" encoding="utf-8"?>
<ds:datastoreItem xmlns:ds="http://schemas.openxmlformats.org/officeDocument/2006/customXml" ds:itemID="{0F8CF408-CE35-4D18-AB08-22A2155A1E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Report.dotm</Template>
  <TotalTime>8</TotalTime>
  <Pages>5</Pages>
  <Words>29754</Words>
  <Characters>169602</Characters>
  <Application>Microsoft Office Word</Application>
  <DocSecurity>0</DocSecurity>
  <Lines>1413</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X Mozina (DEDJTR)</dc:creator>
  <cp:keywords/>
  <dc:description/>
  <cp:lastModifiedBy>Bruce R Jenkins (DJPR)</cp:lastModifiedBy>
  <cp:revision>6</cp:revision>
  <cp:lastPrinted>2021-02-16T22:14:00Z</cp:lastPrinted>
  <dcterms:created xsi:type="dcterms:W3CDTF">2021-03-19T04:20:00Z</dcterms:created>
  <dcterms:modified xsi:type="dcterms:W3CDTF">2021-03-21T22:33:00Z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Latrobe Valley Regional Rehabilitation Strategy</vt:lpwstr>
  </property>
  <property fmtid="{D5CDD505-2E9C-101B-9397-08002B2CF9AE}" pid="3" name="Cover Subheading">
    <vt:lpwstr>Geotechnical-related Metrics and Thresholds for Impact Assessment on Recognised Regional Receptors</vt:lpwstr>
  </property>
  <property fmtid="{D5CDD505-2E9C-101B-9397-08002B2CF9AE}" pid="4" name="Cover Date">
    <vt:lpwstr>4 December 2020</vt:lpwstr>
  </property>
  <property fmtid="{D5CDD505-2E9C-101B-9397-08002B2CF9AE}" pid="5" name="Project Name">
    <vt:lpwstr>Latrobe Valley Regional Rehabilitation Strategy</vt:lpwstr>
  </property>
  <property fmtid="{D5CDD505-2E9C-101B-9397-08002B2CF9AE}" pid="6" name="NewDocument">
    <vt:lpwstr>False</vt:lpwstr>
  </property>
  <property fmtid="{D5CDD505-2E9C-101B-9397-08002B2CF9AE}" pid="7" name="DocumentGroup">
    <vt:lpwstr>ProposalReport</vt:lpwstr>
  </property>
  <property fmtid="{D5CDD505-2E9C-101B-9397-08002B2CF9AE}" pid="8" name="DocumentSubGroup">
    <vt:lpwstr>Report</vt:lpwstr>
  </property>
  <property fmtid="{D5CDD505-2E9C-101B-9397-08002B2CF9AE}" pid="9" name="Document Title">
    <vt:lpwstr>Geotechnical-related Metrics and Thresholds for Impact Assessment on Recognised Regional Receptors</vt:lpwstr>
  </property>
  <property fmtid="{D5CDD505-2E9C-101B-9397-08002B2CF9AE}" pid="10" name="Date">
    <vt:lpwstr>4 December 2020</vt:lpwstr>
  </property>
  <property fmtid="{D5CDD505-2E9C-101B-9397-08002B2CF9AE}" pid="11" name="Prepared By">
    <vt:lpwstr>Meredith Goss and Andrew Nelson</vt:lpwstr>
  </property>
  <property fmtid="{D5CDD505-2E9C-101B-9397-08002B2CF9AE}" pid="12" name="Approved By">
    <vt:lpwstr>Kevin Dugan/Greg Hoxley</vt:lpwstr>
  </property>
  <property fmtid="{D5CDD505-2E9C-101B-9397-08002B2CF9AE}" pid="13" name="Document Number">
    <vt:lpwstr>IS209100-204</vt:lpwstr>
  </property>
  <property fmtid="{D5CDD505-2E9C-101B-9397-08002B2CF9AE}" pid="14" name="Revision">
    <vt:lpwstr>Final</vt:lpwstr>
  </property>
  <property fmtid="{D5CDD505-2E9C-101B-9397-08002B2CF9AE}" pid="15" name="Cover Reference">
    <vt:lpwstr>Prepared by Mining One and Jacobs</vt:lpwstr>
  </property>
  <property fmtid="{D5CDD505-2E9C-101B-9397-08002B2CF9AE}" pid="16" name="Project Manager">
    <vt:lpwstr>Greg Hoxley</vt:lpwstr>
  </property>
  <property fmtid="{D5CDD505-2E9C-101B-9397-08002B2CF9AE}" pid="17" name="Client Name">
    <vt:lpwstr>Department of Jobs Precincts and Regions and Department of Environment, Land, Water and Planning</vt:lpwstr>
  </property>
  <property fmtid="{D5CDD505-2E9C-101B-9397-08002B2CF9AE}" pid="18" name="Project Number">
    <vt:lpwstr>IS209100</vt:lpwstr>
  </property>
  <property fmtid="{D5CDD505-2E9C-101B-9397-08002B2CF9AE}" pid="19" name="Client Reference">
    <vt:lpwstr>Prepared by Mining One and Jacobs</vt:lpwstr>
  </property>
  <property fmtid="{D5CDD505-2E9C-101B-9397-08002B2CF9AE}" pid="20" name="CVHeading">
    <vt:lpwstr>Curriculum Vitae</vt:lpwstr>
  </property>
  <property fmtid="{D5CDD505-2E9C-101B-9397-08002B2CF9AE}" pid="21" name="PHHeading">
    <vt:lpwstr>Project Description</vt:lpwstr>
  </property>
  <property fmtid="{D5CDD505-2E9C-101B-9397-08002B2CF9AE}" pid="22" name="Document Type">
    <vt:lpwstr>Report</vt:lpwstr>
  </property>
  <property fmtid="{D5CDD505-2E9C-101B-9397-08002B2CF9AE}" pid="23" name="ContentTypeId">
    <vt:lpwstr>0x0101005E2F10D362E873449B04B1E790BDC8AC</vt:lpwstr>
  </property>
</Properties>
</file>